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EFD06AB" w14:textId="77777777" w:rsidR="00D778AE" w:rsidRDefault="00D778AE" w:rsidP="00D778AE"/>
    <w:p w14:paraId="4BF5D092" w14:textId="77777777" w:rsidR="00D778AE" w:rsidRDefault="00D778AE" w:rsidP="00D778AE">
      <w:pPr>
        <w:jc w:val="center"/>
        <w:rPr>
          <w:b/>
          <w:bCs/>
          <w:sz w:val="34"/>
          <w:szCs w:val="34"/>
        </w:rPr>
      </w:pPr>
    </w:p>
    <w:p w14:paraId="304F5405" w14:textId="77777777" w:rsidR="00D778AE" w:rsidRDefault="00D778AE" w:rsidP="00D778AE">
      <w:pPr>
        <w:jc w:val="center"/>
        <w:rPr>
          <w:b/>
          <w:bCs/>
          <w:sz w:val="34"/>
          <w:szCs w:val="34"/>
        </w:rPr>
      </w:pPr>
    </w:p>
    <w:p w14:paraId="6E571BA1" w14:textId="77777777" w:rsidR="00D778AE" w:rsidRDefault="00D778AE" w:rsidP="00D778AE">
      <w:pPr>
        <w:jc w:val="center"/>
        <w:rPr>
          <w:b/>
          <w:bCs/>
          <w:sz w:val="34"/>
          <w:szCs w:val="34"/>
        </w:rPr>
      </w:pPr>
    </w:p>
    <w:p w14:paraId="1ECBEB32" w14:textId="77777777" w:rsidR="00D778AE" w:rsidRDefault="00D778AE" w:rsidP="00D778AE">
      <w:pPr>
        <w:jc w:val="center"/>
        <w:rPr>
          <w:b/>
          <w:bCs/>
          <w:sz w:val="34"/>
          <w:szCs w:val="34"/>
        </w:rPr>
      </w:pPr>
    </w:p>
    <w:p w14:paraId="100AB2CF" w14:textId="77777777" w:rsidR="00D778AE" w:rsidRDefault="00D778AE" w:rsidP="00D778AE">
      <w:pPr>
        <w:jc w:val="center"/>
        <w:rPr>
          <w:b/>
          <w:bCs/>
          <w:sz w:val="34"/>
          <w:szCs w:val="34"/>
        </w:rPr>
      </w:pPr>
    </w:p>
    <w:p w14:paraId="057A7A48" w14:textId="77777777" w:rsidR="00D778AE" w:rsidRDefault="00D778AE" w:rsidP="00D778AE">
      <w:pPr>
        <w:jc w:val="center"/>
        <w:rPr>
          <w:b/>
          <w:bCs/>
          <w:sz w:val="34"/>
          <w:szCs w:val="34"/>
        </w:rPr>
      </w:pPr>
      <w:r>
        <w:rPr>
          <w:b/>
          <w:bCs/>
          <w:sz w:val="34"/>
          <w:szCs w:val="34"/>
        </w:rPr>
        <w:t>Module Name: Principles of Health and Social Care Practice</w:t>
      </w:r>
    </w:p>
    <w:p w14:paraId="46B1CFC8" w14:textId="77777777" w:rsidR="00D778AE" w:rsidRDefault="00D778AE" w:rsidP="00D778AE">
      <w:pPr>
        <w:jc w:val="center"/>
        <w:rPr>
          <w:b/>
          <w:bCs/>
          <w:sz w:val="34"/>
          <w:szCs w:val="34"/>
        </w:rPr>
      </w:pPr>
      <w:r>
        <w:rPr>
          <w:b/>
          <w:bCs/>
          <w:sz w:val="34"/>
          <w:szCs w:val="34"/>
        </w:rPr>
        <w:t>Module code: BMHP5016</w:t>
      </w:r>
    </w:p>
    <w:p w14:paraId="2E7D0B44" w14:textId="73FB65C7" w:rsidR="00D778AE" w:rsidRDefault="00D778AE" w:rsidP="00D778AE">
      <w:pPr>
        <w:jc w:val="center"/>
        <w:rPr>
          <w:b/>
          <w:bCs/>
          <w:sz w:val="34"/>
          <w:szCs w:val="34"/>
        </w:rPr>
      </w:pPr>
      <w:r>
        <w:rPr>
          <w:b/>
          <w:bCs/>
          <w:sz w:val="34"/>
          <w:szCs w:val="34"/>
        </w:rPr>
        <w:t xml:space="preserve">Student Name: </w:t>
      </w:r>
      <w:r w:rsidR="00602110" w:rsidRPr="00602110">
        <w:rPr>
          <w:b/>
          <w:bCs/>
          <w:sz w:val="34"/>
          <w:szCs w:val="34"/>
        </w:rPr>
        <w:t xml:space="preserve">Bianca Muntean </w:t>
      </w:r>
    </w:p>
    <w:p w14:paraId="0E2600DB" w14:textId="5DDCBACB" w:rsidR="00D778AE" w:rsidRDefault="00D778AE" w:rsidP="00D778AE">
      <w:pPr>
        <w:jc w:val="center"/>
        <w:rPr>
          <w:sz w:val="34"/>
          <w:szCs w:val="34"/>
        </w:rPr>
      </w:pPr>
      <w:r>
        <w:rPr>
          <w:b/>
          <w:bCs/>
          <w:sz w:val="34"/>
          <w:szCs w:val="34"/>
        </w:rPr>
        <w:t>Student ID:</w:t>
      </w:r>
      <w:r w:rsidRPr="00602110">
        <w:rPr>
          <w:b/>
          <w:bCs/>
          <w:sz w:val="34"/>
          <w:szCs w:val="34"/>
        </w:rPr>
        <w:t xml:space="preserve"> </w:t>
      </w:r>
      <w:r w:rsidR="00602110" w:rsidRPr="00602110">
        <w:rPr>
          <w:b/>
          <w:bCs/>
          <w:sz w:val="34"/>
          <w:szCs w:val="34"/>
        </w:rPr>
        <w:t>2323244</w:t>
      </w:r>
    </w:p>
    <w:p w14:paraId="62FB7A2B" w14:textId="77777777" w:rsidR="00D778AE" w:rsidRDefault="00D778AE" w:rsidP="00D778AE">
      <w:pPr>
        <w:jc w:val="center"/>
        <w:rPr>
          <w:b/>
          <w:bCs/>
          <w:sz w:val="40"/>
          <w:szCs w:val="40"/>
        </w:rPr>
      </w:pPr>
    </w:p>
    <w:p w14:paraId="648AAEB1" w14:textId="77777777" w:rsidR="00D778AE" w:rsidRDefault="00D778AE" w:rsidP="00D778AE">
      <w:pPr>
        <w:jc w:val="center"/>
        <w:rPr>
          <w:b/>
          <w:bCs/>
          <w:sz w:val="40"/>
          <w:szCs w:val="40"/>
        </w:rPr>
      </w:pPr>
      <w:r>
        <w:br w:type="page"/>
      </w:r>
    </w:p>
    <w:p w14:paraId="375CABCC" w14:textId="77777777" w:rsidR="00D778AE" w:rsidRDefault="00D778AE" w:rsidP="00D778AE">
      <w:pPr>
        <w:jc w:val="center"/>
        <w:rPr>
          <w:b/>
          <w:bCs/>
        </w:rPr>
      </w:pPr>
      <w:r>
        <w:rPr>
          <w:b/>
          <w:bCs/>
        </w:rPr>
        <w:lastRenderedPageBreak/>
        <w:t>Executive Summary</w:t>
      </w:r>
    </w:p>
    <w:p w14:paraId="79376F5F" w14:textId="77777777" w:rsidR="00D778AE" w:rsidRDefault="00D778AE" w:rsidP="00D778AE">
      <w:r>
        <w:t>Within UK health and social-care services, person-centred care and partnership-working have started rapidly transforming the overall service-delivery. Person-centred care service is particularly focused on aligning care services as per the definite needs and preferences of patients across distinctive care scenarios. This perspective has been illustrated through the present report.  Utilising the partnership working model in the scenario of a child who faces disability in receiving proper support has evaluated the importance of partnership in establishing mutual support. The partnership in identifying the child's needs, which lacks specialised equipment, has identified inadequate teacher training. Addressing the funding challenges, the integration of the training initiatives and implementation of payment methods in UK person-centred care (PCC) and partnership working has been recommended.</w:t>
      </w:r>
    </w:p>
    <w:p w14:paraId="5EB88D8A" w14:textId="77777777" w:rsidR="00D778AE" w:rsidRDefault="00D778AE" w:rsidP="00D778AE">
      <w:r>
        <w:br w:type="page"/>
      </w:r>
    </w:p>
    <w:sdt>
      <w:sdtPr>
        <w:rPr>
          <w:rFonts w:ascii="Arial" w:eastAsia="Times New Roman" w:hAnsi="Arial" w:cs="Times New Roman"/>
          <w:color w:val="auto"/>
          <w:sz w:val="22"/>
          <w:szCs w:val="24"/>
          <w:lang w:val=""/>
        </w:rPr>
        <w:id w:val="296804783"/>
        <w:docPartObj>
          <w:docPartGallery w:val="Table of Contents"/>
          <w:docPartUnique/>
        </w:docPartObj>
      </w:sdtPr>
      <w:sdtEndPr>
        <w:rPr>
          <w:b/>
          <w:bCs/>
          <w:noProof/>
          <w:color w:val="000000" w:themeColor="text1"/>
        </w:rPr>
      </w:sdtEndPr>
      <w:sdtContent>
        <w:p w14:paraId="691AD50D" w14:textId="77777777" w:rsidR="00D778AE" w:rsidRDefault="00D778AE" w:rsidP="00D778AE">
          <w:pPr>
            <w:pStyle w:val="TOCHeading"/>
          </w:pPr>
          <w:r>
            <w:t>Table of Contents</w:t>
          </w:r>
        </w:p>
        <w:p w14:paraId="576E5F72" w14:textId="0F515663" w:rsidR="00412C3E" w:rsidRDefault="00D778AE">
          <w:pPr>
            <w:pStyle w:val="TOC1"/>
            <w:tabs>
              <w:tab w:val="right" w:leader="dot" w:pos="9350"/>
            </w:tabs>
            <w:rPr>
              <w:rFonts w:asciiTheme="minorHAnsi" w:eastAsiaTheme="minorEastAsia" w:hAnsiTheme="minorHAnsi" w:cstheme="minorBidi"/>
              <w:noProof/>
              <w:color w:val="auto"/>
              <w:kern w:val="2"/>
              <w:sz w:val="24"/>
              <w:lang w:val="en-IN" w:eastAsia="en-IN"/>
              <w14:ligatures w14:val="standardContextual"/>
            </w:rPr>
          </w:pPr>
          <w:r>
            <w:fldChar w:fldCharType="begin"/>
          </w:r>
          <w:r>
            <w:instrText xml:space="preserve"> TOC \o "1-3" \h \z \u </w:instrText>
          </w:r>
          <w:r>
            <w:fldChar w:fldCharType="separate"/>
          </w:r>
          <w:hyperlink w:anchor="_Toc223801076" w:history="1">
            <w:r w:rsidR="00412C3E" w:rsidRPr="00DC5D6E">
              <w:rPr>
                <w:rStyle w:val="Hyperlink"/>
                <w:noProof/>
              </w:rPr>
              <w:t>Introduction</w:t>
            </w:r>
            <w:r w:rsidR="00412C3E">
              <w:rPr>
                <w:noProof/>
                <w:webHidden/>
              </w:rPr>
              <w:tab/>
            </w:r>
            <w:r w:rsidR="00412C3E">
              <w:rPr>
                <w:noProof/>
                <w:webHidden/>
              </w:rPr>
              <w:fldChar w:fldCharType="begin"/>
            </w:r>
            <w:r w:rsidR="00412C3E">
              <w:rPr>
                <w:noProof/>
                <w:webHidden/>
              </w:rPr>
              <w:instrText xml:space="preserve"> PAGEREF _Toc223801076 \h </w:instrText>
            </w:r>
            <w:r w:rsidR="00412C3E">
              <w:rPr>
                <w:noProof/>
                <w:webHidden/>
              </w:rPr>
            </w:r>
            <w:r w:rsidR="00412C3E">
              <w:rPr>
                <w:noProof/>
                <w:webHidden/>
              </w:rPr>
              <w:fldChar w:fldCharType="separate"/>
            </w:r>
            <w:r w:rsidR="00412C3E">
              <w:rPr>
                <w:noProof/>
                <w:webHidden/>
              </w:rPr>
              <w:t>4</w:t>
            </w:r>
            <w:r w:rsidR="00412C3E">
              <w:rPr>
                <w:noProof/>
                <w:webHidden/>
              </w:rPr>
              <w:fldChar w:fldCharType="end"/>
            </w:r>
          </w:hyperlink>
        </w:p>
        <w:p w14:paraId="40506D75" w14:textId="46C3B7C0" w:rsidR="00412C3E" w:rsidRDefault="00412C3E">
          <w:pPr>
            <w:pStyle w:val="TOC1"/>
            <w:tabs>
              <w:tab w:val="right" w:leader="dot" w:pos="9350"/>
            </w:tabs>
            <w:rPr>
              <w:rFonts w:asciiTheme="minorHAnsi" w:eastAsiaTheme="minorEastAsia" w:hAnsiTheme="minorHAnsi" w:cstheme="minorBidi"/>
              <w:noProof/>
              <w:color w:val="auto"/>
              <w:kern w:val="2"/>
              <w:sz w:val="24"/>
              <w:lang w:val="en-IN" w:eastAsia="en-IN"/>
              <w14:ligatures w14:val="standardContextual"/>
            </w:rPr>
          </w:pPr>
          <w:hyperlink w:anchor="_Toc223801077" w:history="1">
            <w:r w:rsidRPr="00DC5D6E">
              <w:rPr>
                <w:rStyle w:val="Hyperlink"/>
                <w:noProof/>
              </w:rPr>
              <w:t>Definition of Person-centred Care, its Benefits and Limitations</w:t>
            </w:r>
            <w:r>
              <w:rPr>
                <w:noProof/>
                <w:webHidden/>
              </w:rPr>
              <w:tab/>
            </w:r>
            <w:r>
              <w:rPr>
                <w:noProof/>
                <w:webHidden/>
              </w:rPr>
              <w:fldChar w:fldCharType="begin"/>
            </w:r>
            <w:r>
              <w:rPr>
                <w:noProof/>
                <w:webHidden/>
              </w:rPr>
              <w:instrText xml:space="preserve"> PAGEREF _Toc223801077 \h </w:instrText>
            </w:r>
            <w:r>
              <w:rPr>
                <w:noProof/>
                <w:webHidden/>
              </w:rPr>
            </w:r>
            <w:r>
              <w:rPr>
                <w:noProof/>
                <w:webHidden/>
              </w:rPr>
              <w:fldChar w:fldCharType="separate"/>
            </w:r>
            <w:r>
              <w:rPr>
                <w:noProof/>
                <w:webHidden/>
              </w:rPr>
              <w:t>5</w:t>
            </w:r>
            <w:r>
              <w:rPr>
                <w:noProof/>
                <w:webHidden/>
              </w:rPr>
              <w:fldChar w:fldCharType="end"/>
            </w:r>
          </w:hyperlink>
        </w:p>
        <w:p w14:paraId="6884018F" w14:textId="3D8245F3" w:rsidR="00412C3E" w:rsidRDefault="00412C3E">
          <w:pPr>
            <w:pStyle w:val="TOC1"/>
            <w:tabs>
              <w:tab w:val="right" w:leader="dot" w:pos="9350"/>
            </w:tabs>
            <w:rPr>
              <w:rFonts w:asciiTheme="minorHAnsi" w:eastAsiaTheme="minorEastAsia" w:hAnsiTheme="minorHAnsi" w:cstheme="minorBidi"/>
              <w:noProof/>
              <w:color w:val="auto"/>
              <w:kern w:val="2"/>
              <w:sz w:val="24"/>
              <w:lang w:val="en-IN" w:eastAsia="en-IN"/>
              <w14:ligatures w14:val="standardContextual"/>
            </w:rPr>
          </w:pPr>
          <w:hyperlink w:anchor="_Toc223801078" w:history="1">
            <w:r w:rsidRPr="00DC5D6E">
              <w:rPr>
                <w:rStyle w:val="Hyperlink"/>
                <w:noProof/>
              </w:rPr>
              <w:t>Application of a Relevant Care Model Underpinning the Prospect of Person-Centred Care</w:t>
            </w:r>
            <w:r>
              <w:rPr>
                <w:noProof/>
                <w:webHidden/>
              </w:rPr>
              <w:tab/>
            </w:r>
            <w:r>
              <w:rPr>
                <w:noProof/>
                <w:webHidden/>
              </w:rPr>
              <w:fldChar w:fldCharType="begin"/>
            </w:r>
            <w:r>
              <w:rPr>
                <w:noProof/>
                <w:webHidden/>
              </w:rPr>
              <w:instrText xml:space="preserve"> PAGEREF _Toc223801078 \h </w:instrText>
            </w:r>
            <w:r>
              <w:rPr>
                <w:noProof/>
                <w:webHidden/>
              </w:rPr>
            </w:r>
            <w:r>
              <w:rPr>
                <w:noProof/>
                <w:webHidden/>
              </w:rPr>
              <w:fldChar w:fldCharType="separate"/>
            </w:r>
            <w:r>
              <w:rPr>
                <w:noProof/>
                <w:webHidden/>
              </w:rPr>
              <w:t>7</w:t>
            </w:r>
            <w:r>
              <w:rPr>
                <w:noProof/>
                <w:webHidden/>
              </w:rPr>
              <w:fldChar w:fldCharType="end"/>
            </w:r>
          </w:hyperlink>
        </w:p>
        <w:p w14:paraId="2B3CC5E8" w14:textId="40424652" w:rsidR="00412C3E" w:rsidRDefault="00412C3E">
          <w:pPr>
            <w:pStyle w:val="TOC1"/>
            <w:tabs>
              <w:tab w:val="right" w:leader="dot" w:pos="9350"/>
            </w:tabs>
            <w:rPr>
              <w:rFonts w:asciiTheme="minorHAnsi" w:eastAsiaTheme="minorEastAsia" w:hAnsiTheme="minorHAnsi" w:cstheme="minorBidi"/>
              <w:noProof/>
              <w:color w:val="auto"/>
              <w:kern w:val="2"/>
              <w:sz w:val="24"/>
              <w:lang w:val="en-IN" w:eastAsia="en-IN"/>
              <w14:ligatures w14:val="standardContextual"/>
            </w:rPr>
          </w:pPr>
          <w:hyperlink w:anchor="_Toc223801079" w:history="1">
            <w:r w:rsidRPr="00DC5D6E">
              <w:rPr>
                <w:rStyle w:val="Hyperlink"/>
                <w:noProof/>
              </w:rPr>
              <w:t>Examining the ethical fundamentals of health and social care</w:t>
            </w:r>
            <w:r>
              <w:rPr>
                <w:noProof/>
                <w:webHidden/>
              </w:rPr>
              <w:tab/>
            </w:r>
            <w:r>
              <w:rPr>
                <w:noProof/>
                <w:webHidden/>
              </w:rPr>
              <w:fldChar w:fldCharType="begin"/>
            </w:r>
            <w:r>
              <w:rPr>
                <w:noProof/>
                <w:webHidden/>
              </w:rPr>
              <w:instrText xml:space="preserve"> PAGEREF _Toc223801079 \h </w:instrText>
            </w:r>
            <w:r>
              <w:rPr>
                <w:noProof/>
                <w:webHidden/>
              </w:rPr>
            </w:r>
            <w:r>
              <w:rPr>
                <w:noProof/>
                <w:webHidden/>
              </w:rPr>
              <w:fldChar w:fldCharType="separate"/>
            </w:r>
            <w:r>
              <w:rPr>
                <w:noProof/>
                <w:webHidden/>
              </w:rPr>
              <w:t>9</w:t>
            </w:r>
            <w:r>
              <w:rPr>
                <w:noProof/>
                <w:webHidden/>
              </w:rPr>
              <w:fldChar w:fldCharType="end"/>
            </w:r>
          </w:hyperlink>
        </w:p>
        <w:p w14:paraId="558131E4" w14:textId="482196D4" w:rsidR="00412C3E" w:rsidRDefault="00412C3E">
          <w:pPr>
            <w:pStyle w:val="TOC1"/>
            <w:tabs>
              <w:tab w:val="right" w:leader="dot" w:pos="9350"/>
            </w:tabs>
            <w:rPr>
              <w:rFonts w:asciiTheme="minorHAnsi" w:eastAsiaTheme="minorEastAsia" w:hAnsiTheme="minorHAnsi" w:cstheme="minorBidi"/>
              <w:noProof/>
              <w:color w:val="auto"/>
              <w:kern w:val="2"/>
              <w:sz w:val="24"/>
              <w:lang w:val="en-IN" w:eastAsia="en-IN"/>
              <w14:ligatures w14:val="standardContextual"/>
            </w:rPr>
          </w:pPr>
          <w:hyperlink w:anchor="_Toc223801080" w:history="1">
            <w:r w:rsidRPr="00DC5D6E">
              <w:rPr>
                <w:rStyle w:val="Hyperlink"/>
                <w:noProof/>
              </w:rPr>
              <w:t>Discussing the effectiveness of partnership working in health and social care</w:t>
            </w:r>
            <w:r>
              <w:rPr>
                <w:noProof/>
                <w:webHidden/>
              </w:rPr>
              <w:tab/>
            </w:r>
            <w:r>
              <w:rPr>
                <w:noProof/>
                <w:webHidden/>
              </w:rPr>
              <w:fldChar w:fldCharType="begin"/>
            </w:r>
            <w:r>
              <w:rPr>
                <w:noProof/>
                <w:webHidden/>
              </w:rPr>
              <w:instrText xml:space="preserve"> PAGEREF _Toc223801080 \h </w:instrText>
            </w:r>
            <w:r>
              <w:rPr>
                <w:noProof/>
                <w:webHidden/>
              </w:rPr>
            </w:r>
            <w:r>
              <w:rPr>
                <w:noProof/>
                <w:webHidden/>
              </w:rPr>
              <w:fldChar w:fldCharType="separate"/>
            </w:r>
            <w:r>
              <w:rPr>
                <w:noProof/>
                <w:webHidden/>
              </w:rPr>
              <w:t>10</w:t>
            </w:r>
            <w:r>
              <w:rPr>
                <w:noProof/>
                <w:webHidden/>
              </w:rPr>
              <w:fldChar w:fldCharType="end"/>
            </w:r>
          </w:hyperlink>
        </w:p>
        <w:p w14:paraId="5863E526" w14:textId="6FEB86A3" w:rsidR="00412C3E" w:rsidRDefault="00412C3E">
          <w:pPr>
            <w:pStyle w:val="TOC1"/>
            <w:tabs>
              <w:tab w:val="right" w:leader="dot" w:pos="9350"/>
            </w:tabs>
            <w:rPr>
              <w:rFonts w:asciiTheme="minorHAnsi" w:eastAsiaTheme="minorEastAsia" w:hAnsiTheme="minorHAnsi" w:cstheme="minorBidi"/>
              <w:noProof/>
              <w:color w:val="auto"/>
              <w:kern w:val="2"/>
              <w:sz w:val="24"/>
              <w:lang w:val="en-IN" w:eastAsia="en-IN"/>
              <w14:ligatures w14:val="standardContextual"/>
            </w:rPr>
          </w:pPr>
          <w:hyperlink w:anchor="_Toc223801081" w:history="1">
            <w:r w:rsidRPr="00DC5D6E">
              <w:rPr>
                <w:rStyle w:val="Hyperlink"/>
                <w:noProof/>
              </w:rPr>
              <w:t>Application of partnership working in a practical health and social care setting</w:t>
            </w:r>
            <w:r>
              <w:rPr>
                <w:noProof/>
                <w:webHidden/>
              </w:rPr>
              <w:tab/>
            </w:r>
            <w:r>
              <w:rPr>
                <w:noProof/>
                <w:webHidden/>
              </w:rPr>
              <w:fldChar w:fldCharType="begin"/>
            </w:r>
            <w:r>
              <w:rPr>
                <w:noProof/>
                <w:webHidden/>
              </w:rPr>
              <w:instrText xml:space="preserve"> PAGEREF _Toc223801081 \h </w:instrText>
            </w:r>
            <w:r>
              <w:rPr>
                <w:noProof/>
                <w:webHidden/>
              </w:rPr>
            </w:r>
            <w:r>
              <w:rPr>
                <w:noProof/>
                <w:webHidden/>
              </w:rPr>
              <w:fldChar w:fldCharType="separate"/>
            </w:r>
            <w:r>
              <w:rPr>
                <w:noProof/>
                <w:webHidden/>
              </w:rPr>
              <w:t>11</w:t>
            </w:r>
            <w:r>
              <w:rPr>
                <w:noProof/>
                <w:webHidden/>
              </w:rPr>
              <w:fldChar w:fldCharType="end"/>
            </w:r>
          </w:hyperlink>
        </w:p>
        <w:p w14:paraId="0B5ABD2C" w14:textId="3E792F2D" w:rsidR="00412C3E" w:rsidRDefault="00412C3E">
          <w:pPr>
            <w:pStyle w:val="TOC1"/>
            <w:tabs>
              <w:tab w:val="right" w:leader="dot" w:pos="9350"/>
            </w:tabs>
            <w:rPr>
              <w:rFonts w:asciiTheme="minorHAnsi" w:eastAsiaTheme="minorEastAsia" w:hAnsiTheme="minorHAnsi" w:cstheme="minorBidi"/>
              <w:noProof/>
              <w:color w:val="auto"/>
              <w:kern w:val="2"/>
              <w:sz w:val="24"/>
              <w:lang w:val="en-IN" w:eastAsia="en-IN"/>
              <w14:ligatures w14:val="standardContextual"/>
            </w:rPr>
          </w:pPr>
          <w:hyperlink w:anchor="_Toc223801082" w:history="1">
            <w:r w:rsidRPr="00DC5D6E">
              <w:rPr>
                <w:rStyle w:val="Hyperlink"/>
                <w:noProof/>
              </w:rPr>
              <w:t>Relevant Policy and Legislation Regarding PCC and PW</w:t>
            </w:r>
            <w:r>
              <w:rPr>
                <w:noProof/>
                <w:webHidden/>
              </w:rPr>
              <w:tab/>
            </w:r>
            <w:r>
              <w:rPr>
                <w:noProof/>
                <w:webHidden/>
              </w:rPr>
              <w:fldChar w:fldCharType="begin"/>
            </w:r>
            <w:r>
              <w:rPr>
                <w:noProof/>
                <w:webHidden/>
              </w:rPr>
              <w:instrText xml:space="preserve"> PAGEREF _Toc223801082 \h </w:instrText>
            </w:r>
            <w:r>
              <w:rPr>
                <w:noProof/>
                <w:webHidden/>
              </w:rPr>
            </w:r>
            <w:r>
              <w:rPr>
                <w:noProof/>
                <w:webHidden/>
              </w:rPr>
              <w:fldChar w:fldCharType="separate"/>
            </w:r>
            <w:r>
              <w:rPr>
                <w:noProof/>
                <w:webHidden/>
              </w:rPr>
              <w:t>12</w:t>
            </w:r>
            <w:r>
              <w:rPr>
                <w:noProof/>
                <w:webHidden/>
              </w:rPr>
              <w:fldChar w:fldCharType="end"/>
            </w:r>
          </w:hyperlink>
        </w:p>
        <w:p w14:paraId="3317F6B6" w14:textId="710831AF" w:rsidR="00412C3E" w:rsidRDefault="00412C3E">
          <w:pPr>
            <w:pStyle w:val="TOC1"/>
            <w:tabs>
              <w:tab w:val="right" w:leader="dot" w:pos="9350"/>
            </w:tabs>
            <w:rPr>
              <w:rFonts w:asciiTheme="minorHAnsi" w:eastAsiaTheme="minorEastAsia" w:hAnsiTheme="minorHAnsi" w:cstheme="minorBidi"/>
              <w:noProof/>
              <w:color w:val="auto"/>
              <w:kern w:val="2"/>
              <w:sz w:val="24"/>
              <w:lang w:val="en-IN" w:eastAsia="en-IN"/>
              <w14:ligatures w14:val="standardContextual"/>
            </w:rPr>
          </w:pPr>
          <w:hyperlink w:anchor="_Toc223801083" w:history="1">
            <w:r w:rsidRPr="00DC5D6E">
              <w:rPr>
                <w:rStyle w:val="Hyperlink"/>
                <w:noProof/>
              </w:rPr>
              <w:t>Recommendations for future development of PCC and partnership working</w:t>
            </w:r>
            <w:r>
              <w:rPr>
                <w:noProof/>
                <w:webHidden/>
              </w:rPr>
              <w:tab/>
            </w:r>
            <w:r>
              <w:rPr>
                <w:noProof/>
                <w:webHidden/>
              </w:rPr>
              <w:fldChar w:fldCharType="begin"/>
            </w:r>
            <w:r>
              <w:rPr>
                <w:noProof/>
                <w:webHidden/>
              </w:rPr>
              <w:instrText xml:space="preserve"> PAGEREF _Toc223801083 \h </w:instrText>
            </w:r>
            <w:r>
              <w:rPr>
                <w:noProof/>
                <w:webHidden/>
              </w:rPr>
            </w:r>
            <w:r>
              <w:rPr>
                <w:noProof/>
                <w:webHidden/>
              </w:rPr>
              <w:fldChar w:fldCharType="separate"/>
            </w:r>
            <w:r>
              <w:rPr>
                <w:noProof/>
                <w:webHidden/>
              </w:rPr>
              <w:t>14</w:t>
            </w:r>
            <w:r>
              <w:rPr>
                <w:noProof/>
                <w:webHidden/>
              </w:rPr>
              <w:fldChar w:fldCharType="end"/>
            </w:r>
          </w:hyperlink>
        </w:p>
        <w:p w14:paraId="396060A9" w14:textId="21B8DD4B" w:rsidR="00412C3E" w:rsidRDefault="00412C3E">
          <w:pPr>
            <w:pStyle w:val="TOC1"/>
            <w:tabs>
              <w:tab w:val="right" w:leader="dot" w:pos="9350"/>
            </w:tabs>
            <w:rPr>
              <w:rFonts w:asciiTheme="minorHAnsi" w:eastAsiaTheme="minorEastAsia" w:hAnsiTheme="minorHAnsi" w:cstheme="minorBidi"/>
              <w:noProof/>
              <w:color w:val="auto"/>
              <w:kern w:val="2"/>
              <w:sz w:val="24"/>
              <w:lang w:val="en-IN" w:eastAsia="en-IN"/>
              <w14:ligatures w14:val="standardContextual"/>
            </w:rPr>
          </w:pPr>
          <w:hyperlink w:anchor="_Toc223801084" w:history="1">
            <w:r w:rsidRPr="00DC5D6E">
              <w:rPr>
                <w:rStyle w:val="Hyperlink"/>
                <w:noProof/>
              </w:rPr>
              <w:t>Conclusion</w:t>
            </w:r>
            <w:r>
              <w:rPr>
                <w:noProof/>
                <w:webHidden/>
              </w:rPr>
              <w:tab/>
            </w:r>
            <w:r>
              <w:rPr>
                <w:noProof/>
                <w:webHidden/>
              </w:rPr>
              <w:fldChar w:fldCharType="begin"/>
            </w:r>
            <w:r>
              <w:rPr>
                <w:noProof/>
                <w:webHidden/>
              </w:rPr>
              <w:instrText xml:space="preserve"> PAGEREF _Toc223801084 \h </w:instrText>
            </w:r>
            <w:r>
              <w:rPr>
                <w:noProof/>
                <w:webHidden/>
              </w:rPr>
            </w:r>
            <w:r>
              <w:rPr>
                <w:noProof/>
                <w:webHidden/>
              </w:rPr>
              <w:fldChar w:fldCharType="separate"/>
            </w:r>
            <w:r>
              <w:rPr>
                <w:noProof/>
                <w:webHidden/>
              </w:rPr>
              <w:t>15</w:t>
            </w:r>
            <w:r>
              <w:rPr>
                <w:noProof/>
                <w:webHidden/>
              </w:rPr>
              <w:fldChar w:fldCharType="end"/>
            </w:r>
          </w:hyperlink>
        </w:p>
        <w:p w14:paraId="4169043E" w14:textId="58A3E18F" w:rsidR="00412C3E" w:rsidRDefault="00412C3E">
          <w:pPr>
            <w:pStyle w:val="TOC1"/>
            <w:tabs>
              <w:tab w:val="right" w:leader="dot" w:pos="9350"/>
            </w:tabs>
            <w:rPr>
              <w:rFonts w:asciiTheme="minorHAnsi" w:eastAsiaTheme="minorEastAsia" w:hAnsiTheme="minorHAnsi" w:cstheme="minorBidi"/>
              <w:noProof/>
              <w:color w:val="auto"/>
              <w:kern w:val="2"/>
              <w:sz w:val="24"/>
              <w:lang w:val="en-IN" w:eastAsia="en-IN"/>
              <w14:ligatures w14:val="standardContextual"/>
            </w:rPr>
          </w:pPr>
          <w:hyperlink w:anchor="_Toc223801085" w:history="1">
            <w:r w:rsidRPr="00DC5D6E">
              <w:rPr>
                <w:rStyle w:val="Hyperlink"/>
                <w:noProof/>
              </w:rPr>
              <w:t>References</w:t>
            </w:r>
            <w:r>
              <w:rPr>
                <w:noProof/>
                <w:webHidden/>
              </w:rPr>
              <w:tab/>
            </w:r>
            <w:r>
              <w:rPr>
                <w:noProof/>
                <w:webHidden/>
              </w:rPr>
              <w:fldChar w:fldCharType="begin"/>
            </w:r>
            <w:r>
              <w:rPr>
                <w:noProof/>
                <w:webHidden/>
              </w:rPr>
              <w:instrText xml:space="preserve"> PAGEREF _Toc223801085 \h </w:instrText>
            </w:r>
            <w:r>
              <w:rPr>
                <w:noProof/>
                <w:webHidden/>
              </w:rPr>
            </w:r>
            <w:r>
              <w:rPr>
                <w:noProof/>
                <w:webHidden/>
              </w:rPr>
              <w:fldChar w:fldCharType="separate"/>
            </w:r>
            <w:r>
              <w:rPr>
                <w:noProof/>
                <w:webHidden/>
              </w:rPr>
              <w:t>16</w:t>
            </w:r>
            <w:r>
              <w:rPr>
                <w:noProof/>
                <w:webHidden/>
              </w:rPr>
              <w:fldChar w:fldCharType="end"/>
            </w:r>
          </w:hyperlink>
        </w:p>
        <w:p w14:paraId="24083243" w14:textId="74D497FC" w:rsidR="00D778AE" w:rsidRDefault="00D778AE" w:rsidP="00D778AE">
          <w:r>
            <w:rPr>
              <w:b/>
              <w:bCs/>
              <w:noProof/>
            </w:rPr>
            <w:fldChar w:fldCharType="end"/>
          </w:r>
        </w:p>
      </w:sdtContent>
    </w:sdt>
    <w:p w14:paraId="697CF6B9" w14:textId="77777777" w:rsidR="00D778AE" w:rsidRDefault="00D778AE" w:rsidP="00D778AE">
      <w:r>
        <w:t xml:space="preserve">    </w:t>
      </w:r>
    </w:p>
    <w:p w14:paraId="7A1214DC" w14:textId="77777777" w:rsidR="00D778AE" w:rsidRDefault="00D778AE" w:rsidP="00D778AE">
      <w:r>
        <w:br w:type="page"/>
      </w:r>
    </w:p>
    <w:p w14:paraId="22B72D37" w14:textId="77777777" w:rsidR="00D778AE" w:rsidRDefault="00D778AE" w:rsidP="00D778AE">
      <w:pPr>
        <w:pStyle w:val="Heading1"/>
      </w:pPr>
      <w:bookmarkStart w:id="0" w:name="_hatjwng1bs9a" w:colFirst="0" w:colLast="0"/>
      <w:bookmarkStart w:id="1" w:name="_Toc223801076"/>
      <w:bookmarkEnd w:id="0"/>
      <w:r>
        <w:lastRenderedPageBreak/>
        <w:t>Introduction</w:t>
      </w:r>
      <w:bookmarkEnd w:id="1"/>
      <w:r>
        <w:t xml:space="preserve"> </w:t>
      </w:r>
    </w:p>
    <w:p w14:paraId="684E6308" w14:textId="3E8887E8" w:rsidR="00D778AE" w:rsidRPr="004A1AB1" w:rsidRDefault="00D778AE" w:rsidP="004A1AB1">
      <w:pPr>
        <w:rPr>
          <w:szCs w:val="22"/>
        </w:rPr>
      </w:pPr>
      <w:r w:rsidRPr="004A1AB1">
        <w:rPr>
          <w:szCs w:val="22"/>
        </w:rPr>
        <w:t>The fundamental landscape of UK health and social-care dynamics has changed over the past few years, with an increased focus being given to accessing quality, well-integrated and inclusive services. At the basis of such wider transformation lies the prospects of Person-Centred Care (PCC) and Partnership Working (PW). Person-centred care-giving has become crucial within healthcare services, while it suggests skill-based training and education frameworks, where the healthcare and social-care workforce learn well how to deliver person-centric care (NHS, 2025).</w:t>
      </w:r>
    </w:p>
    <w:p w14:paraId="223A11C2" w14:textId="13C208B8" w:rsidR="00D778AE" w:rsidRDefault="00D778AE" w:rsidP="004A1AB1">
      <w:pPr>
        <w:rPr>
          <w:sz w:val="24"/>
        </w:rPr>
      </w:pPr>
      <w:r w:rsidRPr="004A1AB1">
        <w:rPr>
          <w:szCs w:val="22"/>
        </w:rPr>
        <w:t xml:space="preserve">Partnership-working, on the other hand, suggests mutual sharing of care information and responsibility across diverse members of a healthcare or social-care team (Scarlett, 2026). Within all these areas of person-centred care and partnership-working, various recent policy frameworks can give support. </w:t>
      </w:r>
      <w:r w:rsidR="004A1AB1">
        <w:rPr>
          <w:szCs w:val="22"/>
        </w:rPr>
        <w:t xml:space="preserve">All these will be critically evaluated through the present report. </w:t>
      </w:r>
      <w:r>
        <w:br w:type="page"/>
      </w:r>
    </w:p>
    <w:p w14:paraId="28C80FE0" w14:textId="77777777" w:rsidR="00D778AE" w:rsidRDefault="00D778AE" w:rsidP="00D778AE">
      <w:pPr>
        <w:pStyle w:val="Heading1"/>
      </w:pPr>
      <w:bookmarkStart w:id="2" w:name="_ryep49b5hnt3" w:colFirst="0" w:colLast="0"/>
      <w:bookmarkStart w:id="3" w:name="_Toc223801077"/>
      <w:bookmarkEnd w:id="2"/>
      <w:r>
        <w:lastRenderedPageBreak/>
        <w:t>Definition of Person-centred Care, its Benefits and Limitations</w:t>
      </w:r>
      <w:bookmarkEnd w:id="3"/>
      <w:r>
        <w:t xml:space="preserve"> </w:t>
      </w:r>
    </w:p>
    <w:p w14:paraId="1E15DA65" w14:textId="77777777" w:rsidR="00D778AE" w:rsidRDefault="00D778AE" w:rsidP="00D778AE">
      <w:pPr>
        <w:rPr>
          <w:b/>
          <w:bCs/>
        </w:rPr>
      </w:pPr>
      <w:r>
        <w:rPr>
          <w:b/>
          <w:bCs/>
        </w:rPr>
        <w:t>Definition</w:t>
      </w:r>
    </w:p>
    <w:p w14:paraId="47681C3F" w14:textId="24A54058" w:rsidR="00D778AE" w:rsidRDefault="00D778AE" w:rsidP="00D778AE">
      <w:r>
        <w:t xml:space="preserve">Person-centred care suggests a highly intriguing and widely recognised characteristic within quality healthcare-delivery services (SkillsForHealth, 2025). Initially developed by the NHS, in partnership with "Skills For Health" and "Skills For Care" operating across the UK, the framework is primarily aimed at instilling transferable qualities, skills and knowledge among the workforce (NHS, 2025). </w:t>
      </w:r>
    </w:p>
    <w:p w14:paraId="001088A3" w14:textId="77777777" w:rsidR="00D778AE" w:rsidRDefault="00D778AE" w:rsidP="00D778AE">
      <w:pPr>
        <w:rPr>
          <w:b/>
          <w:bCs/>
        </w:rPr>
      </w:pPr>
      <w:r>
        <w:rPr>
          <w:b/>
          <w:bCs/>
        </w:rPr>
        <w:t xml:space="preserve">Benefits of the Healthcare Practice </w:t>
      </w:r>
    </w:p>
    <w:p w14:paraId="15569056" w14:textId="72A2386C" w:rsidR="00D778AE" w:rsidRDefault="00D778AE" w:rsidP="00D778AE">
      <w:r>
        <w:t xml:space="preserve">As reported by (SkillsForHealth, 2025), a research study published in the National Library of Medicine has suggested how person-centred care can further lead towards rapidly-enhanced healthcare outcomes. </w:t>
      </w:r>
    </w:p>
    <w:p w14:paraId="34EBF2C9" w14:textId="6620E545" w:rsidR="00D778AE" w:rsidRDefault="00D778AE" w:rsidP="00D778AE">
      <w:r>
        <w:rPr>
          <w:b/>
          <w:bCs/>
          <w:i/>
          <w:iCs/>
        </w:rPr>
        <w:t>An improved patient care-outcomes:</w:t>
      </w:r>
      <w:r>
        <w:t xml:space="preserve"> Person-centred care focuses on an individual's customised needs and preferences</w:t>
      </w:r>
      <w:r w:rsidR="005949E9">
        <w:t xml:space="preserve">, resulting into </w:t>
      </w:r>
      <w:r>
        <w:t>patients getting faster recovery services</w:t>
      </w:r>
      <w:r w:rsidR="005949E9">
        <w:t xml:space="preserve"> and </w:t>
      </w:r>
      <w:r>
        <w:t xml:space="preserve">a reduced number of hospital admissions (AJCM, 2025). According to the CQC Annual Report (2024-2025), care services integrating PCC tend to lead towards a continued care service and reduced emergency-admission rate (GOV.UK, 2025). </w:t>
      </w:r>
    </w:p>
    <w:p w14:paraId="5ACDCB59" w14:textId="77777777" w:rsidR="00D778AE" w:rsidRDefault="00D778AE" w:rsidP="00D778AE">
      <w:r>
        <w:rPr>
          <w:b/>
          <w:bCs/>
          <w:i/>
          <w:iCs/>
        </w:rPr>
        <w:t>Patient Autonomy and Independence:</w:t>
      </w:r>
      <w:r>
        <w:t xml:space="preserve"> By actively engaging patients in care-centric decision-making procedures, care practitioners can facilitate a sense of control and accountability for the patient across their care services accessed. As suggested by the NHS (2025), personalised care services have started representing a new kind of relationship between individuals, healthcare professionals, and the overall healthcare and social-care system. </w:t>
      </w:r>
    </w:p>
    <w:p w14:paraId="23FF0427" w14:textId="77777777" w:rsidR="00D778AE" w:rsidRDefault="00D778AE" w:rsidP="00D778AE">
      <w:r>
        <w:rPr>
          <w:b/>
          <w:bCs/>
          <w:i/>
          <w:iCs/>
        </w:rPr>
        <w:t xml:space="preserve">Healthcare-system Effectiveness: </w:t>
      </w:r>
      <w:r>
        <w:t xml:space="preserve">Person-centred care delivery can constructively decrease additional pressures on existing healthcare systems, by well-fostering self-management criteria and subsequently decreasing long-term care-specific cost-allocation (SkillsForHealth, 2025). As recognised through (NHS, 2025), while care-outcomes are co-produced by patients themselves and workforce members, it delivers better care-outcomes with a much-reduced cost than general healthcare systems. </w:t>
      </w:r>
    </w:p>
    <w:p w14:paraId="094F1873" w14:textId="77777777" w:rsidR="00D778AE" w:rsidRDefault="00D778AE" w:rsidP="00D778AE">
      <w:pPr>
        <w:rPr>
          <w:b/>
          <w:bCs/>
        </w:rPr>
      </w:pPr>
      <w:r>
        <w:rPr>
          <w:b/>
          <w:bCs/>
        </w:rPr>
        <w:t>Limitations of the Healthcare Practice</w:t>
      </w:r>
    </w:p>
    <w:p w14:paraId="3A69A3CF" w14:textId="77777777" w:rsidR="00D778AE" w:rsidRDefault="00D778AE" w:rsidP="00D778AE">
      <w:r>
        <w:rPr>
          <w:b/>
          <w:bCs/>
          <w:i/>
          <w:iCs/>
        </w:rPr>
        <w:t>Inadequate resources and Time-shortage:</w:t>
      </w:r>
      <w:r>
        <w:t xml:space="preserve"> An effective implementation of person-centred care generally needs additional staff training, resources and an effective allocation of time from them. Therefore, all these arrangements can pull out extensive resources from care-delivery systems, within high-demand situational circumstances (Harding, 2025). </w:t>
      </w:r>
    </w:p>
    <w:p w14:paraId="01BE003D" w14:textId="17087F94" w:rsidR="00D778AE" w:rsidRDefault="00D778AE" w:rsidP="00D778AE">
      <w:r>
        <w:rPr>
          <w:b/>
          <w:bCs/>
          <w:i/>
          <w:iCs/>
        </w:rPr>
        <w:t xml:space="preserve">Communication Issues: </w:t>
      </w:r>
      <w:r>
        <w:t xml:space="preserve">For healthcare providers, it can be difficult to interact with patients with cognitive difficulties, reduced mental healthcare-based literacy and language-based complexities. </w:t>
      </w:r>
      <w:r>
        <w:lastRenderedPageBreak/>
        <w:t xml:space="preserve">Thus, they cannot properly participate in healthcare planning, and their care needs remain unreached on frequent occasions. </w:t>
      </w:r>
      <w:r>
        <w:br w:type="page"/>
      </w:r>
    </w:p>
    <w:p w14:paraId="711BD4F0" w14:textId="77777777" w:rsidR="00D778AE" w:rsidRDefault="00D778AE" w:rsidP="00D778AE">
      <w:pPr>
        <w:pStyle w:val="Heading1"/>
      </w:pPr>
      <w:bookmarkStart w:id="4" w:name="_9xwztobdmm1l" w:colFirst="0" w:colLast="0"/>
      <w:bookmarkStart w:id="5" w:name="_Toc223801078"/>
      <w:bookmarkEnd w:id="4"/>
      <w:r>
        <w:lastRenderedPageBreak/>
        <w:t>Application of a Relevant Care Model Underpinning the Prospect of Person-Centred Care</w:t>
      </w:r>
      <w:bookmarkEnd w:id="5"/>
      <w:r>
        <w:t xml:space="preserve"> </w:t>
      </w:r>
    </w:p>
    <w:p w14:paraId="53C4DE8B" w14:textId="77777777" w:rsidR="00D778AE" w:rsidRDefault="00D778AE" w:rsidP="00D778AE">
      <w:r>
        <w:t>Primarily, the Health Foundation (HealthFoundation, 2025) has indicated a definite framework, consisting of four care principles underlining person-centred care.</w:t>
      </w:r>
    </w:p>
    <w:p w14:paraId="429A65DE" w14:textId="77777777" w:rsidR="00D778AE" w:rsidRDefault="00D778AE" w:rsidP="00D778AE"/>
    <w:p w14:paraId="3842DAA7" w14:textId="77777777" w:rsidR="00D778AE" w:rsidRDefault="00D778AE" w:rsidP="00D778AE">
      <w:pPr>
        <w:jc w:val="center"/>
      </w:pPr>
      <w:r>
        <w:rPr>
          <w:noProof/>
        </w:rPr>
        <w:drawing>
          <wp:inline distT="114300" distB="114300" distL="114300" distR="114300" wp14:anchorId="4C396DA0" wp14:editId="522F79C7">
            <wp:extent cx="4038600" cy="3962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rcRect t="18750"/>
                    <a:stretch>
                      <a:fillRect/>
                    </a:stretch>
                  </pic:blipFill>
                  <pic:spPr>
                    <a:xfrm>
                      <a:off x="0" y="0"/>
                      <a:ext cx="4038600" cy="3962400"/>
                    </a:xfrm>
                    <a:prstGeom prst="rect">
                      <a:avLst/>
                    </a:prstGeom>
                  </pic:spPr>
                </pic:pic>
              </a:graphicData>
            </a:graphic>
          </wp:inline>
        </w:drawing>
      </w:r>
    </w:p>
    <w:p w14:paraId="77CB0CCF" w14:textId="77777777" w:rsidR="00D778AE" w:rsidRDefault="00D778AE" w:rsidP="00D778AE">
      <w:pPr>
        <w:jc w:val="center"/>
        <w:rPr>
          <w:b/>
          <w:bCs/>
        </w:rPr>
      </w:pPr>
      <w:r>
        <w:rPr>
          <w:b/>
          <w:bCs/>
        </w:rPr>
        <w:t xml:space="preserve">Fig1: Four Principles of Person-centred Care </w:t>
      </w:r>
    </w:p>
    <w:p w14:paraId="43B760BA" w14:textId="77777777" w:rsidR="00D778AE" w:rsidRDefault="00D778AE" w:rsidP="00D778AE">
      <w:pPr>
        <w:jc w:val="center"/>
        <w:rPr>
          <w:b/>
          <w:bCs/>
        </w:rPr>
      </w:pPr>
      <w:r>
        <w:rPr>
          <w:b/>
          <w:bCs/>
        </w:rPr>
        <w:t xml:space="preserve">Source: </w:t>
      </w:r>
      <w:r>
        <w:t>(SkillsForHealth, 2025)</w:t>
      </w:r>
    </w:p>
    <w:p w14:paraId="6D069F67" w14:textId="77777777" w:rsidR="00D778AE" w:rsidRDefault="00D778AE" w:rsidP="00D778AE">
      <w:r>
        <w:t xml:space="preserve">As visualised above (Fig1), those four key person-centred care principles are as follows: </w:t>
      </w:r>
    </w:p>
    <w:p w14:paraId="321E1879" w14:textId="77777777" w:rsidR="00D778AE" w:rsidRDefault="00D778AE" w:rsidP="00D778AE">
      <w:r>
        <w:t xml:space="preserve">1. Offering individuals an enhanced compassion, recognition and respect while accessing care-services (HealthFoundation, 2025). </w:t>
      </w:r>
    </w:p>
    <w:p w14:paraId="479D9CB8" w14:textId="77777777" w:rsidR="00D778AE" w:rsidRDefault="00D778AE" w:rsidP="00D778AE">
      <w:r>
        <w:t xml:space="preserve">2. Providing personalised care, diagnosis and support-services. </w:t>
      </w:r>
    </w:p>
    <w:p w14:paraId="0492129E" w14:textId="77777777" w:rsidR="00D778AE" w:rsidRDefault="00D778AE" w:rsidP="00D778AE">
      <w:r>
        <w:t xml:space="preserve">3. Delivering well-coordinated care, treatment or support-services (SkillsForHealth, 2025). </w:t>
      </w:r>
    </w:p>
    <w:p w14:paraId="72E0EDB8" w14:textId="77777777" w:rsidR="00D778AE" w:rsidRDefault="00D778AE" w:rsidP="00D778AE">
      <w:r>
        <w:t xml:space="preserve">4. Assisting individuals at well-interpreting and developing their personal strengths and competencies at sustaining their independent living-patterns. </w:t>
      </w:r>
    </w:p>
    <w:p w14:paraId="3A0CA022" w14:textId="77777777" w:rsidR="00D778AE" w:rsidRDefault="00D778AE" w:rsidP="00D778AE">
      <w:pPr>
        <w:rPr>
          <w:b/>
          <w:bCs/>
        </w:rPr>
      </w:pPr>
      <w:r>
        <w:rPr>
          <w:b/>
          <w:bCs/>
        </w:rPr>
        <w:t xml:space="preserve">Carl Rogers’ Humanistic Model of Person-centred Care Approaches </w:t>
      </w:r>
    </w:p>
    <w:p w14:paraId="11680E99" w14:textId="77777777" w:rsidR="00D778AE" w:rsidRDefault="00D778AE" w:rsidP="00D778AE">
      <w:r>
        <w:t xml:space="preserve">Predominantly, there are a wide number of well-structured and dynamic models around the construct of person-centred care. Among them, the most widely-recognised model indicating </w:t>
      </w:r>
      <w:r>
        <w:lastRenderedPageBreak/>
        <w:t xml:space="preserve">Person-centred Care-giving is Carl Rogers’ Humanistic theory, comprehensively emphasising how well empathy, recognition and patient-level autonomy can enhance quality into accessed care-service (NHS, 2025). </w:t>
      </w:r>
    </w:p>
    <w:p w14:paraId="6004B9AE" w14:textId="3C131FBE" w:rsidR="00D778AE" w:rsidRDefault="00D778AE" w:rsidP="00D778AE">
      <w:r>
        <w:t xml:space="preserve">A recent study from (BNS, 2025) has indicated how the three most essential components recognised by Rogers, namely, unconditional positive regard, genuine perceptions, and empathy, can lead towards effective therapeutic-transitions. The core idea of Carl Rogers was about Self-actualisation, where people increasingly get motivated through self-actualisation capacity, which means accomplishing the best-self at the highest-level of competency (McLeod, 2025). </w:t>
      </w:r>
    </w:p>
    <w:p w14:paraId="30542799" w14:textId="77777777" w:rsidR="00D778AE" w:rsidRDefault="00D778AE" w:rsidP="00D778AE">
      <w:r>
        <w:t xml:space="preserve">From a healthcare perspective, the three core conditions that have been recognised as resulting in positive healthcare outcomes are as follows: </w:t>
      </w:r>
    </w:p>
    <w:p w14:paraId="277FD4D4" w14:textId="49E477BD" w:rsidR="00D778AE" w:rsidRDefault="00D778AE" w:rsidP="00D778AE">
      <w:r>
        <w:rPr>
          <w:b/>
          <w:bCs/>
          <w:i/>
          <w:iCs/>
        </w:rPr>
        <w:t>An absolute positive-regard:</w:t>
      </w:r>
      <w:r>
        <w:t xml:space="preserve"> This points towards positively recognising and accepting the opinion of patients without judgement. For nurses and other healthcare-practitioners, such absolute positive-regard shifts towards an equal valuing of each patient as a unique individual</w:t>
      </w:r>
      <w:r w:rsidR="005949E9">
        <w:t xml:space="preserve"> </w:t>
      </w:r>
      <w:r>
        <w:t xml:space="preserve">(McLeod, 2025). </w:t>
      </w:r>
    </w:p>
    <w:p w14:paraId="6E147DFD" w14:textId="77777777" w:rsidR="00D778AE" w:rsidRDefault="00D778AE" w:rsidP="00D778AE">
      <w:r>
        <w:rPr>
          <w:b/>
          <w:bCs/>
          <w:i/>
          <w:iCs/>
        </w:rPr>
        <w:t>Genuineness</w:t>
      </w:r>
      <w:r>
        <w:t xml:space="preserve">: Healthcare-professionals have to remain accurate in their interactions. By being genuine, it generally suggests that the care-practitioners remain honest and correct in making a coherent nurse-patient-centric care-relationship (McLeod, 2025). </w:t>
      </w:r>
    </w:p>
    <w:p w14:paraId="23323CDC" w14:textId="77777777" w:rsidR="00D778AE" w:rsidRDefault="00D778AE" w:rsidP="00D778AE">
      <w:r>
        <w:rPr>
          <w:b/>
          <w:bCs/>
          <w:i/>
          <w:iCs/>
        </w:rPr>
        <w:t>Empathy:</w:t>
      </w:r>
      <w:r>
        <w:t xml:space="preserve"> A well-defined level of empathy among practitioners helps them interpret the care perspective from the service-user or patient’s viewpoint (BNS, 2025). Thus, it includes beyond just apprehending sympathy towards patients; instead, it includes an effective comprehension of their senses and hopes as well. </w:t>
      </w:r>
      <w:r>
        <w:rPr>
          <w:sz w:val="24"/>
        </w:rPr>
        <w:t xml:space="preserve"> </w:t>
      </w:r>
      <w:r>
        <w:br w:type="page"/>
      </w:r>
    </w:p>
    <w:p w14:paraId="595597C4" w14:textId="77777777" w:rsidR="00D778AE" w:rsidRDefault="00D778AE" w:rsidP="00D778AE">
      <w:pPr>
        <w:pStyle w:val="Heading1"/>
      </w:pPr>
      <w:bookmarkStart w:id="6" w:name="_3ike2y5solqz" w:colFirst="0" w:colLast="0"/>
      <w:bookmarkStart w:id="7" w:name="_Toc223801079"/>
      <w:bookmarkEnd w:id="6"/>
      <w:r>
        <w:lastRenderedPageBreak/>
        <w:t>Examining the ethical fundamentals of health and social care</w:t>
      </w:r>
      <w:bookmarkEnd w:id="7"/>
      <w:r>
        <w:t xml:space="preserve"> </w:t>
      </w:r>
    </w:p>
    <w:p w14:paraId="43AC1DDC" w14:textId="77777777" w:rsidR="00D778AE" w:rsidRDefault="00D778AE" w:rsidP="00D778AE">
      <w:r>
        <w:t xml:space="preserve">Ethical principles within health and social care involve beneficence, autonomy, justice, and non-maleficence to direct care professional behaviours and ensure patient welfare (Rodger, 2022).   These principles ensure care is safe and ethical, allowing care staff to focus on confidentiality, dignity and protecting helpless people by providing effective care. For example, autonomy as an ethical principle within health and social care enables care professionals to respect a patient’s right to self-determination and allows them to make their own decisions. Beneficence, another ethical principles highlight the duty for care professionals to act ethically to foster the patient's well-being and give care that helps them to recover from their health condition quickly. Contrariwise, non-maleficence as an ethical principle outlined the obligation to “do no harm”. This requires care providers to avoid causing unnecessary injury and discomfort. </w:t>
      </w:r>
    </w:p>
    <w:p w14:paraId="3D024ABA" w14:textId="77777777" w:rsidR="00D778AE" w:rsidRDefault="00D778AE" w:rsidP="00D778AE">
      <w:r>
        <w:t xml:space="preserve">On the other hand, Justice ensures equality, fairness and equity in the distribution of treatment and resources regardless of individual background. Integration of social and health care ethics enhances care services by changing from a technical and curative approach to a holistic and person-centric approach (Maeckelberghe et al., 2023). This combination of ethics in health and social care ensures that care addresses not only physical health but also meets the social, emotional and psychological needs. This leads to higher patient satisfaction and better health outcomes. </w:t>
      </w:r>
    </w:p>
    <w:p w14:paraId="51504260" w14:textId="410621E3" w:rsidR="00D778AE" w:rsidRDefault="00D778AE" w:rsidP="00D778AE">
      <w:pPr>
        <w:pStyle w:val="Heading1"/>
      </w:pPr>
      <w:bookmarkStart w:id="8" w:name="_dt7pauf9z7wg" w:colFirst="0" w:colLast="0"/>
      <w:bookmarkEnd w:id="8"/>
      <w:r>
        <w:br w:type="page"/>
      </w:r>
      <w:bookmarkStart w:id="9" w:name="_wxw03fr56cm0" w:colFirst="0" w:colLast="0"/>
      <w:bookmarkStart w:id="10" w:name="_Toc223801080"/>
      <w:bookmarkEnd w:id="9"/>
      <w:r>
        <w:lastRenderedPageBreak/>
        <w:t>Discussing the effectiveness of partnership working in health and social care</w:t>
      </w:r>
      <w:bookmarkEnd w:id="10"/>
    </w:p>
    <w:p w14:paraId="0F0F4E05" w14:textId="54020DB0" w:rsidR="00D778AE" w:rsidRDefault="00D778AE" w:rsidP="00D778AE">
      <w:r>
        <w:t xml:space="preserve">Partnership working is a strategic cooperation between various organisations, user service and professionals who deliver person-centred and coordinated care in the health and social care setting (Ocloo et al., 2021). It involves patient and their personal goals in decision-making to confirm that care aligns with their personal needs and goals. Additionally, partnership brings various groups together to transfer knowledge and resources in the health and social care landscape to improve care delivery services. This care technique mixes effort and skill to give full person-focused care that holistically meets mental and physical needs, which are a crucial part of medical care. An integrated care system is one of the partnership working systems, bringing together local authorities, NHS companies and other health and care providers to co-create services and coordinate care delivery. Alternatively, a local authority and NHS partnership is another example of partnership working in the social and health care field. Several local authorities are partnering with the NHS to pool expertise and resources to increase the efficiency of care service delivery (Alderwick et al., 2024). This helps local authorities in the UK to ensure that resources are beneficial to the local communities, public and social health care service.  </w:t>
      </w:r>
    </w:p>
    <w:p w14:paraId="5930D3EE" w14:textId="77777777" w:rsidR="00D778AE" w:rsidRDefault="00D778AE" w:rsidP="00D778AE">
      <w:pPr>
        <w:pStyle w:val="Heading1"/>
      </w:pPr>
      <w:bookmarkStart w:id="11" w:name="_nillo6eugrow" w:colFirst="0" w:colLast="0"/>
      <w:bookmarkEnd w:id="11"/>
      <w:r>
        <w:br w:type="page"/>
      </w:r>
      <w:bookmarkStart w:id="12" w:name="_ctphbahq7e6d" w:colFirst="0" w:colLast="0"/>
      <w:bookmarkStart w:id="13" w:name="_Toc223801081"/>
      <w:bookmarkEnd w:id="12"/>
      <w:r>
        <w:lastRenderedPageBreak/>
        <w:t>Application of partnership working in a practical health and social care setting</w:t>
      </w:r>
      <w:bookmarkEnd w:id="13"/>
      <w:r>
        <w:t xml:space="preserve"> </w:t>
      </w:r>
    </w:p>
    <w:p w14:paraId="413F418E" w14:textId="77777777" w:rsidR="00D778AE" w:rsidRDefault="00D778AE" w:rsidP="00D778AE">
      <w:pPr>
        <w:rPr>
          <w:b/>
          <w:bCs/>
          <w:u w:val="single"/>
        </w:rPr>
      </w:pPr>
      <w:r>
        <w:rPr>
          <w:b/>
          <w:bCs/>
          <w:u w:val="single"/>
        </w:rPr>
        <w:t>Scenario: A social worker is working with a family where a child with a disability is not receiving proper support in their educational setting</w:t>
      </w:r>
    </w:p>
    <w:p w14:paraId="32C2B43C" w14:textId="77777777" w:rsidR="00D778AE" w:rsidRDefault="00D778AE" w:rsidP="00D778AE">
      <w:r>
        <w:t>Partnership working in health and social care involves the collaboration between professionals, organisations and individuals such as local authorities, social services and the NHS to provide seamless person-centred care (</w:t>
      </w:r>
      <w:r>
        <w:rPr>
          <w:highlight w:val="white"/>
        </w:rPr>
        <w:t>Morgan and Yaskey, 2025)</w:t>
      </w:r>
      <w:r>
        <w:t>. Collaboration levels are identified as a key aspect of the practical partnership working where the social care providers work with partners like families, colleagues and external organisations to provide efficient services. The importance of partnership working can be described by applying knowledge in a practical health care setting (</w:t>
      </w:r>
      <w:r>
        <w:rPr>
          <w:highlight w:val="white"/>
        </w:rPr>
        <w:t>O’Brien et al., 2021)</w:t>
      </w:r>
      <w:r>
        <w:t xml:space="preserve">. The scenario demonstrated a social worker working with a family where the child with a disability does not receive proper support in their education setting. Involving the patients and their families with a partnership working process, the social care provider incorporates individuals' decisions in care planning and establishes a shared decision-making process. The collaboration process also establishes mutual trust and acknowledges partners' thoughts in care decisions and ensures a smooth transition between services. </w:t>
      </w:r>
    </w:p>
    <w:p w14:paraId="72893EDB" w14:textId="4FC5029C" w:rsidR="00D778AE" w:rsidRDefault="00D778AE" w:rsidP="00D778AE">
      <w:r>
        <w:t xml:space="preserve">Establishing the concept of partnership working as social workers can facilitate multi-agency meetings around the child, involving parents, teachers and specialists. Partnering with individuals, the social workers produce an educational plan for the disabled child that can address their educational, social, and health needs collaboratively. Incorporating partnership working processes and involving the parents as partners in the decision-making process, the social care provider can better understand their child's needs and ensure support. The coordinated care planning process involving the parent, teachers and families helps the social care provider in understanding the needs of the disabled child and supports the family in accessing appropriate educational resources. Collaborating with the specialised teachers, the social care provider, and the parents of the disabled child, identified the root causes of the obstacles. The root causes can be related to the lack of specialised equipment, inadequate teacher training and can take initiatives for addressing the barriers.        </w:t>
      </w:r>
      <w:r>
        <w:br w:type="page"/>
      </w:r>
    </w:p>
    <w:p w14:paraId="163D4854" w14:textId="77777777" w:rsidR="00D778AE" w:rsidRDefault="00D778AE" w:rsidP="00D778AE">
      <w:pPr>
        <w:pStyle w:val="Heading1"/>
      </w:pPr>
      <w:bookmarkStart w:id="14" w:name="_enyqcjqhzpoe" w:colFirst="0" w:colLast="0"/>
      <w:bookmarkStart w:id="15" w:name="_Toc223801082"/>
      <w:bookmarkEnd w:id="14"/>
      <w:r>
        <w:lastRenderedPageBreak/>
        <w:t>Relevant Policy and Legislation Regarding PCC and PW</w:t>
      </w:r>
      <w:bookmarkEnd w:id="15"/>
      <w:r>
        <w:t xml:space="preserve"> </w:t>
      </w:r>
    </w:p>
    <w:p w14:paraId="480C803A" w14:textId="77777777" w:rsidR="00D778AE" w:rsidRDefault="00D778AE" w:rsidP="00D778AE">
      <w:pPr>
        <w:rPr>
          <w:b/>
          <w:bCs/>
        </w:rPr>
      </w:pPr>
      <w:r>
        <w:rPr>
          <w:b/>
          <w:bCs/>
        </w:rPr>
        <w:t xml:space="preserve">Policies Relevant to PCC and PW </w:t>
      </w:r>
    </w:p>
    <w:p w14:paraId="22A01660" w14:textId="2220ADAC" w:rsidR="00D778AE" w:rsidRDefault="00D778AE" w:rsidP="00D778AE">
      <w:r>
        <w:rPr>
          <w:b/>
          <w:bCs/>
          <w:i/>
          <w:iCs/>
        </w:rPr>
        <w:t>NHS England Statutory Guidance across “Working-in-Partnership”:</w:t>
      </w:r>
      <w:r>
        <w:t xml:space="preserve"> This revised policy-guideline has established some clear expectations and a definite aim at well-associating Integrated Care-Boards (ICBs), Foundation trusts and NHS trusts, while functioning with individuals and communities under a collaborative-atmosphere</w:t>
      </w:r>
      <w:r w:rsidR="005949E9">
        <w:t xml:space="preserve"> </w:t>
      </w:r>
      <w:r>
        <w:t xml:space="preserve">(NHS, 2023). </w:t>
      </w:r>
    </w:p>
    <w:p w14:paraId="72872A87" w14:textId="77777777" w:rsidR="00D778AE" w:rsidRDefault="00D778AE" w:rsidP="00D778AE">
      <w:r>
        <w:rPr>
          <w:noProof/>
        </w:rPr>
        <w:drawing>
          <wp:inline distT="114300" distB="114300" distL="114300" distR="114300" wp14:anchorId="025F9B4B" wp14:editId="28D5311D">
            <wp:extent cx="5731200" cy="3213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731200" cy="3213100"/>
                    </a:xfrm>
                    <a:prstGeom prst="rect">
                      <a:avLst/>
                    </a:prstGeom>
                  </pic:spPr>
                </pic:pic>
              </a:graphicData>
            </a:graphic>
          </wp:inline>
        </w:drawing>
      </w:r>
    </w:p>
    <w:p w14:paraId="46776C16" w14:textId="77777777" w:rsidR="00D778AE" w:rsidRDefault="00D778AE" w:rsidP="00D778AE">
      <w:pPr>
        <w:jc w:val="center"/>
        <w:rPr>
          <w:b/>
          <w:bCs/>
        </w:rPr>
      </w:pPr>
      <w:r>
        <w:rPr>
          <w:b/>
          <w:bCs/>
        </w:rPr>
        <w:t xml:space="preserve">Fig. 2: Status given to different regulatory bodies under the Guidance </w:t>
      </w:r>
    </w:p>
    <w:p w14:paraId="6E7A6952" w14:textId="77777777" w:rsidR="00D778AE" w:rsidRDefault="00D778AE" w:rsidP="00D778AE">
      <w:pPr>
        <w:jc w:val="center"/>
        <w:rPr>
          <w:b/>
          <w:bCs/>
        </w:rPr>
      </w:pPr>
      <w:r>
        <w:rPr>
          <w:b/>
          <w:bCs/>
        </w:rPr>
        <w:t xml:space="preserve">Source: </w:t>
      </w:r>
      <w:r>
        <w:t>(NHS, 2023)</w:t>
      </w:r>
    </w:p>
    <w:p w14:paraId="69276D1E" w14:textId="77777777" w:rsidR="00D778AE" w:rsidRDefault="00D778AE" w:rsidP="00D778AE">
      <w:r>
        <w:t xml:space="preserve">As visualised in the above image (Fig2), while the guidance is basically for different healthcare trusts and ICBs, it assists in developing a core vision of integrated care where different care organisations can work across a genuine partnership. </w:t>
      </w:r>
    </w:p>
    <w:p w14:paraId="2891FB54" w14:textId="77777777" w:rsidR="00D778AE" w:rsidRDefault="00D778AE" w:rsidP="00D778AE">
      <w:r>
        <w:rPr>
          <w:b/>
          <w:bCs/>
          <w:i/>
          <w:iCs/>
        </w:rPr>
        <w:t>Integrated Care-centric Guidance:</w:t>
      </w:r>
      <w:r>
        <w:t xml:space="preserve"> This has been suggested by the NHS, while formulating integrated care strategies, at well-facilitating personalised care services. Therein, as per the statutory policy-guideline, Integrated care practitioners have to well consider how they can deliver care by improving patients' quality of life outcomes and independent living across health and social-care systems (GOV.UK, 2024). Additionally, within such guidance, it has been well-anticipated how a definite level of support can improve service-level integrity. </w:t>
      </w:r>
    </w:p>
    <w:p w14:paraId="0363A0C8" w14:textId="77777777" w:rsidR="00D778AE" w:rsidRDefault="00D778AE" w:rsidP="00D778AE">
      <w:pPr>
        <w:rPr>
          <w:b/>
          <w:bCs/>
        </w:rPr>
      </w:pPr>
      <w:r>
        <w:rPr>
          <w:b/>
          <w:bCs/>
        </w:rPr>
        <w:t>Legislative Frameworks</w:t>
      </w:r>
    </w:p>
    <w:p w14:paraId="201BD547" w14:textId="77777777" w:rsidR="00D778AE" w:rsidRDefault="00D778AE" w:rsidP="00D778AE">
      <w:r>
        <w:rPr>
          <w:b/>
          <w:bCs/>
          <w:i/>
          <w:iCs/>
        </w:rPr>
        <w:t xml:space="preserve">Care Act 2014: </w:t>
      </w:r>
      <w:r>
        <w:t xml:space="preserve">This legislation is primarily formulated to promote healthcare workers’ welfare and facilitate person-centred care-planning. Thus, the act both influences the experiences of </w:t>
      </w:r>
      <w:r>
        <w:lastRenderedPageBreak/>
        <w:t xml:space="preserve">individuals accessing care and carers themselves. There are six core principles within the Care Act 2014 (Lee, 2025). Among them, primarily, there remains empowerment in ensuring that care-service has been implemented in the right way and protection to safeguard patients from any kind of neglect or risk. Furthermore, there are principles of Prevention, Partnership, Accountability and Proportionality, well-applicable at multi-agency-based professional-working. </w:t>
      </w:r>
    </w:p>
    <w:p w14:paraId="66D1B63E" w14:textId="77777777" w:rsidR="00D778AE" w:rsidRDefault="00D778AE" w:rsidP="00D778AE">
      <w:r>
        <w:rPr>
          <w:b/>
          <w:bCs/>
          <w:i/>
          <w:iCs/>
        </w:rPr>
        <w:t xml:space="preserve">Mental Capacity Act 2005: </w:t>
      </w:r>
      <w:r>
        <w:t xml:space="preserve">This law, applicable in England and Wales, suggests supporting individuals who lack the mental capacity to make decisions for themselves and formulate care solutions. Predominantly, the act promotes the prospect of inclusivity, while efficiently guiding care-workers in decision-making in consideration of all individuals, particularly those needing additional service-access.     </w:t>
      </w:r>
    </w:p>
    <w:p w14:paraId="740E4778" w14:textId="77777777" w:rsidR="00D778AE" w:rsidRDefault="00D778AE" w:rsidP="00D778AE">
      <w:pPr>
        <w:pStyle w:val="Heading1"/>
        <w:shd w:val="clear" w:color="auto" w:fill="FFFFFF"/>
      </w:pPr>
      <w:bookmarkStart w:id="16" w:name="_qa4837tp600z" w:colFirst="0" w:colLast="0"/>
      <w:bookmarkStart w:id="17" w:name="_e0h4uttbc13a" w:colFirst="0" w:colLast="0"/>
      <w:bookmarkStart w:id="18" w:name="_e8xoavf1xe80" w:colFirst="0" w:colLast="0"/>
      <w:bookmarkEnd w:id="16"/>
      <w:bookmarkEnd w:id="17"/>
      <w:bookmarkEnd w:id="18"/>
      <w:r>
        <w:br w:type="page"/>
      </w:r>
      <w:bookmarkStart w:id="19" w:name="_1s9ca8t6pcv5" w:colFirst="0" w:colLast="0"/>
      <w:bookmarkStart w:id="20" w:name="_Toc223801083"/>
      <w:bookmarkEnd w:id="19"/>
      <w:r>
        <w:lastRenderedPageBreak/>
        <w:t>Recommendations for future development of PCC and partnership working</w:t>
      </w:r>
      <w:bookmarkEnd w:id="20"/>
      <w:r>
        <w:t xml:space="preserve"> </w:t>
      </w:r>
    </w:p>
    <w:p w14:paraId="62D8CB11" w14:textId="15D53404" w:rsidR="00D778AE" w:rsidRDefault="00D778AE" w:rsidP="00D778AE">
      <w:pPr>
        <w:shd w:val="clear" w:color="auto" w:fill="FFFFFF"/>
      </w:pPr>
      <w:r>
        <w:t xml:space="preserve">The person-centred care and the partnership working policies of the UK aim to improve the outcomes of healthcare by treating individuals with dignity and respect (McCormack et al., 2021). However, limited patient involvement in the staff training significantly impacts the resource constraints. Shortages and staff's findings highlight the genuine partnership working, and the service provider faces struggles to manage the growing number of patients. Developing the future of the PCC and partnership working process, the social care providers can strengthen the partnership with cross-organisational collaboration and engage the community to address social determinants of health. The social care staff can develop the skills to facilitate shared decision-making and can create a holistic, tailored care plan by integrating the training in medical and nursing curricula involving patients. </w:t>
      </w:r>
    </w:p>
    <w:p w14:paraId="437DE4F2" w14:textId="77777777" w:rsidR="004A1AB1" w:rsidRDefault="004A1AB1">
      <w:pPr>
        <w:spacing w:line="480" w:lineRule="auto"/>
        <w:rPr>
          <w:b/>
          <w:bCs/>
          <w:sz w:val="28"/>
          <w:szCs w:val="28"/>
        </w:rPr>
      </w:pPr>
      <w:bookmarkStart w:id="21" w:name="_ectr3kaj2ite" w:colFirst="0" w:colLast="0"/>
      <w:bookmarkEnd w:id="21"/>
      <w:r>
        <w:br w:type="page"/>
      </w:r>
    </w:p>
    <w:p w14:paraId="31F32A69" w14:textId="2F3947A2" w:rsidR="00D778AE" w:rsidRDefault="00D778AE" w:rsidP="00D778AE">
      <w:pPr>
        <w:pStyle w:val="Heading1"/>
        <w:shd w:val="clear" w:color="auto" w:fill="FFFFFF"/>
      </w:pPr>
      <w:bookmarkStart w:id="22" w:name="_Toc223801084"/>
      <w:r>
        <w:lastRenderedPageBreak/>
        <w:t>Conclusion</w:t>
      </w:r>
      <w:bookmarkEnd w:id="22"/>
    </w:p>
    <w:p w14:paraId="79C9F135" w14:textId="77777777" w:rsidR="005949E9" w:rsidRDefault="00D778AE" w:rsidP="00D778AE">
      <w:r>
        <w:t xml:space="preserve">The topic of the health and social care principles regarding partnership working and person-centred care has been covered in this report. The definition of person-centred care has been illustrated as a widely evolving context that has been built based on the interests of individuals. Autonomy and improved patient care outcomes have been identified as benefits of patient-centred care within health care practices. </w:t>
      </w:r>
    </w:p>
    <w:p w14:paraId="58AED2D0" w14:textId="7EBB7D7C" w:rsidR="00D778AE" w:rsidRDefault="00D778AE" w:rsidP="00D778AE">
      <w:r>
        <w:t xml:space="preserve">Carl Rogers’ Humanistic Model of Person-centred Care has been applied to highlight practices of person-centred care more comprehensively. Autonomy, justice, beneficence and non-maleficence have been found as core ethical principles within the health and social care setting. Partnership working has been considered an essential practice within the health care setting as it ensures resources are effectively allocated. Care Act 2014 and Mental Capacity Act 2005 are the fundamental legislative frameworks of PCC and PW, which have been showcased. </w:t>
      </w:r>
    </w:p>
    <w:p w14:paraId="45DA5924" w14:textId="77777777" w:rsidR="00D778AE" w:rsidRDefault="00D778AE" w:rsidP="00D778AE">
      <w:r>
        <w:br w:type="page"/>
      </w:r>
    </w:p>
    <w:p w14:paraId="649AA347" w14:textId="77777777" w:rsidR="00D778AE" w:rsidRDefault="00D778AE" w:rsidP="00D778AE">
      <w:pPr>
        <w:pStyle w:val="Heading1"/>
      </w:pPr>
      <w:bookmarkStart w:id="23" w:name="_7dwuu792qbtb" w:colFirst="0" w:colLast="0"/>
      <w:bookmarkStart w:id="24" w:name="_Toc223801085"/>
      <w:bookmarkEnd w:id="23"/>
      <w:r>
        <w:lastRenderedPageBreak/>
        <w:t>References</w:t>
      </w:r>
      <w:bookmarkEnd w:id="24"/>
      <w:r>
        <w:t xml:space="preserve"> </w:t>
      </w:r>
    </w:p>
    <w:p w14:paraId="2C297016" w14:textId="77777777" w:rsidR="00B06D91" w:rsidRPr="00A92450" w:rsidRDefault="00B06D91" w:rsidP="00B06D91">
      <w:r w:rsidRPr="00A92450">
        <w:t xml:space="preserve">AJCM, (2025). </w:t>
      </w:r>
      <w:r w:rsidRPr="00B06D91">
        <w:rPr>
          <w:i/>
          <w:iCs/>
        </w:rPr>
        <w:t xml:space="preserve">What is Person Centred Care? Principles, Definitions &amp; Examples. </w:t>
      </w:r>
      <w:r w:rsidRPr="00A92450">
        <w:t xml:space="preserve">[Online] Available at: </w:t>
      </w:r>
      <w:hyperlink r:id="rId10">
        <w:r w:rsidRPr="00B06D91">
          <w:rPr>
            <w:color w:val="0000FF"/>
            <w:u w:val="single"/>
          </w:rPr>
          <w:t>https://ajcasemanagement.com/person-centred-care-principles-definitions-examples/</w:t>
        </w:r>
      </w:hyperlink>
      <w:r w:rsidRPr="00A92450">
        <w:t xml:space="preserve"> [Accessed 4 March 2026].</w:t>
      </w:r>
    </w:p>
    <w:p w14:paraId="4CBDD708" w14:textId="77777777" w:rsidR="00B06D91" w:rsidRPr="008D2638" w:rsidRDefault="00B06D91" w:rsidP="00B06D91">
      <w:r w:rsidRPr="008D2638">
        <w:t xml:space="preserve">Alderwick, H., Hutchings, A. and Mays, N., (2024). Cross-sector collaboration to reduce health inequalities: a qualitative study of local collaboration between health care, social services, and other sectors under health system reforms in England. </w:t>
      </w:r>
      <w:r w:rsidRPr="00B06D91">
        <w:rPr>
          <w:i/>
          <w:iCs/>
        </w:rPr>
        <w:t>BMC Public Health</w:t>
      </w:r>
      <w:r w:rsidRPr="008D2638">
        <w:t xml:space="preserve">, </w:t>
      </w:r>
      <w:r w:rsidRPr="00B06D91">
        <w:rPr>
          <w:i/>
          <w:iCs/>
        </w:rPr>
        <w:t>24</w:t>
      </w:r>
      <w:r w:rsidRPr="008D2638">
        <w:t>(1), p.2613.</w:t>
      </w:r>
    </w:p>
    <w:p w14:paraId="29EF1BFC" w14:textId="77777777" w:rsidR="00B06D91" w:rsidRPr="00A92450" w:rsidRDefault="00B06D91" w:rsidP="00B06D91">
      <w:r w:rsidRPr="00A92450">
        <w:t xml:space="preserve">Available at: </w:t>
      </w:r>
      <w:hyperlink r:id="rId11">
        <w:r w:rsidRPr="00B06D91">
          <w:rPr>
            <w:color w:val="0000FF"/>
            <w:u w:val="single"/>
          </w:rPr>
          <w:t>https://www.gov.uk/government/publications/guidance-on-the-preparation-of-integrated-care-strategies/guidance-on-the-preparation-of-integrated-care-strategies</w:t>
        </w:r>
      </w:hyperlink>
      <w:r w:rsidRPr="00A92450">
        <w:t xml:space="preserve"> [Accessed 6 March 2026].</w:t>
      </w:r>
    </w:p>
    <w:p w14:paraId="5511505D" w14:textId="77777777" w:rsidR="00B06D91" w:rsidRPr="00A92450" w:rsidRDefault="00B06D91" w:rsidP="00B06D91">
      <w:r w:rsidRPr="00A92450">
        <w:t xml:space="preserve">BNS, (2025). </w:t>
      </w:r>
      <w:r w:rsidRPr="00B06D91">
        <w:rPr>
          <w:i/>
          <w:iCs/>
        </w:rPr>
        <w:t xml:space="preserve">Humanistic Theories of Personality: Enhancing Patient Care in Nursing. </w:t>
      </w:r>
      <w:r w:rsidRPr="00A92450">
        <w:t xml:space="preserve">[Online] Available at: </w:t>
      </w:r>
      <w:hyperlink r:id="rId12">
        <w:r w:rsidRPr="00B06D91">
          <w:rPr>
            <w:color w:val="0000FF"/>
            <w:u w:val="single"/>
          </w:rPr>
          <w:t>https://bns.institute/behavioural-sciences/humanistic-theories-personality-nursing-care/</w:t>
        </w:r>
      </w:hyperlink>
      <w:r w:rsidRPr="00A92450">
        <w:t xml:space="preserve"> [Accessed 6 March 2026].</w:t>
      </w:r>
    </w:p>
    <w:p w14:paraId="1444D402" w14:textId="77777777" w:rsidR="00B06D91" w:rsidRPr="00A92450" w:rsidRDefault="00B06D91" w:rsidP="00B06D91">
      <w:r w:rsidRPr="00A92450">
        <w:t xml:space="preserve">GOV.UK, (2024). </w:t>
      </w:r>
      <w:r w:rsidRPr="00B06D91">
        <w:rPr>
          <w:i/>
          <w:iCs/>
        </w:rPr>
        <w:t xml:space="preserve">Guidance on the preparation of integrated care strategies. </w:t>
      </w:r>
      <w:r w:rsidRPr="00A92450">
        <w:t xml:space="preserve">[Online] </w:t>
      </w:r>
    </w:p>
    <w:p w14:paraId="2F860A7F" w14:textId="77777777" w:rsidR="00B06D91" w:rsidRPr="00A92450" w:rsidRDefault="00B06D91" w:rsidP="00B06D91">
      <w:r w:rsidRPr="00A92450">
        <w:t xml:space="preserve">GOV.UK, (2025). </w:t>
      </w:r>
      <w:r w:rsidRPr="00B06D91">
        <w:rPr>
          <w:i/>
          <w:iCs/>
        </w:rPr>
        <w:t xml:space="preserve">State of health and adult social care in England: 2024 to 2025. </w:t>
      </w:r>
      <w:r w:rsidRPr="00A92450">
        <w:t xml:space="preserve">[Online] Available at: </w:t>
      </w:r>
      <w:r w:rsidRPr="00B06D91">
        <w:rPr>
          <w:u w:val="single"/>
        </w:rPr>
        <w:t xml:space="preserve">https://www.gov.uk/government/publications/state-of-health-and-adult-social-care-in-england-2024-to-2025State of health and adult social care in England: 2024 to 2025 </w:t>
      </w:r>
      <w:r w:rsidRPr="00A92450">
        <w:t>[Accessed 4 March 2026]</w:t>
      </w:r>
    </w:p>
    <w:p w14:paraId="444D85B3" w14:textId="77777777" w:rsidR="00B06D91" w:rsidRPr="00A92450" w:rsidRDefault="00B06D91" w:rsidP="00B06D91">
      <w:r w:rsidRPr="00A92450">
        <w:t xml:space="preserve">Harding, E., (2025). </w:t>
      </w:r>
      <w:r w:rsidRPr="00B06D91">
        <w:rPr>
          <w:i/>
          <w:iCs/>
        </w:rPr>
        <w:t xml:space="preserve">What is person-centred care – and how can we make it a reality?. </w:t>
      </w:r>
      <w:r w:rsidRPr="00A92450">
        <w:t xml:space="preserve">[Online] Available at: </w:t>
      </w:r>
      <w:hyperlink r:id="rId13">
        <w:r w:rsidRPr="00B06D91">
          <w:rPr>
            <w:color w:val="0000FF"/>
            <w:u w:val="single"/>
          </w:rPr>
          <w:t>https://www.healthpolicypartnership.com/what-is-person-centred-care-and-how-can-we-make-it-a-reality/</w:t>
        </w:r>
      </w:hyperlink>
      <w:r w:rsidRPr="00A92450">
        <w:t xml:space="preserve"> [Accessed 5 March 2026].</w:t>
      </w:r>
    </w:p>
    <w:p w14:paraId="6D0EFC84" w14:textId="77777777" w:rsidR="00B06D91" w:rsidRPr="00A92450" w:rsidRDefault="00B06D91" w:rsidP="00B06D91">
      <w:r w:rsidRPr="00A92450">
        <w:t xml:space="preserve">HealthFoundation, (2025). </w:t>
      </w:r>
      <w:r w:rsidRPr="00B06D91">
        <w:rPr>
          <w:i/>
          <w:iCs/>
        </w:rPr>
        <w:t xml:space="preserve">Person-centred care made simple. </w:t>
      </w:r>
      <w:r w:rsidRPr="00A92450">
        <w:t xml:space="preserve">[Online] Available at: </w:t>
      </w:r>
      <w:hyperlink r:id="rId14">
        <w:r w:rsidRPr="00B06D91">
          <w:rPr>
            <w:color w:val="0000FF"/>
            <w:u w:val="single"/>
          </w:rPr>
          <w:t>https://www.health.org.uk/sites/default/files/PersonCentredCareMadeSimple.pdf</w:t>
        </w:r>
      </w:hyperlink>
      <w:r w:rsidRPr="00A92450">
        <w:t xml:space="preserve"> [Accessed 5 March 2026].</w:t>
      </w:r>
    </w:p>
    <w:p w14:paraId="72FA41A5" w14:textId="77777777" w:rsidR="00B06D91" w:rsidRPr="00A92450" w:rsidRDefault="00B06D91" w:rsidP="00B06D91">
      <w:r w:rsidRPr="00A92450">
        <w:t xml:space="preserve">Lee, E., (2025). </w:t>
      </w:r>
      <w:r w:rsidRPr="00B06D91">
        <w:rPr>
          <w:i/>
          <w:iCs/>
        </w:rPr>
        <w:t xml:space="preserve">Care Act 2014 Principles. </w:t>
      </w:r>
      <w:r w:rsidRPr="00A92450">
        <w:t xml:space="preserve">[Online]  Available at: </w:t>
      </w:r>
      <w:hyperlink r:id="rId15">
        <w:r w:rsidRPr="00B06D91">
          <w:rPr>
            <w:color w:val="0000FF"/>
            <w:u w:val="single"/>
          </w:rPr>
          <w:t>https://cpdonline.co.uk/knowledge-base/care/care-act-2014-principles/</w:t>
        </w:r>
      </w:hyperlink>
      <w:r w:rsidRPr="00A92450">
        <w:t xml:space="preserve"> [Accessed 6 March 2026].</w:t>
      </w:r>
    </w:p>
    <w:p w14:paraId="05B55427" w14:textId="77777777" w:rsidR="00B06D91" w:rsidRPr="008D2638" w:rsidRDefault="00B06D91" w:rsidP="00B06D91">
      <w:r w:rsidRPr="008D2638">
        <w:t xml:space="preserve">Maeckelberghe, E., Zdunek, K., Marceglia, S., Farsides, B. and Rigby, M., (2023). The ethical challenges of personalized digital health. </w:t>
      </w:r>
      <w:r w:rsidRPr="00B06D91">
        <w:rPr>
          <w:i/>
          <w:iCs/>
        </w:rPr>
        <w:t>Frontiers in medicine</w:t>
      </w:r>
      <w:r w:rsidRPr="008D2638">
        <w:t xml:space="preserve">, </w:t>
      </w:r>
      <w:r w:rsidRPr="00B06D91">
        <w:rPr>
          <w:i/>
          <w:iCs/>
        </w:rPr>
        <w:t>10</w:t>
      </w:r>
      <w:r w:rsidRPr="008D2638">
        <w:t>, p.1123863.</w:t>
      </w:r>
    </w:p>
    <w:p w14:paraId="1869FD5D" w14:textId="77777777" w:rsidR="00B06D91" w:rsidRPr="00B06D91" w:rsidRDefault="00B06D91" w:rsidP="00B06D91">
      <w:pPr>
        <w:shd w:val="clear" w:color="auto" w:fill="FFFFFF"/>
        <w:rPr>
          <w:b/>
          <w:bCs/>
          <w:color w:val="222222"/>
          <w:highlight w:val="white"/>
        </w:rPr>
      </w:pPr>
      <w:r w:rsidRPr="008D2638">
        <w:t xml:space="preserve">McCormack, B., McCance, T., Bulley, C., Brown, D., McMillan, A. and Martin, S. eds., (2021). </w:t>
      </w:r>
      <w:r w:rsidRPr="00B06D91">
        <w:rPr>
          <w:i/>
          <w:iCs/>
        </w:rPr>
        <w:t>Fundamentals of person-centred healthcare practice</w:t>
      </w:r>
      <w:r w:rsidRPr="008D2638">
        <w:t>. John Wiley &amp; Sons.</w:t>
      </w:r>
    </w:p>
    <w:p w14:paraId="35299E2B" w14:textId="77777777" w:rsidR="00B06D91" w:rsidRPr="00A92450" w:rsidRDefault="00B06D91" w:rsidP="00B06D91">
      <w:r w:rsidRPr="00A92450">
        <w:t xml:space="preserve">McLeod, S., (2025). </w:t>
      </w:r>
      <w:r w:rsidRPr="00B06D91">
        <w:rPr>
          <w:i/>
          <w:iCs/>
        </w:rPr>
        <w:t xml:space="preserve">Carl Rogers Humanistic Theory and Contribution to Psychology. </w:t>
      </w:r>
      <w:r w:rsidRPr="00A92450">
        <w:t xml:space="preserve">[Online] Available at: </w:t>
      </w:r>
      <w:hyperlink r:id="rId16">
        <w:r w:rsidRPr="00B06D91">
          <w:rPr>
            <w:color w:val="0000FF"/>
            <w:u w:val="single"/>
          </w:rPr>
          <w:t>https://www.simplypsychology.org/carl-rogers.html</w:t>
        </w:r>
      </w:hyperlink>
      <w:r w:rsidRPr="00B06D91">
        <w:rPr>
          <w:u w:val="single"/>
        </w:rPr>
        <w:t>?</w:t>
      </w:r>
      <w:r w:rsidRPr="00A92450">
        <w:t xml:space="preserve"> [Accessed 6 March 2026].</w:t>
      </w:r>
    </w:p>
    <w:p w14:paraId="18A5B91B" w14:textId="77777777" w:rsidR="00B06D91" w:rsidRPr="00A92450" w:rsidRDefault="00B06D91" w:rsidP="00B06D91">
      <w:r w:rsidRPr="00A92450">
        <w:lastRenderedPageBreak/>
        <w:t xml:space="preserve">NHS, (2023). </w:t>
      </w:r>
      <w:r w:rsidRPr="00B06D91">
        <w:rPr>
          <w:i/>
          <w:iCs/>
        </w:rPr>
        <w:t xml:space="preserve">Working in partnership with people and communities: statutory guidance. </w:t>
      </w:r>
      <w:r w:rsidRPr="00A92450">
        <w:t xml:space="preserve">[Online] Available at: </w:t>
      </w:r>
      <w:hyperlink r:id="rId17" w:anchor="introduction">
        <w:r w:rsidRPr="00B06D91">
          <w:rPr>
            <w:color w:val="0000FF"/>
            <w:u w:val="single"/>
          </w:rPr>
          <w:t>https://www.england.nhs.uk/long-read/working-in-partnership-with-people-and-communities-statutory-guidance/#introduction</w:t>
        </w:r>
      </w:hyperlink>
      <w:r w:rsidRPr="00A92450">
        <w:t xml:space="preserve"> [Accessed 6 March 2026].</w:t>
      </w:r>
    </w:p>
    <w:p w14:paraId="28BB0059" w14:textId="77777777" w:rsidR="00B06D91" w:rsidRPr="00A92450" w:rsidRDefault="00B06D91" w:rsidP="00B06D91">
      <w:r w:rsidRPr="00A92450">
        <w:t xml:space="preserve">NHS, (2025). </w:t>
      </w:r>
      <w:r w:rsidRPr="00B06D91">
        <w:rPr>
          <w:i/>
          <w:iCs/>
        </w:rPr>
        <w:t xml:space="preserve">Person-centred care. </w:t>
      </w:r>
      <w:r w:rsidRPr="00A92450">
        <w:t xml:space="preserve">[Online]  Available at: </w:t>
      </w:r>
      <w:hyperlink r:id="rId18">
        <w:r w:rsidRPr="00B06D91">
          <w:rPr>
            <w:color w:val="0000FF"/>
            <w:u w:val="single"/>
          </w:rPr>
          <w:t>https://www.hee.nhs.uk/our-work/person-centred-care</w:t>
        </w:r>
      </w:hyperlink>
      <w:r w:rsidRPr="00A92450">
        <w:t xml:space="preserve"> [Accessed 4 March 2026].</w:t>
      </w:r>
    </w:p>
    <w:p w14:paraId="2909315F" w14:textId="77777777" w:rsidR="00B06D91" w:rsidRPr="00A92450" w:rsidRDefault="00B06D91" w:rsidP="00B06D91">
      <w:r w:rsidRPr="00A92450">
        <w:t xml:space="preserve">NHS, (2025). </w:t>
      </w:r>
      <w:r w:rsidRPr="00B06D91">
        <w:rPr>
          <w:i/>
          <w:iCs/>
        </w:rPr>
        <w:t xml:space="preserve">What is personalised care?. </w:t>
      </w:r>
      <w:r w:rsidRPr="00A92450">
        <w:t xml:space="preserve">[Online] Available at: </w:t>
      </w:r>
      <w:hyperlink r:id="rId19">
        <w:r w:rsidRPr="00B06D91">
          <w:rPr>
            <w:color w:val="0000FF"/>
            <w:u w:val="single"/>
          </w:rPr>
          <w:t>https://www.england.nhs.uk/personalisedcare/what-is-personalised-care/</w:t>
        </w:r>
      </w:hyperlink>
      <w:r w:rsidRPr="00A92450">
        <w:t xml:space="preserve"> [Accessed 6 March 2026].</w:t>
      </w:r>
    </w:p>
    <w:p w14:paraId="60B7D796" w14:textId="77777777" w:rsidR="00B06D91" w:rsidRPr="008D2638" w:rsidRDefault="00B06D91" w:rsidP="00B06D91">
      <w:r w:rsidRPr="008D2638">
        <w:t xml:space="preserve">Ocloo, J., Garfield, S., Franklin, B.D. and Dawson, S., (2021). Exploring the theory, barriers and enablers for patient and public involvement across health, social care and patient safety: a systematic review of reviews. </w:t>
      </w:r>
      <w:r w:rsidRPr="00B06D91">
        <w:rPr>
          <w:i/>
          <w:iCs/>
        </w:rPr>
        <w:t>Health research policy and systems</w:t>
      </w:r>
      <w:r w:rsidRPr="008D2638">
        <w:t xml:space="preserve">, </w:t>
      </w:r>
      <w:r w:rsidRPr="00B06D91">
        <w:rPr>
          <w:i/>
          <w:iCs/>
        </w:rPr>
        <w:t>19</w:t>
      </w:r>
      <w:r w:rsidRPr="008D2638">
        <w:t xml:space="preserve">(1), p.8. </w:t>
      </w:r>
    </w:p>
    <w:p w14:paraId="07D679AD" w14:textId="77777777" w:rsidR="00B06D91" w:rsidRPr="008D2638" w:rsidRDefault="00B06D91" w:rsidP="00B06D91">
      <w:r w:rsidRPr="008D2638">
        <w:t xml:space="preserve">Rodger, D., (2022). Ethics and Professional Practice. </w:t>
      </w:r>
      <w:r w:rsidRPr="00B06D91">
        <w:rPr>
          <w:i/>
          <w:iCs/>
        </w:rPr>
        <w:t>Preparing for Professional Practice in Health and Social Care 2e</w:t>
      </w:r>
      <w:r w:rsidRPr="008D2638">
        <w:t>, pp.37-70.</w:t>
      </w:r>
    </w:p>
    <w:p w14:paraId="4A068FB4" w14:textId="77777777" w:rsidR="00B06D91" w:rsidRPr="00A92450" w:rsidRDefault="00B06D91" w:rsidP="00B06D91">
      <w:r w:rsidRPr="00A92450">
        <w:t xml:space="preserve">Scarlett, A., (2026). </w:t>
      </w:r>
      <w:r w:rsidRPr="00B06D91">
        <w:rPr>
          <w:i/>
          <w:iCs/>
        </w:rPr>
        <w:t xml:space="preserve">What Is Partnership Working In Health And Social Care?. </w:t>
      </w:r>
      <w:r w:rsidRPr="00A92450">
        <w:t xml:space="preserve">[Online] Available at: </w:t>
      </w:r>
      <w:hyperlink r:id="rId20">
        <w:r w:rsidRPr="00B06D91">
          <w:rPr>
            <w:color w:val="0000FF"/>
            <w:u w:val="single"/>
          </w:rPr>
          <w:t>https://royalopencollege.org/blog/health-and-social-care/what-is-partnership-working-in-health-and-social-care/</w:t>
        </w:r>
      </w:hyperlink>
      <w:r w:rsidRPr="00A92450">
        <w:t xml:space="preserve"> [Accessed 4 March 2026].</w:t>
      </w:r>
    </w:p>
    <w:p w14:paraId="78C3CC85" w14:textId="77777777" w:rsidR="00B06D91" w:rsidRPr="008D2638" w:rsidRDefault="00B06D91" w:rsidP="00B06D91">
      <w:r w:rsidRPr="00A92450">
        <w:t xml:space="preserve">SkillsForHealth, (2025). </w:t>
      </w:r>
      <w:r w:rsidRPr="00B06D91">
        <w:rPr>
          <w:i/>
          <w:iCs/>
        </w:rPr>
        <w:t xml:space="preserve">Person-Centred Care: What it means and why it matters. </w:t>
      </w:r>
      <w:r w:rsidRPr="00A92450">
        <w:t xml:space="preserve">[Online] Available at: </w:t>
      </w:r>
      <w:hyperlink r:id="rId21">
        <w:r w:rsidRPr="00B06D91">
          <w:rPr>
            <w:color w:val="0000FF"/>
            <w:u w:val="single"/>
          </w:rPr>
          <w:t>https://www.skillsforhealth.org.uk/article/person-centred-care-meaning-implications/</w:t>
        </w:r>
      </w:hyperlink>
      <w:r w:rsidRPr="00A92450">
        <w:t xml:space="preserve"> [Accessed 4 March 2026].</w:t>
      </w:r>
    </w:p>
    <w:p w14:paraId="0000007B" w14:textId="77777777" w:rsidR="00DD523E" w:rsidRPr="00CD0100" w:rsidRDefault="00DD523E" w:rsidP="00D778AE">
      <w:pPr>
        <w:rPr>
          <w:lang w:val="en-GB"/>
        </w:rPr>
      </w:pPr>
    </w:p>
    <w:sectPr w:rsidR="00DD523E" w:rsidRPr="00CD0100" w:rsidSect="00FB1346">
      <w:headerReference w:type="default" r:id="rId22"/>
      <w:footerReference w:type="default" r:id="rId23"/>
      <w:headerReference w:type="first" r:id="rId24"/>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017617" w14:textId="77777777" w:rsidR="00E15608" w:rsidRDefault="00E15608" w:rsidP="00B53758">
      <w:pPr>
        <w:spacing w:line="240" w:lineRule="auto"/>
      </w:pPr>
      <w:r>
        <w:separator/>
      </w:r>
    </w:p>
  </w:endnote>
  <w:endnote w:type="continuationSeparator" w:id="0">
    <w:p w14:paraId="2382C6B7" w14:textId="77777777" w:rsidR="00E15608" w:rsidRDefault="00E15608" w:rsidP="00B537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1168033-E91F-46B0-871C-F69914E8E715}"/>
  </w:font>
  <w:font w:name="Cambria">
    <w:panose1 w:val="02040503050406030204"/>
    <w:charset w:val="00"/>
    <w:family w:val="roman"/>
    <w:pitch w:val="variable"/>
    <w:sig w:usb0="E00006FF" w:usb1="420024FF" w:usb2="02000000" w:usb3="00000000" w:csb0="0000019F" w:csb1="00000000"/>
    <w:embedRegular r:id="rId2" w:fontKey="{BC1892A0-B235-4075-83C2-E85AD2A5CA9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7865025"/>
      <w:docPartObj>
        <w:docPartGallery w:val="Page Numbers (Bottom of Page)"/>
        <w:docPartUnique/>
      </w:docPartObj>
    </w:sdtPr>
    <w:sdtContent>
      <w:sdt>
        <w:sdtPr>
          <w:id w:val="-1769616900"/>
          <w:docPartObj>
            <w:docPartGallery w:val="Page Numbers (Top of Page)"/>
            <w:docPartUnique/>
          </w:docPartObj>
        </w:sdtPr>
        <w:sdtContent>
          <w:p w14:paraId="560DB3FB" w14:textId="25D2145A" w:rsidR="00D778AE" w:rsidRDefault="00D778AE">
            <w:pPr>
              <w:pStyle w:val="Footer"/>
              <w:jc w:val="right"/>
            </w:pPr>
            <w:r>
              <w:t xml:space="preserve">Page </w:t>
            </w:r>
            <w:r>
              <w:rPr>
                <w:b/>
                <w:bCs/>
                <w:sz w:val="24"/>
              </w:rPr>
              <w:fldChar w:fldCharType="begin"/>
            </w:r>
            <w:r>
              <w:rPr>
                <w:b/>
                <w:bCs/>
              </w:rPr>
              <w:instrText xml:space="preserve"> PAGE </w:instrText>
            </w:r>
            <w:r>
              <w:rPr>
                <w:b/>
                <w:bCs/>
                <w:sz w:val="24"/>
              </w:rPr>
              <w:fldChar w:fldCharType="separate"/>
            </w:r>
            <w:r>
              <w:rPr>
                <w:b/>
                <w:bCs/>
                <w:noProof/>
              </w:rPr>
              <w:t>2</w:t>
            </w:r>
            <w:r>
              <w:rPr>
                <w:b/>
                <w:bCs/>
                <w:sz w:val="24"/>
              </w:rPr>
              <w:fldChar w:fldCharType="end"/>
            </w:r>
            <w:r>
              <w:t xml:space="preserve"> of </w:t>
            </w:r>
            <w:r>
              <w:rPr>
                <w:b/>
                <w:bCs/>
                <w:sz w:val="24"/>
              </w:rPr>
              <w:fldChar w:fldCharType="begin"/>
            </w:r>
            <w:r>
              <w:rPr>
                <w:b/>
                <w:bCs/>
              </w:rPr>
              <w:instrText xml:space="preserve"> NUMPAGES  </w:instrText>
            </w:r>
            <w:r>
              <w:rPr>
                <w:b/>
                <w:bCs/>
                <w:sz w:val="24"/>
              </w:rPr>
              <w:fldChar w:fldCharType="separate"/>
            </w:r>
            <w:r>
              <w:rPr>
                <w:b/>
                <w:bCs/>
                <w:noProof/>
              </w:rPr>
              <w:t>2</w:t>
            </w:r>
            <w:r>
              <w:rPr>
                <w:b/>
                <w:bCs/>
                <w:sz w:val="24"/>
              </w:rPr>
              <w:fldChar w:fldCharType="end"/>
            </w:r>
          </w:p>
        </w:sdtContent>
      </w:sdt>
    </w:sdtContent>
  </w:sdt>
  <w:p w14:paraId="549FE333" w14:textId="77777777" w:rsidR="00B53758" w:rsidRDefault="00B537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06F9D" w14:textId="77777777" w:rsidR="00E15608" w:rsidRDefault="00E15608" w:rsidP="00B53758">
      <w:pPr>
        <w:spacing w:line="240" w:lineRule="auto"/>
      </w:pPr>
      <w:r>
        <w:separator/>
      </w:r>
    </w:p>
  </w:footnote>
  <w:footnote w:type="continuationSeparator" w:id="0">
    <w:p w14:paraId="64871B4D" w14:textId="77777777" w:rsidR="00E15608" w:rsidRDefault="00E15608" w:rsidP="00B5375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732CC" w14:textId="4E57F101" w:rsidR="00B53758" w:rsidRPr="00D778AE" w:rsidRDefault="00D778AE" w:rsidP="00D778AE">
    <w:pPr>
      <w:pStyle w:val="Header"/>
      <w:jc w:val="right"/>
    </w:pPr>
    <w:r w:rsidRPr="00D778AE">
      <w:t>Principles of Health and Social Care Practice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16E1BE" w14:textId="032C852D" w:rsidR="00FB1346" w:rsidRDefault="00FB1346" w:rsidP="00FB1346">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72C59"/>
    <w:multiLevelType w:val="hybridMultilevel"/>
    <w:tmpl w:val="00000000"/>
    <w:lvl w:ilvl="0" w:tplc="0298DAE4">
      <w:start w:val="1"/>
      <w:numFmt w:val="bullet"/>
      <w:lvlText w:val="●"/>
      <w:lvlJc w:val="left"/>
      <w:pPr>
        <w:ind w:left="720" w:hanging="360"/>
      </w:pPr>
      <w:rPr>
        <w:u w:val="none"/>
      </w:rPr>
    </w:lvl>
    <w:lvl w:ilvl="1" w:tplc="E36EB69E">
      <w:start w:val="1"/>
      <w:numFmt w:val="bullet"/>
      <w:lvlText w:val="○"/>
      <w:lvlJc w:val="left"/>
      <w:pPr>
        <w:ind w:left="1440" w:hanging="360"/>
      </w:pPr>
      <w:rPr>
        <w:u w:val="none"/>
      </w:rPr>
    </w:lvl>
    <w:lvl w:ilvl="2" w:tplc="49D4B40A">
      <w:start w:val="1"/>
      <w:numFmt w:val="bullet"/>
      <w:lvlText w:val="■"/>
      <w:lvlJc w:val="left"/>
      <w:pPr>
        <w:ind w:left="2160" w:hanging="360"/>
      </w:pPr>
      <w:rPr>
        <w:u w:val="none"/>
      </w:rPr>
    </w:lvl>
    <w:lvl w:ilvl="3" w:tplc="9AA0653C">
      <w:start w:val="1"/>
      <w:numFmt w:val="bullet"/>
      <w:lvlText w:val="●"/>
      <w:lvlJc w:val="left"/>
      <w:pPr>
        <w:ind w:left="2880" w:hanging="360"/>
      </w:pPr>
      <w:rPr>
        <w:u w:val="none"/>
      </w:rPr>
    </w:lvl>
    <w:lvl w:ilvl="4" w:tplc="28C471A2">
      <w:start w:val="1"/>
      <w:numFmt w:val="bullet"/>
      <w:lvlText w:val="○"/>
      <w:lvlJc w:val="left"/>
      <w:pPr>
        <w:ind w:left="3600" w:hanging="360"/>
      </w:pPr>
      <w:rPr>
        <w:u w:val="none"/>
      </w:rPr>
    </w:lvl>
    <w:lvl w:ilvl="5" w:tplc="D63E952C">
      <w:start w:val="1"/>
      <w:numFmt w:val="bullet"/>
      <w:lvlText w:val="■"/>
      <w:lvlJc w:val="left"/>
      <w:pPr>
        <w:ind w:left="4320" w:hanging="360"/>
      </w:pPr>
      <w:rPr>
        <w:u w:val="none"/>
      </w:rPr>
    </w:lvl>
    <w:lvl w:ilvl="6" w:tplc="414C61DA">
      <w:start w:val="1"/>
      <w:numFmt w:val="bullet"/>
      <w:lvlText w:val="●"/>
      <w:lvlJc w:val="left"/>
      <w:pPr>
        <w:ind w:left="5040" w:hanging="360"/>
      </w:pPr>
      <w:rPr>
        <w:u w:val="none"/>
      </w:rPr>
    </w:lvl>
    <w:lvl w:ilvl="7" w:tplc="442A7D74">
      <w:start w:val="1"/>
      <w:numFmt w:val="bullet"/>
      <w:lvlText w:val="○"/>
      <w:lvlJc w:val="left"/>
      <w:pPr>
        <w:ind w:left="5760" w:hanging="360"/>
      </w:pPr>
      <w:rPr>
        <w:u w:val="none"/>
      </w:rPr>
    </w:lvl>
    <w:lvl w:ilvl="8" w:tplc="682CCAD4">
      <w:start w:val="1"/>
      <w:numFmt w:val="bullet"/>
      <w:lvlText w:val="■"/>
      <w:lvlJc w:val="left"/>
      <w:pPr>
        <w:ind w:left="6480" w:hanging="360"/>
      </w:pPr>
      <w:rPr>
        <w:u w:val="none"/>
      </w:rPr>
    </w:lvl>
  </w:abstractNum>
  <w:abstractNum w:abstractNumId="1" w15:restartNumberingAfterBreak="0">
    <w:nsid w:val="061173D1"/>
    <w:multiLevelType w:val="hybridMultilevel"/>
    <w:tmpl w:val="00000000"/>
    <w:lvl w:ilvl="0" w:tplc="05FAA62A">
      <w:start w:val="1"/>
      <w:numFmt w:val="bullet"/>
      <w:lvlText w:val="●"/>
      <w:lvlJc w:val="left"/>
      <w:pPr>
        <w:ind w:left="720" w:hanging="360"/>
      </w:pPr>
      <w:rPr>
        <w:u w:val="none"/>
      </w:rPr>
    </w:lvl>
    <w:lvl w:ilvl="1" w:tplc="3D507238">
      <w:start w:val="1"/>
      <w:numFmt w:val="bullet"/>
      <w:lvlText w:val="○"/>
      <w:lvlJc w:val="left"/>
      <w:pPr>
        <w:ind w:left="1440" w:hanging="360"/>
      </w:pPr>
      <w:rPr>
        <w:u w:val="none"/>
      </w:rPr>
    </w:lvl>
    <w:lvl w:ilvl="2" w:tplc="4B4ABE90">
      <w:start w:val="1"/>
      <w:numFmt w:val="bullet"/>
      <w:lvlText w:val="■"/>
      <w:lvlJc w:val="left"/>
      <w:pPr>
        <w:ind w:left="2160" w:hanging="360"/>
      </w:pPr>
      <w:rPr>
        <w:u w:val="none"/>
      </w:rPr>
    </w:lvl>
    <w:lvl w:ilvl="3" w:tplc="3BC69C22">
      <w:start w:val="1"/>
      <w:numFmt w:val="bullet"/>
      <w:lvlText w:val="●"/>
      <w:lvlJc w:val="left"/>
      <w:pPr>
        <w:ind w:left="2880" w:hanging="360"/>
      </w:pPr>
      <w:rPr>
        <w:u w:val="none"/>
      </w:rPr>
    </w:lvl>
    <w:lvl w:ilvl="4" w:tplc="5DDAF7AE">
      <w:start w:val="1"/>
      <w:numFmt w:val="bullet"/>
      <w:lvlText w:val="○"/>
      <w:lvlJc w:val="left"/>
      <w:pPr>
        <w:ind w:left="3600" w:hanging="360"/>
      </w:pPr>
      <w:rPr>
        <w:u w:val="none"/>
      </w:rPr>
    </w:lvl>
    <w:lvl w:ilvl="5" w:tplc="8D241B3C">
      <w:start w:val="1"/>
      <w:numFmt w:val="bullet"/>
      <w:lvlText w:val="■"/>
      <w:lvlJc w:val="left"/>
      <w:pPr>
        <w:ind w:left="4320" w:hanging="360"/>
      </w:pPr>
      <w:rPr>
        <w:u w:val="none"/>
      </w:rPr>
    </w:lvl>
    <w:lvl w:ilvl="6" w:tplc="24182AD4">
      <w:start w:val="1"/>
      <w:numFmt w:val="bullet"/>
      <w:lvlText w:val="●"/>
      <w:lvlJc w:val="left"/>
      <w:pPr>
        <w:ind w:left="5040" w:hanging="360"/>
      </w:pPr>
      <w:rPr>
        <w:u w:val="none"/>
      </w:rPr>
    </w:lvl>
    <w:lvl w:ilvl="7" w:tplc="7F62720E">
      <w:start w:val="1"/>
      <w:numFmt w:val="bullet"/>
      <w:lvlText w:val="○"/>
      <w:lvlJc w:val="left"/>
      <w:pPr>
        <w:ind w:left="5760" w:hanging="360"/>
      </w:pPr>
      <w:rPr>
        <w:u w:val="none"/>
      </w:rPr>
    </w:lvl>
    <w:lvl w:ilvl="8" w:tplc="F0D84FBA">
      <w:start w:val="1"/>
      <w:numFmt w:val="bullet"/>
      <w:lvlText w:val="■"/>
      <w:lvlJc w:val="left"/>
      <w:pPr>
        <w:ind w:left="6480" w:hanging="360"/>
      </w:pPr>
      <w:rPr>
        <w:u w:val="none"/>
      </w:rPr>
    </w:lvl>
  </w:abstractNum>
  <w:abstractNum w:abstractNumId="2" w15:restartNumberingAfterBreak="0">
    <w:nsid w:val="0841352D"/>
    <w:multiLevelType w:val="hybridMultilevel"/>
    <w:tmpl w:val="00000000"/>
    <w:lvl w:ilvl="0" w:tplc="217857EA">
      <w:start w:val="1"/>
      <w:numFmt w:val="bullet"/>
      <w:lvlText w:val="●"/>
      <w:lvlJc w:val="left"/>
      <w:pPr>
        <w:ind w:left="720" w:hanging="360"/>
      </w:pPr>
      <w:rPr>
        <w:u w:val="none"/>
      </w:rPr>
    </w:lvl>
    <w:lvl w:ilvl="1" w:tplc="2CC267A8">
      <w:start w:val="1"/>
      <w:numFmt w:val="bullet"/>
      <w:lvlText w:val="○"/>
      <w:lvlJc w:val="left"/>
      <w:pPr>
        <w:ind w:left="1440" w:hanging="360"/>
      </w:pPr>
      <w:rPr>
        <w:u w:val="none"/>
      </w:rPr>
    </w:lvl>
    <w:lvl w:ilvl="2" w:tplc="162044B8">
      <w:start w:val="1"/>
      <w:numFmt w:val="bullet"/>
      <w:lvlText w:val="■"/>
      <w:lvlJc w:val="left"/>
      <w:pPr>
        <w:ind w:left="2160" w:hanging="360"/>
      </w:pPr>
      <w:rPr>
        <w:u w:val="none"/>
      </w:rPr>
    </w:lvl>
    <w:lvl w:ilvl="3" w:tplc="B78C17BC">
      <w:start w:val="1"/>
      <w:numFmt w:val="bullet"/>
      <w:lvlText w:val="●"/>
      <w:lvlJc w:val="left"/>
      <w:pPr>
        <w:ind w:left="2880" w:hanging="360"/>
      </w:pPr>
      <w:rPr>
        <w:u w:val="none"/>
      </w:rPr>
    </w:lvl>
    <w:lvl w:ilvl="4" w:tplc="09EC1EBA">
      <w:start w:val="1"/>
      <w:numFmt w:val="bullet"/>
      <w:lvlText w:val="○"/>
      <w:lvlJc w:val="left"/>
      <w:pPr>
        <w:ind w:left="3600" w:hanging="360"/>
      </w:pPr>
      <w:rPr>
        <w:u w:val="none"/>
      </w:rPr>
    </w:lvl>
    <w:lvl w:ilvl="5" w:tplc="087255C2">
      <w:start w:val="1"/>
      <w:numFmt w:val="bullet"/>
      <w:lvlText w:val="■"/>
      <w:lvlJc w:val="left"/>
      <w:pPr>
        <w:ind w:left="4320" w:hanging="360"/>
      </w:pPr>
      <w:rPr>
        <w:u w:val="none"/>
      </w:rPr>
    </w:lvl>
    <w:lvl w:ilvl="6" w:tplc="6A082494">
      <w:start w:val="1"/>
      <w:numFmt w:val="bullet"/>
      <w:lvlText w:val="●"/>
      <w:lvlJc w:val="left"/>
      <w:pPr>
        <w:ind w:left="5040" w:hanging="360"/>
      </w:pPr>
      <w:rPr>
        <w:u w:val="none"/>
      </w:rPr>
    </w:lvl>
    <w:lvl w:ilvl="7" w:tplc="A66286B4">
      <w:start w:val="1"/>
      <w:numFmt w:val="bullet"/>
      <w:lvlText w:val="○"/>
      <w:lvlJc w:val="left"/>
      <w:pPr>
        <w:ind w:left="5760" w:hanging="360"/>
      </w:pPr>
      <w:rPr>
        <w:u w:val="none"/>
      </w:rPr>
    </w:lvl>
    <w:lvl w:ilvl="8" w:tplc="10DC2CAC">
      <w:start w:val="1"/>
      <w:numFmt w:val="bullet"/>
      <w:lvlText w:val="■"/>
      <w:lvlJc w:val="left"/>
      <w:pPr>
        <w:ind w:left="6480" w:hanging="360"/>
      </w:pPr>
      <w:rPr>
        <w:u w:val="none"/>
      </w:rPr>
    </w:lvl>
  </w:abstractNum>
  <w:abstractNum w:abstractNumId="3" w15:restartNumberingAfterBreak="0">
    <w:nsid w:val="084564B1"/>
    <w:multiLevelType w:val="hybridMultilevel"/>
    <w:tmpl w:val="6A049C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1751587"/>
    <w:multiLevelType w:val="hybridMultilevel"/>
    <w:tmpl w:val="00000000"/>
    <w:lvl w:ilvl="0" w:tplc="8E6AE856">
      <w:start w:val="1"/>
      <w:numFmt w:val="bullet"/>
      <w:lvlText w:val="●"/>
      <w:lvlJc w:val="left"/>
      <w:pPr>
        <w:ind w:left="720" w:hanging="360"/>
      </w:pPr>
      <w:rPr>
        <w:u w:val="none"/>
      </w:rPr>
    </w:lvl>
    <w:lvl w:ilvl="1" w:tplc="D2A49E82">
      <w:start w:val="1"/>
      <w:numFmt w:val="bullet"/>
      <w:lvlText w:val="○"/>
      <w:lvlJc w:val="left"/>
      <w:pPr>
        <w:ind w:left="1440" w:hanging="360"/>
      </w:pPr>
      <w:rPr>
        <w:u w:val="none"/>
      </w:rPr>
    </w:lvl>
    <w:lvl w:ilvl="2" w:tplc="7F5A291C">
      <w:start w:val="1"/>
      <w:numFmt w:val="bullet"/>
      <w:lvlText w:val="■"/>
      <w:lvlJc w:val="left"/>
      <w:pPr>
        <w:ind w:left="2160" w:hanging="360"/>
      </w:pPr>
      <w:rPr>
        <w:u w:val="none"/>
      </w:rPr>
    </w:lvl>
    <w:lvl w:ilvl="3" w:tplc="728E485A">
      <w:start w:val="1"/>
      <w:numFmt w:val="bullet"/>
      <w:lvlText w:val="●"/>
      <w:lvlJc w:val="left"/>
      <w:pPr>
        <w:ind w:left="2880" w:hanging="360"/>
      </w:pPr>
      <w:rPr>
        <w:u w:val="none"/>
      </w:rPr>
    </w:lvl>
    <w:lvl w:ilvl="4" w:tplc="303CB34C">
      <w:start w:val="1"/>
      <w:numFmt w:val="bullet"/>
      <w:lvlText w:val="○"/>
      <w:lvlJc w:val="left"/>
      <w:pPr>
        <w:ind w:left="3600" w:hanging="360"/>
      </w:pPr>
      <w:rPr>
        <w:u w:val="none"/>
      </w:rPr>
    </w:lvl>
    <w:lvl w:ilvl="5" w:tplc="1FCC49E6">
      <w:start w:val="1"/>
      <w:numFmt w:val="bullet"/>
      <w:lvlText w:val="■"/>
      <w:lvlJc w:val="left"/>
      <w:pPr>
        <w:ind w:left="4320" w:hanging="360"/>
      </w:pPr>
      <w:rPr>
        <w:u w:val="none"/>
      </w:rPr>
    </w:lvl>
    <w:lvl w:ilvl="6" w:tplc="841CB40A">
      <w:start w:val="1"/>
      <w:numFmt w:val="bullet"/>
      <w:lvlText w:val="●"/>
      <w:lvlJc w:val="left"/>
      <w:pPr>
        <w:ind w:left="5040" w:hanging="360"/>
      </w:pPr>
      <w:rPr>
        <w:u w:val="none"/>
      </w:rPr>
    </w:lvl>
    <w:lvl w:ilvl="7" w:tplc="560ED41A">
      <w:start w:val="1"/>
      <w:numFmt w:val="bullet"/>
      <w:lvlText w:val="○"/>
      <w:lvlJc w:val="left"/>
      <w:pPr>
        <w:ind w:left="5760" w:hanging="360"/>
      </w:pPr>
      <w:rPr>
        <w:u w:val="none"/>
      </w:rPr>
    </w:lvl>
    <w:lvl w:ilvl="8" w:tplc="A478136C">
      <w:start w:val="1"/>
      <w:numFmt w:val="bullet"/>
      <w:lvlText w:val="■"/>
      <w:lvlJc w:val="left"/>
      <w:pPr>
        <w:ind w:left="6480" w:hanging="360"/>
      </w:pPr>
      <w:rPr>
        <w:u w:val="none"/>
      </w:rPr>
    </w:lvl>
  </w:abstractNum>
  <w:abstractNum w:abstractNumId="5" w15:restartNumberingAfterBreak="0">
    <w:nsid w:val="2AB50673"/>
    <w:multiLevelType w:val="hybridMultilevel"/>
    <w:tmpl w:val="00000000"/>
    <w:lvl w:ilvl="0" w:tplc="0B90056C">
      <w:start w:val="1"/>
      <w:numFmt w:val="bullet"/>
      <w:lvlText w:val="●"/>
      <w:lvlJc w:val="left"/>
      <w:pPr>
        <w:ind w:left="720" w:hanging="360"/>
      </w:pPr>
      <w:rPr>
        <w:u w:val="none"/>
      </w:rPr>
    </w:lvl>
    <w:lvl w:ilvl="1" w:tplc="5D70F6D2">
      <w:start w:val="1"/>
      <w:numFmt w:val="bullet"/>
      <w:lvlText w:val="○"/>
      <w:lvlJc w:val="left"/>
      <w:pPr>
        <w:ind w:left="1440" w:hanging="360"/>
      </w:pPr>
      <w:rPr>
        <w:u w:val="none"/>
      </w:rPr>
    </w:lvl>
    <w:lvl w:ilvl="2" w:tplc="9842A3BC">
      <w:start w:val="1"/>
      <w:numFmt w:val="bullet"/>
      <w:lvlText w:val="■"/>
      <w:lvlJc w:val="left"/>
      <w:pPr>
        <w:ind w:left="2160" w:hanging="360"/>
      </w:pPr>
      <w:rPr>
        <w:u w:val="none"/>
      </w:rPr>
    </w:lvl>
    <w:lvl w:ilvl="3" w:tplc="0EEE25CE">
      <w:start w:val="1"/>
      <w:numFmt w:val="bullet"/>
      <w:lvlText w:val="●"/>
      <w:lvlJc w:val="left"/>
      <w:pPr>
        <w:ind w:left="2880" w:hanging="360"/>
      </w:pPr>
      <w:rPr>
        <w:u w:val="none"/>
      </w:rPr>
    </w:lvl>
    <w:lvl w:ilvl="4" w:tplc="D69A6474">
      <w:start w:val="1"/>
      <w:numFmt w:val="bullet"/>
      <w:lvlText w:val="○"/>
      <w:lvlJc w:val="left"/>
      <w:pPr>
        <w:ind w:left="3600" w:hanging="360"/>
      </w:pPr>
      <w:rPr>
        <w:u w:val="none"/>
      </w:rPr>
    </w:lvl>
    <w:lvl w:ilvl="5" w:tplc="265AA5DE">
      <w:start w:val="1"/>
      <w:numFmt w:val="bullet"/>
      <w:lvlText w:val="■"/>
      <w:lvlJc w:val="left"/>
      <w:pPr>
        <w:ind w:left="4320" w:hanging="360"/>
      </w:pPr>
      <w:rPr>
        <w:u w:val="none"/>
      </w:rPr>
    </w:lvl>
    <w:lvl w:ilvl="6" w:tplc="E4A0713A">
      <w:start w:val="1"/>
      <w:numFmt w:val="bullet"/>
      <w:lvlText w:val="●"/>
      <w:lvlJc w:val="left"/>
      <w:pPr>
        <w:ind w:left="5040" w:hanging="360"/>
      </w:pPr>
      <w:rPr>
        <w:u w:val="none"/>
      </w:rPr>
    </w:lvl>
    <w:lvl w:ilvl="7" w:tplc="45960086">
      <w:start w:val="1"/>
      <w:numFmt w:val="bullet"/>
      <w:lvlText w:val="○"/>
      <w:lvlJc w:val="left"/>
      <w:pPr>
        <w:ind w:left="5760" w:hanging="360"/>
      </w:pPr>
      <w:rPr>
        <w:u w:val="none"/>
      </w:rPr>
    </w:lvl>
    <w:lvl w:ilvl="8" w:tplc="78CE1174">
      <w:start w:val="1"/>
      <w:numFmt w:val="bullet"/>
      <w:lvlText w:val="■"/>
      <w:lvlJc w:val="left"/>
      <w:pPr>
        <w:ind w:left="6480" w:hanging="360"/>
      </w:pPr>
      <w:rPr>
        <w:u w:val="none"/>
      </w:rPr>
    </w:lvl>
  </w:abstractNum>
  <w:abstractNum w:abstractNumId="6" w15:restartNumberingAfterBreak="0">
    <w:nsid w:val="3940B244"/>
    <w:multiLevelType w:val="hybridMultilevel"/>
    <w:tmpl w:val="00000000"/>
    <w:lvl w:ilvl="0" w:tplc="3C96A74E">
      <w:start w:val="1"/>
      <w:numFmt w:val="bullet"/>
      <w:lvlText w:val="●"/>
      <w:lvlJc w:val="left"/>
      <w:pPr>
        <w:ind w:left="720" w:hanging="360"/>
      </w:pPr>
      <w:rPr>
        <w:u w:val="none"/>
      </w:rPr>
    </w:lvl>
    <w:lvl w:ilvl="1" w:tplc="F9C6CA0C">
      <w:start w:val="1"/>
      <w:numFmt w:val="bullet"/>
      <w:lvlText w:val="○"/>
      <w:lvlJc w:val="left"/>
      <w:pPr>
        <w:ind w:left="1440" w:hanging="360"/>
      </w:pPr>
      <w:rPr>
        <w:u w:val="none"/>
      </w:rPr>
    </w:lvl>
    <w:lvl w:ilvl="2" w:tplc="C30C4380">
      <w:start w:val="1"/>
      <w:numFmt w:val="bullet"/>
      <w:lvlText w:val="■"/>
      <w:lvlJc w:val="left"/>
      <w:pPr>
        <w:ind w:left="2160" w:hanging="360"/>
      </w:pPr>
      <w:rPr>
        <w:u w:val="none"/>
      </w:rPr>
    </w:lvl>
    <w:lvl w:ilvl="3" w:tplc="1026FD0E">
      <w:start w:val="1"/>
      <w:numFmt w:val="bullet"/>
      <w:lvlText w:val="●"/>
      <w:lvlJc w:val="left"/>
      <w:pPr>
        <w:ind w:left="2880" w:hanging="360"/>
      </w:pPr>
      <w:rPr>
        <w:u w:val="none"/>
      </w:rPr>
    </w:lvl>
    <w:lvl w:ilvl="4" w:tplc="B1DA786E">
      <w:start w:val="1"/>
      <w:numFmt w:val="bullet"/>
      <w:lvlText w:val="○"/>
      <w:lvlJc w:val="left"/>
      <w:pPr>
        <w:ind w:left="3600" w:hanging="360"/>
      </w:pPr>
      <w:rPr>
        <w:u w:val="none"/>
      </w:rPr>
    </w:lvl>
    <w:lvl w:ilvl="5" w:tplc="9856BB64">
      <w:start w:val="1"/>
      <w:numFmt w:val="bullet"/>
      <w:lvlText w:val="■"/>
      <w:lvlJc w:val="left"/>
      <w:pPr>
        <w:ind w:left="4320" w:hanging="360"/>
      </w:pPr>
      <w:rPr>
        <w:u w:val="none"/>
      </w:rPr>
    </w:lvl>
    <w:lvl w:ilvl="6" w:tplc="9C90E44C">
      <w:start w:val="1"/>
      <w:numFmt w:val="bullet"/>
      <w:lvlText w:val="●"/>
      <w:lvlJc w:val="left"/>
      <w:pPr>
        <w:ind w:left="5040" w:hanging="360"/>
      </w:pPr>
      <w:rPr>
        <w:u w:val="none"/>
      </w:rPr>
    </w:lvl>
    <w:lvl w:ilvl="7" w:tplc="E8BC2E70">
      <w:start w:val="1"/>
      <w:numFmt w:val="bullet"/>
      <w:lvlText w:val="○"/>
      <w:lvlJc w:val="left"/>
      <w:pPr>
        <w:ind w:left="5760" w:hanging="360"/>
      </w:pPr>
      <w:rPr>
        <w:u w:val="none"/>
      </w:rPr>
    </w:lvl>
    <w:lvl w:ilvl="8" w:tplc="0308977E">
      <w:start w:val="1"/>
      <w:numFmt w:val="bullet"/>
      <w:lvlText w:val="■"/>
      <w:lvlJc w:val="left"/>
      <w:pPr>
        <w:ind w:left="6480" w:hanging="360"/>
      </w:pPr>
      <w:rPr>
        <w:u w:val="none"/>
      </w:rPr>
    </w:lvl>
  </w:abstractNum>
  <w:abstractNum w:abstractNumId="7" w15:restartNumberingAfterBreak="0">
    <w:nsid w:val="3E8B6DAD"/>
    <w:multiLevelType w:val="hybridMultilevel"/>
    <w:tmpl w:val="00000000"/>
    <w:lvl w:ilvl="0" w:tplc="FAD0BBFA">
      <w:start w:val="1"/>
      <w:numFmt w:val="bullet"/>
      <w:lvlText w:val="●"/>
      <w:lvlJc w:val="left"/>
      <w:pPr>
        <w:ind w:left="720" w:hanging="360"/>
      </w:pPr>
      <w:rPr>
        <w:u w:val="none"/>
      </w:rPr>
    </w:lvl>
    <w:lvl w:ilvl="1" w:tplc="06AC679C">
      <w:start w:val="1"/>
      <w:numFmt w:val="bullet"/>
      <w:lvlText w:val="○"/>
      <w:lvlJc w:val="left"/>
      <w:pPr>
        <w:ind w:left="1440" w:hanging="360"/>
      </w:pPr>
      <w:rPr>
        <w:u w:val="none"/>
      </w:rPr>
    </w:lvl>
    <w:lvl w:ilvl="2" w:tplc="275EBBBA">
      <w:start w:val="1"/>
      <w:numFmt w:val="bullet"/>
      <w:lvlText w:val="■"/>
      <w:lvlJc w:val="left"/>
      <w:pPr>
        <w:ind w:left="2160" w:hanging="360"/>
      </w:pPr>
      <w:rPr>
        <w:u w:val="none"/>
      </w:rPr>
    </w:lvl>
    <w:lvl w:ilvl="3" w:tplc="7E1A3A52">
      <w:start w:val="1"/>
      <w:numFmt w:val="bullet"/>
      <w:lvlText w:val="●"/>
      <w:lvlJc w:val="left"/>
      <w:pPr>
        <w:ind w:left="2880" w:hanging="360"/>
      </w:pPr>
      <w:rPr>
        <w:u w:val="none"/>
      </w:rPr>
    </w:lvl>
    <w:lvl w:ilvl="4" w:tplc="EF8688EE">
      <w:start w:val="1"/>
      <w:numFmt w:val="bullet"/>
      <w:lvlText w:val="○"/>
      <w:lvlJc w:val="left"/>
      <w:pPr>
        <w:ind w:left="3600" w:hanging="360"/>
      </w:pPr>
      <w:rPr>
        <w:u w:val="none"/>
      </w:rPr>
    </w:lvl>
    <w:lvl w:ilvl="5" w:tplc="7A52FF66">
      <w:start w:val="1"/>
      <w:numFmt w:val="bullet"/>
      <w:lvlText w:val="■"/>
      <w:lvlJc w:val="left"/>
      <w:pPr>
        <w:ind w:left="4320" w:hanging="360"/>
      </w:pPr>
      <w:rPr>
        <w:u w:val="none"/>
      </w:rPr>
    </w:lvl>
    <w:lvl w:ilvl="6" w:tplc="A67A331A">
      <w:start w:val="1"/>
      <w:numFmt w:val="bullet"/>
      <w:lvlText w:val="●"/>
      <w:lvlJc w:val="left"/>
      <w:pPr>
        <w:ind w:left="5040" w:hanging="360"/>
      </w:pPr>
      <w:rPr>
        <w:u w:val="none"/>
      </w:rPr>
    </w:lvl>
    <w:lvl w:ilvl="7" w:tplc="E55478AC">
      <w:start w:val="1"/>
      <w:numFmt w:val="bullet"/>
      <w:lvlText w:val="○"/>
      <w:lvlJc w:val="left"/>
      <w:pPr>
        <w:ind w:left="5760" w:hanging="360"/>
      </w:pPr>
      <w:rPr>
        <w:u w:val="none"/>
      </w:rPr>
    </w:lvl>
    <w:lvl w:ilvl="8" w:tplc="DA86C0DE">
      <w:start w:val="1"/>
      <w:numFmt w:val="bullet"/>
      <w:lvlText w:val="■"/>
      <w:lvlJc w:val="left"/>
      <w:pPr>
        <w:ind w:left="6480" w:hanging="360"/>
      </w:pPr>
      <w:rPr>
        <w:u w:val="none"/>
      </w:rPr>
    </w:lvl>
  </w:abstractNum>
  <w:abstractNum w:abstractNumId="8" w15:restartNumberingAfterBreak="0">
    <w:nsid w:val="41BA4298"/>
    <w:multiLevelType w:val="hybridMultilevel"/>
    <w:tmpl w:val="00000000"/>
    <w:lvl w:ilvl="0" w:tplc="8396B75C">
      <w:start w:val="1"/>
      <w:numFmt w:val="bullet"/>
      <w:lvlText w:val="●"/>
      <w:lvlJc w:val="left"/>
      <w:pPr>
        <w:ind w:left="720" w:hanging="360"/>
      </w:pPr>
      <w:rPr>
        <w:u w:val="none"/>
      </w:rPr>
    </w:lvl>
    <w:lvl w:ilvl="1" w:tplc="D674C5EC">
      <w:start w:val="1"/>
      <w:numFmt w:val="bullet"/>
      <w:lvlText w:val="○"/>
      <w:lvlJc w:val="left"/>
      <w:pPr>
        <w:ind w:left="1440" w:hanging="360"/>
      </w:pPr>
      <w:rPr>
        <w:u w:val="none"/>
      </w:rPr>
    </w:lvl>
    <w:lvl w:ilvl="2" w:tplc="6CD801B0">
      <w:start w:val="1"/>
      <w:numFmt w:val="bullet"/>
      <w:lvlText w:val="■"/>
      <w:lvlJc w:val="left"/>
      <w:pPr>
        <w:ind w:left="2160" w:hanging="360"/>
      </w:pPr>
      <w:rPr>
        <w:u w:val="none"/>
      </w:rPr>
    </w:lvl>
    <w:lvl w:ilvl="3" w:tplc="06EAAB6E">
      <w:start w:val="1"/>
      <w:numFmt w:val="bullet"/>
      <w:lvlText w:val="●"/>
      <w:lvlJc w:val="left"/>
      <w:pPr>
        <w:ind w:left="2880" w:hanging="360"/>
      </w:pPr>
      <w:rPr>
        <w:u w:val="none"/>
      </w:rPr>
    </w:lvl>
    <w:lvl w:ilvl="4" w:tplc="40F8E6C2">
      <w:start w:val="1"/>
      <w:numFmt w:val="bullet"/>
      <w:lvlText w:val="○"/>
      <w:lvlJc w:val="left"/>
      <w:pPr>
        <w:ind w:left="3600" w:hanging="360"/>
      </w:pPr>
      <w:rPr>
        <w:u w:val="none"/>
      </w:rPr>
    </w:lvl>
    <w:lvl w:ilvl="5" w:tplc="5CF0E7F8">
      <w:start w:val="1"/>
      <w:numFmt w:val="bullet"/>
      <w:lvlText w:val="■"/>
      <w:lvlJc w:val="left"/>
      <w:pPr>
        <w:ind w:left="4320" w:hanging="360"/>
      </w:pPr>
      <w:rPr>
        <w:u w:val="none"/>
      </w:rPr>
    </w:lvl>
    <w:lvl w:ilvl="6" w:tplc="92369284">
      <w:start w:val="1"/>
      <w:numFmt w:val="bullet"/>
      <w:lvlText w:val="●"/>
      <w:lvlJc w:val="left"/>
      <w:pPr>
        <w:ind w:left="5040" w:hanging="360"/>
      </w:pPr>
      <w:rPr>
        <w:u w:val="none"/>
      </w:rPr>
    </w:lvl>
    <w:lvl w:ilvl="7" w:tplc="4A9E274A">
      <w:start w:val="1"/>
      <w:numFmt w:val="bullet"/>
      <w:lvlText w:val="○"/>
      <w:lvlJc w:val="left"/>
      <w:pPr>
        <w:ind w:left="5760" w:hanging="360"/>
      </w:pPr>
      <w:rPr>
        <w:u w:val="none"/>
      </w:rPr>
    </w:lvl>
    <w:lvl w:ilvl="8" w:tplc="A2C85E6C">
      <w:start w:val="1"/>
      <w:numFmt w:val="bullet"/>
      <w:lvlText w:val="■"/>
      <w:lvlJc w:val="left"/>
      <w:pPr>
        <w:ind w:left="6480" w:hanging="360"/>
      </w:pPr>
      <w:rPr>
        <w:u w:val="none"/>
      </w:rPr>
    </w:lvl>
  </w:abstractNum>
  <w:abstractNum w:abstractNumId="9" w15:restartNumberingAfterBreak="0">
    <w:nsid w:val="42AB46E5"/>
    <w:multiLevelType w:val="hybridMultilevel"/>
    <w:tmpl w:val="00000000"/>
    <w:lvl w:ilvl="0" w:tplc="4FA28518">
      <w:start w:val="1"/>
      <w:numFmt w:val="bullet"/>
      <w:lvlText w:val="●"/>
      <w:lvlJc w:val="left"/>
      <w:pPr>
        <w:ind w:left="720" w:hanging="360"/>
      </w:pPr>
      <w:rPr>
        <w:u w:val="none"/>
      </w:rPr>
    </w:lvl>
    <w:lvl w:ilvl="1" w:tplc="6F4AF0C6">
      <w:start w:val="1"/>
      <w:numFmt w:val="bullet"/>
      <w:lvlText w:val="○"/>
      <w:lvlJc w:val="left"/>
      <w:pPr>
        <w:ind w:left="1440" w:hanging="360"/>
      </w:pPr>
      <w:rPr>
        <w:u w:val="none"/>
      </w:rPr>
    </w:lvl>
    <w:lvl w:ilvl="2" w:tplc="6FB4C4B2">
      <w:start w:val="1"/>
      <w:numFmt w:val="bullet"/>
      <w:lvlText w:val="■"/>
      <w:lvlJc w:val="left"/>
      <w:pPr>
        <w:ind w:left="2160" w:hanging="360"/>
      </w:pPr>
      <w:rPr>
        <w:u w:val="none"/>
      </w:rPr>
    </w:lvl>
    <w:lvl w:ilvl="3" w:tplc="853CAE96">
      <w:start w:val="1"/>
      <w:numFmt w:val="bullet"/>
      <w:lvlText w:val="●"/>
      <w:lvlJc w:val="left"/>
      <w:pPr>
        <w:ind w:left="2880" w:hanging="360"/>
      </w:pPr>
      <w:rPr>
        <w:u w:val="none"/>
      </w:rPr>
    </w:lvl>
    <w:lvl w:ilvl="4" w:tplc="44AAA3F6">
      <w:start w:val="1"/>
      <w:numFmt w:val="bullet"/>
      <w:lvlText w:val="○"/>
      <w:lvlJc w:val="left"/>
      <w:pPr>
        <w:ind w:left="3600" w:hanging="360"/>
      </w:pPr>
      <w:rPr>
        <w:u w:val="none"/>
      </w:rPr>
    </w:lvl>
    <w:lvl w:ilvl="5" w:tplc="B0F8C472">
      <w:start w:val="1"/>
      <w:numFmt w:val="bullet"/>
      <w:lvlText w:val="■"/>
      <w:lvlJc w:val="left"/>
      <w:pPr>
        <w:ind w:left="4320" w:hanging="360"/>
      </w:pPr>
      <w:rPr>
        <w:u w:val="none"/>
      </w:rPr>
    </w:lvl>
    <w:lvl w:ilvl="6" w:tplc="F780ADC8">
      <w:start w:val="1"/>
      <w:numFmt w:val="bullet"/>
      <w:lvlText w:val="●"/>
      <w:lvlJc w:val="left"/>
      <w:pPr>
        <w:ind w:left="5040" w:hanging="360"/>
      </w:pPr>
      <w:rPr>
        <w:u w:val="none"/>
      </w:rPr>
    </w:lvl>
    <w:lvl w:ilvl="7" w:tplc="50E4C3B6">
      <w:start w:val="1"/>
      <w:numFmt w:val="bullet"/>
      <w:lvlText w:val="○"/>
      <w:lvlJc w:val="left"/>
      <w:pPr>
        <w:ind w:left="5760" w:hanging="360"/>
      </w:pPr>
      <w:rPr>
        <w:u w:val="none"/>
      </w:rPr>
    </w:lvl>
    <w:lvl w:ilvl="8" w:tplc="D646EF98">
      <w:start w:val="1"/>
      <w:numFmt w:val="bullet"/>
      <w:lvlText w:val="■"/>
      <w:lvlJc w:val="left"/>
      <w:pPr>
        <w:ind w:left="6480" w:hanging="360"/>
      </w:pPr>
      <w:rPr>
        <w:u w:val="none"/>
      </w:rPr>
    </w:lvl>
  </w:abstractNum>
  <w:abstractNum w:abstractNumId="10" w15:restartNumberingAfterBreak="0">
    <w:nsid w:val="4A700033"/>
    <w:multiLevelType w:val="hybridMultilevel"/>
    <w:tmpl w:val="AAEA56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57AA3A7B"/>
    <w:multiLevelType w:val="hybridMultilevel"/>
    <w:tmpl w:val="00000000"/>
    <w:lvl w:ilvl="0" w:tplc="37D080B4">
      <w:start w:val="1"/>
      <w:numFmt w:val="bullet"/>
      <w:lvlText w:val="●"/>
      <w:lvlJc w:val="left"/>
      <w:pPr>
        <w:ind w:left="720" w:hanging="360"/>
      </w:pPr>
      <w:rPr>
        <w:u w:val="none"/>
      </w:rPr>
    </w:lvl>
    <w:lvl w:ilvl="1" w:tplc="DD3CCEC8">
      <w:start w:val="1"/>
      <w:numFmt w:val="bullet"/>
      <w:lvlText w:val="○"/>
      <w:lvlJc w:val="left"/>
      <w:pPr>
        <w:ind w:left="1440" w:hanging="360"/>
      </w:pPr>
      <w:rPr>
        <w:u w:val="none"/>
      </w:rPr>
    </w:lvl>
    <w:lvl w:ilvl="2" w:tplc="604CAB58">
      <w:start w:val="1"/>
      <w:numFmt w:val="bullet"/>
      <w:lvlText w:val="■"/>
      <w:lvlJc w:val="left"/>
      <w:pPr>
        <w:ind w:left="2160" w:hanging="360"/>
      </w:pPr>
      <w:rPr>
        <w:u w:val="none"/>
      </w:rPr>
    </w:lvl>
    <w:lvl w:ilvl="3" w:tplc="BF4EB71A">
      <w:start w:val="1"/>
      <w:numFmt w:val="bullet"/>
      <w:lvlText w:val="●"/>
      <w:lvlJc w:val="left"/>
      <w:pPr>
        <w:ind w:left="2880" w:hanging="360"/>
      </w:pPr>
      <w:rPr>
        <w:u w:val="none"/>
      </w:rPr>
    </w:lvl>
    <w:lvl w:ilvl="4" w:tplc="E926E004">
      <w:start w:val="1"/>
      <w:numFmt w:val="bullet"/>
      <w:lvlText w:val="○"/>
      <w:lvlJc w:val="left"/>
      <w:pPr>
        <w:ind w:left="3600" w:hanging="360"/>
      </w:pPr>
      <w:rPr>
        <w:u w:val="none"/>
      </w:rPr>
    </w:lvl>
    <w:lvl w:ilvl="5" w:tplc="7FB47C6E">
      <w:start w:val="1"/>
      <w:numFmt w:val="bullet"/>
      <w:lvlText w:val="■"/>
      <w:lvlJc w:val="left"/>
      <w:pPr>
        <w:ind w:left="4320" w:hanging="360"/>
      </w:pPr>
      <w:rPr>
        <w:u w:val="none"/>
      </w:rPr>
    </w:lvl>
    <w:lvl w:ilvl="6" w:tplc="F28224A8">
      <w:start w:val="1"/>
      <w:numFmt w:val="bullet"/>
      <w:lvlText w:val="●"/>
      <w:lvlJc w:val="left"/>
      <w:pPr>
        <w:ind w:left="5040" w:hanging="360"/>
      </w:pPr>
      <w:rPr>
        <w:u w:val="none"/>
      </w:rPr>
    </w:lvl>
    <w:lvl w:ilvl="7" w:tplc="C7105B78">
      <w:start w:val="1"/>
      <w:numFmt w:val="bullet"/>
      <w:lvlText w:val="○"/>
      <w:lvlJc w:val="left"/>
      <w:pPr>
        <w:ind w:left="5760" w:hanging="360"/>
      </w:pPr>
      <w:rPr>
        <w:u w:val="none"/>
      </w:rPr>
    </w:lvl>
    <w:lvl w:ilvl="8" w:tplc="93C2FBEA">
      <w:start w:val="1"/>
      <w:numFmt w:val="bullet"/>
      <w:lvlText w:val="■"/>
      <w:lvlJc w:val="left"/>
      <w:pPr>
        <w:ind w:left="6480" w:hanging="360"/>
      </w:pPr>
      <w:rPr>
        <w:u w:val="none"/>
      </w:rPr>
    </w:lvl>
  </w:abstractNum>
  <w:abstractNum w:abstractNumId="12" w15:restartNumberingAfterBreak="0">
    <w:nsid w:val="6712ABA5"/>
    <w:multiLevelType w:val="hybridMultilevel"/>
    <w:tmpl w:val="00000000"/>
    <w:lvl w:ilvl="0" w:tplc="2B54AE9C">
      <w:start w:val="1"/>
      <w:numFmt w:val="bullet"/>
      <w:lvlText w:val="●"/>
      <w:lvlJc w:val="left"/>
      <w:pPr>
        <w:ind w:left="720" w:hanging="360"/>
      </w:pPr>
      <w:rPr>
        <w:u w:val="none"/>
      </w:rPr>
    </w:lvl>
    <w:lvl w:ilvl="1" w:tplc="1D5CB9A2">
      <w:start w:val="1"/>
      <w:numFmt w:val="bullet"/>
      <w:lvlText w:val="○"/>
      <w:lvlJc w:val="left"/>
      <w:pPr>
        <w:ind w:left="1440" w:hanging="360"/>
      </w:pPr>
      <w:rPr>
        <w:u w:val="none"/>
      </w:rPr>
    </w:lvl>
    <w:lvl w:ilvl="2" w:tplc="EAD234E0">
      <w:start w:val="1"/>
      <w:numFmt w:val="bullet"/>
      <w:lvlText w:val="■"/>
      <w:lvlJc w:val="left"/>
      <w:pPr>
        <w:ind w:left="2160" w:hanging="360"/>
      </w:pPr>
      <w:rPr>
        <w:u w:val="none"/>
      </w:rPr>
    </w:lvl>
    <w:lvl w:ilvl="3" w:tplc="E40EA2AA">
      <w:start w:val="1"/>
      <w:numFmt w:val="bullet"/>
      <w:lvlText w:val="●"/>
      <w:lvlJc w:val="left"/>
      <w:pPr>
        <w:ind w:left="2880" w:hanging="360"/>
      </w:pPr>
      <w:rPr>
        <w:u w:val="none"/>
      </w:rPr>
    </w:lvl>
    <w:lvl w:ilvl="4" w:tplc="F06E3796">
      <w:start w:val="1"/>
      <w:numFmt w:val="bullet"/>
      <w:lvlText w:val="○"/>
      <w:lvlJc w:val="left"/>
      <w:pPr>
        <w:ind w:left="3600" w:hanging="360"/>
      </w:pPr>
      <w:rPr>
        <w:u w:val="none"/>
      </w:rPr>
    </w:lvl>
    <w:lvl w:ilvl="5" w:tplc="FFB215AA">
      <w:start w:val="1"/>
      <w:numFmt w:val="bullet"/>
      <w:lvlText w:val="■"/>
      <w:lvlJc w:val="left"/>
      <w:pPr>
        <w:ind w:left="4320" w:hanging="360"/>
      </w:pPr>
      <w:rPr>
        <w:u w:val="none"/>
      </w:rPr>
    </w:lvl>
    <w:lvl w:ilvl="6" w:tplc="79FE717C">
      <w:start w:val="1"/>
      <w:numFmt w:val="bullet"/>
      <w:lvlText w:val="●"/>
      <w:lvlJc w:val="left"/>
      <w:pPr>
        <w:ind w:left="5040" w:hanging="360"/>
      </w:pPr>
      <w:rPr>
        <w:u w:val="none"/>
      </w:rPr>
    </w:lvl>
    <w:lvl w:ilvl="7" w:tplc="2730A320">
      <w:start w:val="1"/>
      <w:numFmt w:val="bullet"/>
      <w:lvlText w:val="○"/>
      <w:lvlJc w:val="left"/>
      <w:pPr>
        <w:ind w:left="5760" w:hanging="360"/>
      </w:pPr>
      <w:rPr>
        <w:u w:val="none"/>
      </w:rPr>
    </w:lvl>
    <w:lvl w:ilvl="8" w:tplc="8CBC7C88">
      <w:start w:val="1"/>
      <w:numFmt w:val="bullet"/>
      <w:lvlText w:val="■"/>
      <w:lvlJc w:val="left"/>
      <w:pPr>
        <w:ind w:left="6480" w:hanging="360"/>
      </w:pPr>
      <w:rPr>
        <w:u w:val="none"/>
      </w:rPr>
    </w:lvl>
  </w:abstractNum>
  <w:abstractNum w:abstractNumId="13" w15:restartNumberingAfterBreak="0">
    <w:nsid w:val="6BFE376B"/>
    <w:multiLevelType w:val="hybridMultilevel"/>
    <w:tmpl w:val="611A8C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38814817">
    <w:abstractNumId w:val="4"/>
  </w:num>
  <w:num w:numId="2" w16cid:durableId="2004505592">
    <w:abstractNumId w:val="5"/>
  </w:num>
  <w:num w:numId="3" w16cid:durableId="801995314">
    <w:abstractNumId w:val="2"/>
  </w:num>
  <w:num w:numId="4" w16cid:durableId="662664056">
    <w:abstractNumId w:val="9"/>
  </w:num>
  <w:num w:numId="5" w16cid:durableId="135075405">
    <w:abstractNumId w:val="12"/>
  </w:num>
  <w:num w:numId="6" w16cid:durableId="389691915">
    <w:abstractNumId w:val="0"/>
  </w:num>
  <w:num w:numId="7" w16cid:durableId="1717656758">
    <w:abstractNumId w:val="11"/>
  </w:num>
  <w:num w:numId="8" w16cid:durableId="1121146577">
    <w:abstractNumId w:val="8"/>
  </w:num>
  <w:num w:numId="9" w16cid:durableId="1506440172">
    <w:abstractNumId w:val="7"/>
  </w:num>
  <w:num w:numId="10" w16cid:durableId="1638993328">
    <w:abstractNumId w:val="6"/>
  </w:num>
  <w:num w:numId="11" w16cid:durableId="1098020353">
    <w:abstractNumId w:val="1"/>
  </w:num>
  <w:num w:numId="12" w16cid:durableId="640425331">
    <w:abstractNumId w:val="13"/>
  </w:num>
  <w:num w:numId="13" w16cid:durableId="950432825">
    <w:abstractNumId w:val="3"/>
  </w:num>
  <w:num w:numId="14" w16cid:durableId="89686166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523E"/>
    <w:rsid w:val="001D140E"/>
    <w:rsid w:val="0023601A"/>
    <w:rsid w:val="00370D1E"/>
    <w:rsid w:val="00386FEF"/>
    <w:rsid w:val="00412C3E"/>
    <w:rsid w:val="0043673E"/>
    <w:rsid w:val="00461661"/>
    <w:rsid w:val="004A1AB1"/>
    <w:rsid w:val="004D6E4D"/>
    <w:rsid w:val="00563441"/>
    <w:rsid w:val="005949E9"/>
    <w:rsid w:val="005F53F8"/>
    <w:rsid w:val="00602110"/>
    <w:rsid w:val="00660C19"/>
    <w:rsid w:val="006712BB"/>
    <w:rsid w:val="007C36BF"/>
    <w:rsid w:val="00862D0E"/>
    <w:rsid w:val="008B25BC"/>
    <w:rsid w:val="00A33FD9"/>
    <w:rsid w:val="00A4643E"/>
    <w:rsid w:val="00AF5DF9"/>
    <w:rsid w:val="00B06D91"/>
    <w:rsid w:val="00B53758"/>
    <w:rsid w:val="00BA2018"/>
    <w:rsid w:val="00CD0100"/>
    <w:rsid w:val="00D778AE"/>
    <w:rsid w:val="00DB7484"/>
    <w:rsid w:val="00DD26E0"/>
    <w:rsid w:val="00DD523E"/>
    <w:rsid w:val="00E15608"/>
    <w:rsid w:val="00F06AFE"/>
    <w:rsid w:val="00FB1346"/>
    <w:rsid w:val="00FE090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3BE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A1AB1"/>
    <w:pPr>
      <w:spacing w:line="360" w:lineRule="auto"/>
    </w:pPr>
    <w:rPr>
      <w:rFonts w:ascii="Arial" w:hAnsi="Arial"/>
      <w:color w:val="000000" w:themeColor="text1"/>
      <w:sz w:val="22"/>
    </w:rPr>
  </w:style>
  <w:style w:type="paragraph" w:styleId="Heading1">
    <w:name w:val="heading 1"/>
    <w:basedOn w:val="Normal"/>
    <w:next w:val="Normal"/>
    <w:link w:val="Heading1Char"/>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i/>
      <w:iCs/>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Cs w:val="22"/>
    </w:rPr>
  </w:style>
  <w:style w:type="paragraph" w:styleId="Heading6">
    <w:name w:val="heading 6"/>
    <w:basedOn w:val="Normal"/>
    <w:next w:val="Normal"/>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eastAsia="Arial" w:cs="Arial"/>
      <w:color w:val="666666"/>
      <w:sz w:val="30"/>
      <w:szCs w:val="30"/>
    </w:rPr>
  </w:style>
  <w:style w:type="paragraph" w:styleId="Header">
    <w:name w:val="header"/>
    <w:basedOn w:val="Normal"/>
    <w:link w:val="HeaderChar"/>
    <w:uiPriority w:val="99"/>
    <w:unhideWhenUsed/>
    <w:rsid w:val="00B53758"/>
    <w:pPr>
      <w:tabs>
        <w:tab w:val="center" w:pos="4513"/>
        <w:tab w:val="right" w:pos="9026"/>
      </w:tabs>
      <w:spacing w:line="240" w:lineRule="auto"/>
    </w:pPr>
  </w:style>
  <w:style w:type="character" w:customStyle="1" w:styleId="HeaderChar">
    <w:name w:val="Header Char"/>
    <w:basedOn w:val="DefaultParagraphFont"/>
    <w:link w:val="Header"/>
    <w:uiPriority w:val="99"/>
    <w:rsid w:val="00B53758"/>
  </w:style>
  <w:style w:type="paragraph" w:styleId="Footer">
    <w:name w:val="footer"/>
    <w:basedOn w:val="Normal"/>
    <w:link w:val="FooterChar"/>
    <w:uiPriority w:val="99"/>
    <w:unhideWhenUsed/>
    <w:rsid w:val="00B53758"/>
    <w:pPr>
      <w:tabs>
        <w:tab w:val="center" w:pos="4513"/>
        <w:tab w:val="right" w:pos="9026"/>
      </w:tabs>
      <w:spacing w:line="240" w:lineRule="auto"/>
    </w:pPr>
  </w:style>
  <w:style w:type="character" w:customStyle="1" w:styleId="FooterChar">
    <w:name w:val="Footer Char"/>
    <w:basedOn w:val="DefaultParagraphFont"/>
    <w:link w:val="Footer"/>
    <w:uiPriority w:val="99"/>
    <w:rsid w:val="00B53758"/>
  </w:style>
  <w:style w:type="paragraph" w:styleId="TOCHeading">
    <w:name w:val="TOC Heading"/>
    <w:basedOn w:val="Heading1"/>
    <w:next w:val="Normal"/>
    <w:uiPriority w:val="39"/>
    <w:unhideWhenUsed/>
    <w:qFormat/>
    <w:rsid w:val="00B53758"/>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B53758"/>
    <w:pPr>
      <w:spacing w:after="100"/>
    </w:pPr>
  </w:style>
  <w:style w:type="character" w:styleId="Hyperlink">
    <w:name w:val="Hyperlink"/>
    <w:basedOn w:val="DefaultParagraphFont"/>
    <w:uiPriority w:val="99"/>
    <w:unhideWhenUsed/>
    <w:rsid w:val="00B53758"/>
    <w:rPr>
      <w:color w:val="0000FF" w:themeColor="hyperlink"/>
      <w:u w:val="single"/>
    </w:rPr>
  </w:style>
  <w:style w:type="paragraph" w:styleId="ListParagraph">
    <w:name w:val="List Paragraph"/>
    <w:basedOn w:val="Normal"/>
    <w:uiPriority w:val="34"/>
    <w:qFormat/>
    <w:rsid w:val="00B53758"/>
    <w:pPr>
      <w:ind w:left="720"/>
      <w:contextualSpacing/>
    </w:pPr>
  </w:style>
  <w:style w:type="character" w:customStyle="1" w:styleId="Heading1Char">
    <w:name w:val="Heading 1 Char"/>
    <w:basedOn w:val="DefaultParagraphFont"/>
    <w:link w:val="Heading1"/>
    <w:rsid w:val="00FB1346"/>
    <w:rPr>
      <w:b/>
      <w:bCs/>
      <w:sz w:val="28"/>
      <w:szCs w:val="28"/>
    </w:rPr>
  </w:style>
  <w:style w:type="table" w:customStyle="1" w:styleId="Table1">
    <w:name w:val="Table1"/>
    <w:basedOn w:val="TableNormal"/>
    <w:rsid w:val="00FB1346"/>
    <w:tblPr>
      <w:tblStyleRowBandSize w:val="1"/>
      <w:tblStyleColBandSize w:val="1"/>
      <w:tblInd w:w="0" w:type="nil"/>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althpolicypartnership.com/what-is-person-centred-care-and-how-can-we-make-it-a-reality/" TargetMode="External"/><Relationship Id="rId18" Type="http://schemas.openxmlformats.org/officeDocument/2006/relationships/hyperlink" Target="https://www.hee.nhs.uk/our-work/person-centred-car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killsforhealth.org.uk/article/person-centred-care-meaning-implications/" TargetMode="External"/><Relationship Id="rId7" Type="http://schemas.openxmlformats.org/officeDocument/2006/relationships/endnotes" Target="endnotes.xml"/><Relationship Id="rId12" Type="http://schemas.openxmlformats.org/officeDocument/2006/relationships/hyperlink" Target="https://bns.institute/behavioural-sciences/humanistic-theories-personality-nursing-care/" TargetMode="External"/><Relationship Id="rId17" Type="http://schemas.openxmlformats.org/officeDocument/2006/relationships/hyperlink" Target="https://www.england.nhs.uk/long-read/working-in-partnership-with-people-and-communities-statutory-guidanc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implypsychology.org/carl-rogers.html" TargetMode="External"/><Relationship Id="rId20" Type="http://schemas.openxmlformats.org/officeDocument/2006/relationships/hyperlink" Target="https://royalopencollege.org/blog/health-and-social-care/what-is-partnership-working-in-health-and-social-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guidance-on-the-preparation-of-integrated-care-strategies/guidance-on-the-preparation-of-integrated-care-strategies"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cpdonline.co.uk/knowledge-base/care/care-act-2014-principles/" TargetMode="External"/><Relationship Id="rId23" Type="http://schemas.openxmlformats.org/officeDocument/2006/relationships/footer" Target="footer1.xml"/><Relationship Id="rId10" Type="http://schemas.openxmlformats.org/officeDocument/2006/relationships/hyperlink" Target="https://ajcasemanagement.com/person-centred-care-principles-definitions-examples/" TargetMode="External"/><Relationship Id="rId19" Type="http://schemas.openxmlformats.org/officeDocument/2006/relationships/hyperlink" Target="https://www.england.nhs.uk/personalisedcare/what-is-personalised-ca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ealth.org.uk/sites/default/files/PersonCentredCareMadeSimple.pdf" TargetMode="External"/><Relationship Id="rId22"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03E35B-A59C-460B-849E-A07F412FB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3536</Words>
  <Characters>20156</Characters>
  <Application>Microsoft Office Word</Application>
  <DocSecurity>0</DocSecurity>
  <Lines>167</Lines>
  <Paragraphs>47</Paragraphs>
  <ScaleCrop>false</ScaleCrop>
  <Company/>
  <LinksUpToDate>false</LinksUpToDate>
  <CharactersWithSpaces>23645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2026-03-16T15:37:00Z</dcterms:created>
  <dcterms:modified xsi:type="dcterms:W3CDTF">2026-03-16T15:37:00Z</dcterms:modified>
</cp:coreProperties>
</file>