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47237B" w14:textId="77777777" w:rsidR="00E35CF2" w:rsidRPr="00454167" w:rsidRDefault="00E35CF2" w:rsidP="00E35CF2">
      <w:pPr>
        <w:spacing w:line="480" w:lineRule="auto"/>
        <w:jc w:val="center"/>
        <w:rPr>
          <w:u w:val="single"/>
        </w:rPr>
      </w:pPr>
      <w:r w:rsidRPr="00454167">
        <w:rPr>
          <w:u w:val="single"/>
        </w:rPr>
        <w:t>ECAD 7004 Assignment</w:t>
      </w:r>
    </w:p>
    <w:p w14:paraId="1E28DA23" w14:textId="77777777" w:rsidR="00E35CF2" w:rsidRPr="00454167" w:rsidRDefault="00E35CF2" w:rsidP="00E35CF2">
      <w:pPr>
        <w:spacing w:line="480" w:lineRule="auto"/>
        <w:jc w:val="center"/>
        <w:rPr>
          <w:u w:val="single"/>
        </w:rPr>
      </w:pPr>
      <w:r w:rsidRPr="00454167">
        <w:rPr>
          <w:u w:val="single"/>
        </w:rPr>
        <w:t>Aims, Focus and Purpose of the Research</w:t>
      </w:r>
    </w:p>
    <w:p w14:paraId="204529E3" w14:textId="77777777" w:rsidR="00E35CF2" w:rsidRPr="00454167" w:rsidRDefault="00E35CF2" w:rsidP="00E35CF2">
      <w:pPr>
        <w:spacing w:line="480" w:lineRule="auto"/>
        <w:jc w:val="both"/>
        <w:rPr>
          <w:u w:val="single"/>
        </w:rPr>
      </w:pPr>
    </w:p>
    <w:p w14:paraId="1864B3A6" w14:textId="39D17D9A" w:rsidR="00E35CF2" w:rsidRPr="00454167" w:rsidRDefault="00E35CF2" w:rsidP="00E35CF2">
      <w:pPr>
        <w:spacing w:line="480" w:lineRule="auto"/>
        <w:jc w:val="both"/>
      </w:pPr>
      <w:r w:rsidRPr="00454167">
        <w:t xml:space="preserve">The aim of this assignment is to implement Assessment for Learning (AFL) strategies during worked examples to assess if they improve understanding of pupils in a secondary school maths lesson.  This assignment is based on improving conceptual understanding of maths topics and the ideas are based on current training that </w:t>
      </w:r>
      <w:r w:rsidR="00BB59A5">
        <w:t>has</w:t>
      </w:r>
      <w:r w:rsidRPr="00454167">
        <w:t xml:space="preserve"> be</w:t>
      </w:r>
      <w:r w:rsidR="00FB4653">
        <w:t>en</w:t>
      </w:r>
      <w:r w:rsidRPr="00454167">
        <w:t xml:space="preserve"> given to maths teachers by a leading expert, Craig Barton (2024).  The current research is supported by Black et al. (2004) who have evidence to support that when AFL strategies are used correctly there are no better ways to improve standards of education in the classroom.  The objective of this assignment is to use observation methods to measure the effectiveness of AFL methods on understanding of a given topic</w:t>
      </w:r>
      <w:r w:rsidR="008E7D9F">
        <w:t>,</w:t>
      </w:r>
      <w:r w:rsidRPr="00454167">
        <w:t xml:space="preserve"> as well as </w:t>
      </w:r>
      <w:r w:rsidR="00EE18E5">
        <w:t xml:space="preserve">using </w:t>
      </w:r>
      <w:r w:rsidRPr="00454167">
        <w:t>questionnaires to gain participants opinions on the effectiveness and implementation of the AFL techniques used.</w:t>
      </w:r>
    </w:p>
    <w:p w14:paraId="6A4C9409" w14:textId="56896908" w:rsidR="00E35CF2" w:rsidRPr="00454167" w:rsidRDefault="00E35CF2" w:rsidP="00E35CF2">
      <w:pPr>
        <w:spacing w:line="480" w:lineRule="auto"/>
        <w:jc w:val="both"/>
      </w:pPr>
      <w:r w:rsidRPr="00454167">
        <w:t>The Welsh Government (2019) has set out teaching standards that support the development of the four purposes of the new curriculum for Wales (CFW) which include developing teaching pedagogy that maintains a sustained effort and resilience in learners as well as progression in learning</w:t>
      </w:r>
      <w:r w:rsidR="005C5ED5">
        <w:t xml:space="preserve"> that </w:t>
      </w:r>
      <w:r w:rsidR="007D7A98">
        <w:t>will hopefully lead to a more prosperous Wales</w:t>
      </w:r>
      <w:r w:rsidRPr="00454167">
        <w:t>.  An inductive approach will be taken using innovative questioning techniques, and it is hoped that the researcher can develop and improve their teaching methods, evaluate them and continually provide excellent standards of teaching that improve mathematical ability and confidence in line with the Welsh Government (2023) aims.</w:t>
      </w:r>
    </w:p>
    <w:p w14:paraId="16D807F8" w14:textId="77777777" w:rsidR="00E35CF2" w:rsidRPr="00454167" w:rsidRDefault="00E35CF2" w:rsidP="00E35CF2">
      <w:pPr>
        <w:spacing w:line="480" w:lineRule="auto"/>
        <w:jc w:val="both"/>
      </w:pPr>
      <w:r w:rsidRPr="00454167">
        <w:lastRenderedPageBreak/>
        <w:t>The research will be carried out in what will be referred to as school x to comply with BERA (2018) guidelines.  School x is an English-medium mixed 11-18 comprehensive secondary school and is situated in a town in South Wales.  According to the latest Estyn (2018) report there were 1167 pupils on roll with 44% of pupils having additional learning needs (ALN) which is above the national average at the time of 22.9%.  The research will take place in a year 10, set three maths class over two lessons which can be considered representative of the year group.</w:t>
      </w:r>
    </w:p>
    <w:p w14:paraId="78B681BE" w14:textId="77777777" w:rsidR="00E35CF2" w:rsidRPr="00454167" w:rsidRDefault="00E35CF2" w:rsidP="00E35CF2">
      <w:pPr>
        <w:spacing w:line="480" w:lineRule="auto"/>
        <w:jc w:val="both"/>
      </w:pPr>
    </w:p>
    <w:p w14:paraId="0C9C4F43" w14:textId="77777777" w:rsidR="00E35CF2" w:rsidRPr="00454167" w:rsidRDefault="00E35CF2" w:rsidP="00E35CF2">
      <w:pPr>
        <w:spacing w:line="480" w:lineRule="auto"/>
        <w:jc w:val="both"/>
      </w:pPr>
      <w:r w:rsidRPr="00454167">
        <w:t>The Research Question is ‘How does questioning Year 10 pupils during scaffolded examples affect understanding?’</w:t>
      </w:r>
    </w:p>
    <w:p w14:paraId="63996CEB" w14:textId="77777777" w:rsidR="00E35CF2" w:rsidRPr="00454167" w:rsidRDefault="00E35CF2" w:rsidP="00E35CF2">
      <w:pPr>
        <w:spacing w:line="480" w:lineRule="auto"/>
        <w:jc w:val="both"/>
      </w:pPr>
    </w:p>
    <w:p w14:paraId="0FF45A53" w14:textId="77777777" w:rsidR="00E35CF2" w:rsidRPr="00454167" w:rsidRDefault="00E35CF2" w:rsidP="00E35CF2">
      <w:pPr>
        <w:spacing w:line="480" w:lineRule="auto"/>
        <w:jc w:val="center"/>
        <w:rPr>
          <w:u w:val="single"/>
          <w:lang w:val="en-US"/>
        </w:rPr>
      </w:pPr>
      <w:r w:rsidRPr="00454167">
        <w:rPr>
          <w:u w:val="single"/>
          <w:lang w:val="en-US"/>
        </w:rPr>
        <w:t>Literature Review</w:t>
      </w:r>
    </w:p>
    <w:p w14:paraId="2C39EBA9" w14:textId="77777777" w:rsidR="00E35CF2" w:rsidRPr="00454167" w:rsidRDefault="00E35CF2" w:rsidP="00E35CF2">
      <w:pPr>
        <w:spacing w:line="480" w:lineRule="auto"/>
        <w:jc w:val="both"/>
        <w:rPr>
          <w:u w:val="single"/>
          <w:lang w:val="en-US"/>
        </w:rPr>
      </w:pPr>
    </w:p>
    <w:p w14:paraId="45126D23" w14:textId="3843BC21" w:rsidR="00E35CF2" w:rsidRPr="00454167" w:rsidRDefault="00E35CF2" w:rsidP="00E35CF2">
      <w:pPr>
        <w:spacing w:line="480" w:lineRule="auto"/>
        <w:jc w:val="both"/>
        <w:rPr>
          <w:lang w:val="en-US"/>
        </w:rPr>
      </w:pPr>
      <w:r w:rsidRPr="00454167">
        <w:rPr>
          <w:lang w:val="en-US"/>
        </w:rPr>
        <w:t>Vygotsky (1978) proposed that one’s potential for learning is based in what he termed the zone of proximal development (ZPD).  The ZPD is a theoretical framework where a child can extend their learning and knowledge with guidance from a more knowledgeable other.  Barton’s (2018) interpretation of the best way to teach novice math learners is in line with Vygotsky’s work, with scaffold</w:t>
      </w:r>
      <w:r w:rsidR="00726C1E">
        <w:rPr>
          <w:lang w:val="en-US"/>
        </w:rPr>
        <w:t>ed</w:t>
      </w:r>
      <w:r w:rsidRPr="00454167">
        <w:rPr>
          <w:lang w:val="en-US"/>
        </w:rPr>
        <w:t xml:space="preserve"> worked examples thought </w:t>
      </w:r>
      <w:r w:rsidR="00AC6F3B">
        <w:rPr>
          <w:lang w:val="en-US"/>
        </w:rPr>
        <w:t xml:space="preserve">of </w:t>
      </w:r>
      <w:r w:rsidRPr="00454167">
        <w:rPr>
          <w:lang w:val="en-US"/>
        </w:rPr>
        <w:t xml:space="preserve">as the most efficient way </w:t>
      </w:r>
      <w:r w:rsidR="00AC6F3B">
        <w:rPr>
          <w:lang w:val="en-US"/>
        </w:rPr>
        <w:t xml:space="preserve">for </w:t>
      </w:r>
      <w:r w:rsidRPr="00454167">
        <w:rPr>
          <w:lang w:val="en-US"/>
        </w:rPr>
        <w:t xml:space="preserve">learners </w:t>
      </w:r>
      <w:r w:rsidR="00AC6F3B">
        <w:rPr>
          <w:lang w:val="en-US"/>
        </w:rPr>
        <w:t xml:space="preserve">to </w:t>
      </w:r>
      <w:r w:rsidRPr="00454167">
        <w:rPr>
          <w:lang w:val="en-US"/>
        </w:rPr>
        <w:t>acquir</w:t>
      </w:r>
      <w:r w:rsidR="000E0379">
        <w:rPr>
          <w:lang w:val="en-US"/>
        </w:rPr>
        <w:t>e</w:t>
      </w:r>
      <w:r w:rsidRPr="00454167">
        <w:rPr>
          <w:lang w:val="en-US"/>
        </w:rPr>
        <w:t xml:space="preserve"> knowledge.  The research carried out by Vygotsky has been cited in numerous research </w:t>
      </w:r>
      <w:r w:rsidR="00622E72">
        <w:rPr>
          <w:lang w:val="en-US"/>
        </w:rPr>
        <w:t xml:space="preserve">studies </w:t>
      </w:r>
      <w:r w:rsidRPr="00454167">
        <w:rPr>
          <w:lang w:val="en-US"/>
        </w:rPr>
        <w:t>and is considered to have had a profound impact on education across the world.</w:t>
      </w:r>
    </w:p>
    <w:p w14:paraId="6EF1C123" w14:textId="77777777" w:rsidR="00E35CF2" w:rsidRPr="00454167" w:rsidRDefault="00E35CF2" w:rsidP="00E35CF2">
      <w:pPr>
        <w:spacing w:line="480" w:lineRule="auto"/>
        <w:jc w:val="both"/>
        <w:rPr>
          <w:lang w:val="en-US"/>
        </w:rPr>
      </w:pPr>
      <w:r w:rsidRPr="00454167">
        <w:rPr>
          <w:lang w:val="en-US"/>
        </w:rPr>
        <w:lastRenderedPageBreak/>
        <w:t>The Welsh Government (2020a) have introduced the new curriculum for Wales (CFW) and has included a statement of what matters to support teachers in enabling learners to develop an increasingly sophisticated understanding and application of their education.  To implement this, thought must be given to how teachers can create the best conditions for learners to learn in.  Coe et al (2020) research suggests that creating a supportive environment that promotes learner motivation through feelings of competence as well as creating a climate of high expectations and challenge will contribute to improvements in education.  The dynamics of teaching can be multi-faceted and how improvements are to be made are outlined through the professional teaching standards of the Welsh Government (2019).</w:t>
      </w:r>
    </w:p>
    <w:p w14:paraId="4B8B4B5C" w14:textId="77777777" w:rsidR="00E35CF2" w:rsidRPr="00454167" w:rsidRDefault="00E35CF2" w:rsidP="00E35CF2">
      <w:pPr>
        <w:spacing w:line="480" w:lineRule="auto"/>
        <w:jc w:val="both"/>
        <w:rPr>
          <w:lang w:val="en-US"/>
        </w:rPr>
      </w:pPr>
      <w:r w:rsidRPr="00454167">
        <w:rPr>
          <w:lang w:val="en-US"/>
        </w:rPr>
        <w:t xml:space="preserve">To teach information to pupils and for them to be able to use that information in the future, Sweller (2019) suggests that it must be processed in a limited working memory store before it can be retained in long term memory, and thus allow transference back to the working memory when required.  As the working memory is thought to have limited capacity it can be considered important not to cause cognitive overload whereby too much information is presented at one time which inhibits its retention.  Kennedy and Romig (2021) suggest providing clear and concise instruction connected to previous background knowledge with worked examples as effective methods of reducing cognitive load for learners.  Chen et al. (2017) research suggests that in the absence of previously acquired information, working memory capabilities were fixed and that cognitive effort can lead to working memory resource depletion, however they suggested that the spacing effect may have educational implications.  The research suggests that when presenting new information teachers should be careful not to overload pupils with information as it will inhibit their learning. </w:t>
      </w:r>
    </w:p>
    <w:p w14:paraId="39D6D4C6" w14:textId="77777777" w:rsidR="00E35CF2" w:rsidRPr="00454167" w:rsidRDefault="00E35CF2" w:rsidP="00E35CF2">
      <w:pPr>
        <w:spacing w:line="480" w:lineRule="auto"/>
        <w:jc w:val="both"/>
        <w:rPr>
          <w:lang w:val="en-US"/>
        </w:rPr>
      </w:pPr>
    </w:p>
    <w:p w14:paraId="01AD8D4B" w14:textId="77777777" w:rsidR="00E35CF2" w:rsidRPr="00454167" w:rsidRDefault="00E35CF2" w:rsidP="00E35CF2">
      <w:pPr>
        <w:spacing w:line="480" w:lineRule="auto"/>
        <w:jc w:val="both"/>
        <w:rPr>
          <w:lang w:val="en-US"/>
        </w:rPr>
      </w:pPr>
      <w:r w:rsidRPr="00454167">
        <w:rPr>
          <w:lang w:val="en-US"/>
        </w:rPr>
        <w:t>The cognitive load theory supports the use of worked examples as an effective way to reduce overload.  Hattie and Yates (2014) consider the worked example effect to be one of the most robust findings from applied psychological research, with learners being provided with the necessary scaffolding to complete a task before applying the logical transfer of knowledge to complete a similar task.  It is through structured guidance that the cognitive load is reduced which should maximize opportunities to learn through efficient use of time as well as activating hard thinking allowing learners to progress to more independent learning as suggested by Coe et al. (2020).  This method is also in line with Welsh Government (2020b) principles of progression which state that learners should deepen and broaden their knowledge and understanding, improving their skills over time,</w:t>
      </w:r>
    </w:p>
    <w:p w14:paraId="7A123628" w14:textId="0A3087A2" w:rsidR="00E35CF2" w:rsidRPr="00454167" w:rsidRDefault="00E35CF2" w:rsidP="00E35CF2">
      <w:pPr>
        <w:spacing w:line="480" w:lineRule="auto"/>
        <w:jc w:val="both"/>
        <w:rPr>
          <w:lang w:val="en-US"/>
        </w:rPr>
      </w:pPr>
      <w:r w:rsidRPr="00454167">
        <w:rPr>
          <w:lang w:val="en-US"/>
        </w:rPr>
        <w:t xml:space="preserve">A good, worked example may only be effective for learners’ progression if the learner is taking responsibility for their own learning as described by the Welsh Government (2019) teaching standards.  Willingham (2003) introduced the concept of ‘memory is as thinking does’, with learners listening to explanations being differentiated from actively thinking about what has been said.  The considerations here are that by listening to what has been explained, shallow learning can occur where some information can be retained, however if a more in-depth understanding is to occur then the use of AFL strategies </w:t>
      </w:r>
      <w:r w:rsidR="009C4F82" w:rsidRPr="00454167">
        <w:rPr>
          <w:lang w:val="en-US"/>
        </w:rPr>
        <w:t>is</w:t>
      </w:r>
      <w:r w:rsidRPr="00454167">
        <w:rPr>
          <w:lang w:val="en-US"/>
        </w:rPr>
        <w:t xml:space="preserve"> required to discover if learners are actually thinking about what has been said.  Black et al. (2004) consider the use of AFL as the best way of improving teaching standards and gaining feedback from learners as to their current levels of understanding vital in informing the next step in teaching.</w:t>
      </w:r>
    </w:p>
    <w:p w14:paraId="27B49A6A" w14:textId="77777777" w:rsidR="00E35CF2" w:rsidRPr="00454167" w:rsidRDefault="00E35CF2" w:rsidP="00E35CF2">
      <w:pPr>
        <w:spacing w:line="480" w:lineRule="auto"/>
        <w:jc w:val="both"/>
        <w:rPr>
          <w:lang w:val="en-US"/>
        </w:rPr>
      </w:pPr>
      <w:r w:rsidRPr="00454167">
        <w:rPr>
          <w:lang w:val="en-US"/>
        </w:rPr>
        <w:lastRenderedPageBreak/>
        <w:t>The method of questioning pupils on their understanding of a topic can be considered as good practice, however the application of this process requires careful thought if it is to be successful in increasing engagement and therefore understanding.  Rosenshine (2012) principles of instruction are developed from master teachers and cognitive science and support the use of worked examples, asking numerous questions to check for understanding and guided student practice.  William (2014) research suggested that pupils should be selected at random to answer questions and that learners were more likely to engage in listening if they thought that they may be asked questions on the topic being taught.  This can be considered as a strategy that will take time to establish and become routine but would not give pupils an option of opting out of answering questions and could therefore help to increase the engagement of all pupils which would support the Welsh Governments (2024) aims that all pupils make progress.</w:t>
      </w:r>
    </w:p>
    <w:p w14:paraId="5694A50E" w14:textId="77777777" w:rsidR="00E35CF2" w:rsidRPr="00454167" w:rsidRDefault="00E35CF2" w:rsidP="00E35CF2">
      <w:pPr>
        <w:spacing w:line="480" w:lineRule="auto"/>
        <w:jc w:val="both"/>
        <w:rPr>
          <w:lang w:val="en-US"/>
        </w:rPr>
      </w:pPr>
      <w:r w:rsidRPr="00454167">
        <w:rPr>
          <w:lang w:val="en-US"/>
        </w:rPr>
        <w:t>The Welsh Government (2023) has a long-term vision to create a positive change in mindset towards mathematics to support learners’ acquisition of experiences, knowledge and skills.  Boxer (2019) considers one of the most powerful ways to ensure learners become motivated is through improving their competence in a subject.  For learners to improve their competence, Keller, Davidesco and Tanner (2020) research suggests that what they pay attention to is key to their learning.  The research findings therefore suggest that for pupils to improve their understanding of a topic they must first be paying attention to what is being taught if they are to develop their knowledge and skills and create a positive mindset.</w:t>
      </w:r>
    </w:p>
    <w:p w14:paraId="1F8CEE0B" w14:textId="77777777" w:rsidR="00E35CF2" w:rsidRPr="00454167" w:rsidRDefault="00E35CF2" w:rsidP="00E35CF2">
      <w:pPr>
        <w:spacing w:line="480" w:lineRule="auto"/>
        <w:jc w:val="both"/>
        <w:rPr>
          <w:lang w:val="en-US"/>
        </w:rPr>
      </w:pPr>
    </w:p>
    <w:p w14:paraId="7C94DB4F" w14:textId="77777777" w:rsidR="00E35CF2" w:rsidRPr="00454167" w:rsidRDefault="00E35CF2" w:rsidP="00E35CF2">
      <w:pPr>
        <w:spacing w:line="480" w:lineRule="auto"/>
        <w:jc w:val="both"/>
        <w:rPr>
          <w:lang w:val="en-US"/>
        </w:rPr>
      </w:pPr>
      <w:r w:rsidRPr="00454167">
        <w:rPr>
          <w:lang w:val="en-US"/>
        </w:rPr>
        <w:lastRenderedPageBreak/>
        <w:t xml:space="preserve">It can be considered that developing AFL techniques that maintain active pupil engagement in their learning are required to improve mathematical ability.  Barton (2024) has been delivering training to math teachers in Wales, giving directions on questioning learners during worked examples to check that they are listening and giving learners moments of success.  The principles behind this training are that by checking learners are listening and retaining the basic processes of a topic, when it comes to applying their new knowledge, their cognitive load has been reduced, which should in turn free up space in their working memory that can be used to complete a task.  These questioning techniques and giving learners moments of success may help develop a positive mindset towards math and accomplish the aims outlined by the Welsh Government (2023). </w:t>
      </w:r>
    </w:p>
    <w:p w14:paraId="75AE5231" w14:textId="77777777" w:rsidR="00E35CF2" w:rsidRPr="00454167" w:rsidRDefault="00E35CF2" w:rsidP="00E35CF2">
      <w:pPr>
        <w:spacing w:line="480" w:lineRule="auto"/>
        <w:jc w:val="both"/>
        <w:rPr>
          <w:lang w:val="en-US"/>
        </w:rPr>
      </w:pPr>
    </w:p>
    <w:p w14:paraId="3B94229A" w14:textId="77777777" w:rsidR="00E35CF2" w:rsidRPr="00454167" w:rsidRDefault="00E35CF2" w:rsidP="00E35CF2">
      <w:pPr>
        <w:spacing w:line="480" w:lineRule="auto"/>
        <w:jc w:val="center"/>
        <w:rPr>
          <w:u w:val="single"/>
        </w:rPr>
      </w:pPr>
      <w:r w:rsidRPr="00454167">
        <w:rPr>
          <w:u w:val="single"/>
        </w:rPr>
        <w:t>Explanation of Case Study</w:t>
      </w:r>
    </w:p>
    <w:p w14:paraId="3D005113" w14:textId="77777777" w:rsidR="00E35CF2" w:rsidRPr="00454167" w:rsidRDefault="00E35CF2" w:rsidP="00E35CF2">
      <w:pPr>
        <w:spacing w:line="480" w:lineRule="auto"/>
        <w:jc w:val="both"/>
        <w:rPr>
          <w:u w:val="single"/>
        </w:rPr>
      </w:pPr>
    </w:p>
    <w:p w14:paraId="50332BA8" w14:textId="77777777" w:rsidR="00E35CF2" w:rsidRPr="00454167" w:rsidRDefault="00E35CF2" w:rsidP="00E35CF2">
      <w:pPr>
        <w:spacing w:line="480" w:lineRule="auto"/>
        <w:jc w:val="both"/>
      </w:pPr>
      <w:r w:rsidRPr="00454167">
        <w:t>Yin (2014) considers a case study to be an empirical inquiry that investigates a contemporary phenomenon in depth and within its real-life context.  Yazan (2015) discusses the difficulties in defining a case study as it does not have well-defined and structured protocols, with research methodologists lacking in consensus on design and implementation.  It can therefore be considered as open to interpretation and application as to what a case study is and can be.  However, Demetriou (2013) considers the versatility of a case study as a strength as it can develop understanding of a complex issue that no other research approach can do.</w:t>
      </w:r>
    </w:p>
    <w:p w14:paraId="561E9922" w14:textId="77777777" w:rsidR="00E35CF2" w:rsidRPr="00454167" w:rsidRDefault="00E35CF2" w:rsidP="00E35CF2">
      <w:pPr>
        <w:spacing w:line="480" w:lineRule="auto"/>
        <w:jc w:val="both"/>
      </w:pPr>
      <w:r w:rsidRPr="00454167">
        <w:lastRenderedPageBreak/>
        <w:t>A case study approach allows researchers to develop in depth subjective understanding of the selected case, particularly when ‘how’ and ‘why’ questions are posed which Yin (2014) considers to be exploratory in nature.  Hitchcock and Hughes (1995) consider case studies to be of value when the research aims are to provide practitioners with better ways of doing things.  By selecting a case and studying it specifically it allows for a research question to be tested in a real-life context that can develop new theory or improve and evaluate existing professional practice.  This approach can be considered as beneficial in classroom-based research as it allows for the development of new teaching strategies to be analysed in the intended setting.</w:t>
      </w:r>
    </w:p>
    <w:p w14:paraId="6EE583AB" w14:textId="77777777" w:rsidR="00E35CF2" w:rsidRPr="00454167" w:rsidRDefault="00E35CF2" w:rsidP="00E35CF2">
      <w:pPr>
        <w:spacing w:line="480" w:lineRule="auto"/>
        <w:jc w:val="both"/>
      </w:pPr>
      <w:r w:rsidRPr="00454167">
        <w:t xml:space="preserve">The case study approach has been subjected to criticisms of lacking reliability and validity with issues around the researcher’s subjectivity and positionality.  Demetriou (2013) raises the issue that single case studies lack generalizability beyond the immediate case and are not representative of the entire population.  However, the alternative view is that case studies are not trying to provide generalisations for the whole population with Donmoyer (1990) cited in Hitchcock and Hughes (1995) suggesting the advantages of case studies are that they can widen our experience of education, help view reality through the eyes of others and prevent defensiveness and resistance to learning.  The aim of a case study is not to find generalizations, it is to improve knowledge, which could lead to further research on a wider scale that may make it possible to establish generalizations. </w:t>
      </w:r>
    </w:p>
    <w:p w14:paraId="75F91A8C" w14:textId="77777777" w:rsidR="00E35CF2" w:rsidRPr="00454167" w:rsidRDefault="00E35CF2" w:rsidP="00E35CF2">
      <w:pPr>
        <w:spacing w:line="480" w:lineRule="auto"/>
        <w:jc w:val="both"/>
      </w:pPr>
      <w:r w:rsidRPr="00454167">
        <w:t xml:space="preserve">There are differences of opinion when discussing the validity and reliability of a case study.  The concept of triangulation as proposed by Denzin (1978) cited in Saez Bondia and Cortes Gracia (2022) aims to improve validation, with the use of mixed strategies for </w:t>
      </w:r>
      <w:r w:rsidRPr="00454167">
        <w:lastRenderedPageBreak/>
        <w:t>analysis that allow for different perspectives to viewed.  By using different methods such as questionnaires and observations it allows for multiple perspectives to be viewed on the ‘case’ and a more in depth ‘study’ of the concept.  On completion of the study, it is then possible to apply statistical tests on the results of the questionnaires to assess reliability, as well as assessing concepts such as face validity.</w:t>
      </w:r>
    </w:p>
    <w:p w14:paraId="707C6E8F" w14:textId="77777777" w:rsidR="00E35CF2" w:rsidRPr="00454167" w:rsidRDefault="00E35CF2" w:rsidP="00E35CF2">
      <w:pPr>
        <w:spacing w:line="480" w:lineRule="auto"/>
        <w:jc w:val="both"/>
      </w:pPr>
      <w:r w:rsidRPr="00454167">
        <w:t>The participants in this case study were selected by means of a convenience sample of set three, year 10 maths students who had given their assent, and whom consent had been obtained for their participation.  They can be considered as representative of their year group within the school.  This case study can be considered exploratory in nature as it aims to explore, or ‘study’, the research question or ‘case’ within its real-life context.</w:t>
      </w:r>
    </w:p>
    <w:p w14:paraId="70AA4DF8" w14:textId="77777777" w:rsidR="00E35CF2" w:rsidRPr="00454167" w:rsidRDefault="00E35CF2" w:rsidP="00E35CF2">
      <w:pPr>
        <w:spacing w:line="480" w:lineRule="auto"/>
        <w:jc w:val="both"/>
      </w:pPr>
    </w:p>
    <w:p w14:paraId="507E2432" w14:textId="77777777" w:rsidR="00E35CF2" w:rsidRPr="00454167" w:rsidRDefault="00E35CF2" w:rsidP="00E35CF2">
      <w:pPr>
        <w:spacing w:line="480" w:lineRule="auto"/>
        <w:jc w:val="center"/>
        <w:rPr>
          <w:u w:val="single"/>
        </w:rPr>
      </w:pPr>
      <w:r w:rsidRPr="00454167">
        <w:rPr>
          <w:u w:val="single"/>
        </w:rPr>
        <w:t>Research Methods</w:t>
      </w:r>
    </w:p>
    <w:p w14:paraId="123F6ACF" w14:textId="77777777" w:rsidR="00E35CF2" w:rsidRPr="00454167" w:rsidRDefault="00E35CF2" w:rsidP="00E35CF2">
      <w:pPr>
        <w:spacing w:line="480" w:lineRule="auto"/>
        <w:jc w:val="both"/>
        <w:rPr>
          <w:u w:val="single"/>
        </w:rPr>
      </w:pPr>
    </w:p>
    <w:p w14:paraId="25F1361B" w14:textId="157BEDB4" w:rsidR="00E35CF2" w:rsidRPr="00454167" w:rsidRDefault="00E35CF2" w:rsidP="00E35CF2">
      <w:pPr>
        <w:spacing w:line="480" w:lineRule="auto"/>
        <w:jc w:val="both"/>
      </w:pPr>
      <w:r w:rsidRPr="00454167">
        <w:t>One of the research methods chosen in this case study was the use of a questionnaire.  An advantage of questionnaires is</w:t>
      </w:r>
      <w:r w:rsidR="00CE5D96">
        <w:t xml:space="preserve"> that</w:t>
      </w:r>
      <w:r w:rsidRPr="00454167">
        <w:t xml:space="preserve"> they are an efficient </w:t>
      </w:r>
      <w:r w:rsidR="00CE5D96">
        <w:t>method</w:t>
      </w:r>
      <w:r w:rsidRPr="00454167">
        <w:t xml:space="preserve"> of collecting data from a large group of participants and are less time consuming than individual or group interviews.  Warwick and Chaplin (2013) consider the drawbacks to be that they are self-reporting measures and therefore assume that the respondent is capable of at least surface introspection, as well as the respondents’ line of thought is more limited</w:t>
      </w:r>
      <w:r w:rsidR="00FC2F43">
        <w:t xml:space="preserve"> </w:t>
      </w:r>
      <w:r w:rsidR="004D46A7">
        <w:t>with closed questions</w:t>
      </w:r>
      <w:r w:rsidRPr="00454167">
        <w:t>.</w:t>
      </w:r>
      <w:r w:rsidR="00162B42">
        <w:t xml:space="preserve"> </w:t>
      </w:r>
      <w:r w:rsidRPr="00454167">
        <w:t xml:space="preserve"> There can also be issues with ambiguity in the questions, particularly with younger children.  It is important to put careful thought into the construction of questions to reduce any potential ambiguity which may affect validity.  There are however </w:t>
      </w:r>
      <w:r w:rsidRPr="00454167">
        <w:lastRenderedPageBreak/>
        <w:t xml:space="preserve">many positives with questionnaires as they can provide both quantitative and qualitative data that can be analysed. </w:t>
      </w:r>
      <w:r w:rsidR="002464B5">
        <w:t xml:space="preserve"> </w:t>
      </w:r>
      <w:r w:rsidRPr="00454167">
        <w:t>For the results to have any meaning it is important to consider the questions asked and how the results will be analysed following data collection if the findings are to have any impact following the research question.</w:t>
      </w:r>
    </w:p>
    <w:p w14:paraId="31B57869" w14:textId="6E8A931B" w:rsidR="00E35CF2" w:rsidRPr="00454167" w:rsidRDefault="00E35CF2" w:rsidP="00E35CF2">
      <w:pPr>
        <w:spacing w:line="480" w:lineRule="auto"/>
        <w:jc w:val="both"/>
      </w:pPr>
      <w:r w:rsidRPr="00454167">
        <w:t>It is possible to use existing questionnaires to carry out case studies, however if the research question is unique then this may not be possible.  Within this case study the research question is on w</w:t>
      </w:r>
      <w:r w:rsidR="009633EC">
        <w:t>h</w:t>
      </w:r>
      <w:r w:rsidRPr="00454167">
        <w:t>ether the use of questioning pupils during examples effects understanding.  A new questionnaire was designed with the use of closed questions with a Likert scale response that Tymms (2012) state</w:t>
      </w:r>
      <w:r w:rsidR="003C2D72">
        <w:t>d</w:t>
      </w:r>
      <w:r w:rsidRPr="00454167">
        <w:t xml:space="preserve"> that it allows the researcher to gauge a respondents’ feeling to the question, as well as reducing ambiguity which is designed to improve reliability when analysing the results.  It is important to bear in mind the age of the learners when carrying out research to ensure that they understand the question, failure to do so would reduce the reliability of the results.   </w:t>
      </w:r>
    </w:p>
    <w:p w14:paraId="19D91C61" w14:textId="77777777" w:rsidR="00E35CF2" w:rsidRPr="00454167" w:rsidRDefault="00E35CF2" w:rsidP="00E35CF2">
      <w:pPr>
        <w:spacing w:line="480" w:lineRule="auto"/>
        <w:jc w:val="both"/>
      </w:pPr>
      <w:r w:rsidRPr="00454167">
        <w:t xml:space="preserve">The design of the questions in the questionnaire (appendix 4) was given careful thought.  To answer the research question, it was considered that a base line should be established as suggested by Kelly et al. (2009).  This was done so by including questions one and two to assess if learners usually listened to and paid attention to examples given by the teacher.  Willingham (2003) suggests that learners will only learn what they are paying attention to, therefore the design of the research question was to assess if questioning during examples improved understanding, which may have been done so through increased attention.  Questions three and four were included to assess if the learners’ attitudes had changed because of the teaching methods used.  Question 5 was included to assess whether the learners had understood the topic, which may have given </w:t>
      </w:r>
      <w:r w:rsidRPr="00454167">
        <w:lastRenderedPageBreak/>
        <w:t>feedback as to how successful the teaching methods had been.  Question 6 was an open question to provide participants with an opportunity to make comments and thus treat them with respect and potentially gain further feedback.</w:t>
      </w:r>
    </w:p>
    <w:p w14:paraId="39226C9C" w14:textId="5DA9A149" w:rsidR="00E35CF2" w:rsidRPr="00454167" w:rsidRDefault="005D2D4C" w:rsidP="00E35CF2">
      <w:pPr>
        <w:spacing w:line="480" w:lineRule="auto"/>
        <w:jc w:val="both"/>
      </w:pPr>
      <w:r>
        <w:t>To</w:t>
      </w:r>
      <w:r w:rsidR="00E35CF2" w:rsidRPr="00454167">
        <w:t xml:space="preserve"> reduce any impact that completing the questionnaire had on pupils it was designed to be short, and completed at the end of a lesson, therefore minimising the amount of time taken away from teaching </w:t>
      </w:r>
      <w:r w:rsidR="007D60A0">
        <w:t xml:space="preserve">during </w:t>
      </w:r>
      <w:r w:rsidR="00E35CF2" w:rsidRPr="00454167">
        <w:t xml:space="preserve">the lesson, which Tymms (2012) suggested should increase response rates.  The questionnaire was also given on paper </w:t>
      </w:r>
      <w:r w:rsidR="0059217C">
        <w:t xml:space="preserve">as it </w:t>
      </w:r>
      <w:r w:rsidR="007360CC">
        <w:t>was deemed</w:t>
      </w:r>
      <w:r w:rsidR="00642BE8">
        <w:t xml:space="preserve"> quicker to complete </w:t>
      </w:r>
      <w:r w:rsidR="00762040">
        <w:t xml:space="preserve">it on paper than </w:t>
      </w:r>
      <w:r w:rsidR="00E35CF2" w:rsidRPr="00454167">
        <w:t>to</w:t>
      </w:r>
      <w:r w:rsidR="007360CC">
        <w:t xml:space="preserve"> distribute </w:t>
      </w:r>
      <w:r w:rsidR="00184FA0">
        <w:t>computers,</w:t>
      </w:r>
      <w:r w:rsidR="00E35CF2" w:rsidRPr="00454167">
        <w:t xml:space="preserve"> log on and sign into an online version.  The cost of the paper and the environmental impact is offset by not using a computer-delivered method that would have used energy to power the device used. </w:t>
      </w:r>
      <w:r w:rsidR="00B003C2">
        <w:t xml:space="preserve"> </w:t>
      </w:r>
      <w:r w:rsidR="00E35CF2" w:rsidRPr="00454167">
        <w:t xml:space="preserve">The main positive for using </w:t>
      </w:r>
      <w:r w:rsidR="00741FB8">
        <w:t xml:space="preserve">a </w:t>
      </w:r>
      <w:r w:rsidR="00E35CF2" w:rsidRPr="00454167">
        <w:t>paper-based questionnaire however was minimising the time that completion took away from teaching the pupils.</w:t>
      </w:r>
    </w:p>
    <w:p w14:paraId="78AD7F6D" w14:textId="77777777" w:rsidR="00E35CF2" w:rsidRPr="00454167" w:rsidRDefault="00E35CF2" w:rsidP="00E35CF2">
      <w:pPr>
        <w:spacing w:line="480" w:lineRule="auto"/>
        <w:jc w:val="both"/>
      </w:pPr>
      <w:r w:rsidRPr="00454167">
        <w:t xml:space="preserve">An important consideration of questionnaires is the social desirability aspect.  Coolican (1999) describes this type of response as the respondents’ guessing what the socially acceptable answer may be to please the researcher, in this case, a teacher, and therefore not answer honestly.  Although this may happen, in this case study all learners were informed that results would be anonymous and have no impact on them whatsoever which was designed to reduce any bias that may occur from social desirability.    </w:t>
      </w:r>
    </w:p>
    <w:p w14:paraId="32FE61DF" w14:textId="1E9AF473" w:rsidR="00E35CF2" w:rsidRPr="00454167" w:rsidRDefault="00E35CF2" w:rsidP="00E35CF2">
      <w:pPr>
        <w:spacing w:line="480" w:lineRule="auto"/>
        <w:jc w:val="both"/>
      </w:pPr>
      <w:r w:rsidRPr="00454167">
        <w:t xml:space="preserve">Observation methods were used in this case study and can be described as both structured and focused.  Hopkins (2014) considers structured observations to be able to simply record information, in this case the number of questions asked following the given examples were recorded in the form of a tally chart (Appendix 5 and 6).  This allows for a factual representation of data to be presented which can reduce the effect that </w:t>
      </w:r>
      <w:r w:rsidRPr="00454167">
        <w:lastRenderedPageBreak/>
        <w:t xml:space="preserve">positionality may have on the research.  Holmes (2020) considers positionality to be where the researcher is coming from based on their own ontological and epistemological assumptions.  In the second part of the observation, qualitative data that focused on the impact of questioning techniques was recorded (Appendix 5 and 6). </w:t>
      </w:r>
      <w:r w:rsidR="00BB5C59">
        <w:t xml:space="preserve"> </w:t>
      </w:r>
      <w:r w:rsidRPr="00454167">
        <w:t xml:space="preserve">Positionality will </w:t>
      </w:r>
      <w:r w:rsidR="00EC6ABD" w:rsidRPr="00454167">
        <w:t>influence</w:t>
      </w:r>
      <w:r w:rsidRPr="00454167">
        <w:t xml:space="preserve"> this data; however, this can also be viewed as subjective, and the data was treated transparently.</w:t>
      </w:r>
    </w:p>
    <w:p w14:paraId="63FD89CB" w14:textId="05DC1791" w:rsidR="00E35CF2" w:rsidRPr="00454167" w:rsidRDefault="00E35CF2" w:rsidP="00E35CF2">
      <w:pPr>
        <w:spacing w:line="480" w:lineRule="auto"/>
        <w:jc w:val="both"/>
      </w:pPr>
      <w:r w:rsidRPr="00454167">
        <w:t xml:space="preserve">The observation schedule was designed to take place during two separate lessons where a new topic had been introduced to the participants so that the questioning techniques could be observed and evaluated.  Thought was given to the observation taking place with the delivery of a new topic, as if the lesson has been a continuation of a previous topic, then it may have compromised the validity and reliability of the results. </w:t>
      </w:r>
      <w:r w:rsidR="00CA5B4E">
        <w:t xml:space="preserve"> </w:t>
      </w:r>
      <w:r w:rsidRPr="00454167">
        <w:t>Angrosino (2012) considers the use of observational methods in classroom research to be well established and blend themselves well to the description of instructional processes.  It was thought that by using more than one research method the reliability of any research findings could be improved.</w:t>
      </w:r>
    </w:p>
    <w:p w14:paraId="109C0C29" w14:textId="77777777" w:rsidR="00E35CF2" w:rsidRPr="00454167" w:rsidRDefault="00E35CF2" w:rsidP="00E35CF2">
      <w:pPr>
        <w:spacing w:line="480" w:lineRule="auto"/>
        <w:jc w:val="both"/>
      </w:pPr>
      <w:r w:rsidRPr="00454167">
        <w:t xml:space="preserve"> This case study used observational methods as well as questionnaires so that the results could be interpreted through methodological triangulation.  Hitchcock and Hughes (1995) consider triangulation as vital to the internal validity of a case study.  Hopkins (2014) views triangulation as a test for trustworthiness as it allows for multiple perspectives on the same event thus creating a degree of authenticity.  In this case study the learners’ opinions were gained in the form of questionnaires and the teachers’ opinion was gained from the observation. </w:t>
      </w:r>
    </w:p>
    <w:p w14:paraId="4D8B4B73" w14:textId="77777777" w:rsidR="00E35CF2" w:rsidRPr="00454167" w:rsidRDefault="00E35CF2" w:rsidP="00E35CF2">
      <w:pPr>
        <w:spacing w:line="480" w:lineRule="auto"/>
        <w:jc w:val="both"/>
      </w:pPr>
      <w:r w:rsidRPr="00454167">
        <w:t xml:space="preserve"> </w:t>
      </w:r>
    </w:p>
    <w:p w14:paraId="73DA4A59" w14:textId="77777777" w:rsidR="00E35CF2" w:rsidRPr="00454167" w:rsidRDefault="00E35CF2" w:rsidP="00E35CF2">
      <w:pPr>
        <w:spacing w:line="480" w:lineRule="auto"/>
        <w:jc w:val="center"/>
        <w:rPr>
          <w:u w:val="single"/>
        </w:rPr>
      </w:pPr>
      <w:r w:rsidRPr="00454167">
        <w:rPr>
          <w:u w:val="single"/>
        </w:rPr>
        <w:lastRenderedPageBreak/>
        <w:t>Ethical Considerations</w:t>
      </w:r>
    </w:p>
    <w:p w14:paraId="186334CA" w14:textId="77777777" w:rsidR="00E35CF2" w:rsidRPr="00454167" w:rsidRDefault="00E35CF2" w:rsidP="00E35CF2">
      <w:pPr>
        <w:spacing w:line="480" w:lineRule="auto"/>
        <w:jc w:val="both"/>
        <w:rPr>
          <w:u w:val="single"/>
        </w:rPr>
      </w:pPr>
    </w:p>
    <w:p w14:paraId="30ECF7FC" w14:textId="0BBA484B" w:rsidR="00E35CF2" w:rsidRPr="00454167" w:rsidRDefault="00E35CF2" w:rsidP="00E35CF2">
      <w:pPr>
        <w:spacing w:line="480" w:lineRule="auto"/>
        <w:jc w:val="both"/>
      </w:pPr>
      <w:r w:rsidRPr="00454167">
        <w:t>Before this case study could begin</w:t>
      </w:r>
      <w:r w:rsidR="00AB3D9C">
        <w:t>,</w:t>
      </w:r>
      <w:r w:rsidRPr="00454167">
        <w:t xml:space="preserve"> ethical approval was sought from the university’s ethics committee (Appendix 1) to act within BERA (2018) guidelines.  This ensured that the research would be carried out following the Education Workforce Council (EWC) (2023) code of conduct that safeguards the interests of learners, parents and the public, thus maintaining public trust and confidence in the education workforce.  It is a legal requirement in Wales for teaching practitioners to be a member of the EWC and abide by the code of practice always maintaining professional conduct and integrity</w:t>
      </w:r>
      <w:r w:rsidR="0030012D">
        <w:t xml:space="preserve"> w</w:t>
      </w:r>
      <w:r w:rsidR="00AA6D1F">
        <w:t xml:space="preserve">hich the researcher </w:t>
      </w:r>
      <w:r w:rsidR="00E34167">
        <w:t>complied with.</w:t>
      </w:r>
    </w:p>
    <w:p w14:paraId="0DF246C8" w14:textId="59555C32" w:rsidR="00E35CF2" w:rsidRPr="00454167" w:rsidRDefault="00E35CF2" w:rsidP="00E35CF2">
      <w:pPr>
        <w:pStyle w:val="NoSpacing"/>
        <w:spacing w:line="480" w:lineRule="auto"/>
        <w:jc w:val="both"/>
      </w:pPr>
      <w:r w:rsidRPr="00454167">
        <w:t>Before carrying out research, consent was gained from parental figures (appendix 2) and informed assent was gained from the learners themselves.  A script (appendix 3) was read out to pupils at the beginning of a lesson before the research took place thus ensuring they were aware that their participation in both the observation and questionnaire was voluntary and that they had the right to withdraw.  Participants were also given a debrief at the end of the lesson and thanked for their participation as well as making them aware that they could ask for details of the research later</w:t>
      </w:r>
      <w:r w:rsidR="008C5475">
        <w:t>,</w:t>
      </w:r>
      <w:r w:rsidRPr="00454167">
        <w:t xml:space="preserve"> thus ensuring that they felt valued.</w:t>
      </w:r>
    </w:p>
    <w:p w14:paraId="22921E08" w14:textId="77777777" w:rsidR="00E35CF2" w:rsidRPr="00454167" w:rsidRDefault="00E35CF2" w:rsidP="00E35CF2">
      <w:pPr>
        <w:spacing w:line="480" w:lineRule="auto"/>
        <w:jc w:val="both"/>
      </w:pPr>
      <w:r w:rsidRPr="00454167">
        <w:t>No names were recorded from participants thus ensuring that their anonymity was protected, as well as reducing any risk of any power imbalance that may have led to coerced or biased responses.  All data that was recorded was kept on encrypted storage of the university and all paper copies of the questionnaire (appendix 4) and observation recording sheets (appendix 5 and 6) were kept in a locked filling cabinet in line with BERA (2018) guidelines thus ensuring confidentiality.</w:t>
      </w:r>
    </w:p>
    <w:p w14:paraId="5A96D54C" w14:textId="77777777" w:rsidR="00E35CF2" w:rsidRPr="00454167" w:rsidRDefault="00E35CF2" w:rsidP="00E35CF2">
      <w:pPr>
        <w:spacing w:line="480" w:lineRule="auto"/>
        <w:jc w:val="both"/>
        <w:rPr>
          <w:u w:val="single"/>
        </w:rPr>
      </w:pPr>
    </w:p>
    <w:p w14:paraId="6781ADE2" w14:textId="77777777" w:rsidR="00E35CF2" w:rsidRPr="00454167" w:rsidRDefault="00E35CF2" w:rsidP="00E35CF2">
      <w:pPr>
        <w:spacing w:line="480" w:lineRule="auto"/>
        <w:jc w:val="center"/>
        <w:rPr>
          <w:u w:val="single"/>
        </w:rPr>
      </w:pPr>
      <w:r w:rsidRPr="00454167">
        <w:rPr>
          <w:u w:val="single"/>
        </w:rPr>
        <w:t>Data Presentation, Results and Discussion</w:t>
      </w:r>
    </w:p>
    <w:p w14:paraId="74F898CE" w14:textId="77777777" w:rsidR="00E35CF2" w:rsidRPr="00454167" w:rsidRDefault="00E35CF2" w:rsidP="00E35CF2">
      <w:pPr>
        <w:spacing w:line="480" w:lineRule="auto"/>
        <w:jc w:val="both"/>
      </w:pPr>
    </w:p>
    <w:p w14:paraId="000B11A6" w14:textId="77777777" w:rsidR="00E35CF2" w:rsidRPr="00454167" w:rsidRDefault="00E35CF2" w:rsidP="00E35CF2">
      <w:pPr>
        <w:spacing w:line="480" w:lineRule="auto"/>
        <w:jc w:val="both"/>
      </w:pPr>
      <w:r w:rsidRPr="00454167">
        <w:t>The data from the questionnaires was entered into IBM SPSS (2024) to be analysed.  Firstly, as recommended by Coolican (1999), the data is presented in a table 1 below, comprising of descriptive statistics including the mean, mode, standard deviation and cumulative frequency of positive answers.  This allows for simple comparisons to be made between the two lessons.</w:t>
      </w:r>
    </w:p>
    <w:p w14:paraId="43B0B5B1" w14:textId="77777777" w:rsidR="00E35CF2" w:rsidRPr="00454167" w:rsidRDefault="00E35CF2" w:rsidP="00E35CF2">
      <w:pPr>
        <w:spacing w:line="480" w:lineRule="auto"/>
        <w:jc w:val="both"/>
      </w:pPr>
    </w:p>
    <w:p w14:paraId="6D371D78" w14:textId="77777777" w:rsidR="00E35CF2" w:rsidRPr="00454167" w:rsidRDefault="00E35CF2" w:rsidP="00E35CF2">
      <w:pPr>
        <w:spacing w:line="480" w:lineRule="auto"/>
        <w:jc w:val="both"/>
        <w:rPr>
          <w:u w:val="single"/>
        </w:rPr>
      </w:pPr>
    </w:p>
    <w:p w14:paraId="767267B9" w14:textId="77777777" w:rsidR="00E35CF2" w:rsidRPr="00454167" w:rsidRDefault="00E35CF2" w:rsidP="00E35CF2">
      <w:pPr>
        <w:spacing w:line="480" w:lineRule="auto"/>
        <w:jc w:val="both"/>
        <w:rPr>
          <w:u w:val="single"/>
        </w:rPr>
      </w:pPr>
    </w:p>
    <w:p w14:paraId="1E020A09" w14:textId="77777777" w:rsidR="00E35CF2" w:rsidRPr="00454167" w:rsidRDefault="00E35CF2" w:rsidP="00E35CF2">
      <w:pPr>
        <w:spacing w:line="480" w:lineRule="auto"/>
        <w:jc w:val="both"/>
        <w:rPr>
          <w:u w:val="single"/>
        </w:rPr>
      </w:pPr>
    </w:p>
    <w:p w14:paraId="4F47CF6A" w14:textId="77777777" w:rsidR="00E35CF2" w:rsidRPr="00454167" w:rsidRDefault="00E35CF2" w:rsidP="00E35CF2">
      <w:pPr>
        <w:spacing w:line="480" w:lineRule="auto"/>
        <w:jc w:val="both"/>
        <w:rPr>
          <w:u w:val="single"/>
        </w:rPr>
      </w:pPr>
    </w:p>
    <w:p w14:paraId="10ECEEAD" w14:textId="77777777" w:rsidR="00E35CF2" w:rsidRPr="00454167" w:rsidRDefault="00E35CF2" w:rsidP="00E35CF2">
      <w:pPr>
        <w:spacing w:line="480" w:lineRule="auto"/>
        <w:jc w:val="both"/>
        <w:rPr>
          <w:u w:val="single"/>
        </w:rPr>
      </w:pPr>
    </w:p>
    <w:p w14:paraId="6C8D1C2A" w14:textId="77777777" w:rsidR="00E35CF2" w:rsidRPr="00454167" w:rsidRDefault="00E35CF2" w:rsidP="00E35CF2">
      <w:pPr>
        <w:spacing w:line="480" w:lineRule="auto"/>
        <w:jc w:val="both"/>
        <w:rPr>
          <w:u w:val="single"/>
        </w:rPr>
      </w:pPr>
    </w:p>
    <w:p w14:paraId="7C7E75BC" w14:textId="77777777" w:rsidR="00E35CF2" w:rsidRDefault="00E35CF2" w:rsidP="00E35CF2">
      <w:pPr>
        <w:spacing w:line="480" w:lineRule="auto"/>
        <w:jc w:val="both"/>
        <w:rPr>
          <w:u w:val="single"/>
        </w:rPr>
      </w:pPr>
    </w:p>
    <w:p w14:paraId="1A779E84" w14:textId="77777777" w:rsidR="00E35CF2" w:rsidRPr="00454167" w:rsidRDefault="00E35CF2" w:rsidP="00E35CF2">
      <w:pPr>
        <w:spacing w:line="480" w:lineRule="auto"/>
        <w:jc w:val="both"/>
        <w:rPr>
          <w:u w:val="single"/>
        </w:rPr>
      </w:pPr>
    </w:p>
    <w:p w14:paraId="7A08F31C" w14:textId="77777777" w:rsidR="00E35CF2" w:rsidRPr="00454167" w:rsidRDefault="00E35CF2" w:rsidP="00E35CF2">
      <w:pPr>
        <w:spacing w:line="480" w:lineRule="auto"/>
        <w:jc w:val="both"/>
        <w:rPr>
          <w:u w:val="single"/>
        </w:rPr>
      </w:pPr>
    </w:p>
    <w:p w14:paraId="5664F7FF" w14:textId="77777777" w:rsidR="00E35CF2" w:rsidRDefault="00E35CF2" w:rsidP="00E35CF2">
      <w:pPr>
        <w:spacing w:line="480" w:lineRule="auto"/>
        <w:jc w:val="center"/>
        <w:rPr>
          <w:u w:val="single"/>
        </w:rPr>
      </w:pPr>
    </w:p>
    <w:p w14:paraId="3AD7CB8B" w14:textId="77777777" w:rsidR="00E35CF2" w:rsidRDefault="00E35CF2" w:rsidP="00E35CF2">
      <w:pPr>
        <w:spacing w:line="480" w:lineRule="auto"/>
        <w:jc w:val="center"/>
        <w:rPr>
          <w:u w:val="single"/>
        </w:rPr>
      </w:pPr>
    </w:p>
    <w:p w14:paraId="6E6ED9CF" w14:textId="77777777" w:rsidR="00E35CF2" w:rsidRDefault="00E35CF2" w:rsidP="00E35CF2">
      <w:pPr>
        <w:spacing w:line="480" w:lineRule="auto"/>
        <w:jc w:val="center"/>
        <w:rPr>
          <w:u w:val="single"/>
        </w:rPr>
      </w:pPr>
    </w:p>
    <w:p w14:paraId="44636C1D" w14:textId="03A86672" w:rsidR="00E35CF2" w:rsidRPr="00454167" w:rsidRDefault="00E35CF2" w:rsidP="00E35CF2">
      <w:pPr>
        <w:spacing w:line="480" w:lineRule="auto"/>
        <w:jc w:val="center"/>
        <w:rPr>
          <w:u w:val="single"/>
        </w:rPr>
      </w:pPr>
      <w:r w:rsidRPr="00454167">
        <w:rPr>
          <w:u w:val="single"/>
        </w:rPr>
        <w:t>Table 1</w:t>
      </w:r>
    </w:p>
    <w:p w14:paraId="35376097" w14:textId="77777777" w:rsidR="00E35CF2" w:rsidRPr="00454167" w:rsidRDefault="00E35CF2" w:rsidP="00E35CF2">
      <w:pPr>
        <w:spacing w:line="480" w:lineRule="auto"/>
        <w:jc w:val="center"/>
        <w:rPr>
          <w:u w:val="single"/>
        </w:rPr>
      </w:pPr>
      <w:r w:rsidRPr="00454167">
        <w:rPr>
          <w:u w:val="single"/>
        </w:rPr>
        <w:t>Comparisons between Lesson 1 and Lesson 2</w:t>
      </w:r>
    </w:p>
    <w:tbl>
      <w:tblPr>
        <w:tblStyle w:val="TableGrid"/>
        <w:tblW w:w="10781" w:type="dxa"/>
        <w:tblInd w:w="-712" w:type="dxa"/>
        <w:tblLook w:val="04A0" w:firstRow="1" w:lastRow="0" w:firstColumn="1" w:lastColumn="0" w:noHBand="0" w:noVBand="1"/>
      </w:tblPr>
      <w:tblGrid>
        <w:gridCol w:w="1743"/>
        <w:gridCol w:w="955"/>
        <w:gridCol w:w="955"/>
        <w:gridCol w:w="955"/>
        <w:gridCol w:w="955"/>
        <w:gridCol w:w="1197"/>
        <w:gridCol w:w="1197"/>
        <w:gridCol w:w="1412"/>
        <w:gridCol w:w="1412"/>
      </w:tblGrid>
      <w:tr w:rsidR="00E35CF2" w:rsidRPr="00454167" w14:paraId="1CDEF35C" w14:textId="77777777" w:rsidTr="00E35CF2">
        <w:trPr>
          <w:trHeight w:val="586"/>
        </w:trPr>
        <w:tc>
          <w:tcPr>
            <w:tcW w:w="1743" w:type="dxa"/>
          </w:tcPr>
          <w:p w14:paraId="28814258" w14:textId="77777777" w:rsidR="00E35CF2" w:rsidRPr="00454167" w:rsidRDefault="00E35CF2" w:rsidP="003A5290">
            <w:pPr>
              <w:spacing w:line="480" w:lineRule="auto"/>
              <w:jc w:val="both"/>
            </w:pPr>
            <w:r w:rsidRPr="00454167">
              <w:t>Question</w:t>
            </w:r>
          </w:p>
        </w:tc>
        <w:tc>
          <w:tcPr>
            <w:tcW w:w="955" w:type="dxa"/>
          </w:tcPr>
          <w:p w14:paraId="01DAFA5F" w14:textId="77777777" w:rsidR="00E35CF2" w:rsidRPr="00454167" w:rsidRDefault="00E35CF2" w:rsidP="003A5290">
            <w:pPr>
              <w:spacing w:line="480" w:lineRule="auto"/>
              <w:jc w:val="both"/>
            </w:pPr>
            <w:r w:rsidRPr="00454167">
              <w:t>Mean</w:t>
            </w:r>
          </w:p>
        </w:tc>
        <w:tc>
          <w:tcPr>
            <w:tcW w:w="955" w:type="dxa"/>
          </w:tcPr>
          <w:p w14:paraId="48C3BE2A" w14:textId="77777777" w:rsidR="00E35CF2" w:rsidRPr="00454167" w:rsidRDefault="00E35CF2" w:rsidP="003A5290">
            <w:pPr>
              <w:spacing w:line="480" w:lineRule="auto"/>
              <w:jc w:val="both"/>
            </w:pPr>
            <w:r w:rsidRPr="00454167">
              <w:t>Mean</w:t>
            </w:r>
          </w:p>
        </w:tc>
        <w:tc>
          <w:tcPr>
            <w:tcW w:w="955" w:type="dxa"/>
          </w:tcPr>
          <w:p w14:paraId="18633F2F" w14:textId="77777777" w:rsidR="00E35CF2" w:rsidRPr="00454167" w:rsidRDefault="00E35CF2" w:rsidP="003A5290">
            <w:pPr>
              <w:spacing w:line="480" w:lineRule="auto"/>
              <w:jc w:val="both"/>
            </w:pPr>
            <w:r w:rsidRPr="00454167">
              <w:t>Mode</w:t>
            </w:r>
          </w:p>
        </w:tc>
        <w:tc>
          <w:tcPr>
            <w:tcW w:w="955" w:type="dxa"/>
          </w:tcPr>
          <w:p w14:paraId="327BA419" w14:textId="77777777" w:rsidR="00E35CF2" w:rsidRPr="00454167" w:rsidRDefault="00E35CF2" w:rsidP="003A5290">
            <w:pPr>
              <w:spacing w:line="480" w:lineRule="auto"/>
              <w:jc w:val="both"/>
            </w:pPr>
            <w:r w:rsidRPr="00454167">
              <w:t>Mode</w:t>
            </w:r>
          </w:p>
        </w:tc>
        <w:tc>
          <w:tcPr>
            <w:tcW w:w="1197" w:type="dxa"/>
          </w:tcPr>
          <w:p w14:paraId="4C532B7F" w14:textId="77777777" w:rsidR="00E35CF2" w:rsidRPr="00454167" w:rsidRDefault="00E35CF2" w:rsidP="003A5290">
            <w:pPr>
              <w:spacing w:line="480" w:lineRule="auto"/>
              <w:jc w:val="both"/>
            </w:pPr>
            <w:r w:rsidRPr="00454167">
              <w:t>Standard Deviation</w:t>
            </w:r>
          </w:p>
        </w:tc>
        <w:tc>
          <w:tcPr>
            <w:tcW w:w="1197" w:type="dxa"/>
          </w:tcPr>
          <w:p w14:paraId="2DB88DDD" w14:textId="77777777" w:rsidR="00E35CF2" w:rsidRPr="00454167" w:rsidRDefault="00E35CF2" w:rsidP="003A5290">
            <w:pPr>
              <w:spacing w:line="480" w:lineRule="auto"/>
              <w:jc w:val="both"/>
            </w:pPr>
            <w:r w:rsidRPr="00454167">
              <w:t>Standard Deviation</w:t>
            </w:r>
          </w:p>
        </w:tc>
        <w:tc>
          <w:tcPr>
            <w:tcW w:w="1412" w:type="dxa"/>
          </w:tcPr>
          <w:p w14:paraId="1C273240" w14:textId="77777777" w:rsidR="00E35CF2" w:rsidRPr="00454167" w:rsidRDefault="00E35CF2" w:rsidP="003A5290">
            <w:pPr>
              <w:spacing w:line="480" w:lineRule="auto"/>
              <w:jc w:val="both"/>
            </w:pPr>
            <w:r w:rsidRPr="00454167">
              <w:t>Cumulative % That agree or Strongly Agree</w:t>
            </w:r>
          </w:p>
        </w:tc>
        <w:tc>
          <w:tcPr>
            <w:tcW w:w="1412" w:type="dxa"/>
          </w:tcPr>
          <w:p w14:paraId="26BF885C" w14:textId="77777777" w:rsidR="00E35CF2" w:rsidRPr="00454167" w:rsidRDefault="00E35CF2" w:rsidP="003A5290">
            <w:pPr>
              <w:spacing w:line="480" w:lineRule="auto"/>
              <w:jc w:val="both"/>
            </w:pPr>
            <w:r w:rsidRPr="00454167">
              <w:t>Cumulative % That agree or Strongly Agree</w:t>
            </w:r>
          </w:p>
        </w:tc>
      </w:tr>
      <w:tr w:rsidR="00E35CF2" w:rsidRPr="00454167" w14:paraId="71B773EF" w14:textId="77777777" w:rsidTr="00E35CF2">
        <w:trPr>
          <w:trHeight w:val="586"/>
        </w:trPr>
        <w:tc>
          <w:tcPr>
            <w:tcW w:w="1743" w:type="dxa"/>
          </w:tcPr>
          <w:p w14:paraId="302AE445" w14:textId="77777777" w:rsidR="00E35CF2" w:rsidRPr="00454167" w:rsidRDefault="00E35CF2" w:rsidP="003A5290">
            <w:pPr>
              <w:spacing w:line="480" w:lineRule="auto"/>
              <w:jc w:val="both"/>
            </w:pPr>
          </w:p>
        </w:tc>
        <w:tc>
          <w:tcPr>
            <w:tcW w:w="955" w:type="dxa"/>
          </w:tcPr>
          <w:p w14:paraId="7883E85B" w14:textId="77777777" w:rsidR="00E35CF2" w:rsidRPr="00454167" w:rsidRDefault="00E35CF2" w:rsidP="003A5290">
            <w:pPr>
              <w:spacing w:line="480" w:lineRule="auto"/>
              <w:jc w:val="both"/>
            </w:pPr>
            <w:r w:rsidRPr="00454167">
              <w:t>Lesson 1</w:t>
            </w:r>
          </w:p>
        </w:tc>
        <w:tc>
          <w:tcPr>
            <w:tcW w:w="955" w:type="dxa"/>
          </w:tcPr>
          <w:p w14:paraId="7775DB39" w14:textId="77777777" w:rsidR="00E35CF2" w:rsidRPr="00454167" w:rsidRDefault="00E35CF2" w:rsidP="003A5290">
            <w:pPr>
              <w:spacing w:line="480" w:lineRule="auto"/>
              <w:jc w:val="both"/>
            </w:pPr>
            <w:r w:rsidRPr="00454167">
              <w:t>Lesson 2</w:t>
            </w:r>
          </w:p>
        </w:tc>
        <w:tc>
          <w:tcPr>
            <w:tcW w:w="955" w:type="dxa"/>
          </w:tcPr>
          <w:p w14:paraId="7F6816C2" w14:textId="77777777" w:rsidR="00E35CF2" w:rsidRPr="00454167" w:rsidRDefault="00E35CF2" w:rsidP="003A5290">
            <w:pPr>
              <w:spacing w:line="480" w:lineRule="auto"/>
              <w:jc w:val="both"/>
            </w:pPr>
            <w:r w:rsidRPr="00454167">
              <w:t>Lesson 1</w:t>
            </w:r>
          </w:p>
        </w:tc>
        <w:tc>
          <w:tcPr>
            <w:tcW w:w="955" w:type="dxa"/>
          </w:tcPr>
          <w:p w14:paraId="573E16D2" w14:textId="77777777" w:rsidR="00E35CF2" w:rsidRPr="00454167" w:rsidRDefault="00E35CF2" w:rsidP="003A5290">
            <w:pPr>
              <w:spacing w:line="480" w:lineRule="auto"/>
              <w:jc w:val="both"/>
            </w:pPr>
            <w:r w:rsidRPr="00454167">
              <w:t>Lesson 2</w:t>
            </w:r>
          </w:p>
        </w:tc>
        <w:tc>
          <w:tcPr>
            <w:tcW w:w="1197" w:type="dxa"/>
          </w:tcPr>
          <w:p w14:paraId="03FE6A5B" w14:textId="77777777" w:rsidR="00E35CF2" w:rsidRPr="00454167" w:rsidRDefault="00E35CF2" w:rsidP="003A5290">
            <w:pPr>
              <w:spacing w:line="480" w:lineRule="auto"/>
              <w:jc w:val="both"/>
            </w:pPr>
            <w:r w:rsidRPr="00454167">
              <w:t>Lesson 1</w:t>
            </w:r>
          </w:p>
        </w:tc>
        <w:tc>
          <w:tcPr>
            <w:tcW w:w="1197" w:type="dxa"/>
          </w:tcPr>
          <w:p w14:paraId="5242E665" w14:textId="77777777" w:rsidR="00E35CF2" w:rsidRPr="00454167" w:rsidRDefault="00E35CF2" w:rsidP="003A5290">
            <w:pPr>
              <w:spacing w:line="480" w:lineRule="auto"/>
              <w:jc w:val="both"/>
            </w:pPr>
            <w:r w:rsidRPr="00454167">
              <w:t>Lesson 2</w:t>
            </w:r>
          </w:p>
        </w:tc>
        <w:tc>
          <w:tcPr>
            <w:tcW w:w="1412" w:type="dxa"/>
          </w:tcPr>
          <w:p w14:paraId="6B8D9984" w14:textId="77777777" w:rsidR="00E35CF2" w:rsidRPr="00454167" w:rsidRDefault="00E35CF2" w:rsidP="003A5290">
            <w:pPr>
              <w:spacing w:line="480" w:lineRule="auto"/>
              <w:jc w:val="both"/>
            </w:pPr>
            <w:r w:rsidRPr="00454167">
              <w:t>Lesson 1</w:t>
            </w:r>
          </w:p>
        </w:tc>
        <w:tc>
          <w:tcPr>
            <w:tcW w:w="1412" w:type="dxa"/>
          </w:tcPr>
          <w:p w14:paraId="32473B37" w14:textId="77777777" w:rsidR="00E35CF2" w:rsidRPr="00454167" w:rsidRDefault="00E35CF2" w:rsidP="003A5290">
            <w:pPr>
              <w:spacing w:line="480" w:lineRule="auto"/>
              <w:jc w:val="both"/>
            </w:pPr>
            <w:r w:rsidRPr="00454167">
              <w:t>Lesson 2</w:t>
            </w:r>
          </w:p>
        </w:tc>
      </w:tr>
      <w:tr w:rsidR="00E35CF2" w:rsidRPr="00454167" w14:paraId="7AC11B04" w14:textId="77777777" w:rsidTr="00E35CF2">
        <w:trPr>
          <w:trHeight w:val="610"/>
        </w:trPr>
        <w:tc>
          <w:tcPr>
            <w:tcW w:w="1743" w:type="dxa"/>
          </w:tcPr>
          <w:p w14:paraId="25E7988E" w14:textId="77777777" w:rsidR="00E35CF2" w:rsidRPr="00454167" w:rsidRDefault="00E35CF2" w:rsidP="003A5290">
            <w:pPr>
              <w:spacing w:line="480" w:lineRule="auto"/>
              <w:jc w:val="both"/>
            </w:pPr>
            <w:r w:rsidRPr="00454167">
              <w:t>Listen</w:t>
            </w:r>
          </w:p>
        </w:tc>
        <w:tc>
          <w:tcPr>
            <w:tcW w:w="955" w:type="dxa"/>
          </w:tcPr>
          <w:p w14:paraId="40D43576" w14:textId="77777777" w:rsidR="00E35CF2" w:rsidRPr="00454167" w:rsidRDefault="00E35CF2" w:rsidP="003A5290">
            <w:pPr>
              <w:spacing w:line="480" w:lineRule="auto"/>
              <w:jc w:val="both"/>
            </w:pPr>
            <w:r w:rsidRPr="00454167">
              <w:t>4.21</w:t>
            </w:r>
          </w:p>
        </w:tc>
        <w:tc>
          <w:tcPr>
            <w:tcW w:w="955" w:type="dxa"/>
          </w:tcPr>
          <w:p w14:paraId="2813BA59" w14:textId="77777777" w:rsidR="00E35CF2" w:rsidRPr="00454167" w:rsidRDefault="00E35CF2" w:rsidP="003A5290">
            <w:pPr>
              <w:spacing w:line="480" w:lineRule="auto"/>
              <w:jc w:val="both"/>
            </w:pPr>
            <w:r w:rsidRPr="00454167">
              <w:t>4.2</w:t>
            </w:r>
          </w:p>
        </w:tc>
        <w:tc>
          <w:tcPr>
            <w:tcW w:w="955" w:type="dxa"/>
          </w:tcPr>
          <w:p w14:paraId="17E0B0F1" w14:textId="77777777" w:rsidR="00E35CF2" w:rsidRPr="00454167" w:rsidRDefault="00E35CF2" w:rsidP="003A5290">
            <w:pPr>
              <w:spacing w:line="480" w:lineRule="auto"/>
              <w:jc w:val="both"/>
            </w:pPr>
            <w:r w:rsidRPr="00454167">
              <w:t>4</w:t>
            </w:r>
          </w:p>
        </w:tc>
        <w:tc>
          <w:tcPr>
            <w:tcW w:w="955" w:type="dxa"/>
          </w:tcPr>
          <w:p w14:paraId="21F0C167" w14:textId="77777777" w:rsidR="00E35CF2" w:rsidRPr="00454167" w:rsidRDefault="00E35CF2" w:rsidP="003A5290">
            <w:pPr>
              <w:spacing w:line="480" w:lineRule="auto"/>
              <w:jc w:val="both"/>
            </w:pPr>
            <w:r w:rsidRPr="00454167">
              <w:t>5</w:t>
            </w:r>
          </w:p>
        </w:tc>
        <w:tc>
          <w:tcPr>
            <w:tcW w:w="1197" w:type="dxa"/>
          </w:tcPr>
          <w:p w14:paraId="2C385A92" w14:textId="77777777" w:rsidR="00E35CF2" w:rsidRPr="00454167" w:rsidRDefault="00E35CF2" w:rsidP="003A5290">
            <w:pPr>
              <w:spacing w:line="480" w:lineRule="auto"/>
              <w:jc w:val="both"/>
            </w:pPr>
            <w:r w:rsidRPr="00454167">
              <w:t>0.71</w:t>
            </w:r>
          </w:p>
        </w:tc>
        <w:tc>
          <w:tcPr>
            <w:tcW w:w="1197" w:type="dxa"/>
          </w:tcPr>
          <w:p w14:paraId="08F757D4" w14:textId="77777777" w:rsidR="00E35CF2" w:rsidRPr="00454167" w:rsidRDefault="00E35CF2" w:rsidP="003A5290">
            <w:pPr>
              <w:spacing w:line="480" w:lineRule="auto"/>
              <w:jc w:val="both"/>
            </w:pPr>
            <w:r w:rsidRPr="00454167">
              <w:t>0.89</w:t>
            </w:r>
          </w:p>
        </w:tc>
        <w:tc>
          <w:tcPr>
            <w:tcW w:w="1412" w:type="dxa"/>
          </w:tcPr>
          <w:p w14:paraId="13F109C1" w14:textId="77777777" w:rsidR="00E35CF2" w:rsidRPr="00454167" w:rsidRDefault="00E35CF2" w:rsidP="003A5290">
            <w:pPr>
              <w:spacing w:line="480" w:lineRule="auto"/>
              <w:jc w:val="both"/>
            </w:pPr>
            <w:r w:rsidRPr="00454167">
              <w:t>84.2</w:t>
            </w:r>
          </w:p>
        </w:tc>
        <w:tc>
          <w:tcPr>
            <w:tcW w:w="1412" w:type="dxa"/>
          </w:tcPr>
          <w:p w14:paraId="210FEB43" w14:textId="77777777" w:rsidR="00E35CF2" w:rsidRPr="00454167" w:rsidRDefault="00E35CF2" w:rsidP="003A5290">
            <w:pPr>
              <w:spacing w:line="480" w:lineRule="auto"/>
              <w:jc w:val="both"/>
            </w:pPr>
            <w:r w:rsidRPr="00454167">
              <w:t>80</w:t>
            </w:r>
          </w:p>
        </w:tc>
      </w:tr>
      <w:tr w:rsidR="00E35CF2" w:rsidRPr="00454167" w14:paraId="0B36D2E2" w14:textId="77777777" w:rsidTr="00E35CF2">
        <w:trPr>
          <w:trHeight w:val="586"/>
        </w:trPr>
        <w:tc>
          <w:tcPr>
            <w:tcW w:w="1743" w:type="dxa"/>
          </w:tcPr>
          <w:p w14:paraId="5D3652B3" w14:textId="77777777" w:rsidR="00E35CF2" w:rsidRPr="00454167" w:rsidRDefault="00E35CF2" w:rsidP="003A5290">
            <w:pPr>
              <w:spacing w:line="480" w:lineRule="auto"/>
              <w:jc w:val="both"/>
            </w:pPr>
            <w:r w:rsidRPr="00454167">
              <w:t>Attention</w:t>
            </w:r>
          </w:p>
        </w:tc>
        <w:tc>
          <w:tcPr>
            <w:tcW w:w="955" w:type="dxa"/>
          </w:tcPr>
          <w:p w14:paraId="080F8CC0" w14:textId="77777777" w:rsidR="00E35CF2" w:rsidRPr="00454167" w:rsidRDefault="00E35CF2" w:rsidP="003A5290">
            <w:pPr>
              <w:spacing w:line="480" w:lineRule="auto"/>
              <w:jc w:val="both"/>
            </w:pPr>
            <w:r w:rsidRPr="00454167">
              <w:t>4.05</w:t>
            </w:r>
          </w:p>
        </w:tc>
        <w:tc>
          <w:tcPr>
            <w:tcW w:w="955" w:type="dxa"/>
          </w:tcPr>
          <w:p w14:paraId="57974E8E" w14:textId="77777777" w:rsidR="00E35CF2" w:rsidRPr="00454167" w:rsidRDefault="00E35CF2" w:rsidP="003A5290">
            <w:pPr>
              <w:spacing w:line="480" w:lineRule="auto"/>
              <w:jc w:val="both"/>
            </w:pPr>
            <w:r w:rsidRPr="00454167">
              <w:t>4.2</w:t>
            </w:r>
          </w:p>
        </w:tc>
        <w:tc>
          <w:tcPr>
            <w:tcW w:w="955" w:type="dxa"/>
          </w:tcPr>
          <w:p w14:paraId="62AD8F40" w14:textId="77777777" w:rsidR="00E35CF2" w:rsidRPr="00454167" w:rsidRDefault="00E35CF2" w:rsidP="003A5290">
            <w:pPr>
              <w:spacing w:line="480" w:lineRule="auto"/>
              <w:jc w:val="both"/>
            </w:pPr>
            <w:r w:rsidRPr="00454167">
              <w:t>4</w:t>
            </w:r>
          </w:p>
        </w:tc>
        <w:tc>
          <w:tcPr>
            <w:tcW w:w="955" w:type="dxa"/>
          </w:tcPr>
          <w:p w14:paraId="375D7925" w14:textId="77777777" w:rsidR="00E35CF2" w:rsidRPr="00454167" w:rsidRDefault="00E35CF2" w:rsidP="003A5290">
            <w:pPr>
              <w:spacing w:line="480" w:lineRule="auto"/>
              <w:jc w:val="both"/>
            </w:pPr>
            <w:r w:rsidRPr="00454167">
              <w:t>5</w:t>
            </w:r>
          </w:p>
        </w:tc>
        <w:tc>
          <w:tcPr>
            <w:tcW w:w="1197" w:type="dxa"/>
          </w:tcPr>
          <w:p w14:paraId="17FD53B1" w14:textId="77777777" w:rsidR="00E35CF2" w:rsidRPr="00454167" w:rsidRDefault="00E35CF2" w:rsidP="003A5290">
            <w:pPr>
              <w:spacing w:line="480" w:lineRule="auto"/>
              <w:jc w:val="both"/>
            </w:pPr>
            <w:r w:rsidRPr="00454167">
              <w:t>0.97</w:t>
            </w:r>
          </w:p>
        </w:tc>
        <w:tc>
          <w:tcPr>
            <w:tcW w:w="1197" w:type="dxa"/>
          </w:tcPr>
          <w:p w14:paraId="6C805935" w14:textId="77777777" w:rsidR="00E35CF2" w:rsidRPr="00454167" w:rsidRDefault="00E35CF2" w:rsidP="003A5290">
            <w:pPr>
              <w:spacing w:line="480" w:lineRule="auto"/>
              <w:jc w:val="both"/>
            </w:pPr>
            <w:r w:rsidRPr="00454167">
              <w:t>0.89</w:t>
            </w:r>
          </w:p>
        </w:tc>
        <w:tc>
          <w:tcPr>
            <w:tcW w:w="1412" w:type="dxa"/>
          </w:tcPr>
          <w:p w14:paraId="12EB3108" w14:textId="77777777" w:rsidR="00E35CF2" w:rsidRPr="00454167" w:rsidRDefault="00E35CF2" w:rsidP="003A5290">
            <w:pPr>
              <w:spacing w:line="480" w:lineRule="auto"/>
              <w:jc w:val="both"/>
            </w:pPr>
            <w:r w:rsidRPr="00454167">
              <w:t>78.9</w:t>
            </w:r>
          </w:p>
        </w:tc>
        <w:tc>
          <w:tcPr>
            <w:tcW w:w="1412" w:type="dxa"/>
          </w:tcPr>
          <w:p w14:paraId="63C4AD3C" w14:textId="77777777" w:rsidR="00E35CF2" w:rsidRPr="00454167" w:rsidRDefault="00E35CF2" w:rsidP="003A5290">
            <w:pPr>
              <w:spacing w:line="480" w:lineRule="auto"/>
              <w:jc w:val="both"/>
            </w:pPr>
            <w:r w:rsidRPr="00454167">
              <w:t>80</w:t>
            </w:r>
          </w:p>
        </w:tc>
      </w:tr>
      <w:tr w:rsidR="00E35CF2" w:rsidRPr="00454167" w14:paraId="402E5A80" w14:textId="77777777" w:rsidTr="00E35CF2">
        <w:trPr>
          <w:trHeight w:val="586"/>
        </w:trPr>
        <w:tc>
          <w:tcPr>
            <w:tcW w:w="1743" w:type="dxa"/>
          </w:tcPr>
          <w:p w14:paraId="5144D3C9" w14:textId="77777777" w:rsidR="00E35CF2" w:rsidRPr="00454167" w:rsidRDefault="00E35CF2" w:rsidP="003A5290">
            <w:pPr>
              <w:spacing w:line="480" w:lineRule="auto"/>
              <w:jc w:val="both"/>
            </w:pPr>
            <w:r w:rsidRPr="00454167">
              <w:t>More Attention</w:t>
            </w:r>
          </w:p>
        </w:tc>
        <w:tc>
          <w:tcPr>
            <w:tcW w:w="955" w:type="dxa"/>
          </w:tcPr>
          <w:p w14:paraId="587D9BE3" w14:textId="77777777" w:rsidR="00E35CF2" w:rsidRPr="00454167" w:rsidRDefault="00E35CF2" w:rsidP="003A5290">
            <w:pPr>
              <w:spacing w:line="480" w:lineRule="auto"/>
              <w:jc w:val="both"/>
            </w:pPr>
            <w:r w:rsidRPr="00454167">
              <w:t>3.47</w:t>
            </w:r>
          </w:p>
        </w:tc>
        <w:tc>
          <w:tcPr>
            <w:tcW w:w="955" w:type="dxa"/>
          </w:tcPr>
          <w:p w14:paraId="65D23372" w14:textId="77777777" w:rsidR="00E35CF2" w:rsidRPr="00454167" w:rsidRDefault="00E35CF2" w:rsidP="003A5290">
            <w:pPr>
              <w:spacing w:line="480" w:lineRule="auto"/>
              <w:jc w:val="both"/>
            </w:pPr>
            <w:r w:rsidRPr="00454167">
              <w:t>3.65</w:t>
            </w:r>
          </w:p>
        </w:tc>
        <w:tc>
          <w:tcPr>
            <w:tcW w:w="955" w:type="dxa"/>
          </w:tcPr>
          <w:p w14:paraId="4C0C9067" w14:textId="77777777" w:rsidR="00E35CF2" w:rsidRPr="00454167" w:rsidRDefault="00E35CF2" w:rsidP="003A5290">
            <w:pPr>
              <w:spacing w:line="480" w:lineRule="auto"/>
              <w:jc w:val="both"/>
            </w:pPr>
            <w:r w:rsidRPr="00454167">
              <w:t>4</w:t>
            </w:r>
          </w:p>
        </w:tc>
        <w:tc>
          <w:tcPr>
            <w:tcW w:w="955" w:type="dxa"/>
          </w:tcPr>
          <w:p w14:paraId="190CA027" w14:textId="77777777" w:rsidR="00E35CF2" w:rsidRPr="00454167" w:rsidRDefault="00E35CF2" w:rsidP="003A5290">
            <w:pPr>
              <w:spacing w:line="480" w:lineRule="auto"/>
              <w:jc w:val="both"/>
            </w:pPr>
            <w:r w:rsidRPr="00454167">
              <w:t>5</w:t>
            </w:r>
          </w:p>
        </w:tc>
        <w:tc>
          <w:tcPr>
            <w:tcW w:w="1197" w:type="dxa"/>
          </w:tcPr>
          <w:p w14:paraId="1468BEC1" w14:textId="77777777" w:rsidR="00E35CF2" w:rsidRPr="00454167" w:rsidRDefault="00E35CF2" w:rsidP="003A5290">
            <w:pPr>
              <w:spacing w:line="480" w:lineRule="auto"/>
              <w:jc w:val="both"/>
            </w:pPr>
            <w:r w:rsidRPr="00454167">
              <w:t>1.17</w:t>
            </w:r>
          </w:p>
        </w:tc>
        <w:tc>
          <w:tcPr>
            <w:tcW w:w="1197" w:type="dxa"/>
          </w:tcPr>
          <w:p w14:paraId="116AA9A3" w14:textId="77777777" w:rsidR="00E35CF2" w:rsidRPr="00454167" w:rsidRDefault="00E35CF2" w:rsidP="003A5290">
            <w:pPr>
              <w:spacing w:line="480" w:lineRule="auto"/>
              <w:jc w:val="both"/>
            </w:pPr>
            <w:r w:rsidRPr="00454167">
              <w:t>1.14</w:t>
            </w:r>
          </w:p>
        </w:tc>
        <w:tc>
          <w:tcPr>
            <w:tcW w:w="1412" w:type="dxa"/>
          </w:tcPr>
          <w:p w14:paraId="43FA9C8B" w14:textId="77777777" w:rsidR="00E35CF2" w:rsidRPr="00454167" w:rsidRDefault="00E35CF2" w:rsidP="003A5290">
            <w:pPr>
              <w:spacing w:line="480" w:lineRule="auto"/>
              <w:jc w:val="both"/>
            </w:pPr>
            <w:r w:rsidRPr="00454167">
              <w:t>57.9</w:t>
            </w:r>
          </w:p>
        </w:tc>
        <w:tc>
          <w:tcPr>
            <w:tcW w:w="1412" w:type="dxa"/>
          </w:tcPr>
          <w:p w14:paraId="00546188" w14:textId="77777777" w:rsidR="00E35CF2" w:rsidRPr="00454167" w:rsidRDefault="00E35CF2" w:rsidP="003A5290">
            <w:pPr>
              <w:spacing w:line="480" w:lineRule="auto"/>
              <w:jc w:val="both"/>
            </w:pPr>
            <w:r w:rsidRPr="00454167">
              <w:t>55</w:t>
            </w:r>
          </w:p>
        </w:tc>
      </w:tr>
      <w:tr w:rsidR="00E35CF2" w:rsidRPr="00454167" w14:paraId="305E7BBA" w14:textId="77777777" w:rsidTr="00E35CF2">
        <w:trPr>
          <w:trHeight w:val="586"/>
        </w:trPr>
        <w:tc>
          <w:tcPr>
            <w:tcW w:w="1743" w:type="dxa"/>
          </w:tcPr>
          <w:p w14:paraId="4D52ADE7" w14:textId="77777777" w:rsidR="00E35CF2" w:rsidRPr="00454167" w:rsidRDefault="00E35CF2" w:rsidP="003A5290">
            <w:pPr>
              <w:spacing w:line="480" w:lineRule="auto"/>
              <w:jc w:val="both"/>
            </w:pPr>
            <w:r w:rsidRPr="00454167">
              <w:t>Helped Understanding</w:t>
            </w:r>
          </w:p>
        </w:tc>
        <w:tc>
          <w:tcPr>
            <w:tcW w:w="955" w:type="dxa"/>
          </w:tcPr>
          <w:p w14:paraId="77E65121" w14:textId="77777777" w:rsidR="00E35CF2" w:rsidRPr="00454167" w:rsidRDefault="00E35CF2" w:rsidP="003A5290">
            <w:pPr>
              <w:spacing w:line="480" w:lineRule="auto"/>
              <w:jc w:val="both"/>
            </w:pPr>
            <w:r w:rsidRPr="00454167">
              <w:t>3.74</w:t>
            </w:r>
          </w:p>
        </w:tc>
        <w:tc>
          <w:tcPr>
            <w:tcW w:w="955" w:type="dxa"/>
          </w:tcPr>
          <w:p w14:paraId="59C35380" w14:textId="77777777" w:rsidR="00E35CF2" w:rsidRPr="00454167" w:rsidRDefault="00E35CF2" w:rsidP="003A5290">
            <w:pPr>
              <w:spacing w:line="480" w:lineRule="auto"/>
              <w:jc w:val="both"/>
            </w:pPr>
            <w:r w:rsidRPr="00454167">
              <w:t>3.65</w:t>
            </w:r>
          </w:p>
        </w:tc>
        <w:tc>
          <w:tcPr>
            <w:tcW w:w="955" w:type="dxa"/>
          </w:tcPr>
          <w:p w14:paraId="356740B9" w14:textId="77777777" w:rsidR="00E35CF2" w:rsidRPr="00454167" w:rsidRDefault="00E35CF2" w:rsidP="003A5290">
            <w:pPr>
              <w:spacing w:line="480" w:lineRule="auto"/>
              <w:jc w:val="both"/>
            </w:pPr>
            <w:r w:rsidRPr="00454167">
              <w:t>3</w:t>
            </w:r>
          </w:p>
        </w:tc>
        <w:tc>
          <w:tcPr>
            <w:tcW w:w="955" w:type="dxa"/>
          </w:tcPr>
          <w:p w14:paraId="552AD046" w14:textId="77777777" w:rsidR="00E35CF2" w:rsidRPr="00454167" w:rsidRDefault="00E35CF2" w:rsidP="003A5290">
            <w:pPr>
              <w:spacing w:line="480" w:lineRule="auto"/>
              <w:jc w:val="both"/>
            </w:pPr>
            <w:r w:rsidRPr="00454167">
              <w:t>4</w:t>
            </w:r>
          </w:p>
        </w:tc>
        <w:tc>
          <w:tcPr>
            <w:tcW w:w="1197" w:type="dxa"/>
          </w:tcPr>
          <w:p w14:paraId="6684E9D0" w14:textId="77777777" w:rsidR="00E35CF2" w:rsidRPr="00454167" w:rsidRDefault="00E35CF2" w:rsidP="003A5290">
            <w:pPr>
              <w:spacing w:line="480" w:lineRule="auto"/>
              <w:jc w:val="both"/>
            </w:pPr>
            <w:r w:rsidRPr="00454167">
              <w:t>0.99</w:t>
            </w:r>
          </w:p>
        </w:tc>
        <w:tc>
          <w:tcPr>
            <w:tcW w:w="1197" w:type="dxa"/>
          </w:tcPr>
          <w:p w14:paraId="140ACF58" w14:textId="77777777" w:rsidR="00E35CF2" w:rsidRPr="00454167" w:rsidRDefault="00E35CF2" w:rsidP="003A5290">
            <w:pPr>
              <w:spacing w:line="480" w:lineRule="auto"/>
              <w:jc w:val="both"/>
            </w:pPr>
            <w:r w:rsidRPr="00454167">
              <w:t>1.04</w:t>
            </w:r>
          </w:p>
        </w:tc>
        <w:tc>
          <w:tcPr>
            <w:tcW w:w="1412" w:type="dxa"/>
          </w:tcPr>
          <w:p w14:paraId="7DC12354" w14:textId="77777777" w:rsidR="00E35CF2" w:rsidRPr="00454167" w:rsidRDefault="00E35CF2" w:rsidP="003A5290">
            <w:pPr>
              <w:spacing w:line="480" w:lineRule="auto"/>
              <w:jc w:val="both"/>
            </w:pPr>
            <w:r w:rsidRPr="00454167">
              <w:t>57.9</w:t>
            </w:r>
          </w:p>
        </w:tc>
        <w:tc>
          <w:tcPr>
            <w:tcW w:w="1412" w:type="dxa"/>
          </w:tcPr>
          <w:p w14:paraId="75754ED7" w14:textId="77777777" w:rsidR="00E35CF2" w:rsidRPr="00454167" w:rsidRDefault="00E35CF2" w:rsidP="003A5290">
            <w:pPr>
              <w:spacing w:line="480" w:lineRule="auto"/>
              <w:jc w:val="both"/>
            </w:pPr>
            <w:r w:rsidRPr="00454167">
              <w:t>55</w:t>
            </w:r>
          </w:p>
        </w:tc>
      </w:tr>
      <w:tr w:rsidR="00E35CF2" w:rsidRPr="00454167" w14:paraId="69287577" w14:textId="77777777" w:rsidTr="00E35CF2">
        <w:trPr>
          <w:trHeight w:val="610"/>
        </w:trPr>
        <w:tc>
          <w:tcPr>
            <w:tcW w:w="1743" w:type="dxa"/>
          </w:tcPr>
          <w:p w14:paraId="33BD5E85" w14:textId="77777777" w:rsidR="00E35CF2" w:rsidRPr="00454167" w:rsidRDefault="00E35CF2" w:rsidP="003A5290">
            <w:pPr>
              <w:spacing w:line="480" w:lineRule="auto"/>
              <w:jc w:val="both"/>
            </w:pPr>
            <w:r w:rsidRPr="00454167">
              <w:t>Understood</w:t>
            </w:r>
          </w:p>
        </w:tc>
        <w:tc>
          <w:tcPr>
            <w:tcW w:w="955" w:type="dxa"/>
          </w:tcPr>
          <w:p w14:paraId="02DFE6E4" w14:textId="77777777" w:rsidR="00E35CF2" w:rsidRPr="00454167" w:rsidRDefault="00E35CF2" w:rsidP="003A5290">
            <w:pPr>
              <w:spacing w:line="480" w:lineRule="auto"/>
              <w:jc w:val="both"/>
            </w:pPr>
            <w:r w:rsidRPr="00454167">
              <w:t>3.57</w:t>
            </w:r>
          </w:p>
        </w:tc>
        <w:tc>
          <w:tcPr>
            <w:tcW w:w="955" w:type="dxa"/>
          </w:tcPr>
          <w:p w14:paraId="62A972BF" w14:textId="77777777" w:rsidR="00E35CF2" w:rsidRPr="00454167" w:rsidRDefault="00E35CF2" w:rsidP="003A5290">
            <w:pPr>
              <w:spacing w:line="480" w:lineRule="auto"/>
              <w:jc w:val="both"/>
            </w:pPr>
            <w:r w:rsidRPr="00454167">
              <w:t>3.75</w:t>
            </w:r>
          </w:p>
        </w:tc>
        <w:tc>
          <w:tcPr>
            <w:tcW w:w="955" w:type="dxa"/>
          </w:tcPr>
          <w:p w14:paraId="19A3F2E4" w14:textId="77777777" w:rsidR="00E35CF2" w:rsidRPr="00454167" w:rsidRDefault="00E35CF2" w:rsidP="003A5290">
            <w:pPr>
              <w:spacing w:line="480" w:lineRule="auto"/>
              <w:jc w:val="both"/>
            </w:pPr>
            <w:r w:rsidRPr="00454167">
              <w:t>4</w:t>
            </w:r>
          </w:p>
        </w:tc>
        <w:tc>
          <w:tcPr>
            <w:tcW w:w="955" w:type="dxa"/>
          </w:tcPr>
          <w:p w14:paraId="41A9D5B7" w14:textId="77777777" w:rsidR="00E35CF2" w:rsidRPr="00454167" w:rsidRDefault="00E35CF2" w:rsidP="003A5290">
            <w:pPr>
              <w:spacing w:line="480" w:lineRule="auto"/>
              <w:jc w:val="both"/>
            </w:pPr>
            <w:r w:rsidRPr="00454167">
              <w:t>4</w:t>
            </w:r>
          </w:p>
        </w:tc>
        <w:tc>
          <w:tcPr>
            <w:tcW w:w="1197" w:type="dxa"/>
          </w:tcPr>
          <w:p w14:paraId="2B78B2DC" w14:textId="77777777" w:rsidR="00E35CF2" w:rsidRPr="00454167" w:rsidRDefault="00E35CF2" w:rsidP="003A5290">
            <w:pPr>
              <w:spacing w:line="480" w:lineRule="auto"/>
              <w:jc w:val="both"/>
            </w:pPr>
            <w:r w:rsidRPr="00454167">
              <w:t>1.12</w:t>
            </w:r>
          </w:p>
        </w:tc>
        <w:tc>
          <w:tcPr>
            <w:tcW w:w="1197" w:type="dxa"/>
          </w:tcPr>
          <w:p w14:paraId="5072728B" w14:textId="77777777" w:rsidR="00E35CF2" w:rsidRPr="00454167" w:rsidRDefault="00E35CF2" w:rsidP="003A5290">
            <w:pPr>
              <w:spacing w:line="480" w:lineRule="auto"/>
              <w:jc w:val="both"/>
            </w:pPr>
            <w:r w:rsidRPr="00454167">
              <w:t>0.91</w:t>
            </w:r>
          </w:p>
        </w:tc>
        <w:tc>
          <w:tcPr>
            <w:tcW w:w="1412" w:type="dxa"/>
          </w:tcPr>
          <w:p w14:paraId="51A1296B" w14:textId="77777777" w:rsidR="00E35CF2" w:rsidRPr="00454167" w:rsidRDefault="00E35CF2" w:rsidP="003A5290">
            <w:pPr>
              <w:spacing w:line="480" w:lineRule="auto"/>
              <w:jc w:val="both"/>
            </w:pPr>
            <w:r w:rsidRPr="00454167">
              <w:t>57.9</w:t>
            </w:r>
          </w:p>
        </w:tc>
        <w:tc>
          <w:tcPr>
            <w:tcW w:w="1412" w:type="dxa"/>
          </w:tcPr>
          <w:p w14:paraId="2EBECF6E" w14:textId="77777777" w:rsidR="00E35CF2" w:rsidRPr="00454167" w:rsidRDefault="00E35CF2" w:rsidP="003A5290">
            <w:pPr>
              <w:spacing w:line="480" w:lineRule="auto"/>
              <w:jc w:val="both"/>
            </w:pPr>
            <w:r w:rsidRPr="00454167">
              <w:t>70</w:t>
            </w:r>
          </w:p>
        </w:tc>
      </w:tr>
    </w:tbl>
    <w:p w14:paraId="502F5383" w14:textId="77777777" w:rsidR="00E35CF2" w:rsidRPr="00454167" w:rsidRDefault="00E35CF2" w:rsidP="00E35CF2">
      <w:pPr>
        <w:spacing w:line="480" w:lineRule="auto"/>
        <w:jc w:val="both"/>
      </w:pPr>
    </w:p>
    <w:p w14:paraId="42A3970A" w14:textId="2816B3F9" w:rsidR="00E35CF2" w:rsidRPr="00454167" w:rsidRDefault="00E35CF2" w:rsidP="00E35CF2">
      <w:pPr>
        <w:spacing w:line="480" w:lineRule="auto"/>
        <w:jc w:val="both"/>
      </w:pPr>
      <w:r w:rsidRPr="00454167">
        <w:t xml:space="preserve">Table 1 is a comparison of results from IBM SPSS (2024) data output between lesson 1 (appendix 7) and lesson 2 (Appendix 8).  The table shows that mean scores of all answers were greater than 3.46, and the modal answers were 4 or 5 for all but one of the questions.  With the number 4 representing agree, and 5 representing strongly agree, these statistics suggest that most participants selected these answers which may bring into question the reliability of this case study.  The standard deviations were all less than 1.14, which </w:t>
      </w:r>
      <w:r w:rsidRPr="00454167">
        <w:lastRenderedPageBreak/>
        <w:t xml:space="preserve">suggests that the data points were close to the mean and that the variance is low.  The cumulative frequency data show 78.9% of participants or above report that they always listen and pay attention in class.  However, 55% of participants in lesson 2 and 57.9% of participants in lesson 1 report that they either agree or strongly agree that being asked questions during examples increased attention and understanding which supports the literature by Barton (2024), Keller et al. (2020), Willingham (2003).  The only significant difference between the results of the two lessons were that only 57.9% reported they understood the topic in </w:t>
      </w:r>
      <w:r w:rsidR="00E325DD">
        <w:t xml:space="preserve">lesson 1 in </w:t>
      </w:r>
      <w:r w:rsidRPr="00454167">
        <w:t xml:space="preserve">comparison to 70% in lesson 2.  The topic in lesson 1 was on the gradient and intercept of linear graphs, and the topic in lesson 2 was on trial and improvement therefore the difference in understanding could be due to the different topics or the effectiveness of the teachers’ explanations. </w:t>
      </w:r>
    </w:p>
    <w:p w14:paraId="18E63B4B" w14:textId="2F458747" w:rsidR="00E35CF2" w:rsidRPr="00454167" w:rsidRDefault="00E35CF2" w:rsidP="00E35CF2">
      <w:pPr>
        <w:spacing w:line="480" w:lineRule="auto"/>
        <w:jc w:val="both"/>
      </w:pPr>
      <w:r w:rsidRPr="00454167">
        <w:t xml:space="preserve">Further statistical analysis using IBM SPSS (2024) was used to discover the Pearson’s correlation coefficient </w:t>
      </w:r>
      <w:r w:rsidR="00C66CE4">
        <w:t xml:space="preserve">between questions </w:t>
      </w:r>
      <w:r w:rsidRPr="00454167">
        <w:t>for both lessons.  The results (appendix 7 and 8) are reported in terms of probability, with only significant findings reported below.  Coolican (1999) describes correlation coefficient in terms of the relationship between two variables, which can be used to answer the research question.</w:t>
      </w:r>
    </w:p>
    <w:p w14:paraId="537D6BDC" w14:textId="77777777" w:rsidR="00E35CF2" w:rsidRPr="00454167" w:rsidRDefault="00E35CF2" w:rsidP="00E35CF2">
      <w:pPr>
        <w:spacing w:line="480" w:lineRule="auto"/>
        <w:jc w:val="both"/>
      </w:pPr>
      <w:r w:rsidRPr="00454167">
        <w:t>The results showed that there was a significant positive relationship between participants reporting that they listened and paid attention in class, p&lt; 0.01, and this was consistent in both lessons.  This could be a true reflection of the participants responses, or it could either be that participants perceived the constructs as being the same or that it may have been viewed as a socially desirable answer.</w:t>
      </w:r>
    </w:p>
    <w:p w14:paraId="0D9FB8EE" w14:textId="77777777" w:rsidR="00E35CF2" w:rsidRPr="00454167" w:rsidRDefault="00E35CF2" w:rsidP="00E35CF2">
      <w:pPr>
        <w:spacing w:line="480" w:lineRule="auto"/>
        <w:jc w:val="both"/>
      </w:pPr>
      <w:r w:rsidRPr="00454167">
        <w:t xml:space="preserve">There was also a significant correlation between participants answers to questions three and four regarding paying more attention to explanations and it is helping them </w:t>
      </w:r>
      <w:r w:rsidRPr="00454167">
        <w:lastRenderedPageBreak/>
        <w:t>understand.  In lesson one it was significant to, p&lt; 0.05, and in lesson two it was significant, p&lt; 0.01.  These results provide support for using questioning during examples for this class, as well as providing support from the literature (Barton (2024), Keller, Davidesco &amp; Tanner (2020), Willingham (2003).</w:t>
      </w:r>
    </w:p>
    <w:p w14:paraId="43864C6A" w14:textId="77777777" w:rsidR="00E35CF2" w:rsidRPr="00454167" w:rsidRDefault="00E35CF2" w:rsidP="00E35CF2">
      <w:pPr>
        <w:spacing w:line="480" w:lineRule="auto"/>
        <w:jc w:val="both"/>
      </w:pPr>
      <w:r w:rsidRPr="00454167">
        <w:t>In lesson 1 there was a negative correlation between questions two and three (see appendix 7), regarding paying attention and paying more attention because of the questioning.  However, the correlation was not to a significant degree, p&gt; 0.05, and was not repeated in lesson 2.  This could be explained in terms that if participants are already listening, then they would not report listening more because of the questioning and suggests that improvements could be made to the questionnaire (appendix 4) to improve construct validity.</w:t>
      </w:r>
    </w:p>
    <w:p w14:paraId="122E6311" w14:textId="77777777" w:rsidR="00E35CF2" w:rsidRPr="00454167" w:rsidRDefault="00E35CF2" w:rsidP="00E35CF2">
      <w:pPr>
        <w:spacing w:line="480" w:lineRule="auto"/>
        <w:jc w:val="both"/>
      </w:pPr>
      <w:r w:rsidRPr="00454167">
        <w:t>Tests of internal reliability were carried out on the results of both lessons with scores of Cronbach’s alpha for lesson 1 = 0.533 (appendix 7), and lesson 2 = 0.646 (appendix 8).  Although these results are considered low as they are less than 0.7, Tavakol and Dennick (2011) suggest that this could be due to a low number of questions and a small sample size.  Improvements could be made to the construction of the questionnaire, for example reversing question two (appendix 4) with the attention question worded negatively may have improved internal reliability.  When administering questionnaires that are anonymous, Hambleton (2012) considers the importance of testing for internal consistency as it is not possible to repeat the questionnaire with the same participants and therefore establish reliability in another way.</w:t>
      </w:r>
    </w:p>
    <w:p w14:paraId="189B2D83" w14:textId="77777777" w:rsidR="00E35CF2" w:rsidRPr="00454167" w:rsidRDefault="00E35CF2" w:rsidP="00E35CF2">
      <w:pPr>
        <w:spacing w:line="480" w:lineRule="auto"/>
        <w:jc w:val="both"/>
      </w:pPr>
      <w:r w:rsidRPr="00454167">
        <w:t xml:space="preserve">During the two lessons, both numerical and narrative data were collected and recorded from observations (appendix 5 and 6).  The numerical data that was recorded is </w:t>
      </w:r>
      <w:r w:rsidRPr="00454167">
        <w:lastRenderedPageBreak/>
        <w:t xml:space="preserve">represented in a table 2 below to describe how much help was required following the examples given.  The notes that were taken are then summarised below and provide an alternate view of the methods used. </w:t>
      </w:r>
    </w:p>
    <w:p w14:paraId="142DC61F" w14:textId="77777777" w:rsidR="00E35CF2" w:rsidRPr="00454167" w:rsidRDefault="00E35CF2" w:rsidP="00E35CF2">
      <w:pPr>
        <w:spacing w:line="480" w:lineRule="auto"/>
        <w:jc w:val="center"/>
        <w:rPr>
          <w:u w:val="single"/>
        </w:rPr>
      </w:pPr>
      <w:r w:rsidRPr="00454167">
        <w:rPr>
          <w:u w:val="single"/>
        </w:rPr>
        <w:t>Table 2</w:t>
      </w:r>
    </w:p>
    <w:p w14:paraId="3B164A56" w14:textId="77777777" w:rsidR="00E35CF2" w:rsidRPr="00454167" w:rsidRDefault="00E35CF2" w:rsidP="00E35CF2">
      <w:pPr>
        <w:spacing w:line="480" w:lineRule="auto"/>
        <w:jc w:val="center"/>
        <w:rPr>
          <w:u w:val="single"/>
        </w:rPr>
      </w:pPr>
      <w:r w:rsidRPr="00454167">
        <w:rPr>
          <w:u w:val="single"/>
        </w:rPr>
        <w:t>Comparisons between Lesson 1 and 2</w:t>
      </w:r>
    </w:p>
    <w:tbl>
      <w:tblPr>
        <w:tblStyle w:val="TableGrid"/>
        <w:tblW w:w="0" w:type="auto"/>
        <w:tblLook w:val="04A0" w:firstRow="1" w:lastRow="0" w:firstColumn="1" w:lastColumn="0" w:noHBand="0" w:noVBand="1"/>
      </w:tblPr>
      <w:tblGrid>
        <w:gridCol w:w="2801"/>
        <w:gridCol w:w="2747"/>
        <w:gridCol w:w="2748"/>
      </w:tblGrid>
      <w:tr w:rsidR="00E35CF2" w:rsidRPr="00454167" w14:paraId="00427BB7" w14:textId="77777777" w:rsidTr="00E35CF2">
        <w:tc>
          <w:tcPr>
            <w:tcW w:w="2801" w:type="dxa"/>
          </w:tcPr>
          <w:p w14:paraId="612E8C1F" w14:textId="77777777" w:rsidR="00E35CF2" w:rsidRPr="00454167" w:rsidRDefault="00E35CF2" w:rsidP="003A5290">
            <w:pPr>
              <w:spacing w:line="480" w:lineRule="auto"/>
              <w:jc w:val="both"/>
            </w:pPr>
          </w:p>
        </w:tc>
        <w:tc>
          <w:tcPr>
            <w:tcW w:w="2747" w:type="dxa"/>
          </w:tcPr>
          <w:p w14:paraId="51C27B05" w14:textId="77777777" w:rsidR="00E35CF2" w:rsidRPr="00454167" w:rsidRDefault="00E35CF2" w:rsidP="003A5290">
            <w:pPr>
              <w:spacing w:line="480" w:lineRule="auto"/>
              <w:jc w:val="both"/>
            </w:pPr>
            <w:r w:rsidRPr="00454167">
              <w:t>Lesson 1</w:t>
            </w:r>
          </w:p>
        </w:tc>
        <w:tc>
          <w:tcPr>
            <w:tcW w:w="2748" w:type="dxa"/>
          </w:tcPr>
          <w:p w14:paraId="2CF64F07" w14:textId="77777777" w:rsidR="00E35CF2" w:rsidRPr="00454167" w:rsidRDefault="00E35CF2" w:rsidP="003A5290">
            <w:pPr>
              <w:spacing w:line="480" w:lineRule="auto"/>
              <w:jc w:val="both"/>
            </w:pPr>
            <w:r w:rsidRPr="00454167">
              <w:t>Lesson 2</w:t>
            </w:r>
          </w:p>
        </w:tc>
      </w:tr>
      <w:tr w:rsidR="00E35CF2" w:rsidRPr="00454167" w14:paraId="7103FEE0" w14:textId="77777777" w:rsidTr="00E35CF2">
        <w:tc>
          <w:tcPr>
            <w:tcW w:w="2801" w:type="dxa"/>
          </w:tcPr>
          <w:p w14:paraId="1190C97D" w14:textId="77777777" w:rsidR="00E35CF2" w:rsidRPr="00454167" w:rsidRDefault="00E35CF2" w:rsidP="003A5290">
            <w:pPr>
              <w:spacing w:line="480" w:lineRule="auto"/>
              <w:jc w:val="both"/>
            </w:pPr>
            <w:r w:rsidRPr="00454167">
              <w:t>Number of questions asked by learners.</w:t>
            </w:r>
          </w:p>
        </w:tc>
        <w:tc>
          <w:tcPr>
            <w:tcW w:w="2747" w:type="dxa"/>
          </w:tcPr>
          <w:p w14:paraId="7A8E881D" w14:textId="77777777" w:rsidR="00E35CF2" w:rsidRPr="00454167" w:rsidRDefault="00E35CF2" w:rsidP="003A5290">
            <w:pPr>
              <w:spacing w:line="480" w:lineRule="auto"/>
              <w:jc w:val="both"/>
            </w:pPr>
            <w:r w:rsidRPr="00454167">
              <w:t>7</w:t>
            </w:r>
          </w:p>
        </w:tc>
        <w:tc>
          <w:tcPr>
            <w:tcW w:w="2748" w:type="dxa"/>
          </w:tcPr>
          <w:p w14:paraId="4908C896" w14:textId="77777777" w:rsidR="00E35CF2" w:rsidRPr="00454167" w:rsidRDefault="00E35CF2" w:rsidP="003A5290">
            <w:pPr>
              <w:spacing w:line="480" w:lineRule="auto"/>
              <w:jc w:val="both"/>
            </w:pPr>
            <w:r w:rsidRPr="00454167">
              <w:t>5</w:t>
            </w:r>
          </w:p>
        </w:tc>
      </w:tr>
      <w:tr w:rsidR="00E35CF2" w:rsidRPr="00454167" w14:paraId="0D981DA4" w14:textId="77777777" w:rsidTr="00E35CF2">
        <w:tc>
          <w:tcPr>
            <w:tcW w:w="2801" w:type="dxa"/>
          </w:tcPr>
          <w:p w14:paraId="4155D627" w14:textId="77777777" w:rsidR="00E35CF2" w:rsidRPr="00454167" w:rsidRDefault="00E35CF2" w:rsidP="003A5290">
            <w:pPr>
              <w:spacing w:line="480" w:lineRule="auto"/>
              <w:jc w:val="both"/>
            </w:pPr>
            <w:r w:rsidRPr="00454167">
              <w:t>Number of times help was given without specifically being asked.</w:t>
            </w:r>
          </w:p>
        </w:tc>
        <w:tc>
          <w:tcPr>
            <w:tcW w:w="2747" w:type="dxa"/>
          </w:tcPr>
          <w:p w14:paraId="15057CE6" w14:textId="77777777" w:rsidR="00E35CF2" w:rsidRPr="00454167" w:rsidRDefault="00E35CF2" w:rsidP="003A5290">
            <w:pPr>
              <w:spacing w:line="480" w:lineRule="auto"/>
              <w:jc w:val="both"/>
            </w:pPr>
            <w:r w:rsidRPr="00454167">
              <w:t>5</w:t>
            </w:r>
          </w:p>
        </w:tc>
        <w:tc>
          <w:tcPr>
            <w:tcW w:w="2748" w:type="dxa"/>
          </w:tcPr>
          <w:p w14:paraId="0E953828" w14:textId="77777777" w:rsidR="00E35CF2" w:rsidRPr="00454167" w:rsidRDefault="00E35CF2" w:rsidP="003A5290">
            <w:pPr>
              <w:spacing w:line="480" w:lineRule="auto"/>
              <w:jc w:val="both"/>
            </w:pPr>
            <w:r w:rsidRPr="00454167">
              <w:t>8</w:t>
            </w:r>
          </w:p>
        </w:tc>
      </w:tr>
    </w:tbl>
    <w:p w14:paraId="1FB5DE84" w14:textId="77777777" w:rsidR="00E35CF2" w:rsidRPr="00454167" w:rsidRDefault="00E35CF2" w:rsidP="00E35CF2">
      <w:pPr>
        <w:spacing w:line="480" w:lineRule="auto"/>
        <w:jc w:val="both"/>
      </w:pPr>
    </w:p>
    <w:p w14:paraId="1F2641CD" w14:textId="77777777" w:rsidR="00E35CF2" w:rsidRPr="00454167" w:rsidRDefault="00E35CF2" w:rsidP="00E35CF2">
      <w:pPr>
        <w:spacing w:line="480" w:lineRule="auto"/>
        <w:jc w:val="both"/>
        <w:rPr>
          <w:u w:val="single"/>
        </w:rPr>
      </w:pPr>
      <w:r w:rsidRPr="00454167">
        <w:rPr>
          <w:u w:val="single"/>
        </w:rPr>
        <w:t>Summary of observation notes</w:t>
      </w:r>
    </w:p>
    <w:p w14:paraId="19B712C4" w14:textId="77777777" w:rsidR="00E35CF2" w:rsidRPr="00454167" w:rsidRDefault="00E35CF2" w:rsidP="00E35CF2">
      <w:pPr>
        <w:spacing w:line="480" w:lineRule="auto"/>
        <w:jc w:val="both"/>
        <w:rPr>
          <w:u w:val="single"/>
        </w:rPr>
      </w:pPr>
      <w:r w:rsidRPr="00454167">
        <w:rPr>
          <w:u w:val="single"/>
        </w:rPr>
        <w:t>Lesson 1 (Appendix 5)</w:t>
      </w:r>
    </w:p>
    <w:p w14:paraId="1F57B303" w14:textId="77777777" w:rsidR="00E35CF2" w:rsidRPr="00454167" w:rsidRDefault="00E35CF2" w:rsidP="00E35CF2">
      <w:pPr>
        <w:spacing w:line="480" w:lineRule="auto"/>
        <w:jc w:val="both"/>
      </w:pPr>
      <w:r w:rsidRPr="00454167">
        <w:t>: too many questions were asked by the teacher.</w:t>
      </w:r>
    </w:p>
    <w:p w14:paraId="027B2A59" w14:textId="77777777" w:rsidR="00E35CF2" w:rsidRPr="00454167" w:rsidRDefault="00E35CF2" w:rsidP="00E35CF2">
      <w:pPr>
        <w:spacing w:line="480" w:lineRule="auto"/>
        <w:jc w:val="both"/>
      </w:pPr>
      <w:r w:rsidRPr="00454167">
        <w:t>: pupils were forced to listen to examples, there was no opt out.</w:t>
      </w:r>
    </w:p>
    <w:p w14:paraId="4A144AE9" w14:textId="77777777" w:rsidR="00E35CF2" w:rsidRPr="00454167" w:rsidRDefault="00E35CF2" w:rsidP="00E35CF2">
      <w:pPr>
        <w:spacing w:line="480" w:lineRule="auto"/>
        <w:jc w:val="both"/>
      </w:pPr>
      <w:r w:rsidRPr="00454167">
        <w:t>: peer pressure was applied for others to listen.</w:t>
      </w:r>
    </w:p>
    <w:p w14:paraId="078A976E" w14:textId="77777777" w:rsidR="00E35CF2" w:rsidRPr="00454167" w:rsidRDefault="00E35CF2" w:rsidP="00E35CF2">
      <w:pPr>
        <w:spacing w:line="480" w:lineRule="auto"/>
        <w:jc w:val="both"/>
      </w:pPr>
      <w:r w:rsidRPr="00454167">
        <w:t>: all pupils answered a question correctly.</w:t>
      </w:r>
    </w:p>
    <w:p w14:paraId="6AE005B7" w14:textId="77777777" w:rsidR="00E35CF2" w:rsidRPr="00454167" w:rsidRDefault="00E35CF2" w:rsidP="00E35CF2">
      <w:pPr>
        <w:spacing w:line="480" w:lineRule="auto"/>
        <w:jc w:val="both"/>
      </w:pPr>
      <w:r w:rsidRPr="00454167">
        <w:t>: most pupils appeared to have a good understanding of the topic.</w:t>
      </w:r>
    </w:p>
    <w:p w14:paraId="70AF96E7" w14:textId="77777777" w:rsidR="00DD75A5" w:rsidRDefault="00DD75A5" w:rsidP="00E35CF2">
      <w:pPr>
        <w:spacing w:line="480" w:lineRule="auto"/>
        <w:jc w:val="both"/>
        <w:rPr>
          <w:u w:val="single"/>
        </w:rPr>
      </w:pPr>
    </w:p>
    <w:p w14:paraId="2F482482" w14:textId="7AF05310" w:rsidR="00E35CF2" w:rsidRPr="00454167" w:rsidRDefault="00E35CF2" w:rsidP="00E35CF2">
      <w:pPr>
        <w:spacing w:line="480" w:lineRule="auto"/>
        <w:jc w:val="both"/>
        <w:rPr>
          <w:u w:val="single"/>
        </w:rPr>
      </w:pPr>
      <w:r w:rsidRPr="00454167">
        <w:rPr>
          <w:u w:val="single"/>
        </w:rPr>
        <w:lastRenderedPageBreak/>
        <w:t>Lesson 2 (Appendix 6)</w:t>
      </w:r>
    </w:p>
    <w:p w14:paraId="7DAD5FC5" w14:textId="77777777" w:rsidR="00E35CF2" w:rsidRPr="00454167" w:rsidRDefault="00E35CF2" w:rsidP="00E35CF2">
      <w:pPr>
        <w:spacing w:line="480" w:lineRule="auto"/>
        <w:jc w:val="both"/>
      </w:pPr>
      <w:r w:rsidRPr="00454167">
        <w:t>: many questions were asked.</w:t>
      </w:r>
    </w:p>
    <w:p w14:paraId="7F4012E1" w14:textId="77777777" w:rsidR="00E35CF2" w:rsidRPr="00454167" w:rsidRDefault="00E35CF2" w:rsidP="00E35CF2">
      <w:pPr>
        <w:spacing w:line="480" w:lineRule="auto"/>
        <w:jc w:val="both"/>
      </w:pPr>
      <w:r w:rsidRPr="00454167">
        <w:t>: less questions were asked than in lesson 1.</w:t>
      </w:r>
    </w:p>
    <w:p w14:paraId="58214DEE" w14:textId="77777777" w:rsidR="00E35CF2" w:rsidRPr="00454167" w:rsidRDefault="00E35CF2" w:rsidP="00E35CF2">
      <w:pPr>
        <w:spacing w:line="480" w:lineRule="auto"/>
        <w:jc w:val="both"/>
      </w:pPr>
      <w:r w:rsidRPr="00454167">
        <w:t>: pupils were getting used to answering questions during examples and appear to be paying more attention.</w:t>
      </w:r>
    </w:p>
    <w:p w14:paraId="10B7779C" w14:textId="77777777" w:rsidR="00E35CF2" w:rsidRPr="00454167" w:rsidRDefault="00E35CF2" w:rsidP="00E35CF2">
      <w:pPr>
        <w:spacing w:line="480" w:lineRule="auto"/>
        <w:jc w:val="both"/>
      </w:pPr>
      <w:r w:rsidRPr="00454167">
        <w:t>: Most learners have a good concept of the topic.</w:t>
      </w:r>
    </w:p>
    <w:p w14:paraId="69744E79" w14:textId="77777777" w:rsidR="00E35CF2" w:rsidRPr="00454167" w:rsidRDefault="00E35CF2" w:rsidP="00E35CF2">
      <w:pPr>
        <w:spacing w:line="480" w:lineRule="auto"/>
        <w:jc w:val="both"/>
      </w:pPr>
      <w:r w:rsidRPr="00454167">
        <w:t>From the observations, the number of questions asked, or the number of times participants were helped holds no significant value and there use in this case study can be questioned.  However, the qualitative notes made were of far greater significance as they show that participants were forced to listen, peer pressure was applied, and that participants were understanding the topic.  On reflection from lesson 1, too many questions were put to participants, and this was reduced in lesson 2.  This evidence supports the use of continued professional development by Welsh Government (2019), and critical reflection by teachers so that teaching standards can be improved.</w:t>
      </w:r>
    </w:p>
    <w:p w14:paraId="2DF357A4" w14:textId="77777777" w:rsidR="00E35CF2" w:rsidRDefault="00E35CF2" w:rsidP="00E35CF2">
      <w:pPr>
        <w:spacing w:line="480" w:lineRule="auto"/>
        <w:jc w:val="both"/>
      </w:pPr>
    </w:p>
    <w:p w14:paraId="6B7606B1" w14:textId="77777777" w:rsidR="00E35CF2" w:rsidRPr="00454167" w:rsidRDefault="00E35CF2" w:rsidP="00E35CF2">
      <w:pPr>
        <w:spacing w:line="480" w:lineRule="auto"/>
        <w:jc w:val="both"/>
      </w:pPr>
    </w:p>
    <w:p w14:paraId="29EBA585" w14:textId="77777777" w:rsidR="00E35CF2" w:rsidRPr="00454167" w:rsidRDefault="00E35CF2" w:rsidP="00E35CF2">
      <w:pPr>
        <w:spacing w:line="480" w:lineRule="auto"/>
        <w:jc w:val="center"/>
        <w:rPr>
          <w:u w:val="single"/>
        </w:rPr>
      </w:pPr>
      <w:r w:rsidRPr="00454167">
        <w:rPr>
          <w:u w:val="single"/>
        </w:rPr>
        <w:t>Conclusion/ Recommendations</w:t>
      </w:r>
    </w:p>
    <w:p w14:paraId="5039A479" w14:textId="77777777" w:rsidR="00E35CF2" w:rsidRPr="00454167" w:rsidRDefault="00E35CF2" w:rsidP="00E35CF2">
      <w:pPr>
        <w:spacing w:line="480" w:lineRule="auto"/>
        <w:jc w:val="both"/>
        <w:rPr>
          <w:u w:val="single"/>
        </w:rPr>
      </w:pPr>
    </w:p>
    <w:p w14:paraId="4E67A8E5" w14:textId="77777777" w:rsidR="00E35CF2" w:rsidRPr="00454167" w:rsidRDefault="00E35CF2" w:rsidP="00E35CF2">
      <w:pPr>
        <w:spacing w:line="480" w:lineRule="auto"/>
        <w:jc w:val="both"/>
      </w:pPr>
      <w:r w:rsidRPr="00454167">
        <w:t xml:space="preserve">The use of a questionnaire to gain participant feedback can be considered as an effective method for establishing the perspective of learners in classroom research, however within this case study the results had a low internal consistency.  This could be improved </w:t>
      </w:r>
      <w:r w:rsidRPr="00454167">
        <w:lastRenderedPageBreak/>
        <w:t xml:space="preserve">through more careful construction of the questions and increasing the number of questions put to participants.  The use of a tally chart to record the number of questions asked by participants in the observation can be considered as lacking validity.  Although some participants may be able to grasp a topic through a thorough explanation, it is the teachers’ responsibility to support pupils through guided practice and questions should be encouraged (Coe et al., 2020).  However, the notes that were taken during the observation were more beneficial in answering the research question.  They gave another perspective on the methods used and allowed for greater reflection and triangulation. </w:t>
      </w:r>
    </w:p>
    <w:p w14:paraId="79C74B74" w14:textId="0D8E5514" w:rsidR="00E35CF2" w:rsidRPr="00454167" w:rsidRDefault="00E35CF2" w:rsidP="00E35CF2">
      <w:pPr>
        <w:spacing w:line="480" w:lineRule="auto"/>
        <w:jc w:val="both"/>
      </w:pPr>
      <w:r w:rsidRPr="00454167">
        <w:t xml:space="preserve">This case study has found evidence to support that questioning pupils’ during examples improves understanding through greater attention.  The responses from the questionnaires reported that over 55% of participants found that they paid more attention and that it helped their understanding of the topic.  The notes taken from the observations also supported this as the questioning methods required them to be listening, they appeared to be paying more attention and most pupils gained a good understanding of the topics which is an aim of the professional teaching standards of the Welsh Government (2019).  This case study supports the research from Barton (2024), Keller, Davidesco and Tanner (2020) and Willingham (2003) in that learners need to be paying attention to process information that leads to understanding.  The use of random questioning during examples can be considered as an effective method of increasing attention as suggested by Black (2014), however the methods used need to be constantly evaluated as participants who are already paying attention cannot pay more attention, therefore it would appear that questions should be aimed at participants who appear not to be paying attention.  </w:t>
      </w:r>
      <w:r w:rsidR="00091EDF">
        <w:t xml:space="preserve">By increasing attention to the </w:t>
      </w:r>
      <w:r w:rsidR="00983780">
        <w:t>examples,</w:t>
      </w:r>
      <w:r w:rsidR="00091EDF">
        <w:t xml:space="preserve"> </w:t>
      </w:r>
      <w:r w:rsidR="00F923AC">
        <w:t xml:space="preserve">it allows for learners to process </w:t>
      </w:r>
      <w:r w:rsidR="006F4A8D">
        <w:t xml:space="preserve">information that </w:t>
      </w:r>
      <w:r w:rsidR="00112C4E">
        <w:t>may free up space in working memory that</w:t>
      </w:r>
      <w:r w:rsidR="007427F8">
        <w:t xml:space="preserve"> could improve </w:t>
      </w:r>
      <w:r w:rsidR="009F0713">
        <w:lastRenderedPageBreak/>
        <w:t>understanding and</w:t>
      </w:r>
      <w:r w:rsidR="00E25E51">
        <w:t xml:space="preserve"> </w:t>
      </w:r>
      <w:r w:rsidR="008C6384">
        <w:t xml:space="preserve">help to develop </w:t>
      </w:r>
      <w:r w:rsidR="0029479B">
        <w:t>mathematical confidence</w:t>
      </w:r>
      <w:r w:rsidR="00575C98">
        <w:t xml:space="preserve"> in line with Welsh Government (2023) aims.</w:t>
      </w:r>
    </w:p>
    <w:p w14:paraId="6DA6A16A" w14:textId="77777777" w:rsidR="00E35CF2" w:rsidRPr="00454167" w:rsidRDefault="00E35CF2" w:rsidP="00E35CF2">
      <w:pPr>
        <w:spacing w:line="480" w:lineRule="auto"/>
        <w:jc w:val="both"/>
      </w:pPr>
      <w:r w:rsidRPr="00454167">
        <w:t>The limitations of case study research are that the results are not generalizable due to the sample size, however, the principles behind the research could be applied by any teacher in any classroom.  Further research could be carried out by a whole department or school, implementing the questioning style to improve attention, with results recorded in online questionnaires from learners, and observation notes taken from teachers that could be compiled and analysed to evidence effective ways of maintaining pupil attention and improving understanding.</w:t>
      </w:r>
    </w:p>
    <w:p w14:paraId="2C8B5E83" w14:textId="77777777" w:rsidR="00E35CF2" w:rsidRDefault="00E35CF2" w:rsidP="00E35CF2">
      <w:pPr>
        <w:spacing w:line="480" w:lineRule="auto"/>
        <w:jc w:val="both"/>
      </w:pPr>
    </w:p>
    <w:p w14:paraId="79B59CEE" w14:textId="77777777" w:rsidR="00E35CF2" w:rsidRDefault="00E35CF2" w:rsidP="00E35CF2">
      <w:pPr>
        <w:spacing w:line="480" w:lineRule="auto"/>
        <w:jc w:val="both"/>
      </w:pPr>
    </w:p>
    <w:p w14:paraId="47525264" w14:textId="5B8D2C5B" w:rsidR="00E35CF2" w:rsidRDefault="00E35CF2" w:rsidP="00E35CF2">
      <w:pPr>
        <w:spacing w:line="480" w:lineRule="auto"/>
        <w:jc w:val="center"/>
        <w:rPr>
          <w:u w:val="single"/>
        </w:rPr>
      </w:pPr>
      <w:r>
        <w:rPr>
          <w:u w:val="single"/>
        </w:rPr>
        <w:t xml:space="preserve">Word Count = </w:t>
      </w:r>
      <w:r w:rsidR="00EE0678">
        <w:rPr>
          <w:u w:val="single"/>
        </w:rPr>
        <w:t>486</w:t>
      </w:r>
      <w:r w:rsidR="00C05C9A">
        <w:rPr>
          <w:u w:val="single"/>
        </w:rPr>
        <w:t>5</w:t>
      </w:r>
    </w:p>
    <w:p w14:paraId="3C2FB0F4" w14:textId="77777777" w:rsidR="00E35CF2" w:rsidRDefault="00E35CF2" w:rsidP="00E35CF2">
      <w:pPr>
        <w:spacing w:line="480" w:lineRule="auto"/>
        <w:jc w:val="both"/>
        <w:rPr>
          <w:u w:val="single"/>
        </w:rPr>
      </w:pPr>
    </w:p>
    <w:p w14:paraId="0CA44654" w14:textId="77777777" w:rsidR="00E35CF2" w:rsidRDefault="00E35CF2" w:rsidP="00E35CF2">
      <w:pPr>
        <w:spacing w:line="480" w:lineRule="auto"/>
        <w:jc w:val="both"/>
        <w:rPr>
          <w:u w:val="single"/>
        </w:rPr>
      </w:pPr>
    </w:p>
    <w:p w14:paraId="152AB526" w14:textId="77777777" w:rsidR="00E35CF2" w:rsidRDefault="00E35CF2" w:rsidP="00E35CF2">
      <w:pPr>
        <w:spacing w:line="480" w:lineRule="auto"/>
        <w:jc w:val="both"/>
        <w:rPr>
          <w:u w:val="single"/>
        </w:rPr>
      </w:pPr>
    </w:p>
    <w:p w14:paraId="227421DD" w14:textId="77777777" w:rsidR="00E35CF2" w:rsidRDefault="00E35CF2" w:rsidP="00E35CF2">
      <w:pPr>
        <w:spacing w:line="480" w:lineRule="auto"/>
        <w:jc w:val="both"/>
        <w:rPr>
          <w:u w:val="single"/>
        </w:rPr>
      </w:pPr>
    </w:p>
    <w:p w14:paraId="5C43D175" w14:textId="77777777" w:rsidR="00E35CF2" w:rsidRDefault="00E35CF2" w:rsidP="00E35CF2">
      <w:pPr>
        <w:spacing w:line="480" w:lineRule="auto"/>
        <w:jc w:val="both"/>
        <w:rPr>
          <w:u w:val="single"/>
        </w:rPr>
      </w:pPr>
    </w:p>
    <w:p w14:paraId="30C75BDB" w14:textId="77777777" w:rsidR="00E35CF2" w:rsidRDefault="00E35CF2" w:rsidP="00E35CF2">
      <w:pPr>
        <w:spacing w:line="480" w:lineRule="auto"/>
        <w:jc w:val="both"/>
        <w:rPr>
          <w:u w:val="single"/>
        </w:rPr>
      </w:pPr>
    </w:p>
    <w:p w14:paraId="6B1BBF0A" w14:textId="77777777" w:rsidR="00E35CF2" w:rsidRDefault="00E35CF2" w:rsidP="00E35CF2">
      <w:pPr>
        <w:spacing w:line="480" w:lineRule="auto"/>
        <w:jc w:val="both"/>
        <w:rPr>
          <w:u w:val="single"/>
        </w:rPr>
      </w:pPr>
    </w:p>
    <w:p w14:paraId="227CE4B6" w14:textId="77777777" w:rsidR="00E35CF2" w:rsidRDefault="00E35CF2" w:rsidP="00E35CF2">
      <w:pPr>
        <w:spacing w:line="480" w:lineRule="auto"/>
        <w:jc w:val="both"/>
        <w:rPr>
          <w:u w:val="single"/>
        </w:rPr>
      </w:pPr>
    </w:p>
    <w:p w14:paraId="2C5EDA2F" w14:textId="77777777" w:rsidR="00E35CF2" w:rsidRDefault="00E35CF2" w:rsidP="00E35CF2">
      <w:pPr>
        <w:spacing w:line="480" w:lineRule="auto"/>
        <w:jc w:val="both"/>
        <w:rPr>
          <w:u w:val="single"/>
        </w:rPr>
      </w:pPr>
    </w:p>
    <w:p w14:paraId="4DE4FC2A" w14:textId="77777777" w:rsidR="00E35CF2" w:rsidRDefault="00E35CF2" w:rsidP="00E35CF2">
      <w:pPr>
        <w:jc w:val="both"/>
        <w:rPr>
          <w:u w:val="single"/>
        </w:rPr>
      </w:pPr>
    </w:p>
    <w:p w14:paraId="64AAAED9" w14:textId="77777777" w:rsidR="00E35CF2" w:rsidRDefault="00E35CF2" w:rsidP="00E35CF2">
      <w:pPr>
        <w:jc w:val="both"/>
        <w:rPr>
          <w:u w:val="single"/>
        </w:rPr>
      </w:pPr>
    </w:p>
    <w:p w14:paraId="0302A1A3" w14:textId="77777777" w:rsidR="00E35CF2" w:rsidRDefault="00E35CF2" w:rsidP="00E35CF2">
      <w:pPr>
        <w:jc w:val="both"/>
        <w:rPr>
          <w:u w:val="single"/>
        </w:rPr>
      </w:pPr>
    </w:p>
    <w:p w14:paraId="16FFA5C9" w14:textId="77777777" w:rsidR="00E35CF2" w:rsidRDefault="00E35CF2" w:rsidP="00E35CF2">
      <w:pPr>
        <w:jc w:val="both"/>
        <w:rPr>
          <w:u w:val="single"/>
        </w:rPr>
      </w:pPr>
    </w:p>
    <w:p w14:paraId="3DB6CD0B" w14:textId="77777777" w:rsidR="00E35CF2" w:rsidRDefault="00E35CF2" w:rsidP="00E35CF2">
      <w:pPr>
        <w:jc w:val="both"/>
        <w:rPr>
          <w:u w:val="single"/>
        </w:rPr>
      </w:pPr>
    </w:p>
    <w:p w14:paraId="28E4E641" w14:textId="77777777" w:rsidR="00E35CF2" w:rsidRPr="006F1940" w:rsidRDefault="00E35CF2" w:rsidP="00E35CF2">
      <w:pPr>
        <w:spacing w:line="480" w:lineRule="auto"/>
        <w:jc w:val="center"/>
        <w:rPr>
          <w:u w:val="single"/>
        </w:rPr>
      </w:pPr>
      <w:r w:rsidRPr="006F1940">
        <w:rPr>
          <w:u w:val="single"/>
        </w:rPr>
        <w:t>References</w:t>
      </w:r>
    </w:p>
    <w:p w14:paraId="70621B7C" w14:textId="77777777" w:rsidR="00E35CF2" w:rsidRPr="006F1940" w:rsidRDefault="00E35CF2" w:rsidP="00E35CF2">
      <w:pPr>
        <w:spacing w:line="480" w:lineRule="auto"/>
        <w:jc w:val="both"/>
        <w:rPr>
          <w:u w:val="single"/>
        </w:rPr>
      </w:pPr>
    </w:p>
    <w:p w14:paraId="7EC55602" w14:textId="77777777" w:rsidR="00E35CF2" w:rsidRPr="006F1940" w:rsidRDefault="00E35CF2" w:rsidP="00E35CF2">
      <w:pPr>
        <w:pStyle w:val="paragraph"/>
        <w:spacing w:before="0" w:beforeAutospacing="0" w:after="0" w:afterAutospacing="0" w:line="480" w:lineRule="auto"/>
        <w:jc w:val="both"/>
        <w:textAlignment w:val="baseline"/>
        <w:rPr>
          <w:rStyle w:val="normaltextrun"/>
          <w:rFonts w:asciiTheme="minorHAnsi" w:eastAsiaTheme="majorEastAsia" w:hAnsiTheme="minorHAnsi" w:cs="Segoe UI"/>
          <w:lang w:val="en-US"/>
        </w:rPr>
      </w:pPr>
      <w:r w:rsidRPr="006F1940">
        <w:rPr>
          <w:rStyle w:val="normaltextrun"/>
          <w:rFonts w:asciiTheme="minorHAnsi" w:eastAsiaTheme="majorEastAsia" w:hAnsiTheme="minorHAnsi" w:cs="Segoe UI"/>
          <w:lang w:val="en-US"/>
        </w:rPr>
        <w:t>Angrosino, M. V. (2012) ‘Observation-based research’ in Arthur, J., Waring, M., Coe, R., and Hedges, L. V. (1</w:t>
      </w:r>
      <w:r w:rsidRPr="006F1940">
        <w:rPr>
          <w:rStyle w:val="normaltextrun"/>
          <w:rFonts w:asciiTheme="minorHAnsi" w:eastAsiaTheme="majorEastAsia" w:hAnsiTheme="minorHAnsi" w:cs="Segoe UI"/>
          <w:vertAlign w:val="superscript"/>
          <w:lang w:val="en-US"/>
        </w:rPr>
        <w:t>ST</w:t>
      </w:r>
      <w:r w:rsidRPr="006F1940">
        <w:rPr>
          <w:rStyle w:val="normaltextrun"/>
          <w:rFonts w:asciiTheme="minorHAnsi" w:eastAsiaTheme="majorEastAsia" w:hAnsiTheme="minorHAnsi" w:cs="Segoe UI"/>
          <w:lang w:val="en-US"/>
        </w:rPr>
        <w:t xml:space="preserve"> edn) Research Methods &amp; Methodologies in Education.  London, California, New Delhi and Singapore: Sage Publications, pp. 165-169.</w:t>
      </w:r>
    </w:p>
    <w:p w14:paraId="73819591" w14:textId="77777777" w:rsidR="00E35CF2" w:rsidRPr="006F1940" w:rsidRDefault="00E35CF2" w:rsidP="00E35CF2">
      <w:pPr>
        <w:pStyle w:val="paragraph"/>
        <w:spacing w:before="0" w:beforeAutospacing="0" w:after="0" w:afterAutospacing="0" w:line="480" w:lineRule="auto"/>
        <w:jc w:val="both"/>
        <w:textAlignment w:val="baseline"/>
        <w:rPr>
          <w:rStyle w:val="normaltextrun"/>
          <w:rFonts w:asciiTheme="minorHAnsi" w:eastAsiaTheme="majorEastAsia" w:hAnsiTheme="minorHAnsi" w:cs="Segoe UI"/>
          <w:lang w:val="en-US"/>
        </w:rPr>
      </w:pPr>
      <w:r w:rsidRPr="006F1940">
        <w:rPr>
          <w:rStyle w:val="normaltextrun"/>
          <w:rFonts w:asciiTheme="minorHAnsi" w:eastAsiaTheme="majorEastAsia" w:hAnsiTheme="minorHAnsi" w:cs="Segoe UI"/>
          <w:lang w:val="en-US"/>
        </w:rPr>
        <w:t xml:space="preserve">Barton, C. (2018) How I wish I’d Taught Maths. Lessons learned from research, conversations with experts, and 12 years of mistakes. </w:t>
      </w:r>
      <w:r w:rsidRPr="006F1940">
        <w:rPr>
          <w:rStyle w:val="normaltextrun"/>
          <w:rFonts w:asciiTheme="minorHAnsi" w:eastAsiaTheme="majorEastAsia" w:hAnsiTheme="minorHAnsi" w:cs="Segoe UI"/>
          <w:i/>
          <w:iCs/>
          <w:lang w:val="en-US"/>
        </w:rPr>
        <w:t>1</w:t>
      </w:r>
      <w:r w:rsidRPr="006F1940">
        <w:rPr>
          <w:rStyle w:val="normaltextrun"/>
          <w:rFonts w:asciiTheme="minorHAnsi" w:eastAsiaTheme="majorEastAsia" w:hAnsiTheme="minorHAnsi" w:cs="Segoe UI"/>
          <w:i/>
          <w:iCs/>
          <w:vertAlign w:val="superscript"/>
          <w:lang w:val="en-US"/>
        </w:rPr>
        <w:t>st</w:t>
      </w:r>
      <w:r w:rsidRPr="006F1940">
        <w:rPr>
          <w:rStyle w:val="normaltextrun"/>
          <w:rFonts w:asciiTheme="minorHAnsi" w:eastAsiaTheme="majorEastAsia" w:hAnsiTheme="minorHAnsi" w:cs="Segoe UI"/>
          <w:i/>
          <w:iCs/>
          <w:lang w:val="en-US"/>
        </w:rPr>
        <w:t xml:space="preserve"> edn.  </w:t>
      </w:r>
      <w:r w:rsidRPr="006F1940">
        <w:rPr>
          <w:rStyle w:val="normaltextrun"/>
          <w:rFonts w:asciiTheme="minorHAnsi" w:eastAsiaTheme="majorEastAsia" w:hAnsiTheme="minorHAnsi" w:cs="Segoe UI"/>
          <w:lang w:val="en-US"/>
        </w:rPr>
        <w:t>Woodbridge: John Catt Educational Limited.</w:t>
      </w:r>
    </w:p>
    <w:p w14:paraId="4D53CBD8" w14:textId="77777777" w:rsidR="00E35CF2" w:rsidRPr="006F1940" w:rsidRDefault="00E35CF2" w:rsidP="00E35CF2">
      <w:pPr>
        <w:pStyle w:val="paragraph"/>
        <w:spacing w:before="0" w:beforeAutospacing="0" w:after="0" w:afterAutospacing="0" w:line="480" w:lineRule="auto"/>
        <w:jc w:val="both"/>
        <w:textAlignment w:val="baseline"/>
        <w:rPr>
          <w:rStyle w:val="normaltextrun"/>
          <w:rFonts w:asciiTheme="minorHAnsi" w:eastAsiaTheme="majorEastAsia" w:hAnsiTheme="minorHAnsi" w:cs="Segoe UI"/>
          <w:lang w:val="en-US"/>
        </w:rPr>
      </w:pPr>
      <w:r w:rsidRPr="006F1940">
        <w:rPr>
          <w:rStyle w:val="normaltextrun"/>
          <w:rFonts w:asciiTheme="minorHAnsi" w:eastAsiaTheme="majorEastAsia" w:hAnsiTheme="minorHAnsi" w:cs="Segoe UI"/>
          <w:lang w:val="en-US"/>
        </w:rPr>
        <w:t xml:space="preserve">Barton, C (2024) Teams, training delivered to mathematics teachers in </w:t>
      </w:r>
      <w:r w:rsidRPr="006F1940">
        <w:rPr>
          <w:rStyle w:val="normaltextrun"/>
          <w:rFonts w:asciiTheme="minorHAnsi" w:eastAsiaTheme="majorEastAsia" w:hAnsiTheme="minorHAnsi" w:cs="Segoe UI"/>
          <w:highlight w:val="black"/>
          <w:lang w:val="en-US"/>
        </w:rPr>
        <w:t>Ysgol Harry Tudor</w:t>
      </w:r>
      <w:r w:rsidRPr="006F1940">
        <w:rPr>
          <w:rStyle w:val="normaltextrun"/>
          <w:rFonts w:asciiTheme="minorHAnsi" w:eastAsiaTheme="majorEastAsia" w:hAnsiTheme="minorHAnsi" w:cs="Segoe UI"/>
          <w:lang w:val="en-US"/>
        </w:rPr>
        <w:t>, 14</w:t>
      </w:r>
      <w:r w:rsidRPr="006F1940">
        <w:rPr>
          <w:rStyle w:val="normaltextrun"/>
          <w:rFonts w:asciiTheme="minorHAnsi" w:eastAsiaTheme="majorEastAsia" w:hAnsiTheme="minorHAnsi" w:cs="Segoe UI"/>
          <w:vertAlign w:val="superscript"/>
          <w:lang w:val="en-US"/>
        </w:rPr>
        <w:t>th</w:t>
      </w:r>
      <w:r w:rsidRPr="006F1940">
        <w:rPr>
          <w:rStyle w:val="normaltextrun"/>
          <w:rFonts w:asciiTheme="minorHAnsi" w:eastAsiaTheme="majorEastAsia" w:hAnsiTheme="minorHAnsi" w:cs="Segoe UI"/>
          <w:lang w:val="en-US"/>
        </w:rPr>
        <w:t xml:space="preserve"> March 2024.</w:t>
      </w:r>
    </w:p>
    <w:p w14:paraId="22BFF42A" w14:textId="77777777" w:rsidR="00E35CF2" w:rsidRPr="006F1940" w:rsidRDefault="00E35CF2" w:rsidP="00E35CF2">
      <w:pPr>
        <w:pStyle w:val="paragraph"/>
        <w:spacing w:before="0" w:beforeAutospacing="0" w:after="0" w:afterAutospacing="0" w:line="480" w:lineRule="auto"/>
        <w:jc w:val="both"/>
        <w:textAlignment w:val="baseline"/>
        <w:rPr>
          <w:rStyle w:val="normaltextrun"/>
          <w:rFonts w:asciiTheme="minorHAnsi" w:eastAsiaTheme="majorEastAsia" w:hAnsiTheme="minorHAnsi" w:cs="Segoe UI"/>
          <w:i/>
          <w:iCs/>
          <w:lang w:val="en-US"/>
        </w:rPr>
      </w:pPr>
      <w:r w:rsidRPr="006F1940">
        <w:rPr>
          <w:rStyle w:val="normaltextrun"/>
          <w:rFonts w:asciiTheme="minorHAnsi" w:eastAsiaTheme="majorEastAsia" w:hAnsiTheme="minorHAnsi" w:cs="Segoe UI"/>
          <w:lang w:val="en-US"/>
        </w:rPr>
        <w:t xml:space="preserve">BERA (2018) British Educational Research Association.  </w:t>
      </w:r>
      <w:r w:rsidRPr="006F1940">
        <w:rPr>
          <w:rStyle w:val="normaltextrun"/>
          <w:rFonts w:asciiTheme="minorHAnsi" w:eastAsiaTheme="majorEastAsia" w:hAnsiTheme="minorHAnsi" w:cs="Segoe UI"/>
          <w:i/>
          <w:iCs/>
          <w:lang w:val="en-US"/>
        </w:rPr>
        <w:t xml:space="preserve">Ethical Guidelines for </w:t>
      </w:r>
    </w:p>
    <w:p w14:paraId="3906A8CE" w14:textId="77777777" w:rsidR="00E35CF2" w:rsidRPr="006F1940" w:rsidRDefault="00E35CF2" w:rsidP="00E35CF2">
      <w:pPr>
        <w:pStyle w:val="paragraph"/>
        <w:spacing w:before="0" w:beforeAutospacing="0" w:after="0" w:afterAutospacing="0" w:line="480" w:lineRule="auto"/>
        <w:jc w:val="both"/>
        <w:textAlignment w:val="baseline"/>
        <w:rPr>
          <w:rStyle w:val="eop"/>
          <w:rFonts w:asciiTheme="minorHAnsi" w:eastAsiaTheme="majorEastAsia" w:hAnsiTheme="minorHAnsi" w:cs="Segoe UI"/>
          <w:lang w:val="en-US"/>
        </w:rPr>
      </w:pPr>
      <w:r w:rsidRPr="006F1940">
        <w:rPr>
          <w:rStyle w:val="normaltextrun"/>
          <w:rFonts w:asciiTheme="minorHAnsi" w:eastAsiaTheme="majorEastAsia" w:hAnsiTheme="minorHAnsi" w:cs="Segoe UI"/>
          <w:i/>
          <w:iCs/>
          <w:lang w:val="en-US"/>
        </w:rPr>
        <w:t>Educational Research</w:t>
      </w:r>
      <w:r w:rsidRPr="006F1940">
        <w:rPr>
          <w:rStyle w:val="normaltextrun"/>
          <w:rFonts w:asciiTheme="minorHAnsi" w:eastAsiaTheme="majorEastAsia" w:hAnsiTheme="minorHAnsi" w:cs="Segoe UI"/>
          <w:lang w:val="en-US"/>
        </w:rPr>
        <w:t xml:space="preserve">, </w:t>
      </w:r>
      <w:r w:rsidRPr="006F1940">
        <w:rPr>
          <w:rStyle w:val="normaltextrun"/>
          <w:rFonts w:asciiTheme="minorHAnsi" w:eastAsiaTheme="majorEastAsia" w:hAnsiTheme="minorHAnsi" w:cs="Segoe UI"/>
          <w:i/>
          <w:iCs/>
          <w:lang w:val="en-US"/>
        </w:rPr>
        <w:t>fourth edition</w:t>
      </w:r>
      <w:r w:rsidRPr="006F1940">
        <w:rPr>
          <w:rStyle w:val="normaltextrun"/>
          <w:rFonts w:asciiTheme="minorHAnsi" w:eastAsiaTheme="majorEastAsia" w:hAnsiTheme="minorHAnsi" w:cs="Segoe UI"/>
          <w:lang w:val="en-US"/>
        </w:rPr>
        <w:t>, London. Available at  </w:t>
      </w:r>
      <w:hyperlink r:id="rId6" w:tgtFrame="_blank" w:history="1">
        <w:r w:rsidRPr="006F1940">
          <w:rPr>
            <w:rStyle w:val="normaltextrun"/>
            <w:rFonts w:asciiTheme="minorHAnsi" w:eastAsiaTheme="majorEastAsia" w:hAnsiTheme="minorHAnsi" w:cs="Segoe UI"/>
            <w:color w:val="467886"/>
            <w:u w:val="single"/>
            <w:lang w:val="en-US"/>
          </w:rPr>
          <w:t>BERA-Ethical-Guidelines-for-Educational-Research_4thEdn_2018.pdf</w:t>
        </w:r>
      </w:hyperlink>
      <w:r w:rsidRPr="006F1940">
        <w:rPr>
          <w:rStyle w:val="normaltextrun"/>
          <w:rFonts w:asciiTheme="minorHAnsi" w:eastAsiaTheme="majorEastAsia" w:hAnsiTheme="minorHAnsi" w:cs="Segoe UI"/>
          <w:lang w:val="en-US"/>
        </w:rPr>
        <w:t xml:space="preserve"> (Accessed 16</w:t>
      </w:r>
      <w:r w:rsidRPr="006F1940">
        <w:rPr>
          <w:rStyle w:val="normaltextrun"/>
          <w:rFonts w:asciiTheme="minorHAnsi" w:eastAsiaTheme="majorEastAsia" w:hAnsiTheme="minorHAnsi" w:cs="Segoe UI"/>
          <w:vertAlign w:val="superscript"/>
          <w:lang w:val="en-US"/>
        </w:rPr>
        <w:t>th</w:t>
      </w:r>
      <w:r w:rsidRPr="006F1940">
        <w:rPr>
          <w:rStyle w:val="normaltextrun"/>
          <w:rFonts w:asciiTheme="minorHAnsi" w:eastAsiaTheme="majorEastAsia" w:hAnsiTheme="minorHAnsi" w:cs="Segoe UI"/>
          <w:lang w:val="en-US"/>
        </w:rPr>
        <w:t xml:space="preserve"> February 2024).</w:t>
      </w:r>
      <w:r w:rsidRPr="006F1940">
        <w:rPr>
          <w:rStyle w:val="eop"/>
          <w:rFonts w:asciiTheme="minorHAnsi" w:eastAsiaTheme="majorEastAsia" w:hAnsiTheme="minorHAnsi" w:cs="Segoe UI"/>
          <w:lang w:val="en-US"/>
        </w:rPr>
        <w:t> </w:t>
      </w:r>
    </w:p>
    <w:p w14:paraId="4F86AD7E" w14:textId="77777777" w:rsidR="00E35CF2" w:rsidRPr="006F1940" w:rsidRDefault="00E35CF2" w:rsidP="00E35CF2">
      <w:pPr>
        <w:spacing w:line="480" w:lineRule="auto"/>
        <w:jc w:val="both"/>
        <w:rPr>
          <w:rStyle w:val="eop"/>
          <w:rFonts w:cs="Arial"/>
        </w:rPr>
      </w:pPr>
      <w:r w:rsidRPr="006F1940">
        <w:rPr>
          <w:rFonts w:cs="Arial"/>
        </w:rPr>
        <w:t xml:space="preserve">Black, P., Harrison, C., Lee, C., Marshall, B. and Wiliam, D., (2004) ‘Working inside the black box: Assessment for learning in the classroom’.  </w:t>
      </w:r>
      <w:r w:rsidRPr="006F1940">
        <w:rPr>
          <w:rFonts w:cs="Arial"/>
          <w:i/>
          <w:iCs/>
        </w:rPr>
        <w:t xml:space="preserve">Phi delta kappan, 86(1), pp.8-21.  </w:t>
      </w:r>
      <w:r w:rsidRPr="006F1940">
        <w:rPr>
          <w:rFonts w:cs="Arial"/>
        </w:rPr>
        <w:t xml:space="preserve">Available at </w:t>
      </w:r>
      <w:hyperlink r:id="rId7" w:history="1">
        <w:r w:rsidRPr="006F1940">
          <w:rPr>
            <w:rStyle w:val="Hyperlink"/>
          </w:rPr>
          <w:t>ArticleBlackWrkBlBox (2).pdf</w:t>
        </w:r>
      </w:hyperlink>
      <w:r w:rsidRPr="006F1940">
        <w:rPr>
          <w:rFonts w:cs="Arial"/>
        </w:rPr>
        <w:t xml:space="preserve"> (Accessed 28</w:t>
      </w:r>
      <w:r w:rsidRPr="006F1940">
        <w:rPr>
          <w:rFonts w:cs="Arial"/>
          <w:vertAlign w:val="superscript"/>
        </w:rPr>
        <w:t>th</w:t>
      </w:r>
      <w:r w:rsidRPr="006F1940">
        <w:rPr>
          <w:rFonts w:cs="Arial"/>
        </w:rPr>
        <w:t xml:space="preserve"> April 2024).</w:t>
      </w:r>
    </w:p>
    <w:p w14:paraId="7CBA9FA0" w14:textId="77777777" w:rsidR="00E35CF2" w:rsidRPr="006F1940" w:rsidRDefault="00E35CF2" w:rsidP="00E35CF2">
      <w:pPr>
        <w:pStyle w:val="paragraph"/>
        <w:spacing w:before="0" w:beforeAutospacing="0" w:after="0" w:afterAutospacing="0" w:line="480" w:lineRule="auto"/>
        <w:jc w:val="both"/>
        <w:textAlignment w:val="baseline"/>
        <w:rPr>
          <w:rStyle w:val="eop"/>
          <w:rFonts w:asciiTheme="minorHAnsi" w:eastAsiaTheme="majorEastAsia" w:hAnsiTheme="minorHAnsi" w:cs="Segoe UI"/>
          <w:lang w:val="en-US"/>
        </w:rPr>
      </w:pPr>
      <w:r w:rsidRPr="006F1940">
        <w:rPr>
          <w:rStyle w:val="eop"/>
          <w:rFonts w:asciiTheme="minorHAnsi" w:eastAsiaTheme="majorEastAsia" w:hAnsiTheme="minorHAnsi" w:cs="Segoe UI"/>
          <w:lang w:val="en-US"/>
        </w:rPr>
        <w:lastRenderedPageBreak/>
        <w:t xml:space="preserve">Boxer, A. (2019) What is the best way to motivate students in your subject? Effective Approaches to Teaching.   </w:t>
      </w:r>
      <w:r w:rsidRPr="006F1940">
        <w:rPr>
          <w:rStyle w:val="eop"/>
          <w:rFonts w:asciiTheme="minorHAnsi" w:eastAsiaTheme="majorEastAsia" w:hAnsiTheme="minorHAnsi" w:cs="Segoe UI"/>
          <w:i/>
          <w:iCs/>
          <w:lang w:val="en-US"/>
        </w:rPr>
        <w:t xml:space="preserve">Impact journal of the chartered college of teaching, Iss. 5, Spring 2019.  </w:t>
      </w:r>
      <w:r w:rsidRPr="006F1940">
        <w:rPr>
          <w:rStyle w:val="eop"/>
          <w:rFonts w:asciiTheme="minorHAnsi" w:eastAsiaTheme="majorEastAsia" w:hAnsiTheme="minorHAnsi" w:cs="Segoe UI"/>
          <w:lang w:val="en-US"/>
        </w:rPr>
        <w:t xml:space="preserve">Available at </w:t>
      </w:r>
      <w:hyperlink r:id="rId8" w:history="1">
        <w:r w:rsidRPr="006F1940">
          <w:rPr>
            <w:rStyle w:val="Hyperlink"/>
            <w:rFonts w:asciiTheme="minorHAnsi" w:eastAsiaTheme="majorEastAsia" w:hAnsiTheme="minorHAnsi"/>
          </w:rPr>
          <w:t>Impact-taster-2020v2.pdf (chartered.college)</w:t>
        </w:r>
      </w:hyperlink>
      <w:r w:rsidRPr="006F1940">
        <w:rPr>
          <w:rFonts w:asciiTheme="minorHAnsi" w:hAnsiTheme="minorHAnsi"/>
        </w:rPr>
        <w:t xml:space="preserve"> (Accessed 9</w:t>
      </w:r>
      <w:r w:rsidRPr="006F1940">
        <w:rPr>
          <w:rFonts w:asciiTheme="minorHAnsi" w:hAnsiTheme="minorHAnsi"/>
          <w:vertAlign w:val="superscript"/>
        </w:rPr>
        <w:t>th</w:t>
      </w:r>
      <w:r w:rsidRPr="006F1940">
        <w:rPr>
          <w:rFonts w:asciiTheme="minorHAnsi" w:hAnsiTheme="minorHAnsi"/>
        </w:rPr>
        <w:t xml:space="preserve"> April 2024).</w:t>
      </w:r>
    </w:p>
    <w:p w14:paraId="1E8AA9B3"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Style w:val="eop"/>
          <w:rFonts w:asciiTheme="minorHAnsi" w:eastAsiaTheme="majorEastAsia" w:hAnsiTheme="minorHAnsi" w:cs="Segoe UI"/>
          <w:lang w:val="en-US"/>
        </w:rPr>
        <w:t xml:space="preserve">Chen, O., Castro-Alfonso, J. C., Paas, F., &amp; Sweller, J. (2017) Extending Cognitive Load Theory to Incorporate Working Memory Resource Depletion: Evidence from the Spacing Effect.  </w:t>
      </w:r>
      <w:r w:rsidRPr="006F1940">
        <w:rPr>
          <w:rStyle w:val="eop"/>
          <w:rFonts w:asciiTheme="minorHAnsi" w:eastAsiaTheme="majorEastAsia" w:hAnsiTheme="minorHAnsi" w:cs="Segoe UI"/>
          <w:i/>
          <w:iCs/>
          <w:lang w:val="en-US"/>
        </w:rPr>
        <w:t xml:space="preserve">Educational Psychology Review, Vol 30, pp. 483-501.  </w:t>
      </w:r>
      <w:r w:rsidRPr="006F1940">
        <w:rPr>
          <w:rStyle w:val="eop"/>
          <w:rFonts w:asciiTheme="minorHAnsi" w:eastAsiaTheme="majorEastAsia" w:hAnsiTheme="minorHAnsi" w:cs="Segoe UI"/>
          <w:lang w:val="en-US"/>
        </w:rPr>
        <w:t xml:space="preserve">Available at </w:t>
      </w:r>
      <w:hyperlink r:id="rId9" w:history="1">
        <w:r w:rsidRPr="006F1940">
          <w:rPr>
            <w:rStyle w:val="Hyperlink"/>
            <w:rFonts w:asciiTheme="minorHAnsi" w:eastAsiaTheme="majorEastAsia" w:hAnsiTheme="minorHAnsi"/>
          </w:rPr>
          <w:t>Extending Cognitive Load Theory to Incorporate Working Memory Resource Depletion: Evidence from the Spacing Effect | Educational Psychology Review (springer.com)</w:t>
        </w:r>
      </w:hyperlink>
      <w:r w:rsidRPr="006F1940">
        <w:rPr>
          <w:rFonts w:asciiTheme="minorHAnsi" w:hAnsiTheme="minorHAnsi"/>
        </w:rPr>
        <w:t xml:space="preserve"> (Accessed 5</w:t>
      </w:r>
      <w:r w:rsidRPr="006F1940">
        <w:rPr>
          <w:rFonts w:asciiTheme="minorHAnsi" w:hAnsiTheme="minorHAnsi"/>
          <w:vertAlign w:val="superscript"/>
        </w:rPr>
        <w:t>th</w:t>
      </w:r>
      <w:r w:rsidRPr="006F1940">
        <w:rPr>
          <w:rFonts w:asciiTheme="minorHAnsi" w:hAnsiTheme="minorHAnsi"/>
        </w:rPr>
        <w:t xml:space="preserve"> April 2024).</w:t>
      </w:r>
    </w:p>
    <w:p w14:paraId="489CF325" w14:textId="77777777" w:rsidR="00E35CF2" w:rsidRPr="006F1940" w:rsidRDefault="00E35CF2" w:rsidP="00E35CF2">
      <w:pPr>
        <w:spacing w:line="480" w:lineRule="auto"/>
        <w:jc w:val="both"/>
        <w:rPr>
          <w:rFonts w:cstheme="minorHAnsi"/>
        </w:rPr>
      </w:pPr>
      <w:r w:rsidRPr="006F1940">
        <w:rPr>
          <w:rFonts w:cstheme="minorHAnsi"/>
        </w:rPr>
        <w:t xml:space="preserve">Coe, R., Rauch, C. J., Kime, S. and Singleton, D. (2020) </w:t>
      </w:r>
      <w:r w:rsidRPr="006F1940">
        <w:rPr>
          <w:rFonts w:cstheme="minorHAnsi"/>
          <w:i/>
          <w:iCs/>
        </w:rPr>
        <w:t>Great Teaching Toolkit</w:t>
      </w:r>
      <w:r w:rsidRPr="006F1940">
        <w:rPr>
          <w:rFonts w:cstheme="minorHAnsi"/>
        </w:rPr>
        <w:t>.  Evidence Review.  Cambridge Assessment International Education.</w:t>
      </w:r>
    </w:p>
    <w:p w14:paraId="4828B858" w14:textId="77777777" w:rsidR="00E35CF2" w:rsidRPr="006F1940" w:rsidRDefault="00E35CF2" w:rsidP="00E35CF2">
      <w:pPr>
        <w:spacing w:line="480" w:lineRule="auto"/>
        <w:jc w:val="both"/>
        <w:rPr>
          <w:rFonts w:cstheme="minorHAnsi"/>
        </w:rPr>
      </w:pPr>
      <w:r w:rsidRPr="006F1940">
        <w:rPr>
          <w:rFonts w:cstheme="minorHAnsi"/>
        </w:rPr>
        <w:t>Coolican, H. (1999) Research Methods and Statistics in Psychology.  3</w:t>
      </w:r>
      <w:r w:rsidRPr="006F1940">
        <w:rPr>
          <w:rFonts w:cstheme="minorHAnsi"/>
          <w:vertAlign w:val="superscript"/>
        </w:rPr>
        <w:t>rd</w:t>
      </w:r>
      <w:r w:rsidRPr="006F1940">
        <w:rPr>
          <w:rFonts w:cstheme="minorHAnsi"/>
        </w:rPr>
        <w:t xml:space="preserve"> edn. London: Hodder &amp; Stoughton.</w:t>
      </w:r>
    </w:p>
    <w:p w14:paraId="5D34E301" w14:textId="77777777" w:rsidR="00E35CF2" w:rsidRPr="006F1940" w:rsidRDefault="00E35CF2" w:rsidP="00E35CF2">
      <w:pPr>
        <w:spacing w:line="480" w:lineRule="auto"/>
        <w:jc w:val="both"/>
        <w:rPr>
          <w:rStyle w:val="eop"/>
          <w:rFonts w:cstheme="minorHAnsi"/>
        </w:rPr>
      </w:pPr>
      <w:r w:rsidRPr="006F1940">
        <w:rPr>
          <w:rFonts w:cstheme="minorHAnsi"/>
        </w:rPr>
        <w:t>Demetriou, H. (2013) ‘The Case Study’, in Wilson, E. (1</w:t>
      </w:r>
      <w:r w:rsidRPr="006F1940">
        <w:rPr>
          <w:rFonts w:cstheme="minorHAnsi"/>
          <w:vertAlign w:val="superscript"/>
        </w:rPr>
        <w:t>st</w:t>
      </w:r>
      <w:r w:rsidRPr="006F1940">
        <w:rPr>
          <w:rFonts w:cstheme="minorHAnsi"/>
        </w:rPr>
        <w:t xml:space="preserve"> edn) School-based Research: A guide for education students.  London, California, New Delhi and Singapore: Sage, pp. 256-269.</w:t>
      </w:r>
    </w:p>
    <w:p w14:paraId="50F591CD"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Style w:val="normaltextrun"/>
          <w:rFonts w:asciiTheme="minorHAnsi" w:hAnsiTheme="minorHAnsi" w:cs="Segoe UI"/>
          <w:lang w:val="en-US"/>
        </w:rPr>
        <w:t xml:space="preserve">Estyn (2018) A report on </w:t>
      </w:r>
      <w:r w:rsidRPr="006F1940">
        <w:rPr>
          <w:rStyle w:val="normaltextrun"/>
          <w:rFonts w:asciiTheme="minorHAnsi" w:hAnsiTheme="minorHAnsi" w:cs="Segoe UI"/>
          <w:highlight w:val="black"/>
          <w:lang w:val="en-US"/>
        </w:rPr>
        <w:t>Ysgol Harri Tudur/ Henry Tudor School</w:t>
      </w:r>
      <w:r w:rsidRPr="006F1940">
        <w:rPr>
          <w:rStyle w:val="normaltextrun"/>
          <w:rFonts w:asciiTheme="minorHAnsi" w:hAnsiTheme="minorHAnsi" w:cs="Segoe UI"/>
          <w:lang w:val="en-US"/>
        </w:rPr>
        <w:t xml:space="preserve">.  Available at </w:t>
      </w:r>
      <w:hyperlink r:id="rId10" w:history="1">
        <w:r w:rsidRPr="006F1940">
          <w:rPr>
            <w:rStyle w:val="Hyperlink"/>
            <w:rFonts w:asciiTheme="minorHAnsi" w:eastAsiaTheme="majorEastAsia" w:hAnsiTheme="minorHAnsi"/>
          </w:rPr>
          <w:t xml:space="preserve">Inspection report </w:t>
        </w:r>
        <w:r w:rsidRPr="006F1940">
          <w:rPr>
            <w:rStyle w:val="Hyperlink"/>
            <w:rFonts w:asciiTheme="minorHAnsi" w:eastAsiaTheme="majorEastAsia" w:hAnsiTheme="minorHAnsi"/>
            <w:highlight w:val="blue"/>
          </w:rPr>
          <w:t>Henry Tudor School 2019</w:t>
        </w:r>
        <w:r w:rsidRPr="006F1940">
          <w:rPr>
            <w:rStyle w:val="Hyperlink"/>
            <w:rFonts w:asciiTheme="minorHAnsi" w:eastAsiaTheme="majorEastAsia" w:hAnsiTheme="minorHAnsi"/>
          </w:rPr>
          <w:t xml:space="preserve"> (gov.wales)</w:t>
        </w:r>
      </w:hyperlink>
      <w:r w:rsidRPr="006F1940">
        <w:rPr>
          <w:rFonts w:asciiTheme="minorHAnsi" w:hAnsiTheme="minorHAnsi"/>
        </w:rPr>
        <w:t xml:space="preserve"> (Accessed 25</w:t>
      </w:r>
      <w:r w:rsidRPr="006F1940">
        <w:rPr>
          <w:rFonts w:asciiTheme="minorHAnsi" w:hAnsiTheme="minorHAnsi"/>
          <w:vertAlign w:val="superscript"/>
        </w:rPr>
        <w:t>th</w:t>
      </w:r>
      <w:r w:rsidRPr="006F1940">
        <w:rPr>
          <w:rFonts w:asciiTheme="minorHAnsi" w:hAnsiTheme="minorHAnsi"/>
        </w:rPr>
        <w:t xml:space="preserve"> March 2024).</w:t>
      </w:r>
    </w:p>
    <w:p w14:paraId="77E749A6"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Fonts w:asciiTheme="minorHAnsi" w:hAnsiTheme="minorHAnsi"/>
        </w:rPr>
        <w:t xml:space="preserve">Hambleton, R. K. (2012) ‘Measurement and Validity’ in </w:t>
      </w:r>
      <w:r w:rsidRPr="006F1940">
        <w:rPr>
          <w:rStyle w:val="normaltextrun"/>
          <w:rFonts w:asciiTheme="minorHAnsi" w:eastAsiaTheme="majorEastAsia" w:hAnsiTheme="minorHAnsi" w:cs="Segoe UI"/>
          <w:lang w:val="en-US"/>
        </w:rPr>
        <w:t>Arthur, J., Waring, M., Coe, R., and Hedges, L. V. (1</w:t>
      </w:r>
      <w:r w:rsidRPr="006F1940">
        <w:rPr>
          <w:rStyle w:val="normaltextrun"/>
          <w:rFonts w:asciiTheme="minorHAnsi" w:eastAsiaTheme="majorEastAsia" w:hAnsiTheme="minorHAnsi" w:cs="Segoe UI"/>
          <w:vertAlign w:val="superscript"/>
          <w:lang w:val="en-US"/>
        </w:rPr>
        <w:t>ST</w:t>
      </w:r>
      <w:r w:rsidRPr="006F1940">
        <w:rPr>
          <w:rStyle w:val="normaltextrun"/>
          <w:rFonts w:asciiTheme="minorHAnsi" w:eastAsiaTheme="majorEastAsia" w:hAnsiTheme="minorHAnsi" w:cs="Segoe UI"/>
          <w:lang w:val="en-US"/>
        </w:rPr>
        <w:t xml:space="preserve"> edn) Research Methods &amp; Methodologies in Education.  London, California, New Delhi and Singapore: Sage Publications, pp. 241-247.</w:t>
      </w:r>
    </w:p>
    <w:p w14:paraId="7F015FE2" w14:textId="77777777" w:rsidR="00E35CF2" w:rsidRPr="006F1940" w:rsidRDefault="00E35CF2" w:rsidP="00E35CF2">
      <w:pPr>
        <w:spacing w:line="480" w:lineRule="auto"/>
        <w:jc w:val="both"/>
        <w:rPr>
          <w:rFonts w:cstheme="minorHAnsi"/>
        </w:rPr>
      </w:pPr>
      <w:r w:rsidRPr="006F1940">
        <w:rPr>
          <w:rFonts w:cstheme="minorHAnsi"/>
        </w:rPr>
        <w:lastRenderedPageBreak/>
        <w:t xml:space="preserve">Hattie, J. and Yates, G. (2014) </w:t>
      </w:r>
      <w:r w:rsidRPr="006F1940">
        <w:rPr>
          <w:rFonts w:cstheme="minorHAnsi"/>
          <w:i/>
          <w:iCs/>
        </w:rPr>
        <w:t>Visible Learning and the Science of How We Learn.</w:t>
      </w:r>
      <w:r w:rsidRPr="006F1940">
        <w:rPr>
          <w:rFonts w:cstheme="minorHAnsi"/>
        </w:rPr>
        <w:t xml:space="preserve"> Abingdon and New York: Routledge: Taylor &amp; Francis Group.</w:t>
      </w:r>
    </w:p>
    <w:p w14:paraId="72C86798" w14:textId="77777777" w:rsidR="00E35CF2" w:rsidRPr="006F1940" w:rsidRDefault="00E35CF2" w:rsidP="00E35CF2">
      <w:pPr>
        <w:spacing w:line="480" w:lineRule="auto"/>
        <w:jc w:val="both"/>
        <w:rPr>
          <w:rFonts w:cstheme="minorHAnsi"/>
        </w:rPr>
      </w:pPr>
      <w:r w:rsidRPr="006F1940">
        <w:rPr>
          <w:rFonts w:cstheme="minorHAnsi"/>
        </w:rPr>
        <w:t xml:space="preserve">EWC (2023) Education Workforce Council. Code of Professional Conduct and Practice for registrants. Available at </w:t>
      </w:r>
      <w:hyperlink r:id="rId11" w:history="1">
        <w:r w:rsidRPr="006F1940">
          <w:rPr>
            <w:rStyle w:val="Hyperlink"/>
          </w:rPr>
          <w:t>Code of Professional Conduct and Practice (ewc.wales)</w:t>
        </w:r>
      </w:hyperlink>
      <w:r w:rsidRPr="006F1940">
        <w:t xml:space="preserve"> (Accessed 1</w:t>
      </w:r>
      <w:r w:rsidRPr="006F1940">
        <w:rPr>
          <w:vertAlign w:val="superscript"/>
        </w:rPr>
        <w:t>st</w:t>
      </w:r>
      <w:r w:rsidRPr="006F1940">
        <w:t xml:space="preserve"> May 2024).</w:t>
      </w:r>
    </w:p>
    <w:p w14:paraId="0D3B3439"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Fonts w:asciiTheme="minorHAnsi" w:hAnsiTheme="minorHAnsi"/>
        </w:rPr>
        <w:t>Hitchcock, G., &amp; Hughes, D. (1995) Research and the Teacher.  A Qualitative Introduction to School-based Research.  2</w:t>
      </w:r>
      <w:r w:rsidRPr="006F1940">
        <w:rPr>
          <w:rFonts w:asciiTheme="minorHAnsi" w:hAnsiTheme="minorHAnsi"/>
          <w:vertAlign w:val="superscript"/>
        </w:rPr>
        <w:t>nd</w:t>
      </w:r>
      <w:r w:rsidRPr="006F1940">
        <w:rPr>
          <w:rFonts w:asciiTheme="minorHAnsi" w:hAnsiTheme="minorHAnsi"/>
        </w:rPr>
        <w:t xml:space="preserve"> edn.  London and New York: Routledge.</w:t>
      </w:r>
    </w:p>
    <w:p w14:paraId="334F27E1"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Fonts w:asciiTheme="minorHAnsi" w:hAnsiTheme="minorHAnsi"/>
        </w:rPr>
        <w:t xml:space="preserve">Holmes, A. G. D. (2020) Researcher Positionality- A Consideration of its Influence and Place in Qualitative Research- A New Researcher Guide.  </w:t>
      </w:r>
      <w:r w:rsidRPr="006F1940">
        <w:rPr>
          <w:rFonts w:asciiTheme="minorHAnsi" w:hAnsiTheme="minorHAnsi"/>
          <w:i/>
          <w:iCs/>
        </w:rPr>
        <w:t xml:space="preserve">International Journal of Education, Vol. 8, Iss. 4, pp. 1-10. </w:t>
      </w:r>
      <w:r w:rsidRPr="006F1940">
        <w:rPr>
          <w:rFonts w:asciiTheme="minorHAnsi" w:hAnsiTheme="minorHAnsi"/>
        </w:rPr>
        <w:t xml:space="preserve">Available at </w:t>
      </w:r>
      <w:hyperlink r:id="rId12" w:history="1">
        <w:r w:rsidRPr="006F1940">
          <w:rPr>
            <w:rStyle w:val="Hyperlink"/>
            <w:rFonts w:asciiTheme="minorHAnsi" w:eastAsiaTheme="majorEastAsia" w:hAnsiTheme="minorHAnsi"/>
          </w:rPr>
          <w:t>EJ1268044.pdf (ed.gov)</w:t>
        </w:r>
      </w:hyperlink>
      <w:r w:rsidRPr="006F1940">
        <w:rPr>
          <w:rFonts w:asciiTheme="minorHAnsi" w:hAnsiTheme="minorHAnsi"/>
        </w:rPr>
        <w:t xml:space="preserve"> (Accessed 3</w:t>
      </w:r>
      <w:r w:rsidRPr="006F1940">
        <w:rPr>
          <w:rFonts w:asciiTheme="minorHAnsi" w:hAnsiTheme="minorHAnsi"/>
          <w:vertAlign w:val="superscript"/>
        </w:rPr>
        <w:t>rd</w:t>
      </w:r>
      <w:r w:rsidRPr="006F1940">
        <w:rPr>
          <w:rFonts w:asciiTheme="minorHAnsi" w:hAnsiTheme="minorHAnsi"/>
        </w:rPr>
        <w:t xml:space="preserve"> May 2024).</w:t>
      </w:r>
    </w:p>
    <w:p w14:paraId="7EB9ACEA"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Fonts w:asciiTheme="minorHAnsi" w:hAnsiTheme="minorHAnsi"/>
        </w:rPr>
        <w:t>Hopkins, D. (2014) A Teacher’s Guide to Classroom Research.  5</w:t>
      </w:r>
      <w:r w:rsidRPr="006F1940">
        <w:rPr>
          <w:rFonts w:asciiTheme="minorHAnsi" w:hAnsiTheme="minorHAnsi"/>
          <w:vertAlign w:val="superscript"/>
        </w:rPr>
        <w:t>th</w:t>
      </w:r>
      <w:r w:rsidRPr="006F1940">
        <w:rPr>
          <w:rFonts w:asciiTheme="minorHAnsi" w:hAnsiTheme="minorHAnsi"/>
        </w:rPr>
        <w:t xml:space="preserve"> edn. Maidenhead and New York: Open University Press.</w:t>
      </w:r>
    </w:p>
    <w:p w14:paraId="342B8678"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Fonts w:asciiTheme="minorHAnsi" w:hAnsiTheme="minorHAnsi"/>
        </w:rPr>
        <w:t xml:space="preserve">Keller, A. S., Davidesco, I., and Tanner, K. D. (2020) Attention Matters: How Orchestrating Attention May Relate to Classroom Learning. </w:t>
      </w:r>
      <w:r w:rsidRPr="006F1940">
        <w:rPr>
          <w:rFonts w:asciiTheme="minorHAnsi" w:hAnsiTheme="minorHAnsi"/>
          <w:i/>
          <w:iCs/>
        </w:rPr>
        <w:t xml:space="preserve">CBE-Life Sciences Education, Vol. 19, No. 3.  </w:t>
      </w:r>
      <w:r w:rsidRPr="006F1940">
        <w:rPr>
          <w:rFonts w:asciiTheme="minorHAnsi" w:hAnsiTheme="minorHAnsi"/>
        </w:rPr>
        <w:t xml:space="preserve">Available at </w:t>
      </w:r>
      <w:hyperlink r:id="rId13" w:history="1">
        <w:r w:rsidRPr="006F1940">
          <w:rPr>
            <w:rStyle w:val="Hyperlink"/>
            <w:rFonts w:asciiTheme="minorHAnsi" w:eastAsiaTheme="majorEastAsia" w:hAnsiTheme="minorHAnsi"/>
          </w:rPr>
          <w:t>Attention Matters: How Orchestrating Attention May Relate to Classroom Learning | CBE—Life Sciences Education (lifescied.org)</w:t>
        </w:r>
      </w:hyperlink>
      <w:r w:rsidRPr="006F1940">
        <w:rPr>
          <w:rFonts w:asciiTheme="minorHAnsi" w:hAnsiTheme="minorHAnsi"/>
        </w:rPr>
        <w:t xml:space="preserve"> (Accessed 9</w:t>
      </w:r>
      <w:r w:rsidRPr="006F1940">
        <w:rPr>
          <w:rFonts w:asciiTheme="minorHAnsi" w:hAnsiTheme="minorHAnsi"/>
          <w:vertAlign w:val="superscript"/>
        </w:rPr>
        <w:t>th</w:t>
      </w:r>
      <w:r w:rsidRPr="006F1940">
        <w:rPr>
          <w:rFonts w:asciiTheme="minorHAnsi" w:hAnsiTheme="minorHAnsi"/>
        </w:rPr>
        <w:t xml:space="preserve"> April 2024).</w:t>
      </w:r>
    </w:p>
    <w:p w14:paraId="04D26E02"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Fonts w:asciiTheme="minorHAnsi" w:hAnsiTheme="minorHAnsi"/>
        </w:rPr>
        <w:t xml:space="preserve">Kelly, D., Kantor, P. B., Morse, E. L., Scholtz, J., and Sun, Y. (2009) Questionnaires for eliciting evaluation data from users of interactive question answering systems. Cambridge University Press.  </w:t>
      </w:r>
      <w:r w:rsidRPr="006F1940">
        <w:rPr>
          <w:rFonts w:asciiTheme="minorHAnsi" w:hAnsiTheme="minorHAnsi"/>
          <w:i/>
          <w:iCs/>
        </w:rPr>
        <w:t xml:space="preserve">Natural Language Engineering, Vol. 15, Special Iss. 1.  </w:t>
      </w:r>
      <w:r w:rsidRPr="006F1940">
        <w:rPr>
          <w:rFonts w:asciiTheme="minorHAnsi" w:hAnsiTheme="minorHAnsi"/>
        </w:rPr>
        <w:t xml:space="preserve">Available at </w:t>
      </w:r>
      <w:hyperlink r:id="rId14" w:history="1">
        <w:r w:rsidRPr="006F1940">
          <w:rPr>
            <w:rStyle w:val="Hyperlink"/>
            <w:rFonts w:asciiTheme="minorHAnsi" w:eastAsiaTheme="majorEastAsia" w:hAnsiTheme="minorHAnsi"/>
          </w:rPr>
          <w:t>Questionnaires for eliciting evaluation data from users of interactive question answering systems | Natural Language Engineering | Cambridge Core</w:t>
        </w:r>
      </w:hyperlink>
      <w:r w:rsidRPr="006F1940">
        <w:rPr>
          <w:rFonts w:asciiTheme="minorHAnsi" w:hAnsiTheme="minorHAnsi"/>
        </w:rPr>
        <w:t xml:space="preserve"> (Accessed 3</w:t>
      </w:r>
      <w:r w:rsidRPr="006F1940">
        <w:rPr>
          <w:rFonts w:asciiTheme="minorHAnsi" w:hAnsiTheme="minorHAnsi"/>
          <w:vertAlign w:val="superscript"/>
        </w:rPr>
        <w:t>rd</w:t>
      </w:r>
      <w:r w:rsidRPr="006F1940">
        <w:rPr>
          <w:rFonts w:asciiTheme="minorHAnsi" w:hAnsiTheme="minorHAnsi"/>
        </w:rPr>
        <w:t xml:space="preserve"> May 2024).</w:t>
      </w:r>
    </w:p>
    <w:p w14:paraId="17D2EFFC"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Fonts w:asciiTheme="minorHAnsi" w:hAnsiTheme="minorHAnsi"/>
        </w:rPr>
        <w:lastRenderedPageBreak/>
        <w:t xml:space="preserve">Kennedy, M. J. and Romig, J. E. (2021) Cognitive Load Theory: an applied reintroduction for special and general educators.  </w:t>
      </w:r>
      <w:r w:rsidRPr="006F1940">
        <w:rPr>
          <w:rFonts w:asciiTheme="minorHAnsi" w:hAnsiTheme="minorHAnsi"/>
          <w:i/>
          <w:iCs/>
        </w:rPr>
        <w:t xml:space="preserve">Teaching Exceptional Children: Sage Journals, Vol. 0, Iss. 0. </w:t>
      </w:r>
      <w:r w:rsidRPr="006F1940">
        <w:rPr>
          <w:rFonts w:asciiTheme="minorHAnsi" w:hAnsiTheme="minorHAnsi"/>
        </w:rPr>
        <w:t xml:space="preserve"> Available at </w:t>
      </w:r>
      <w:hyperlink r:id="rId15" w:history="1">
        <w:r w:rsidRPr="006F1940">
          <w:rPr>
            <w:rStyle w:val="Hyperlink"/>
            <w:rFonts w:asciiTheme="minorHAnsi" w:eastAsiaTheme="majorEastAsia" w:hAnsiTheme="minorHAnsi"/>
          </w:rPr>
          <w:t>Cognitive Load Theory: An Applied Reintroduction for Special and General Educators - Michael J. Kennedy, John Elwood Romig, 2021 (sagepub.com)</w:t>
        </w:r>
      </w:hyperlink>
      <w:r w:rsidRPr="006F1940">
        <w:rPr>
          <w:rFonts w:asciiTheme="minorHAnsi" w:hAnsiTheme="minorHAnsi"/>
        </w:rPr>
        <w:t xml:space="preserve"> (Accessed 5</w:t>
      </w:r>
      <w:r w:rsidRPr="006F1940">
        <w:rPr>
          <w:rFonts w:asciiTheme="minorHAnsi" w:hAnsiTheme="minorHAnsi"/>
          <w:vertAlign w:val="superscript"/>
        </w:rPr>
        <w:t>th</w:t>
      </w:r>
      <w:r w:rsidRPr="006F1940">
        <w:rPr>
          <w:rFonts w:asciiTheme="minorHAnsi" w:hAnsiTheme="minorHAnsi"/>
        </w:rPr>
        <w:t xml:space="preserve"> April 2024).</w:t>
      </w:r>
    </w:p>
    <w:p w14:paraId="124D654D"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Fonts w:asciiTheme="minorHAnsi" w:hAnsiTheme="minorHAnsi"/>
        </w:rPr>
        <w:t xml:space="preserve">Rosenshine, B. (2012) Principles of Instruction.  Research-Based Strategies that all teachers should know. </w:t>
      </w:r>
      <w:r w:rsidRPr="006F1940">
        <w:rPr>
          <w:rFonts w:asciiTheme="minorHAnsi" w:hAnsiTheme="minorHAnsi"/>
          <w:i/>
          <w:iCs/>
        </w:rPr>
        <w:t xml:space="preserve">American Educator, Vol. 36, no. 1, pp. 12-19. </w:t>
      </w:r>
      <w:r w:rsidRPr="006F1940">
        <w:rPr>
          <w:rFonts w:asciiTheme="minorHAnsi" w:hAnsiTheme="minorHAnsi"/>
        </w:rPr>
        <w:t xml:space="preserve">Available at </w:t>
      </w:r>
      <w:hyperlink r:id="rId16" w:history="1">
        <w:r w:rsidRPr="006F1940">
          <w:rPr>
            <w:rStyle w:val="Hyperlink"/>
            <w:rFonts w:asciiTheme="minorHAnsi" w:eastAsiaTheme="majorEastAsia" w:hAnsiTheme="minorHAnsi"/>
          </w:rPr>
          <w:t>Principles of Instruction: Research-Based Strategies That All Teachers Should Know, by Barak Rosenshine; American Educator Vol. 36, No. 1, Spring 2012, AFT</w:t>
        </w:r>
      </w:hyperlink>
      <w:r w:rsidRPr="006F1940">
        <w:rPr>
          <w:rFonts w:asciiTheme="minorHAnsi" w:hAnsiTheme="minorHAnsi"/>
        </w:rPr>
        <w:t xml:space="preserve"> (Accessed 5</w:t>
      </w:r>
      <w:r w:rsidRPr="006F1940">
        <w:rPr>
          <w:rFonts w:asciiTheme="minorHAnsi" w:hAnsiTheme="minorHAnsi"/>
          <w:vertAlign w:val="superscript"/>
        </w:rPr>
        <w:t>th</w:t>
      </w:r>
      <w:r w:rsidRPr="006F1940">
        <w:rPr>
          <w:rFonts w:asciiTheme="minorHAnsi" w:hAnsiTheme="minorHAnsi"/>
        </w:rPr>
        <w:t xml:space="preserve"> April 2024).</w:t>
      </w:r>
    </w:p>
    <w:p w14:paraId="3E33EAC7"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Fonts w:asciiTheme="minorHAnsi" w:hAnsiTheme="minorHAnsi"/>
        </w:rPr>
        <w:t xml:space="preserve">Saez Bondia, M. J., and Cortes Gracia, A. L. (2022) Action research in education: a set of case studies? </w:t>
      </w:r>
      <w:r w:rsidRPr="006F1940">
        <w:rPr>
          <w:rFonts w:asciiTheme="minorHAnsi" w:hAnsiTheme="minorHAnsi"/>
          <w:i/>
          <w:iCs/>
        </w:rPr>
        <w:t xml:space="preserve">Educational Action Research, VOL. 30, Iss. 5, pp. 850-864.  </w:t>
      </w:r>
      <w:r w:rsidRPr="006F1940">
        <w:rPr>
          <w:rFonts w:asciiTheme="minorHAnsi" w:hAnsiTheme="minorHAnsi"/>
        </w:rPr>
        <w:t xml:space="preserve">Available at </w:t>
      </w:r>
      <w:hyperlink r:id="rId17" w:history="1">
        <w:r w:rsidRPr="006F1940">
          <w:rPr>
            <w:rStyle w:val="Hyperlink"/>
            <w:rFonts w:asciiTheme="minorHAnsi" w:eastAsiaTheme="majorEastAsia" w:hAnsiTheme="minorHAnsi"/>
          </w:rPr>
          <w:t>Full article: Action research in education: a set of case studies? (tandfonline.com)</w:t>
        </w:r>
      </w:hyperlink>
      <w:r w:rsidRPr="006F1940">
        <w:rPr>
          <w:rFonts w:asciiTheme="minorHAnsi" w:hAnsiTheme="minorHAnsi"/>
        </w:rPr>
        <w:t xml:space="preserve"> (Accessed 13</w:t>
      </w:r>
      <w:r w:rsidRPr="006F1940">
        <w:rPr>
          <w:rFonts w:asciiTheme="minorHAnsi" w:hAnsiTheme="minorHAnsi"/>
          <w:vertAlign w:val="superscript"/>
        </w:rPr>
        <w:t>th</w:t>
      </w:r>
      <w:r w:rsidRPr="006F1940">
        <w:rPr>
          <w:rFonts w:asciiTheme="minorHAnsi" w:hAnsiTheme="minorHAnsi"/>
        </w:rPr>
        <w:t xml:space="preserve"> April 2024).  </w:t>
      </w:r>
    </w:p>
    <w:p w14:paraId="68C2A9C9"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Fonts w:asciiTheme="minorHAnsi" w:hAnsiTheme="minorHAnsi"/>
        </w:rPr>
        <w:t xml:space="preserve">IBM SPSS (2024) IBM SPSS software. Available at </w:t>
      </w:r>
      <w:hyperlink r:id="rId18" w:history="1">
        <w:r w:rsidRPr="006F1940">
          <w:rPr>
            <w:rStyle w:val="Hyperlink"/>
            <w:rFonts w:asciiTheme="minorHAnsi" w:eastAsiaTheme="majorEastAsia" w:hAnsiTheme="minorHAnsi"/>
          </w:rPr>
          <w:t>SPSS Software | IBM</w:t>
        </w:r>
      </w:hyperlink>
      <w:r w:rsidRPr="006F1940">
        <w:rPr>
          <w:rFonts w:asciiTheme="minorHAnsi" w:hAnsiTheme="minorHAnsi"/>
        </w:rPr>
        <w:t xml:space="preserve"> (Accessed 3</w:t>
      </w:r>
      <w:r w:rsidRPr="006F1940">
        <w:rPr>
          <w:rFonts w:asciiTheme="minorHAnsi" w:hAnsiTheme="minorHAnsi"/>
          <w:vertAlign w:val="superscript"/>
        </w:rPr>
        <w:t>rd</w:t>
      </w:r>
      <w:r w:rsidRPr="006F1940">
        <w:rPr>
          <w:rFonts w:asciiTheme="minorHAnsi" w:hAnsiTheme="minorHAnsi"/>
        </w:rPr>
        <w:t xml:space="preserve"> May 2024).</w:t>
      </w:r>
    </w:p>
    <w:p w14:paraId="0EF86787"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rPr>
      </w:pPr>
      <w:r w:rsidRPr="006F1940">
        <w:rPr>
          <w:rFonts w:asciiTheme="minorHAnsi" w:hAnsiTheme="minorHAnsi"/>
        </w:rPr>
        <w:t xml:space="preserve">Sweller, J. (2019) Cognitive load theory and educational technology.  </w:t>
      </w:r>
      <w:r w:rsidRPr="006F1940">
        <w:rPr>
          <w:rFonts w:asciiTheme="minorHAnsi" w:hAnsiTheme="minorHAnsi"/>
          <w:i/>
          <w:iCs/>
        </w:rPr>
        <w:t xml:space="preserve">Education Tech Research Dev, Vol 68,  pp.1-16.  </w:t>
      </w:r>
      <w:r w:rsidRPr="006F1940">
        <w:rPr>
          <w:rFonts w:asciiTheme="minorHAnsi" w:hAnsiTheme="minorHAnsi"/>
        </w:rPr>
        <w:t xml:space="preserve">Available at </w:t>
      </w:r>
      <w:r w:rsidRPr="006F1940">
        <w:rPr>
          <w:rFonts w:asciiTheme="minorHAnsi" w:hAnsiTheme="minorHAnsi"/>
          <w:i/>
          <w:iCs/>
        </w:rPr>
        <w:t xml:space="preserve">  </w:t>
      </w:r>
      <w:hyperlink r:id="rId19" w:history="1">
        <w:r w:rsidRPr="006F1940">
          <w:rPr>
            <w:rStyle w:val="Hyperlink"/>
            <w:rFonts w:asciiTheme="minorHAnsi" w:eastAsiaTheme="majorEastAsia" w:hAnsiTheme="minorHAnsi"/>
          </w:rPr>
          <w:t>s11423-019-09701-3.pdf</w:t>
        </w:r>
      </w:hyperlink>
      <w:r w:rsidRPr="006F1940">
        <w:rPr>
          <w:rStyle w:val="Hyperlink"/>
          <w:rFonts w:asciiTheme="minorHAnsi" w:eastAsiaTheme="majorEastAsia" w:hAnsiTheme="minorHAnsi"/>
        </w:rPr>
        <w:t xml:space="preserve"> </w:t>
      </w:r>
      <w:r w:rsidRPr="006F1940">
        <w:rPr>
          <w:rFonts w:asciiTheme="minorHAnsi" w:hAnsiTheme="minorHAnsi"/>
        </w:rPr>
        <w:t>(Accessed 28</w:t>
      </w:r>
      <w:r w:rsidRPr="006F1940">
        <w:rPr>
          <w:rFonts w:asciiTheme="minorHAnsi" w:hAnsiTheme="minorHAnsi"/>
          <w:vertAlign w:val="superscript"/>
        </w:rPr>
        <w:t>th</w:t>
      </w:r>
      <w:r w:rsidRPr="006F1940">
        <w:rPr>
          <w:rFonts w:asciiTheme="minorHAnsi" w:hAnsiTheme="minorHAnsi"/>
        </w:rPr>
        <w:t xml:space="preserve"> April 2024).</w:t>
      </w:r>
    </w:p>
    <w:p w14:paraId="6AA861E9" w14:textId="77777777" w:rsidR="00E35CF2" w:rsidRPr="006F1940" w:rsidRDefault="00E35CF2" w:rsidP="00E35CF2">
      <w:pPr>
        <w:pStyle w:val="paragraph"/>
        <w:spacing w:before="0" w:beforeAutospacing="0" w:after="0" w:afterAutospacing="0" w:line="480" w:lineRule="auto"/>
        <w:jc w:val="both"/>
        <w:textAlignment w:val="baseline"/>
        <w:rPr>
          <w:rFonts w:asciiTheme="minorHAnsi" w:hAnsiTheme="minorHAnsi"/>
          <w:i/>
          <w:iCs/>
        </w:rPr>
      </w:pPr>
      <w:r w:rsidRPr="006F1940">
        <w:rPr>
          <w:rFonts w:asciiTheme="minorHAnsi" w:hAnsiTheme="minorHAnsi"/>
        </w:rPr>
        <w:t xml:space="preserve">Tavakol, M., and Dennick, R. (2011) Making Sense of Cronbach’s alpha.  International </w:t>
      </w:r>
      <w:r w:rsidRPr="006F1940">
        <w:rPr>
          <w:rFonts w:asciiTheme="minorHAnsi" w:hAnsiTheme="minorHAnsi"/>
          <w:i/>
          <w:iCs/>
        </w:rPr>
        <w:t xml:space="preserve">Journal of Medical Education, Vol. 2, pp. 53-55.  </w:t>
      </w:r>
      <w:r w:rsidRPr="006F1940">
        <w:rPr>
          <w:rFonts w:asciiTheme="minorHAnsi" w:hAnsiTheme="minorHAnsi"/>
        </w:rPr>
        <w:t xml:space="preserve">Available at </w:t>
      </w:r>
      <w:hyperlink r:id="rId20" w:history="1">
        <w:r w:rsidRPr="006F1940">
          <w:rPr>
            <w:rStyle w:val="Hyperlink"/>
            <w:rFonts w:asciiTheme="minorHAnsi" w:eastAsiaTheme="majorEastAsia" w:hAnsiTheme="minorHAnsi"/>
          </w:rPr>
          <w:t>Making sense of Cronbach's alpha - PMC (nih.gov)</w:t>
        </w:r>
      </w:hyperlink>
      <w:r w:rsidRPr="006F1940">
        <w:rPr>
          <w:rFonts w:asciiTheme="minorHAnsi" w:hAnsiTheme="minorHAnsi"/>
        </w:rPr>
        <w:t xml:space="preserve"> (Accessed 3</w:t>
      </w:r>
      <w:r w:rsidRPr="006F1940">
        <w:rPr>
          <w:rFonts w:asciiTheme="minorHAnsi" w:hAnsiTheme="minorHAnsi"/>
          <w:vertAlign w:val="superscript"/>
        </w:rPr>
        <w:t>rd</w:t>
      </w:r>
      <w:r w:rsidRPr="006F1940">
        <w:rPr>
          <w:rFonts w:asciiTheme="minorHAnsi" w:hAnsiTheme="minorHAnsi"/>
        </w:rPr>
        <w:t xml:space="preserve"> May 2024).</w:t>
      </w:r>
      <w:r w:rsidRPr="006F1940">
        <w:rPr>
          <w:rFonts w:asciiTheme="minorHAnsi" w:hAnsiTheme="minorHAnsi"/>
          <w:i/>
          <w:iCs/>
        </w:rPr>
        <w:t xml:space="preserve"> </w:t>
      </w:r>
    </w:p>
    <w:p w14:paraId="58C10681" w14:textId="77777777" w:rsidR="00E35CF2" w:rsidRPr="006F1940" w:rsidRDefault="00E35CF2" w:rsidP="00E35CF2">
      <w:pPr>
        <w:pStyle w:val="paragraph"/>
        <w:spacing w:before="0" w:beforeAutospacing="0" w:after="0" w:afterAutospacing="0" w:line="480" w:lineRule="auto"/>
        <w:jc w:val="both"/>
        <w:textAlignment w:val="baseline"/>
        <w:rPr>
          <w:rStyle w:val="Hyperlink"/>
          <w:rFonts w:asciiTheme="minorHAnsi" w:eastAsiaTheme="majorEastAsia" w:hAnsiTheme="minorHAnsi"/>
        </w:rPr>
      </w:pPr>
      <w:r w:rsidRPr="006F1940">
        <w:rPr>
          <w:rFonts w:asciiTheme="minorHAnsi" w:hAnsiTheme="minorHAnsi"/>
        </w:rPr>
        <w:lastRenderedPageBreak/>
        <w:t xml:space="preserve">Tymms, P. (2012) ‘Questionnaires’ in </w:t>
      </w:r>
      <w:r w:rsidRPr="006F1940">
        <w:rPr>
          <w:rStyle w:val="normaltextrun"/>
          <w:rFonts w:asciiTheme="minorHAnsi" w:eastAsiaTheme="majorEastAsia" w:hAnsiTheme="minorHAnsi" w:cs="Segoe UI"/>
          <w:lang w:val="en-US"/>
        </w:rPr>
        <w:t>Arthur, J., Waring, M., Coe, R., and Hedges, L. V. (1</w:t>
      </w:r>
      <w:r w:rsidRPr="006F1940">
        <w:rPr>
          <w:rStyle w:val="normaltextrun"/>
          <w:rFonts w:asciiTheme="minorHAnsi" w:eastAsiaTheme="majorEastAsia" w:hAnsiTheme="minorHAnsi" w:cs="Segoe UI"/>
          <w:vertAlign w:val="superscript"/>
          <w:lang w:val="en-US"/>
        </w:rPr>
        <w:t>ST</w:t>
      </w:r>
      <w:r w:rsidRPr="006F1940">
        <w:rPr>
          <w:rStyle w:val="normaltextrun"/>
          <w:rFonts w:asciiTheme="minorHAnsi" w:eastAsiaTheme="majorEastAsia" w:hAnsiTheme="minorHAnsi" w:cs="Segoe UI"/>
          <w:lang w:val="en-US"/>
        </w:rPr>
        <w:t xml:space="preserve"> edn) Research Methods &amp; Methodologies in Education.  London, California, New Delhi and Singapore: Sage Publications, pp. 231-240.</w:t>
      </w:r>
    </w:p>
    <w:p w14:paraId="00235B0F" w14:textId="77777777" w:rsidR="00E35CF2" w:rsidRPr="006F1940" w:rsidRDefault="00E35CF2" w:rsidP="00E35CF2">
      <w:pPr>
        <w:spacing w:line="480" w:lineRule="auto"/>
        <w:jc w:val="both"/>
        <w:rPr>
          <w:rFonts w:cstheme="minorHAnsi"/>
        </w:rPr>
      </w:pPr>
      <w:r w:rsidRPr="006F1940">
        <w:rPr>
          <w:rFonts w:cstheme="minorHAnsi"/>
        </w:rPr>
        <w:t>Vygotsky, L. (1978) ‘Interaction between Learning and Development’. From: Mind and Society (pp. 79-91). Cambridge, MA: Harvard University Press. Reprinted In Gauvain &amp; Cole (2</w:t>
      </w:r>
      <w:r w:rsidRPr="006F1940">
        <w:rPr>
          <w:rFonts w:cstheme="minorHAnsi"/>
          <w:vertAlign w:val="superscript"/>
        </w:rPr>
        <w:t>nd</w:t>
      </w:r>
      <w:r w:rsidRPr="006F1940">
        <w:rPr>
          <w:rFonts w:cstheme="minorHAnsi"/>
        </w:rPr>
        <w:t xml:space="preserve"> edn) </w:t>
      </w:r>
      <w:r w:rsidRPr="006F1940">
        <w:rPr>
          <w:rFonts w:cstheme="minorHAnsi"/>
          <w:i/>
          <w:iCs/>
        </w:rPr>
        <w:t xml:space="preserve">Readings on the Development of Children, </w:t>
      </w:r>
      <w:r w:rsidRPr="006F1940">
        <w:rPr>
          <w:rFonts w:cstheme="minorHAnsi"/>
        </w:rPr>
        <w:t xml:space="preserve">New York: W.H Freeman and Company.  Available at </w:t>
      </w:r>
      <w:hyperlink r:id="rId21" w:history="1">
        <w:r w:rsidRPr="006F1940">
          <w:rPr>
            <w:rStyle w:val="Hyperlink"/>
          </w:rPr>
          <w:t>a6589cd862231ed3.pdf (eferrit.com)</w:t>
        </w:r>
      </w:hyperlink>
      <w:r w:rsidRPr="006F1940">
        <w:rPr>
          <w:rFonts w:cstheme="minorHAnsi"/>
        </w:rPr>
        <w:t xml:space="preserve"> (Accessed 28</w:t>
      </w:r>
      <w:r w:rsidRPr="006F1940">
        <w:rPr>
          <w:rFonts w:cstheme="minorHAnsi"/>
          <w:vertAlign w:val="superscript"/>
        </w:rPr>
        <w:t>th</w:t>
      </w:r>
      <w:r w:rsidRPr="006F1940">
        <w:rPr>
          <w:rFonts w:cstheme="minorHAnsi"/>
        </w:rPr>
        <w:t xml:space="preserve"> April 2024).</w:t>
      </w:r>
    </w:p>
    <w:p w14:paraId="6768F9E8" w14:textId="77777777" w:rsidR="00E35CF2" w:rsidRPr="006F1940" w:rsidRDefault="00E35CF2" w:rsidP="00E35CF2">
      <w:pPr>
        <w:spacing w:line="480" w:lineRule="auto"/>
        <w:jc w:val="both"/>
        <w:rPr>
          <w:rStyle w:val="normaltextrun"/>
        </w:rPr>
      </w:pPr>
      <w:r w:rsidRPr="006F1940">
        <w:rPr>
          <w:rFonts w:cstheme="minorHAnsi"/>
        </w:rPr>
        <w:t>Warwick, P. and Chaplin, R. (2013) ‘Research with younger children: issues and approaches’, in Wilson, E. (1</w:t>
      </w:r>
      <w:r w:rsidRPr="006F1940">
        <w:rPr>
          <w:rFonts w:cstheme="minorHAnsi"/>
          <w:vertAlign w:val="superscript"/>
        </w:rPr>
        <w:t>st</w:t>
      </w:r>
      <w:r w:rsidRPr="006F1940">
        <w:rPr>
          <w:rFonts w:cstheme="minorHAnsi"/>
        </w:rPr>
        <w:t xml:space="preserve"> edn) School-based Research: A guide for education students.  London, California, New Delhi and Singapore: Sage, pp. 59-76.</w:t>
      </w:r>
    </w:p>
    <w:p w14:paraId="4148209C" w14:textId="77777777" w:rsidR="00E35CF2" w:rsidRPr="006F1940" w:rsidRDefault="00E35CF2" w:rsidP="00E35CF2">
      <w:pPr>
        <w:spacing w:line="480" w:lineRule="auto"/>
        <w:jc w:val="both"/>
        <w:rPr>
          <w:rStyle w:val="eop"/>
          <w:rFonts w:eastAsiaTheme="majorEastAsia" w:cs="Segoe UI"/>
          <w:lang w:val="en-US"/>
        </w:rPr>
      </w:pPr>
      <w:r w:rsidRPr="006F1940">
        <w:rPr>
          <w:rStyle w:val="normaltextrun"/>
          <w:rFonts w:eastAsiaTheme="majorEastAsia" w:cs="Segoe UI"/>
          <w:lang w:val="en-US"/>
        </w:rPr>
        <w:t xml:space="preserve">Welsh Government (2019) </w:t>
      </w:r>
      <w:r w:rsidRPr="006F1940">
        <w:rPr>
          <w:rStyle w:val="normaltextrun"/>
          <w:rFonts w:eastAsiaTheme="majorEastAsia" w:cs="Segoe UI"/>
          <w:i/>
          <w:iCs/>
          <w:lang w:val="en-US"/>
        </w:rPr>
        <w:t>Professional Standards for Teaching and Leadership</w:t>
      </w:r>
      <w:r w:rsidRPr="006F1940">
        <w:rPr>
          <w:rStyle w:val="normaltextrun"/>
          <w:rFonts w:eastAsiaTheme="majorEastAsia" w:cs="Segoe UI"/>
          <w:lang w:val="en-US"/>
        </w:rPr>
        <w:t xml:space="preserve">.  Available at </w:t>
      </w:r>
      <w:hyperlink r:id="rId22" w:tgtFrame="_blank" w:history="1">
        <w:r w:rsidRPr="006F1940">
          <w:rPr>
            <w:rStyle w:val="normaltextrun"/>
            <w:rFonts w:eastAsiaTheme="majorEastAsia" w:cs="Segoe UI"/>
            <w:color w:val="467886"/>
            <w:u w:val="single"/>
            <w:lang w:val="en-US"/>
          </w:rPr>
          <w:t>professional-standards-for-teaching-and-leadership-interactive-pdf-for-pc.pdf (gov.wales)</w:t>
        </w:r>
      </w:hyperlink>
      <w:r w:rsidRPr="006F1940">
        <w:rPr>
          <w:rStyle w:val="normaltextrun"/>
          <w:rFonts w:eastAsiaTheme="majorEastAsia" w:cs="Segoe UI"/>
          <w:lang w:val="en-US"/>
        </w:rPr>
        <w:t xml:space="preserve"> (Accessed 15</w:t>
      </w:r>
      <w:r w:rsidRPr="006F1940">
        <w:rPr>
          <w:rStyle w:val="normaltextrun"/>
          <w:rFonts w:eastAsiaTheme="majorEastAsia" w:cs="Segoe UI"/>
          <w:vertAlign w:val="superscript"/>
          <w:lang w:val="en-US"/>
        </w:rPr>
        <w:t>th</w:t>
      </w:r>
      <w:r w:rsidRPr="006F1940">
        <w:rPr>
          <w:rStyle w:val="normaltextrun"/>
          <w:rFonts w:eastAsiaTheme="majorEastAsia" w:cs="Segoe UI"/>
          <w:lang w:val="en-US"/>
        </w:rPr>
        <w:t xml:space="preserve"> February 2024).</w:t>
      </w:r>
      <w:r w:rsidRPr="006F1940">
        <w:rPr>
          <w:rStyle w:val="eop"/>
          <w:rFonts w:eastAsiaTheme="majorEastAsia" w:cs="Segoe UI"/>
          <w:lang w:val="en-US"/>
        </w:rPr>
        <w:t> </w:t>
      </w:r>
    </w:p>
    <w:p w14:paraId="0717D50C" w14:textId="77777777" w:rsidR="00E35CF2" w:rsidRPr="006F1940" w:rsidRDefault="00E35CF2" w:rsidP="00E35CF2">
      <w:pPr>
        <w:spacing w:line="480" w:lineRule="auto"/>
        <w:jc w:val="both"/>
      </w:pPr>
      <w:r w:rsidRPr="006F1940">
        <w:rPr>
          <w:rStyle w:val="eop"/>
          <w:rFonts w:eastAsiaTheme="majorEastAsia" w:cs="Segoe UI"/>
          <w:lang w:val="en-US"/>
        </w:rPr>
        <w:t xml:space="preserve">Welsh Government (2020a) Curriculum for Wales, Designing your Curriculum, Statements of what matters.  Available at </w:t>
      </w:r>
      <w:hyperlink r:id="rId23" w:anchor="statements-of-what-matters" w:history="1">
        <w:r w:rsidRPr="006F1940">
          <w:rPr>
            <w:rStyle w:val="Hyperlink"/>
          </w:rPr>
          <w:t>Principles for designing your curriculum - Hwb (gov.wales)</w:t>
        </w:r>
      </w:hyperlink>
      <w:r w:rsidRPr="006F1940">
        <w:t xml:space="preserve"> (Accessed 28</w:t>
      </w:r>
      <w:r w:rsidRPr="006F1940">
        <w:rPr>
          <w:vertAlign w:val="superscript"/>
        </w:rPr>
        <w:t>th</w:t>
      </w:r>
      <w:r w:rsidRPr="006F1940">
        <w:t xml:space="preserve"> April 2024).</w:t>
      </w:r>
    </w:p>
    <w:p w14:paraId="3854CEB4" w14:textId="77777777" w:rsidR="00E35CF2" w:rsidRPr="006F1940" w:rsidRDefault="00E35CF2" w:rsidP="00E35CF2">
      <w:pPr>
        <w:spacing w:line="480" w:lineRule="auto"/>
        <w:jc w:val="both"/>
        <w:rPr>
          <w:rStyle w:val="eop"/>
          <w:rFonts w:eastAsiaTheme="majorEastAsia" w:cs="Segoe UI"/>
          <w:lang w:val="en-US"/>
        </w:rPr>
      </w:pPr>
      <w:r w:rsidRPr="006F1940">
        <w:t xml:space="preserve">Welsh Government (2020b) </w:t>
      </w:r>
      <w:r w:rsidRPr="006F1940">
        <w:rPr>
          <w:rStyle w:val="eop"/>
          <w:rFonts w:eastAsiaTheme="majorEastAsia" w:cs="Segoe UI"/>
          <w:lang w:val="en-US"/>
        </w:rPr>
        <w:t xml:space="preserve">Curriculum for Wales, Designing your Curriculum, Developing a vision for curriculum design, Progression. Available at </w:t>
      </w:r>
      <w:hyperlink r:id="rId24" w:anchor="progression" w:history="1">
        <w:r w:rsidRPr="006F1940">
          <w:rPr>
            <w:rStyle w:val="Hyperlink"/>
          </w:rPr>
          <w:t>Developing a vision for curriculum design - Hwb (gov.wales)</w:t>
        </w:r>
      </w:hyperlink>
      <w:r w:rsidRPr="006F1940">
        <w:t xml:space="preserve"> (Accessed 28</w:t>
      </w:r>
      <w:r w:rsidRPr="006F1940">
        <w:rPr>
          <w:vertAlign w:val="superscript"/>
        </w:rPr>
        <w:t>th</w:t>
      </w:r>
      <w:r w:rsidRPr="006F1940">
        <w:t xml:space="preserve"> April 2024).</w:t>
      </w:r>
      <w:r w:rsidRPr="006F1940">
        <w:rPr>
          <w:rStyle w:val="eop"/>
          <w:rFonts w:eastAsiaTheme="majorEastAsia" w:cs="Segoe UI"/>
          <w:lang w:val="en-US"/>
        </w:rPr>
        <w:t xml:space="preserve"> </w:t>
      </w:r>
    </w:p>
    <w:p w14:paraId="288AA2B6" w14:textId="77777777" w:rsidR="00E35CF2" w:rsidRPr="006F1940" w:rsidRDefault="00E35CF2" w:rsidP="00E35CF2">
      <w:pPr>
        <w:spacing w:line="480" w:lineRule="auto"/>
        <w:jc w:val="both"/>
      </w:pPr>
      <w:r w:rsidRPr="006F1940">
        <w:rPr>
          <w:rStyle w:val="eop"/>
          <w:rFonts w:eastAsiaTheme="majorEastAsia" w:cs="Segoe UI"/>
          <w:lang w:val="en-US"/>
        </w:rPr>
        <w:t xml:space="preserve">Welsh Government (2023) Mathematics and numeracy plan 2023.  Available at </w:t>
      </w:r>
      <w:hyperlink r:id="rId25" w:anchor=":~:text=provide%20clear%20principles%20for%20a,equitable%20professional%20learning%20across%20Wales" w:history="1">
        <w:r w:rsidRPr="006F1940">
          <w:rPr>
            <w:rStyle w:val="Hyperlink"/>
          </w:rPr>
          <w:t>Mathematics and numeracy plan 2023 [HTML] | GOV.WALES</w:t>
        </w:r>
      </w:hyperlink>
      <w:r w:rsidRPr="006F1940">
        <w:t xml:space="preserve"> (Accessed 9</w:t>
      </w:r>
      <w:r w:rsidRPr="006F1940">
        <w:rPr>
          <w:vertAlign w:val="superscript"/>
        </w:rPr>
        <w:t>th</w:t>
      </w:r>
      <w:r w:rsidRPr="006F1940">
        <w:t xml:space="preserve"> April 2024).</w:t>
      </w:r>
    </w:p>
    <w:p w14:paraId="6990F95B" w14:textId="77777777" w:rsidR="00E35CF2" w:rsidRPr="006F1940" w:rsidRDefault="00E35CF2" w:rsidP="00E35CF2">
      <w:pPr>
        <w:spacing w:line="480" w:lineRule="auto"/>
        <w:jc w:val="both"/>
        <w:rPr>
          <w:rFonts w:cstheme="minorHAnsi"/>
        </w:rPr>
      </w:pPr>
      <w:r w:rsidRPr="006F1940">
        <w:rPr>
          <w:rFonts w:cstheme="minorHAnsi"/>
        </w:rPr>
        <w:lastRenderedPageBreak/>
        <w:t xml:space="preserve">Welsh Government (2024) Curriculum for Wales, continuing the journey, Assessment: how should we assess that progress? Available at </w:t>
      </w:r>
      <w:hyperlink r:id="rId26" w:anchor="assessment:-how-should-we-assess-that-progress?" w:history="1">
        <w:r w:rsidRPr="006F1940">
          <w:rPr>
            <w:rStyle w:val="Hyperlink"/>
          </w:rPr>
          <w:t>Curriculum for Wales: continuing the journey - Hwb (gov.wales)</w:t>
        </w:r>
      </w:hyperlink>
      <w:r w:rsidRPr="006F1940">
        <w:t xml:space="preserve"> (Accessed 28</w:t>
      </w:r>
      <w:r w:rsidRPr="006F1940">
        <w:rPr>
          <w:vertAlign w:val="superscript"/>
        </w:rPr>
        <w:t>th</w:t>
      </w:r>
      <w:r w:rsidRPr="006F1940">
        <w:t xml:space="preserve"> April 2024).</w:t>
      </w:r>
    </w:p>
    <w:p w14:paraId="79BAFEB5" w14:textId="77777777" w:rsidR="00E35CF2" w:rsidRPr="006F1940" w:rsidRDefault="00E35CF2" w:rsidP="00E35CF2">
      <w:pPr>
        <w:spacing w:line="480" w:lineRule="auto"/>
        <w:jc w:val="both"/>
        <w:rPr>
          <w:rFonts w:cstheme="minorHAnsi"/>
        </w:rPr>
      </w:pPr>
      <w:r w:rsidRPr="006F1940">
        <w:rPr>
          <w:rFonts w:cstheme="minorHAnsi"/>
        </w:rPr>
        <w:t>Wiliam, D. (2014) ‘The Right Questions, The Right Way’</w:t>
      </w:r>
      <w:r w:rsidRPr="006F1940">
        <w:rPr>
          <w:rFonts w:cstheme="minorHAnsi"/>
          <w:i/>
          <w:iCs/>
        </w:rPr>
        <w:t xml:space="preserve">.  Using Assessments Thoughtfully, vol. 71, No.6.  </w:t>
      </w:r>
      <w:r w:rsidRPr="006F1940">
        <w:rPr>
          <w:rFonts w:cstheme="minorHAnsi"/>
        </w:rPr>
        <w:t xml:space="preserve">Available at </w:t>
      </w:r>
      <w:hyperlink r:id="rId27" w:history="1">
        <w:r w:rsidRPr="006F1940">
          <w:rPr>
            <w:rStyle w:val="Hyperlink"/>
            <w:rFonts w:cstheme="minorHAnsi"/>
          </w:rPr>
          <w:t>The Right Questions, The Right Way (ascd.org)</w:t>
        </w:r>
      </w:hyperlink>
      <w:r w:rsidRPr="006F1940">
        <w:rPr>
          <w:rFonts w:cstheme="minorHAnsi"/>
        </w:rPr>
        <w:t xml:space="preserve"> (Accessed 28</w:t>
      </w:r>
      <w:r w:rsidRPr="006F1940">
        <w:rPr>
          <w:rFonts w:cstheme="minorHAnsi"/>
          <w:vertAlign w:val="superscript"/>
        </w:rPr>
        <w:t>th</w:t>
      </w:r>
      <w:r w:rsidRPr="006F1940">
        <w:rPr>
          <w:rFonts w:cstheme="minorHAnsi"/>
        </w:rPr>
        <w:t xml:space="preserve"> April 2024).</w:t>
      </w:r>
    </w:p>
    <w:p w14:paraId="15CA601D" w14:textId="77777777" w:rsidR="00E35CF2" w:rsidRPr="006F1940" w:rsidRDefault="00E35CF2" w:rsidP="00E35CF2">
      <w:pPr>
        <w:spacing w:line="480" w:lineRule="auto"/>
        <w:jc w:val="both"/>
      </w:pPr>
      <w:r w:rsidRPr="006F1940">
        <w:rPr>
          <w:rStyle w:val="eop"/>
          <w:rFonts w:eastAsiaTheme="majorEastAsia" w:cs="Segoe UI"/>
          <w:lang w:val="en-US"/>
        </w:rPr>
        <w:t xml:space="preserve">Willingham, D. T. (2003) Ask the cognitive scientist: students remember… what they think about.  </w:t>
      </w:r>
      <w:r w:rsidRPr="006F1940">
        <w:rPr>
          <w:rStyle w:val="eop"/>
          <w:rFonts w:eastAsiaTheme="majorEastAsia" w:cs="Segoe UI"/>
          <w:i/>
          <w:iCs/>
          <w:lang w:val="en-US"/>
        </w:rPr>
        <w:t xml:space="preserve">American Educator, Summer 2003, Vol. 27, no. 2.  </w:t>
      </w:r>
      <w:r w:rsidRPr="006F1940">
        <w:rPr>
          <w:rStyle w:val="eop"/>
          <w:rFonts w:eastAsiaTheme="majorEastAsia" w:cs="Segoe UI"/>
          <w:lang w:val="en-US"/>
        </w:rPr>
        <w:t xml:space="preserve">Available at </w:t>
      </w:r>
      <w:hyperlink r:id="rId28" w:history="1">
        <w:r w:rsidRPr="006F1940">
          <w:rPr>
            <w:rStyle w:val="Hyperlink"/>
          </w:rPr>
          <w:t>Ask the Cognitive Scientist: Students Remember...What They Think About (aft.org)</w:t>
        </w:r>
      </w:hyperlink>
      <w:r w:rsidRPr="006F1940">
        <w:t xml:space="preserve"> (Accessed 5</w:t>
      </w:r>
      <w:r w:rsidRPr="006F1940">
        <w:rPr>
          <w:vertAlign w:val="superscript"/>
        </w:rPr>
        <w:t>th</w:t>
      </w:r>
      <w:r w:rsidRPr="006F1940">
        <w:t xml:space="preserve"> April 2024).</w:t>
      </w:r>
    </w:p>
    <w:p w14:paraId="0FD603D7" w14:textId="77777777" w:rsidR="00E35CF2" w:rsidRPr="006F1940" w:rsidRDefault="00E35CF2" w:rsidP="00E35CF2">
      <w:pPr>
        <w:spacing w:line="480" w:lineRule="auto"/>
        <w:jc w:val="both"/>
      </w:pPr>
      <w:r w:rsidRPr="006F1940">
        <w:t xml:space="preserve">Yazan, B. (2015) Three Approaches to Case Study Methods in Education: Yin, Merriam, and Stake.  </w:t>
      </w:r>
      <w:r w:rsidRPr="006F1940">
        <w:rPr>
          <w:i/>
          <w:iCs/>
        </w:rPr>
        <w:t xml:space="preserve">The Qualitative Report, Vol. 20, No. 2.  </w:t>
      </w:r>
      <w:r w:rsidRPr="006F1940">
        <w:t xml:space="preserve">Available at </w:t>
      </w:r>
      <w:hyperlink r:id="rId29" w:history="1">
        <w:r w:rsidRPr="006F1940">
          <w:rPr>
            <w:rStyle w:val="Hyperlink"/>
          </w:rPr>
          <w:t>Three Approaches to Case Study Methods in Education: Yin, Merriam, and Stake (edcipr.com)</w:t>
        </w:r>
      </w:hyperlink>
      <w:r w:rsidRPr="006F1940">
        <w:t xml:space="preserve"> (Accessed 13</w:t>
      </w:r>
      <w:r w:rsidRPr="006F1940">
        <w:rPr>
          <w:vertAlign w:val="superscript"/>
        </w:rPr>
        <w:t>th</w:t>
      </w:r>
      <w:r w:rsidRPr="006F1940">
        <w:t xml:space="preserve"> April 2024).</w:t>
      </w:r>
    </w:p>
    <w:p w14:paraId="205E17A3" w14:textId="77777777" w:rsidR="00E35CF2" w:rsidRPr="006F1940" w:rsidRDefault="00E35CF2" w:rsidP="00E35CF2">
      <w:pPr>
        <w:spacing w:line="480" w:lineRule="auto"/>
        <w:jc w:val="both"/>
        <w:rPr>
          <w:rFonts w:cs="Segoe UI"/>
          <w:lang w:val="en-US"/>
        </w:rPr>
      </w:pPr>
      <w:r w:rsidRPr="006F1940">
        <w:t xml:space="preserve">Yin, R. K. (2014) Case study research: Design and methods.  </w:t>
      </w:r>
      <w:r w:rsidRPr="006F1940">
        <w:rPr>
          <w:i/>
          <w:iCs/>
        </w:rPr>
        <w:t xml:space="preserve"> Applied Social Research Methods Series, Vol. 5.  </w:t>
      </w:r>
      <w:r w:rsidRPr="006F1940">
        <w:t xml:space="preserve">Sage. </w:t>
      </w:r>
      <w:r w:rsidRPr="006F1940">
        <w:rPr>
          <w:i/>
          <w:iCs/>
        </w:rPr>
        <w:t xml:space="preserve"> </w:t>
      </w:r>
      <w:r w:rsidRPr="006F1940">
        <w:t xml:space="preserve">Available at </w:t>
      </w:r>
      <w:hyperlink r:id="rId30" w:anchor="v=onepage&amp;q&amp;f=false" w:history="1">
        <w:r w:rsidRPr="006F1940">
          <w:rPr>
            <w:rStyle w:val="Hyperlink"/>
          </w:rPr>
          <w:t>Case Study Research: Design and Methods - Robert K. Yin - Google Books</w:t>
        </w:r>
      </w:hyperlink>
      <w:r w:rsidRPr="006F1940">
        <w:t xml:space="preserve"> (Accessed 28</w:t>
      </w:r>
      <w:r w:rsidRPr="006F1940">
        <w:rPr>
          <w:vertAlign w:val="superscript"/>
        </w:rPr>
        <w:t>th</w:t>
      </w:r>
      <w:r w:rsidRPr="006F1940">
        <w:t xml:space="preserve"> April 2024).</w:t>
      </w:r>
    </w:p>
    <w:p w14:paraId="54BD9B76" w14:textId="77777777" w:rsidR="00E35CF2" w:rsidRDefault="00E35CF2" w:rsidP="00E35CF2">
      <w:pPr>
        <w:spacing w:line="480" w:lineRule="auto"/>
        <w:jc w:val="both"/>
        <w:rPr>
          <w:u w:val="single"/>
        </w:rPr>
      </w:pPr>
    </w:p>
    <w:p w14:paraId="0CB106E8" w14:textId="77777777" w:rsidR="00E35CF2" w:rsidRDefault="00E35CF2" w:rsidP="00E35CF2"/>
    <w:sectPr w:rsidR="00E35CF2">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0BBE3B" w14:textId="77777777" w:rsidR="00785510" w:rsidRDefault="00785510" w:rsidP="00E35CF2">
      <w:pPr>
        <w:spacing w:after="0" w:line="240" w:lineRule="auto"/>
      </w:pPr>
      <w:r>
        <w:separator/>
      </w:r>
    </w:p>
  </w:endnote>
  <w:endnote w:type="continuationSeparator" w:id="0">
    <w:p w14:paraId="4CF5F07F" w14:textId="77777777" w:rsidR="00785510" w:rsidRDefault="00785510" w:rsidP="00E35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4734617"/>
      <w:docPartObj>
        <w:docPartGallery w:val="Page Numbers (Bottom of Page)"/>
        <w:docPartUnique/>
      </w:docPartObj>
    </w:sdtPr>
    <w:sdtEndPr>
      <w:rPr>
        <w:noProof/>
      </w:rPr>
    </w:sdtEndPr>
    <w:sdtContent>
      <w:p w14:paraId="3F2C17F9" w14:textId="3D351125" w:rsidR="00E35CF2" w:rsidRDefault="00E35C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2371CA" w14:textId="77777777" w:rsidR="00E35CF2" w:rsidRDefault="00E35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DDB77A" w14:textId="77777777" w:rsidR="00785510" w:rsidRDefault="00785510" w:rsidP="00E35CF2">
      <w:pPr>
        <w:spacing w:after="0" w:line="240" w:lineRule="auto"/>
      </w:pPr>
      <w:r>
        <w:separator/>
      </w:r>
    </w:p>
  </w:footnote>
  <w:footnote w:type="continuationSeparator" w:id="0">
    <w:p w14:paraId="411A480C" w14:textId="77777777" w:rsidR="00785510" w:rsidRDefault="00785510" w:rsidP="00E35C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F2E650" w14:textId="4B54456A" w:rsidR="00E35CF2" w:rsidRDefault="00E35CF2">
    <w:pPr>
      <w:pStyle w:val="Header"/>
    </w:pPr>
    <w:r>
      <w:ptab w:relativeTo="margin" w:alignment="center" w:leader="none"/>
    </w:r>
    <w:r>
      <w:ptab w:relativeTo="margin" w:alignment="right" w:leader="none"/>
    </w:r>
    <w:r>
      <w:t>SN: 2317068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CF2"/>
    <w:rsid w:val="00052817"/>
    <w:rsid w:val="0007010B"/>
    <w:rsid w:val="00091EDF"/>
    <w:rsid w:val="000E0379"/>
    <w:rsid w:val="00112C4E"/>
    <w:rsid w:val="00161A58"/>
    <w:rsid w:val="00162B42"/>
    <w:rsid w:val="00184FA0"/>
    <w:rsid w:val="001A2D05"/>
    <w:rsid w:val="002464B5"/>
    <w:rsid w:val="0029479B"/>
    <w:rsid w:val="0030012D"/>
    <w:rsid w:val="003C2D72"/>
    <w:rsid w:val="003F1666"/>
    <w:rsid w:val="00415986"/>
    <w:rsid w:val="00430047"/>
    <w:rsid w:val="004D46A7"/>
    <w:rsid w:val="00560B57"/>
    <w:rsid w:val="00575C98"/>
    <w:rsid w:val="0059217C"/>
    <w:rsid w:val="005C5ED5"/>
    <w:rsid w:val="005D2D4C"/>
    <w:rsid w:val="00622E72"/>
    <w:rsid w:val="00642BE8"/>
    <w:rsid w:val="006F4A8D"/>
    <w:rsid w:val="00726C1E"/>
    <w:rsid w:val="007360CC"/>
    <w:rsid w:val="00741FB8"/>
    <w:rsid w:val="007427F8"/>
    <w:rsid w:val="00762040"/>
    <w:rsid w:val="00785510"/>
    <w:rsid w:val="007D504A"/>
    <w:rsid w:val="007D60A0"/>
    <w:rsid w:val="007D7A98"/>
    <w:rsid w:val="00825E90"/>
    <w:rsid w:val="008C5475"/>
    <w:rsid w:val="008C6384"/>
    <w:rsid w:val="008E7D9F"/>
    <w:rsid w:val="009633EC"/>
    <w:rsid w:val="00983780"/>
    <w:rsid w:val="009C4F82"/>
    <w:rsid w:val="009E0ED1"/>
    <w:rsid w:val="009F0713"/>
    <w:rsid w:val="00AA6D1F"/>
    <w:rsid w:val="00AB3D9C"/>
    <w:rsid w:val="00AC6F3B"/>
    <w:rsid w:val="00B003C2"/>
    <w:rsid w:val="00BB59A5"/>
    <w:rsid w:val="00BB5C59"/>
    <w:rsid w:val="00C05C9A"/>
    <w:rsid w:val="00C66CE4"/>
    <w:rsid w:val="00CA41D6"/>
    <w:rsid w:val="00CA5B4E"/>
    <w:rsid w:val="00CE5D96"/>
    <w:rsid w:val="00DD75A5"/>
    <w:rsid w:val="00E25E51"/>
    <w:rsid w:val="00E325DD"/>
    <w:rsid w:val="00E34167"/>
    <w:rsid w:val="00E35CF2"/>
    <w:rsid w:val="00EC6ABD"/>
    <w:rsid w:val="00EE0678"/>
    <w:rsid w:val="00EE18E5"/>
    <w:rsid w:val="00F7533F"/>
    <w:rsid w:val="00F923AC"/>
    <w:rsid w:val="00FB4653"/>
    <w:rsid w:val="00FC2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BD62F"/>
  <w15:chartTrackingRefBased/>
  <w15:docId w15:val="{000264A0-5DDA-4371-B26B-B33D39FDC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CF2"/>
  </w:style>
  <w:style w:type="paragraph" w:styleId="Heading1">
    <w:name w:val="heading 1"/>
    <w:basedOn w:val="Normal"/>
    <w:next w:val="Normal"/>
    <w:link w:val="Heading1Char"/>
    <w:uiPriority w:val="9"/>
    <w:qFormat/>
    <w:rsid w:val="00E35C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5C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5C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5C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5C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5C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5C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5C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5C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C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5C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5C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5C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5C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5C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5C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5C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5CF2"/>
    <w:rPr>
      <w:rFonts w:eastAsiaTheme="majorEastAsia" w:cstheme="majorBidi"/>
      <w:color w:val="272727" w:themeColor="text1" w:themeTint="D8"/>
    </w:rPr>
  </w:style>
  <w:style w:type="paragraph" w:styleId="Title">
    <w:name w:val="Title"/>
    <w:basedOn w:val="Normal"/>
    <w:next w:val="Normal"/>
    <w:link w:val="TitleChar"/>
    <w:uiPriority w:val="10"/>
    <w:qFormat/>
    <w:rsid w:val="00E35C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C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5C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5C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5CF2"/>
    <w:pPr>
      <w:spacing w:before="160"/>
      <w:jc w:val="center"/>
    </w:pPr>
    <w:rPr>
      <w:i/>
      <w:iCs/>
      <w:color w:val="404040" w:themeColor="text1" w:themeTint="BF"/>
    </w:rPr>
  </w:style>
  <w:style w:type="character" w:customStyle="1" w:styleId="QuoteChar">
    <w:name w:val="Quote Char"/>
    <w:basedOn w:val="DefaultParagraphFont"/>
    <w:link w:val="Quote"/>
    <w:uiPriority w:val="29"/>
    <w:rsid w:val="00E35CF2"/>
    <w:rPr>
      <w:i/>
      <w:iCs/>
      <w:color w:val="404040" w:themeColor="text1" w:themeTint="BF"/>
    </w:rPr>
  </w:style>
  <w:style w:type="paragraph" w:styleId="ListParagraph">
    <w:name w:val="List Paragraph"/>
    <w:basedOn w:val="Normal"/>
    <w:uiPriority w:val="34"/>
    <w:qFormat/>
    <w:rsid w:val="00E35CF2"/>
    <w:pPr>
      <w:ind w:left="720"/>
      <w:contextualSpacing/>
    </w:pPr>
  </w:style>
  <w:style w:type="character" w:styleId="IntenseEmphasis">
    <w:name w:val="Intense Emphasis"/>
    <w:basedOn w:val="DefaultParagraphFont"/>
    <w:uiPriority w:val="21"/>
    <w:qFormat/>
    <w:rsid w:val="00E35CF2"/>
    <w:rPr>
      <w:i/>
      <w:iCs/>
      <w:color w:val="0F4761" w:themeColor="accent1" w:themeShade="BF"/>
    </w:rPr>
  </w:style>
  <w:style w:type="paragraph" w:styleId="IntenseQuote">
    <w:name w:val="Intense Quote"/>
    <w:basedOn w:val="Normal"/>
    <w:next w:val="Normal"/>
    <w:link w:val="IntenseQuoteChar"/>
    <w:uiPriority w:val="30"/>
    <w:qFormat/>
    <w:rsid w:val="00E35C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5CF2"/>
    <w:rPr>
      <w:i/>
      <w:iCs/>
      <w:color w:val="0F4761" w:themeColor="accent1" w:themeShade="BF"/>
    </w:rPr>
  </w:style>
  <w:style w:type="character" w:styleId="IntenseReference">
    <w:name w:val="Intense Reference"/>
    <w:basedOn w:val="DefaultParagraphFont"/>
    <w:uiPriority w:val="32"/>
    <w:qFormat/>
    <w:rsid w:val="00E35CF2"/>
    <w:rPr>
      <w:b/>
      <w:bCs/>
      <w:smallCaps/>
      <w:color w:val="0F4761" w:themeColor="accent1" w:themeShade="BF"/>
      <w:spacing w:val="5"/>
    </w:rPr>
  </w:style>
  <w:style w:type="paragraph" w:styleId="NoSpacing">
    <w:name w:val="No Spacing"/>
    <w:uiPriority w:val="1"/>
    <w:qFormat/>
    <w:rsid w:val="00E35CF2"/>
    <w:pPr>
      <w:spacing w:after="0" w:line="240" w:lineRule="auto"/>
    </w:pPr>
  </w:style>
  <w:style w:type="table" w:styleId="TableGrid">
    <w:name w:val="Table Grid"/>
    <w:basedOn w:val="TableNormal"/>
    <w:uiPriority w:val="39"/>
    <w:rsid w:val="00E35C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E35CF2"/>
    <w:rPr>
      <w:color w:val="0000FF"/>
      <w:u w:val="single"/>
    </w:rPr>
  </w:style>
  <w:style w:type="paragraph" w:customStyle="1" w:styleId="paragraph">
    <w:name w:val="paragraph"/>
    <w:basedOn w:val="Normal"/>
    <w:rsid w:val="00E35CF2"/>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normaltextrun">
    <w:name w:val="normaltextrun"/>
    <w:basedOn w:val="DefaultParagraphFont"/>
    <w:rsid w:val="00E35CF2"/>
  </w:style>
  <w:style w:type="character" w:customStyle="1" w:styleId="eop">
    <w:name w:val="eop"/>
    <w:basedOn w:val="DefaultParagraphFont"/>
    <w:rsid w:val="00E35CF2"/>
  </w:style>
  <w:style w:type="paragraph" w:styleId="Header">
    <w:name w:val="header"/>
    <w:basedOn w:val="Normal"/>
    <w:link w:val="HeaderChar"/>
    <w:uiPriority w:val="99"/>
    <w:unhideWhenUsed/>
    <w:rsid w:val="00E35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CF2"/>
  </w:style>
  <w:style w:type="paragraph" w:styleId="Footer">
    <w:name w:val="footer"/>
    <w:basedOn w:val="Normal"/>
    <w:link w:val="FooterChar"/>
    <w:uiPriority w:val="99"/>
    <w:unhideWhenUsed/>
    <w:rsid w:val="00E35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C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fescied.org/doi/full/10.1187/cbe.20-05-0106" TargetMode="External"/><Relationship Id="rId18" Type="http://schemas.openxmlformats.org/officeDocument/2006/relationships/hyperlink" Target="https://www.ibm.com/spss?utm_content=SRCWW&amp;p1=Search&amp;p4=43700077577385821&amp;p5=e&amp;gad_source=1&amp;gclid=Cj0KCQjwltKxBhDMARIsAG8KnqXnXKE0G4lZO17rc958Y76JMrDcw_LNfIxIjaXpqS0MeR0UpXM6L7YaAlzSEALw_wcB&amp;gclsrc=aw.ds" TargetMode="External"/><Relationship Id="rId26" Type="http://schemas.openxmlformats.org/officeDocument/2006/relationships/hyperlink" Target="https://hwb.gov.wales/curriculum-for-wales/curriculum-for-wales-continuing-the-journey/" TargetMode="External"/><Relationship Id="rId3" Type="http://schemas.openxmlformats.org/officeDocument/2006/relationships/webSettings" Target="webSettings.xml"/><Relationship Id="rId21" Type="http://schemas.openxmlformats.org/officeDocument/2006/relationships/hyperlink" Target="https://ia.eferrit.com/ea/a6589cd862231ed3.pdf" TargetMode="External"/><Relationship Id="rId34" Type="http://schemas.openxmlformats.org/officeDocument/2006/relationships/theme" Target="theme/theme1.xml"/><Relationship Id="rId7" Type="http://schemas.openxmlformats.org/officeDocument/2006/relationships/hyperlink" Target="file:///C:\Users\Duncan\Downloads\ArticleBlackWrkBlBox%20(2).pdf" TargetMode="External"/><Relationship Id="rId12" Type="http://schemas.openxmlformats.org/officeDocument/2006/relationships/hyperlink" Target="https://files.eric.ed.gov/fulltext/EJ1268044.pdf" TargetMode="External"/><Relationship Id="rId17" Type="http://schemas.openxmlformats.org/officeDocument/2006/relationships/hyperlink" Target="https://www.tandfonline.com/doi/full/10.1080/09650792.2020.1866631" TargetMode="External"/><Relationship Id="rId25" Type="http://schemas.openxmlformats.org/officeDocument/2006/relationships/hyperlink" Target="https://www.gov.wales/mathematics-and-numeracy-plan-2023-html"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files.eric.ed.gov/fulltext/EJ971753.pdf" TargetMode="External"/><Relationship Id="rId20" Type="http://schemas.openxmlformats.org/officeDocument/2006/relationships/hyperlink" Target="https://www.ncbi.nlm.nih.gov/pmc/articles/PMC4205511/" TargetMode="External"/><Relationship Id="rId29" Type="http://schemas.openxmlformats.org/officeDocument/2006/relationships/hyperlink" Target="https://edcipr.com/wp-content/uploads/2017/03/Three-Approaches-to-Case-Study-Methods-in-Education_Yin-Merriam.pdf" TargetMode="External"/><Relationship Id="rId1" Type="http://schemas.openxmlformats.org/officeDocument/2006/relationships/styles" Target="styles.xml"/><Relationship Id="rId6" Type="http://schemas.openxmlformats.org/officeDocument/2006/relationships/hyperlink" Target="https://www.bera.ac.uk/wp-content/uploads/2018/06/BERA-Ethical-Guidelines-for-Educational-Research_4thEdn_2018.pdf" TargetMode="External"/><Relationship Id="rId11" Type="http://schemas.openxmlformats.org/officeDocument/2006/relationships/hyperlink" Target="https://www.ewc.wales/site/index.php/en/fitness-to-practise/code-of-professional-conduct-and-practice/the-code" TargetMode="External"/><Relationship Id="rId24" Type="http://schemas.openxmlformats.org/officeDocument/2006/relationships/hyperlink" Target="https://hwb.gov.wales/curriculum-for-wales/designing-your-curriculum/developing-a-vision-for-curriculum-design/"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journals.sagepub.com/doi/full/10.1177/00400599211048214" TargetMode="External"/><Relationship Id="rId23" Type="http://schemas.openxmlformats.org/officeDocument/2006/relationships/hyperlink" Target="https://hwb.gov.wales/curriculum-for-wales/designing-your-curriculum/principles-for-designing-your-curriculum/" TargetMode="External"/><Relationship Id="rId28" Type="http://schemas.openxmlformats.org/officeDocument/2006/relationships/hyperlink" Target="https://www.aft.org/ae/summer2003/willingham" TargetMode="External"/><Relationship Id="rId10" Type="http://schemas.openxmlformats.org/officeDocument/2006/relationships/hyperlink" Target="https://www.estyn.gov.wales/system/files/2021-08/Inspection%20report%20Henry%20Tudor%20School%202019.pdf" TargetMode="External"/><Relationship Id="rId19" Type="http://schemas.openxmlformats.org/officeDocument/2006/relationships/hyperlink" Target="file:///C:\Users\Duncan\Downloads\s11423-019-09701-3.pdf"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link.springer.com/article/10.1007/s10648-017-9426-2" TargetMode="External"/><Relationship Id="rId14" Type="http://schemas.openxmlformats.org/officeDocument/2006/relationships/hyperlink" Target="https://www.cambridge.org/core/journals/natural-language-engineering/article/questionnaires-for-eliciting-evaluation-data-from-users-of-interactive-question-answering-systems/16C61A50CEDEDEF13C2F26DC4D87AE86" TargetMode="External"/><Relationship Id="rId22" Type="http://schemas.openxmlformats.org/officeDocument/2006/relationships/hyperlink" Target="https://hwb.gov.wales/api/storage/19bc948b-8a3f-41e0-944a-7bf2cadf7d18/professional-standards-for-teaching-and-leadership-interactive-pdf-for-pc.pdf" TargetMode="External"/><Relationship Id="rId27" Type="http://schemas.openxmlformats.org/officeDocument/2006/relationships/hyperlink" Target="https://www.ascd.org/el/articles/the-right-questions-the-right-way" TargetMode="External"/><Relationship Id="rId30" Type="http://schemas.openxmlformats.org/officeDocument/2006/relationships/hyperlink" Target="https://books.google.co.uk/books?id=FzawIAdilHkC&amp;printsec=frontcover&amp;source=gbs_ge_summary_r&amp;cad=0" TargetMode="External"/><Relationship Id="rId8" Type="http://schemas.openxmlformats.org/officeDocument/2006/relationships/hyperlink" Target="https://my.chartered.college/wp-content/uploads/2021/10/Impact-taster-2020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2895</TotalTime>
  <Pages>26</Pages>
  <Words>6298</Words>
  <Characters>35899</Characters>
  <Application>Microsoft Office Word</Application>
  <DocSecurity>0</DocSecurity>
  <Lines>299</Lines>
  <Paragraphs>84</Paragraphs>
  <ScaleCrop>false</ScaleCrop>
  <Company/>
  <LinksUpToDate>false</LinksUpToDate>
  <CharactersWithSpaces>42113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Duncan Hart</dc:creator>
  <cp:keywords/>
  <dc:description/>
  <cp:lastModifiedBy>Duncan Hart</cp:lastModifiedBy>
  <cp:revision>65</cp:revision>
  <dcterms:created xsi:type="dcterms:W3CDTF">2024-05-04T13:35:00Z</dcterms:created>
  <dcterms:modified xsi:type="dcterms:W3CDTF">2024-05-06T16:33:00Z</dcterms:modified>
</cp:coreProperties>
</file>