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A841B4" w14:textId="77777777" w:rsidR="00FF6153" w:rsidRDefault="00FF6153">
      <w:bookmarkStart w:id="0" w:name="_GoBack"/>
      <w:bookmarkEnd w:id="0"/>
    </w:p>
    <w:p w14:paraId="4EED63CA" w14:textId="7DBCF576" w:rsidR="00FF6153" w:rsidRDefault="00FF6153"/>
    <w:p w14:paraId="4EF5812F" w14:textId="0A1A12C0" w:rsidR="00816B99" w:rsidRDefault="00BF1860">
      <w:pPr>
        <w:rPr>
          <w:b/>
          <w:bCs/>
          <w:u w:val="single"/>
        </w:rPr>
      </w:pPr>
      <w:r>
        <w:rPr>
          <w:rFonts w:ascii="&amp;quot" w:hAnsi="&amp;quot"/>
          <w:noProof/>
          <w:color w:val="BB1122"/>
          <w:sz w:val="21"/>
          <w:szCs w:val="21"/>
        </w:rPr>
        <w:drawing>
          <wp:anchor distT="0" distB="0" distL="114300" distR="114300" simplePos="0" relativeHeight="251659264" behindDoc="0" locked="0" layoutInCell="1" allowOverlap="1" wp14:anchorId="0A3407D4" wp14:editId="77E895BB">
            <wp:simplePos x="0" y="0"/>
            <wp:positionH relativeFrom="margin">
              <wp:posOffset>751438</wp:posOffset>
            </wp:positionH>
            <wp:positionV relativeFrom="paragraph">
              <wp:posOffset>54345</wp:posOffset>
            </wp:positionV>
            <wp:extent cx="4001135" cy="1629410"/>
            <wp:effectExtent l="0" t="0" r="0" b="0"/>
            <wp:wrapSquare wrapText="bothSides"/>
            <wp:docPr id="2" name="Picture 2" descr="UW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4001135" cy="162941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66D8D64B" w14:textId="242FD48A" w:rsidR="00816B99" w:rsidRDefault="00816B99">
      <w:pPr>
        <w:rPr>
          <w:b/>
          <w:bCs/>
          <w:u w:val="single"/>
        </w:rPr>
      </w:pPr>
    </w:p>
    <w:p w14:paraId="09FF160F" w14:textId="3E096951" w:rsidR="00816B99" w:rsidRDefault="00816B99">
      <w:pPr>
        <w:rPr>
          <w:b/>
          <w:bCs/>
          <w:u w:val="single"/>
        </w:rPr>
      </w:pPr>
    </w:p>
    <w:p w14:paraId="3F8BF4B3" w14:textId="77777777" w:rsidR="00816B99" w:rsidRDefault="00816B99">
      <w:pPr>
        <w:rPr>
          <w:b/>
          <w:bCs/>
          <w:u w:val="single"/>
        </w:rPr>
      </w:pPr>
    </w:p>
    <w:p w14:paraId="1F0C72FF" w14:textId="77777777" w:rsidR="00816B99" w:rsidRDefault="00816B99">
      <w:pPr>
        <w:rPr>
          <w:b/>
          <w:bCs/>
          <w:u w:val="single"/>
        </w:rPr>
      </w:pPr>
    </w:p>
    <w:p w14:paraId="2D328C11" w14:textId="77777777" w:rsidR="00816B99" w:rsidRDefault="00816B99">
      <w:pPr>
        <w:rPr>
          <w:b/>
          <w:bCs/>
          <w:u w:val="single"/>
        </w:rPr>
      </w:pPr>
    </w:p>
    <w:p w14:paraId="78B33DB2" w14:textId="77777777" w:rsidR="00816B99" w:rsidRDefault="00816B99">
      <w:pPr>
        <w:rPr>
          <w:b/>
          <w:bCs/>
          <w:u w:val="single"/>
        </w:rPr>
      </w:pPr>
    </w:p>
    <w:p w14:paraId="746E1F3A" w14:textId="77777777" w:rsidR="00816B99" w:rsidRDefault="00816B99">
      <w:pPr>
        <w:rPr>
          <w:b/>
          <w:bCs/>
          <w:u w:val="single"/>
        </w:rPr>
      </w:pPr>
    </w:p>
    <w:p w14:paraId="7E50C485" w14:textId="77777777" w:rsidR="00816B99" w:rsidRDefault="00816B99">
      <w:pPr>
        <w:rPr>
          <w:b/>
          <w:bCs/>
          <w:u w:val="single"/>
        </w:rPr>
      </w:pPr>
    </w:p>
    <w:p w14:paraId="652427A4" w14:textId="77777777" w:rsidR="00816B99" w:rsidRDefault="00816B99">
      <w:pPr>
        <w:rPr>
          <w:b/>
          <w:bCs/>
          <w:u w:val="single"/>
        </w:rPr>
      </w:pPr>
    </w:p>
    <w:p w14:paraId="3EC550D9" w14:textId="77777777" w:rsidR="00816B99" w:rsidRDefault="00816B99">
      <w:pPr>
        <w:rPr>
          <w:b/>
          <w:bCs/>
          <w:u w:val="single"/>
        </w:rPr>
      </w:pPr>
    </w:p>
    <w:p w14:paraId="5838F4B2" w14:textId="77777777" w:rsidR="00816B99" w:rsidRDefault="00816B99">
      <w:pPr>
        <w:rPr>
          <w:b/>
          <w:bCs/>
          <w:u w:val="single"/>
        </w:rPr>
      </w:pPr>
    </w:p>
    <w:p w14:paraId="333B6889" w14:textId="77777777" w:rsidR="00816B99" w:rsidRDefault="00816B99">
      <w:pPr>
        <w:rPr>
          <w:b/>
          <w:bCs/>
          <w:u w:val="single"/>
        </w:rPr>
      </w:pPr>
    </w:p>
    <w:p w14:paraId="1805D81F" w14:textId="77777777" w:rsidR="00816B99" w:rsidRDefault="00816B99">
      <w:pPr>
        <w:rPr>
          <w:b/>
          <w:bCs/>
          <w:u w:val="single"/>
        </w:rPr>
      </w:pPr>
    </w:p>
    <w:p w14:paraId="1888F601" w14:textId="77777777" w:rsidR="00BF1860" w:rsidRPr="00E15113" w:rsidRDefault="00BF1860" w:rsidP="00BF1860">
      <w:pPr>
        <w:rPr>
          <w:b/>
          <w:bCs/>
          <w:sz w:val="36"/>
          <w:szCs w:val="36"/>
        </w:rPr>
      </w:pPr>
      <w:r>
        <w:rPr>
          <w:b/>
          <w:bCs/>
          <w:sz w:val="32"/>
          <w:szCs w:val="32"/>
        </w:rPr>
        <w:t xml:space="preserve">                                   </w:t>
      </w:r>
      <w:r w:rsidRPr="00E15113">
        <w:rPr>
          <w:b/>
          <w:bCs/>
          <w:sz w:val="36"/>
          <w:szCs w:val="36"/>
        </w:rPr>
        <w:t xml:space="preserve">Complementary therapies </w:t>
      </w:r>
    </w:p>
    <w:p w14:paraId="59523B49" w14:textId="77777777" w:rsidR="00BF1860" w:rsidRPr="00E15113" w:rsidRDefault="00BF1860" w:rsidP="00BF1860">
      <w:pPr>
        <w:rPr>
          <w:b/>
          <w:bCs/>
          <w:sz w:val="36"/>
          <w:szCs w:val="36"/>
          <w:u w:val="single"/>
        </w:rPr>
      </w:pPr>
    </w:p>
    <w:p w14:paraId="42B93ED4" w14:textId="3F6913E8" w:rsidR="00BF1860" w:rsidRPr="00E15113" w:rsidRDefault="00BF1860" w:rsidP="00BF1860">
      <w:pPr>
        <w:rPr>
          <w:b/>
          <w:bCs/>
          <w:sz w:val="36"/>
          <w:szCs w:val="36"/>
        </w:rPr>
      </w:pPr>
      <w:r w:rsidRPr="00E15113">
        <w:rPr>
          <w:b/>
          <w:bCs/>
          <w:sz w:val="36"/>
          <w:szCs w:val="36"/>
        </w:rPr>
        <w:t xml:space="preserve">                                      Assignment </w:t>
      </w:r>
      <w:r>
        <w:rPr>
          <w:b/>
          <w:bCs/>
          <w:sz w:val="36"/>
          <w:szCs w:val="36"/>
        </w:rPr>
        <w:t>Two</w:t>
      </w:r>
    </w:p>
    <w:p w14:paraId="57AC26A7" w14:textId="77777777" w:rsidR="00BF1860" w:rsidRPr="00E15113" w:rsidRDefault="00BF1860" w:rsidP="00BF1860">
      <w:pPr>
        <w:rPr>
          <w:b/>
          <w:bCs/>
          <w:sz w:val="36"/>
          <w:szCs w:val="36"/>
          <w:u w:val="single"/>
        </w:rPr>
      </w:pPr>
    </w:p>
    <w:p w14:paraId="60321933" w14:textId="2FE795A2" w:rsidR="00BF1860" w:rsidRPr="00E15113" w:rsidRDefault="00BF1860" w:rsidP="00BF1860">
      <w:pPr>
        <w:rPr>
          <w:b/>
          <w:bCs/>
          <w:sz w:val="36"/>
          <w:szCs w:val="36"/>
        </w:rPr>
      </w:pPr>
      <w:r>
        <w:rPr>
          <w:b/>
          <w:bCs/>
          <w:sz w:val="36"/>
          <w:szCs w:val="36"/>
        </w:rPr>
        <w:t xml:space="preserve">        Complementary therapies and regulation essay </w:t>
      </w:r>
    </w:p>
    <w:p w14:paraId="7CFD90BE" w14:textId="77777777" w:rsidR="00BF1860" w:rsidRPr="00E15113" w:rsidRDefault="00BF1860" w:rsidP="00BF1860">
      <w:pPr>
        <w:rPr>
          <w:b/>
          <w:bCs/>
          <w:sz w:val="36"/>
          <w:szCs w:val="36"/>
          <w:u w:val="single"/>
        </w:rPr>
      </w:pPr>
    </w:p>
    <w:p w14:paraId="26A6CA5A" w14:textId="77777777" w:rsidR="00BF1860" w:rsidRPr="00E15113" w:rsidRDefault="00BF1860" w:rsidP="00BF1860">
      <w:pPr>
        <w:rPr>
          <w:b/>
          <w:bCs/>
          <w:sz w:val="36"/>
          <w:szCs w:val="36"/>
        </w:rPr>
      </w:pPr>
    </w:p>
    <w:p w14:paraId="67ADA5F3" w14:textId="77777777" w:rsidR="00BF1860" w:rsidRPr="00E15113" w:rsidRDefault="00BF1860" w:rsidP="00BF1860">
      <w:pPr>
        <w:rPr>
          <w:b/>
          <w:bCs/>
          <w:sz w:val="36"/>
          <w:szCs w:val="36"/>
        </w:rPr>
      </w:pPr>
      <w:r w:rsidRPr="00E15113">
        <w:rPr>
          <w:b/>
          <w:bCs/>
          <w:sz w:val="36"/>
          <w:szCs w:val="36"/>
        </w:rPr>
        <w:t xml:space="preserve">          </w:t>
      </w:r>
      <w:r>
        <w:rPr>
          <w:b/>
          <w:bCs/>
          <w:sz w:val="36"/>
          <w:szCs w:val="36"/>
        </w:rPr>
        <w:t xml:space="preserve">       </w:t>
      </w:r>
      <w:r w:rsidRPr="00E15113">
        <w:rPr>
          <w:b/>
          <w:bCs/>
          <w:sz w:val="36"/>
          <w:szCs w:val="36"/>
        </w:rPr>
        <w:t xml:space="preserve">  Sharon Langford                BMHP5001 </w:t>
      </w:r>
    </w:p>
    <w:p w14:paraId="0BC45185" w14:textId="77777777" w:rsidR="00BF1860" w:rsidRPr="00E15113" w:rsidRDefault="00BF1860" w:rsidP="00BF1860">
      <w:pPr>
        <w:rPr>
          <w:b/>
          <w:bCs/>
          <w:sz w:val="36"/>
          <w:szCs w:val="36"/>
          <w:u w:val="single"/>
        </w:rPr>
      </w:pPr>
    </w:p>
    <w:p w14:paraId="0578008F" w14:textId="002C38FA" w:rsidR="00BF1860" w:rsidRPr="00E15113" w:rsidRDefault="00BF1860" w:rsidP="00BF1860">
      <w:pPr>
        <w:rPr>
          <w:b/>
          <w:bCs/>
          <w:sz w:val="36"/>
          <w:szCs w:val="36"/>
        </w:rPr>
      </w:pPr>
      <w:r w:rsidRPr="00E15113">
        <w:rPr>
          <w:b/>
          <w:bCs/>
          <w:sz w:val="36"/>
          <w:szCs w:val="36"/>
        </w:rPr>
        <w:t xml:space="preserve">                  </w:t>
      </w:r>
      <w:r>
        <w:rPr>
          <w:b/>
          <w:bCs/>
          <w:sz w:val="36"/>
          <w:szCs w:val="36"/>
        </w:rPr>
        <w:t xml:space="preserve">                       </w:t>
      </w:r>
      <w:r w:rsidRPr="00E15113">
        <w:rPr>
          <w:b/>
          <w:bCs/>
          <w:sz w:val="36"/>
          <w:szCs w:val="36"/>
        </w:rPr>
        <w:t xml:space="preserve"> Abbie Hill </w:t>
      </w:r>
      <w:r>
        <w:rPr>
          <w:b/>
          <w:bCs/>
          <w:sz w:val="36"/>
          <w:szCs w:val="36"/>
        </w:rPr>
        <w:t xml:space="preserve">                            </w:t>
      </w:r>
    </w:p>
    <w:p w14:paraId="67BA2BFD" w14:textId="77777777" w:rsidR="00BF1860" w:rsidRDefault="00BF1860" w:rsidP="00BF1860">
      <w:pPr>
        <w:rPr>
          <w:b/>
          <w:bCs/>
          <w:u w:val="single"/>
        </w:rPr>
      </w:pPr>
    </w:p>
    <w:p w14:paraId="6C367208" w14:textId="77777777" w:rsidR="00BF1860" w:rsidRDefault="00BF1860" w:rsidP="00BF1860">
      <w:pPr>
        <w:rPr>
          <w:b/>
          <w:bCs/>
          <w:u w:val="single"/>
        </w:rPr>
      </w:pPr>
    </w:p>
    <w:p w14:paraId="5C380A6E" w14:textId="77777777" w:rsidR="00816B99" w:rsidRDefault="00816B99">
      <w:pPr>
        <w:rPr>
          <w:b/>
          <w:bCs/>
          <w:u w:val="single"/>
        </w:rPr>
      </w:pPr>
    </w:p>
    <w:p w14:paraId="0DE178FE" w14:textId="77777777" w:rsidR="00816B99" w:rsidRDefault="00816B99">
      <w:pPr>
        <w:rPr>
          <w:b/>
          <w:bCs/>
          <w:u w:val="single"/>
        </w:rPr>
      </w:pPr>
    </w:p>
    <w:p w14:paraId="688AADA9" w14:textId="77777777" w:rsidR="00816B99" w:rsidRDefault="00816B99">
      <w:pPr>
        <w:rPr>
          <w:b/>
          <w:bCs/>
          <w:u w:val="single"/>
        </w:rPr>
      </w:pPr>
    </w:p>
    <w:p w14:paraId="32027AFF" w14:textId="77777777" w:rsidR="00816B99" w:rsidRDefault="00816B99">
      <w:pPr>
        <w:rPr>
          <w:b/>
          <w:bCs/>
          <w:u w:val="single"/>
        </w:rPr>
      </w:pPr>
    </w:p>
    <w:p w14:paraId="2DC242FF" w14:textId="77777777" w:rsidR="00816B99" w:rsidRDefault="00816B99">
      <w:pPr>
        <w:rPr>
          <w:b/>
          <w:bCs/>
          <w:u w:val="single"/>
        </w:rPr>
      </w:pPr>
    </w:p>
    <w:p w14:paraId="24212077" w14:textId="77777777" w:rsidR="00816B99" w:rsidRDefault="00816B99">
      <w:pPr>
        <w:rPr>
          <w:b/>
          <w:bCs/>
          <w:u w:val="single"/>
        </w:rPr>
      </w:pPr>
    </w:p>
    <w:p w14:paraId="31AF66CE" w14:textId="77777777" w:rsidR="00816B99" w:rsidRDefault="00816B99">
      <w:pPr>
        <w:rPr>
          <w:b/>
          <w:bCs/>
          <w:u w:val="single"/>
        </w:rPr>
      </w:pPr>
    </w:p>
    <w:p w14:paraId="0F9A8C56" w14:textId="77777777" w:rsidR="00816B99" w:rsidRDefault="00816B99">
      <w:pPr>
        <w:rPr>
          <w:b/>
          <w:bCs/>
          <w:u w:val="single"/>
        </w:rPr>
      </w:pPr>
    </w:p>
    <w:p w14:paraId="0FCD331A" w14:textId="77777777" w:rsidR="00816B99" w:rsidRDefault="00816B99">
      <w:pPr>
        <w:rPr>
          <w:b/>
          <w:bCs/>
          <w:u w:val="single"/>
        </w:rPr>
      </w:pPr>
    </w:p>
    <w:p w14:paraId="5BC7A42E" w14:textId="77777777" w:rsidR="00816B99" w:rsidRDefault="00816B99">
      <w:pPr>
        <w:rPr>
          <w:b/>
          <w:bCs/>
          <w:u w:val="single"/>
        </w:rPr>
      </w:pPr>
    </w:p>
    <w:p w14:paraId="3052B184" w14:textId="77777777" w:rsidR="00816B99" w:rsidRDefault="00816B99">
      <w:pPr>
        <w:rPr>
          <w:b/>
          <w:bCs/>
          <w:u w:val="single"/>
        </w:rPr>
      </w:pPr>
    </w:p>
    <w:p w14:paraId="57D99232" w14:textId="77777777" w:rsidR="00816B99" w:rsidRDefault="00816B99">
      <w:pPr>
        <w:rPr>
          <w:b/>
          <w:bCs/>
          <w:u w:val="single"/>
        </w:rPr>
      </w:pPr>
    </w:p>
    <w:p w14:paraId="024EED50" w14:textId="77777777" w:rsidR="00816B99" w:rsidRDefault="00816B99">
      <w:pPr>
        <w:rPr>
          <w:b/>
          <w:bCs/>
          <w:u w:val="single"/>
        </w:rPr>
      </w:pPr>
    </w:p>
    <w:p w14:paraId="022DE736" w14:textId="77777777" w:rsidR="00816B99" w:rsidRDefault="00816B99">
      <w:pPr>
        <w:rPr>
          <w:b/>
          <w:bCs/>
          <w:u w:val="single"/>
        </w:rPr>
      </w:pPr>
    </w:p>
    <w:p w14:paraId="041A2E94" w14:textId="33C435C9" w:rsidR="00FF6153" w:rsidRPr="00CF4B73" w:rsidRDefault="00FF6153">
      <w:pPr>
        <w:rPr>
          <w:b/>
          <w:bCs/>
          <w:u w:val="single"/>
        </w:rPr>
      </w:pPr>
      <w:r w:rsidRPr="00CF4B73">
        <w:rPr>
          <w:b/>
          <w:bCs/>
          <w:u w:val="single"/>
        </w:rPr>
        <w:lastRenderedPageBreak/>
        <w:t>Intro</w:t>
      </w:r>
      <w:r w:rsidR="00CF4B73" w:rsidRPr="00CF4B73">
        <w:rPr>
          <w:b/>
          <w:bCs/>
          <w:u w:val="single"/>
        </w:rPr>
        <w:t xml:space="preserve">duction: </w:t>
      </w:r>
    </w:p>
    <w:p w14:paraId="7B799058" w14:textId="77777777" w:rsidR="00FF6153" w:rsidRDefault="00FF6153"/>
    <w:p w14:paraId="6E06081E" w14:textId="6158E327" w:rsidR="0032591F" w:rsidRDefault="00FF6153">
      <w:r>
        <w:t xml:space="preserve">Complementary therapies have been around for many years and are said to be exceedingly good alternatives to medications. According to </w:t>
      </w:r>
      <w:r w:rsidR="001320F5">
        <w:t xml:space="preserve">Ernst (2000) </w:t>
      </w:r>
      <w:r>
        <w:t>complementary therapies are a different approach to conventional and mainstream medicine and are said to be exceedingly beneficial for many individuals. Each different therapy and treatment are useful in its own way to different individuals depending on what the issue is; therefore, this is the reason as to why complementary therapies (CAMs) is such a wide variety.</w:t>
      </w:r>
      <w:r w:rsidR="00CB122D">
        <w:t xml:space="preserve"> </w:t>
      </w:r>
      <w:r w:rsidR="0032591F">
        <w:t xml:space="preserve"> This written assignment will evaluate the current regulation that Is in place for complementary therapies. Self-regulation and voluntary regulation will be examined throughout the assignment</w:t>
      </w:r>
      <w:r w:rsidR="00D07828">
        <w:t xml:space="preserve"> </w:t>
      </w:r>
      <w:r w:rsidR="0032591F">
        <w:t>as well as legislation and why legislation and regulations are required as essential for many different reasons. The difficulty of regulating complementary therapies all over the world will also be discussed thoroughly. The first section of the assignment will discuss what is considered as legislations and why they are required</w:t>
      </w:r>
      <w:r w:rsidR="00D07828">
        <w:t>,</w:t>
      </w:r>
      <w:r w:rsidR="0032591F">
        <w:t xml:space="preserve"> then moving onto discuss how regulations are introduced and why regulations are put in place. The assignment will then move onto examine the reason why a lot of complementary therapies are often unregulated due to the amount of research that currently exists. Lastly, the assignment will move onto discussing potential future recommendations for the improvement of statuary and voluntary regulation bodies. </w:t>
      </w:r>
    </w:p>
    <w:p w14:paraId="5571BEA5" w14:textId="77777777" w:rsidR="0032591F" w:rsidRDefault="0032591F"/>
    <w:p w14:paraId="78E904C2" w14:textId="77777777" w:rsidR="00FF6153" w:rsidRDefault="00FF6153"/>
    <w:p w14:paraId="1E688CE7" w14:textId="77543688" w:rsidR="00FF6153" w:rsidRPr="00CF4B73" w:rsidRDefault="00CF4B73">
      <w:pPr>
        <w:rPr>
          <w:b/>
          <w:bCs/>
          <w:u w:val="single"/>
        </w:rPr>
      </w:pPr>
      <w:r w:rsidRPr="00CF4B73">
        <w:rPr>
          <w:b/>
          <w:bCs/>
          <w:u w:val="single"/>
        </w:rPr>
        <w:t xml:space="preserve">Main body: </w:t>
      </w:r>
    </w:p>
    <w:p w14:paraId="38A24AB9" w14:textId="45195FC4" w:rsidR="00E44E42" w:rsidRDefault="00E44E42"/>
    <w:p w14:paraId="7358EB52" w14:textId="334EB895" w:rsidR="00E44E42" w:rsidRDefault="00E44E42">
      <w:r>
        <w:t xml:space="preserve">Complementary therapies as well as alternative therapies are now becoming more commonly used over the past couple of decades. However, many different practitioners within the United Kingdom alone are exceedingly unregulated. This is where legislation introduced by the government becomes crucial as it encourages the introduction of regulations within businesses and industries such as complementary therapies and alternative therapies. According to the World Health Organisation (WHO) legislations are essential as they implement environmental and health related laws and policies. Legislation in essence is a law or series of laws implemented by the government or governing bodies. The reason as to why legislations are considered essential as they set out guidelines and standards to help protect not only </w:t>
      </w:r>
      <w:r w:rsidR="000C15A9">
        <w:t>practitioners</w:t>
      </w:r>
      <w:r>
        <w:t xml:space="preserve"> and clients but also the public at large. An example of such protective legislation is the data protection act 1998 which requires safely s</w:t>
      </w:r>
      <w:r w:rsidR="000C15A9">
        <w:t xml:space="preserve">toring and protecting clients/patient’s data and maintaining one’s confidentiality. </w:t>
      </w:r>
    </w:p>
    <w:p w14:paraId="4543DA4F" w14:textId="1B89C7BA" w:rsidR="005737ED" w:rsidRDefault="00FF6153">
      <w:r>
        <w:t>According to Gall (201</w:t>
      </w:r>
      <w:r w:rsidR="0002528A">
        <w:t>3</w:t>
      </w:r>
      <w:r>
        <w:t xml:space="preserve">) statutory regulation refers to professionals that are to be registered with a professional regulatory body by law. </w:t>
      </w:r>
      <w:r w:rsidR="0081593F">
        <w:t xml:space="preserve">No matter how big an industry is they all must comply to specific laws and regulations. </w:t>
      </w:r>
      <w:r w:rsidR="00550489">
        <w:t>The advantages of r</w:t>
      </w:r>
      <w:r w:rsidR="0081593F">
        <w:t xml:space="preserve">egulations </w:t>
      </w:r>
      <w:r w:rsidR="00550489">
        <w:t xml:space="preserve">being put in place is that they are there </w:t>
      </w:r>
      <w:r w:rsidR="0081593F">
        <w:t xml:space="preserve">for an important reason, this being that they help to protect one’s business, employees as well as potential customers. Davis (2018) identifies that regulations are considered to be essential in order to protect all within a business and the business itself. </w:t>
      </w:r>
      <w:r w:rsidR="000C15A9">
        <w:t xml:space="preserve">Regulations are considered to be standards and rules put into place by different industries and businesses themselves </w:t>
      </w:r>
      <w:r w:rsidR="0007307F">
        <w:t xml:space="preserve">to ensure the safety of both practitioners and patients by eliminating potential risks associated </w:t>
      </w:r>
      <w:r w:rsidR="00816B99">
        <w:t>with in</w:t>
      </w:r>
      <w:r w:rsidR="0007307F">
        <w:t xml:space="preserve"> that industry</w:t>
      </w:r>
      <w:r w:rsidR="00D15DF1">
        <w:t xml:space="preserve"> (</w:t>
      </w:r>
      <w:proofErr w:type="spellStart"/>
      <w:r w:rsidR="00D15DF1">
        <w:t>Gasior</w:t>
      </w:r>
      <w:proofErr w:type="spellEnd"/>
      <w:r w:rsidR="00D15DF1">
        <w:t>, 2020).</w:t>
      </w:r>
      <w:r w:rsidR="0007307F">
        <w:t xml:space="preserve">This does not only apply to the individuals themselves, but also applies to equipment and medicines.  </w:t>
      </w:r>
      <w:r w:rsidR="0081593F">
        <w:t xml:space="preserve">Thousands of people all over the world use complementary therapies and medicines. Despite these complementary therapies being so successful for many individuals, </w:t>
      </w:r>
      <w:r w:rsidR="0081593F">
        <w:lastRenderedPageBreak/>
        <w:t>for some people they often are not successful. There are many different health risks and complications from these alternative and complementary therapies, but due to complementary therapies not having much regulations in place, these health risks are often not made clear.</w:t>
      </w:r>
      <w:r w:rsidR="00550489">
        <w:t xml:space="preserve"> The disadvantages of not having these regulations in place can mean th</w:t>
      </w:r>
      <w:r w:rsidR="005737ED">
        <w:t>at the practitioner may not stick to basic standards or confidentiality.</w:t>
      </w:r>
      <w:r w:rsidR="0081593F">
        <w:t xml:space="preserve"> </w:t>
      </w:r>
      <w:r w:rsidR="005737ED">
        <w:t xml:space="preserve">Confidentiality is considered as a duty of care within any health and social care background such as complementary therapies. O’Brien and </w:t>
      </w:r>
      <w:proofErr w:type="spellStart"/>
      <w:r w:rsidR="005737ED">
        <w:t>Chantler</w:t>
      </w:r>
      <w:proofErr w:type="spellEnd"/>
      <w:r w:rsidR="005737ED">
        <w:t xml:space="preserve"> (2020) identify that providing confidentially is a form of respect to a patient/client and should be considered as a duty by all professionals within health and social care. Confidentiality allows patients and clients to have the choice on how personal information about themselves is disclosed and whether or not they would like that information to be kept between the practitioner and themselves. </w:t>
      </w:r>
    </w:p>
    <w:p w14:paraId="05B5C281" w14:textId="446B23F8" w:rsidR="00FF6153" w:rsidRDefault="0081593F">
      <w:r>
        <w:t>According to Mi</w:t>
      </w:r>
      <w:r w:rsidR="00D622CF">
        <w:t>lls</w:t>
      </w:r>
      <w:r>
        <w:t xml:space="preserve"> (20</w:t>
      </w:r>
      <w:r w:rsidR="00D622CF">
        <w:t>01</w:t>
      </w:r>
      <w:r>
        <w:t xml:space="preserve">) many practitioners within the United Kingdom alone are hugely unregulated. The current situation within the United Kingdom is for legal practitioners to set themselves up within a large variety of healthcare professionals as long as they do not claim to be registered medical practitioners.  </w:t>
      </w:r>
    </w:p>
    <w:p w14:paraId="1961ECD3" w14:textId="15FB7CCD" w:rsidR="005D0A6E" w:rsidRDefault="005D0A6E"/>
    <w:p w14:paraId="3C96CD9C" w14:textId="32ADD33A" w:rsidR="0053283F" w:rsidRDefault="0053283F">
      <w:r>
        <w:t xml:space="preserve">Statuary legislation and voluntary regulation can often be mistaken for being the same thing, however there are many important differences within these two different sectors. According to </w:t>
      </w:r>
      <w:proofErr w:type="spellStart"/>
      <w:r>
        <w:t>GovUk</w:t>
      </w:r>
      <w:proofErr w:type="spellEnd"/>
      <w:r>
        <w:t xml:space="preserve"> (2020) statutory legislation is a written law which is normally passed by a body of legislation and then set by the government. Wallace (2012) identifies that voluntary regulation is often drawn up and enforced by an appropriate body within that professional industry. Therefore, both statutory legislation and voluntary regulation have their main differences. Statutory legislation are laws set by the government in which all industries and </w:t>
      </w:r>
      <w:r w:rsidR="00CF4B73">
        <w:t>practitioners</w:t>
      </w:r>
      <w:r>
        <w:t xml:space="preserve"> must </w:t>
      </w:r>
      <w:r w:rsidR="00947B46">
        <w:t xml:space="preserve">follow in order to ensure the safety of the overall environment and for all individuals. However, voluntary regulation are guidelines and standards set by a professional that all individuals within that industry must follow, these regulations are often set by an individual with a high role within that industry. These regulations and legislations enforced by both the government and professionals are in place for a number of important reasons. </w:t>
      </w:r>
    </w:p>
    <w:p w14:paraId="347A052F" w14:textId="77777777" w:rsidR="0053283F" w:rsidRDefault="0053283F"/>
    <w:p w14:paraId="6058017A" w14:textId="55252AD5" w:rsidR="005737ED" w:rsidRDefault="001B59D5">
      <w:r>
        <w:t>when it comes to regulation within complementary therapies, many of the different therapies are still left unregulated.</w:t>
      </w:r>
      <w:r w:rsidR="005737ED">
        <w:t xml:space="preserve"> </w:t>
      </w:r>
      <w:r>
        <w:t xml:space="preserve">There are many different reasons as to why complementary therapies tend to not have regulations in place, one being they tend to be much more difficult to regulate due to limited amount of research that currently exists. </w:t>
      </w:r>
      <w:r w:rsidR="005737ED">
        <w:t xml:space="preserve">It is not possible to put regulations into place for a complementary therapy if there is no extensive research available. Putting in regulations without the correct research could result in the wrong regulations being put into place which could possibly result in making that situation and that complementary therapy much worse instead of making positive improvements. </w:t>
      </w:r>
      <w:r w:rsidR="009463F3">
        <w:t>Zarah (2020) identifies that having research is essential, especially within healthcare as it can find out what sort of treatments work best for different individuals as well as finding out information and answers to things that are unanswered. Lewith (2012) acknowledges that there is lack of good quality research for a lot of complementary therapies which can often be a major problem when it comes to the importance of laws and regulations</w:t>
      </w:r>
      <w:r w:rsidR="008A545C">
        <w:t xml:space="preserve"> and how it is often a struggle to provide or legislate without good medical information. </w:t>
      </w:r>
      <w:r w:rsidR="00CB122D">
        <w:t xml:space="preserve"> Anyone can decide to take up training when it comes to the many different forms of complementary therapies, this means that not all practicing complementary therapies are qualified.</w:t>
      </w:r>
      <w:r w:rsidR="005737ED">
        <w:t xml:space="preserve"> Often people will not have the knowledge on weather that </w:t>
      </w:r>
      <w:r w:rsidR="005737ED">
        <w:lastRenderedPageBreak/>
        <w:t xml:space="preserve">practitioner is actually qualified and registered </w:t>
      </w:r>
      <w:r w:rsidR="00C532DD">
        <w:t xml:space="preserve">with a professional body. Anyone can claim that they are a professional complementary therapist as they may have taken up training on an online course, however without the correct training and being registered it could pose risks to both that practitioner as well as the individual seeking that complementary therapy. </w:t>
      </w:r>
    </w:p>
    <w:p w14:paraId="0B3D8B4E" w14:textId="6E255E7D" w:rsidR="00D627AE" w:rsidRDefault="00CB122D">
      <w:r>
        <w:t xml:space="preserve"> Most complementary therapies are regulated by special laws and all those who practice these different complementary therapies have to adhere specific standards as well as codes of practice. due to many </w:t>
      </w:r>
      <w:r w:rsidR="0032591F">
        <w:t>practitioners</w:t>
      </w:r>
      <w:r>
        <w:t xml:space="preserve"> within complementary therapies not being regulated, it means potential clients/patients must find out and research well what that therapy entails, any side effects or risk and weather that practitioner is fully qualified to be practising that specific complementary therapy. </w:t>
      </w:r>
      <w:r w:rsidR="00D622CF">
        <w:t xml:space="preserve">The National institute for health and care excellence </w:t>
      </w:r>
      <w:r w:rsidR="00947B46">
        <w:t>(20</w:t>
      </w:r>
      <w:r w:rsidR="001320F5">
        <w:t>20</w:t>
      </w:r>
      <w:r w:rsidR="00947B46">
        <w:t xml:space="preserve">) also suggest for the individual seeking a specific complementary therapy to ensure they are aware on weather that practitioner has the expected qualifications to carry out that practice. </w:t>
      </w:r>
      <w:r w:rsidR="0032591F">
        <w:t xml:space="preserve">This would come under </w:t>
      </w:r>
      <w:r w:rsidR="00D314F7">
        <w:t>statutory professional</w:t>
      </w:r>
      <w:r w:rsidR="0032591F">
        <w:t xml:space="preserve"> regulation. Complementary </w:t>
      </w:r>
      <w:r w:rsidR="00D314F7">
        <w:t>therapies</w:t>
      </w:r>
      <w:r w:rsidR="0032591F">
        <w:t xml:space="preserve"> </w:t>
      </w:r>
      <w:r w:rsidR="00D314F7">
        <w:t xml:space="preserve">such as osteopathy and chiropractic are often regulated in the same way. However, there is no current statutory regulation for many other complementary therapy practitioners. This form of regulation ensures that all practitioners who are registered are correctly and properly qualified as well as ensuring that all practitioners practice safely and follow the set of standards and guidelines that are set to them. Regulatory bodies are able to help an individual seek a fully qualified and registered practitioner. </w:t>
      </w:r>
    </w:p>
    <w:p w14:paraId="1C7DBF8F" w14:textId="1F2A8062" w:rsidR="00947B46" w:rsidRDefault="00947B46"/>
    <w:p w14:paraId="3112DDC5" w14:textId="1CD0D216" w:rsidR="00D627AE" w:rsidRDefault="00947B46">
      <w:r>
        <w:t xml:space="preserve">The reason as to why it is also so important for complementary therapies to have regulations in place is to ensure all practitioners are following the General data protection regulation. </w:t>
      </w:r>
      <w:r w:rsidR="00D25DD6">
        <w:t>According to Groot (</w:t>
      </w:r>
      <w:r w:rsidR="0033650D">
        <w:t>2019) the</w:t>
      </w:r>
      <w:r w:rsidR="00B72951">
        <w:t xml:space="preserve"> general data protection regulation (GDPR) is a legal framework that aims to set out specific guidelines for collecting and processing personal information of clients and patients. </w:t>
      </w:r>
      <w:r w:rsidR="00772D5E">
        <w:t xml:space="preserve"> Palmer (2019) identifies that t</w:t>
      </w:r>
      <w:r w:rsidR="00B72951">
        <w:t xml:space="preserve">he GDPR is consists of overall </w:t>
      </w:r>
      <w:r w:rsidR="00D627AE">
        <w:t>confidentially</w:t>
      </w:r>
      <w:r w:rsidR="00B72951">
        <w:t xml:space="preserve"> of all clients and </w:t>
      </w:r>
      <w:r w:rsidR="00D627AE">
        <w:t>patients</w:t>
      </w:r>
      <w:r w:rsidR="00B72951">
        <w:t xml:space="preserve"> by keeping personal data stored safely and correctly such as on a password secured computer or in a locked filing cabinet. The GDPR also consists of consent forms, non-mal</w:t>
      </w:r>
      <w:r w:rsidR="00CF0E5A">
        <w:t>eficence</w:t>
      </w:r>
      <w:r w:rsidR="00B72951">
        <w:t xml:space="preserve">, safely handling the transfer of data and overall safeguarding the processing and movement of an </w:t>
      </w:r>
      <w:r w:rsidR="00D627AE">
        <w:t>individual’s</w:t>
      </w:r>
      <w:r w:rsidR="00B72951">
        <w:t xml:space="preserve"> </w:t>
      </w:r>
      <w:r w:rsidR="00D627AE">
        <w:t>personal data</w:t>
      </w:r>
      <w:r w:rsidR="00CF0E5A">
        <w:t xml:space="preserve"> (Information commissioner’s office, 2020). </w:t>
      </w:r>
      <w:r w:rsidR="00D627AE">
        <w:t xml:space="preserve">This is essential within complementary therapies when regarding a client’s personal data. If a practitioner practising a specific complementary therapy is unregulated then this means they may potentially not follow the standards and regulations of the general data protection regulation which may put that patient/client at risk of having their personal information and data being exposed. </w:t>
      </w:r>
      <w:r w:rsidR="00C35934">
        <w:t xml:space="preserve"> </w:t>
      </w:r>
      <w:r w:rsidR="00D627AE">
        <w:t xml:space="preserve">Having all these different legislations and regulations put </w:t>
      </w:r>
      <w:r w:rsidR="00C35934">
        <w:t>in</w:t>
      </w:r>
      <w:r w:rsidR="00D627AE">
        <w:t xml:space="preserve"> place </w:t>
      </w:r>
      <w:r w:rsidR="00971045">
        <w:t xml:space="preserve">by the government and governing bodies are exceedingly important for both that industry and potential clients and patients. </w:t>
      </w:r>
      <w:r w:rsidR="00C60B0D">
        <w:t>Regulations are put into place for a reason and therefore everyone involved within that industry/business should aim to follow the regulations set for everyone’s benefit and most importantly for everyone’s safety</w:t>
      </w:r>
      <w:r w:rsidR="00772D5E">
        <w:t xml:space="preserve"> (</w:t>
      </w:r>
      <w:proofErr w:type="spellStart"/>
      <w:r w:rsidR="00772D5E">
        <w:t>Sujan</w:t>
      </w:r>
      <w:proofErr w:type="spellEnd"/>
      <w:r w:rsidR="00772D5E">
        <w:t xml:space="preserve"> and Johnson, 2015). </w:t>
      </w:r>
      <w:r w:rsidR="00971045">
        <w:t xml:space="preserve">Having these legislations and regulations within complementary therapies can make a positive contribution to both the </w:t>
      </w:r>
      <w:r w:rsidR="00C35934">
        <w:t>practitioners</w:t>
      </w:r>
      <w:r w:rsidR="00971045">
        <w:t xml:space="preserve"> and client as it increases fairness and confidentiality between them both. It also ensures the safety of the </w:t>
      </w:r>
      <w:r w:rsidR="00C35934">
        <w:t>practitioner’s</w:t>
      </w:r>
      <w:r w:rsidR="00971045">
        <w:t xml:space="preserve"> industry and business as well as the safety for the client by the use of safe and clean equipment and when it comes to carrying out the actual procedure/</w:t>
      </w:r>
      <w:r w:rsidR="00C35934">
        <w:t xml:space="preserve">therapy. </w:t>
      </w:r>
    </w:p>
    <w:p w14:paraId="28F380FE" w14:textId="77777777" w:rsidR="00FF6153" w:rsidRDefault="00FF6153"/>
    <w:p w14:paraId="20A8579B" w14:textId="76E2B6BD" w:rsidR="00FF6153" w:rsidRDefault="00FF6153"/>
    <w:p w14:paraId="15F74B08" w14:textId="738C6AE3" w:rsidR="00C35934" w:rsidRPr="00CF4B73" w:rsidRDefault="00C35934">
      <w:pPr>
        <w:rPr>
          <w:b/>
          <w:bCs/>
          <w:u w:val="single"/>
        </w:rPr>
      </w:pPr>
      <w:r w:rsidRPr="00CF4B73">
        <w:rPr>
          <w:b/>
          <w:bCs/>
          <w:u w:val="single"/>
        </w:rPr>
        <w:lastRenderedPageBreak/>
        <w:t xml:space="preserve">Recommendations: </w:t>
      </w:r>
    </w:p>
    <w:p w14:paraId="6CED6C24" w14:textId="6B5A8DA6" w:rsidR="00C35934" w:rsidRDefault="00C35934"/>
    <w:p w14:paraId="0BF8FACA" w14:textId="137091F6" w:rsidR="00C35934" w:rsidRDefault="00C35934">
      <w:r>
        <w:t>In order to improve regulation within complementary therapies, there are many possible recommendations that could be taken into consideration</w:t>
      </w:r>
      <w:r w:rsidR="00CF0E5A">
        <w:t xml:space="preserve"> such as the following: </w:t>
      </w:r>
    </w:p>
    <w:p w14:paraId="2EFBB9BE" w14:textId="0A1186AB" w:rsidR="00C35934" w:rsidRDefault="00C35934"/>
    <w:p w14:paraId="2A93886F" w14:textId="72ECBB2D" w:rsidR="00C35934" w:rsidRDefault="00C35934" w:rsidP="00C35934">
      <w:pPr>
        <w:pStyle w:val="ListParagraph"/>
        <w:numPr>
          <w:ilvl w:val="0"/>
          <w:numId w:val="1"/>
        </w:numPr>
      </w:pPr>
      <w:r w:rsidRPr="00C35934">
        <w:rPr>
          <w:b/>
          <w:bCs/>
        </w:rPr>
        <w:t>More public information on regulation</w:t>
      </w:r>
      <w:r>
        <w:rPr>
          <w:b/>
          <w:bCs/>
        </w:rPr>
        <w:t xml:space="preserve"> and legislation</w:t>
      </w:r>
      <w:r>
        <w:t xml:space="preserve">: </w:t>
      </w:r>
      <w:r w:rsidR="000F034C">
        <w:t>T</w:t>
      </w:r>
      <w:r>
        <w:t xml:space="preserve">his could be exceedingly useful in many of ways. By providing the general public with more information on regulation and legislation it allows individuals to </w:t>
      </w:r>
      <w:r w:rsidR="000F034C">
        <w:t xml:space="preserve">have </w:t>
      </w:r>
      <w:r>
        <w:t>knowledge on the importance of them when it comes to wanting to receive a form of complementary therapies. Regulations are put in place for a reason, thus being that they help protect both an industry as well as the potential clients and patients. When it comes to an individual wanting to seek a form of complementary therapy, if that individual is well knowledge</w:t>
      </w:r>
      <w:r w:rsidR="000F034C">
        <w:t>d</w:t>
      </w:r>
      <w:r>
        <w:t xml:space="preserve"> on why regulations are so important it gives them an advantage on searching a professional and fully qualified practitioner to carry out that complementary therapy in order to receive the best and professional treatment as well as increasing their safety. </w:t>
      </w:r>
    </w:p>
    <w:p w14:paraId="1F15589B" w14:textId="09D3FD4B" w:rsidR="00C35934" w:rsidRDefault="00C35934" w:rsidP="00C35934"/>
    <w:p w14:paraId="64619F36" w14:textId="75E5309A" w:rsidR="00C35934" w:rsidRDefault="00C35934" w:rsidP="00C35934">
      <w:pPr>
        <w:pStyle w:val="ListParagraph"/>
        <w:numPr>
          <w:ilvl w:val="0"/>
          <w:numId w:val="1"/>
        </w:numPr>
      </w:pPr>
      <w:r w:rsidRPr="00C35934">
        <w:rPr>
          <w:b/>
          <w:bCs/>
        </w:rPr>
        <w:t>To ensure all practitioners carrying out complementary therapies are fully qualified:</w:t>
      </w:r>
      <w:r>
        <w:t xml:space="preserve"> This recommendation is an important recommendation for a number of different reasons. </w:t>
      </w:r>
      <w:r w:rsidR="004E2C1A">
        <w:t xml:space="preserve">As previously stated within the assignment, anyone can practice complementary therapy and consider themselves as a professional. However, this is often an issue when it comes to regulations and legislations. If an individual practising complementary therapies is not fully qualified but is still offering their services to individuals it could arise a number of problems. Safety is a huge factor when it comes to practising complementary therapies, if that individual is not fully qualified then that means they haven’t had all the correct training which could propose health risks to potential clients. It also means </w:t>
      </w:r>
      <w:r w:rsidR="000F034C">
        <w:t>the</w:t>
      </w:r>
      <w:r w:rsidR="004E2C1A">
        <w:t xml:space="preserve"> individual practising complementary therapies has no regulations in place which means legislations such as the data protection at 1998 and regulations such as the General data protection </w:t>
      </w:r>
      <w:r w:rsidR="000F034C">
        <w:t xml:space="preserve">regulation </w:t>
      </w:r>
      <w:r w:rsidR="004E2C1A">
        <w:t xml:space="preserve">are not in place, which could put a client at risk of having all their personal information and data exposed. </w:t>
      </w:r>
      <w:r w:rsidR="00C47868">
        <w:t xml:space="preserve">Therefore, all individuals wanting to carry out complementary therapies should be fully qualified which then means they must have followed legislations and have regulations in place for the safety of their business and their clients. </w:t>
      </w:r>
    </w:p>
    <w:p w14:paraId="3853FE62" w14:textId="513DB43F" w:rsidR="00C47868" w:rsidRPr="00C47868" w:rsidRDefault="00C47868" w:rsidP="00C47868">
      <w:pPr>
        <w:rPr>
          <w:b/>
          <w:bCs/>
        </w:rPr>
      </w:pPr>
    </w:p>
    <w:p w14:paraId="4738C56E" w14:textId="6549A858" w:rsidR="00C47868" w:rsidRPr="00C47868" w:rsidRDefault="00C47868" w:rsidP="00C47868">
      <w:pPr>
        <w:pStyle w:val="ListParagraph"/>
        <w:numPr>
          <w:ilvl w:val="0"/>
          <w:numId w:val="1"/>
        </w:numPr>
        <w:rPr>
          <w:b/>
          <w:bCs/>
        </w:rPr>
      </w:pPr>
      <w:r w:rsidRPr="00C47868">
        <w:rPr>
          <w:b/>
          <w:bCs/>
        </w:rPr>
        <w:t xml:space="preserve">For more information and help to be available for an individual seeking to find a professional complementary therapist: </w:t>
      </w:r>
      <w:r w:rsidR="000F034C">
        <w:t>L</w:t>
      </w:r>
      <w:r>
        <w:t xml:space="preserve">inking in with recommendation 2, if there was more information and help available to individuals seeking to find a professional complementary therapist it would ensure a lot of safety for that potential client. </w:t>
      </w:r>
      <w:r w:rsidR="005534E0">
        <w:t xml:space="preserve">With there being many complementary therapies available with no regulations in place it is putting that individual at risk for many potential problems. By there being more help on this it is allowing an individual to be aware of their potential risks and then allowing them to make their own formed decision. </w:t>
      </w:r>
    </w:p>
    <w:p w14:paraId="4325153A" w14:textId="40DC2740" w:rsidR="004E2C1A" w:rsidRDefault="004E2C1A" w:rsidP="004E2C1A">
      <w:pPr>
        <w:pStyle w:val="ListParagraph"/>
      </w:pPr>
    </w:p>
    <w:p w14:paraId="58DAA335" w14:textId="56B403BE" w:rsidR="005534E0" w:rsidRPr="005534E0" w:rsidRDefault="005534E0" w:rsidP="004E2C1A">
      <w:pPr>
        <w:pStyle w:val="ListParagraph"/>
        <w:rPr>
          <w:b/>
          <w:bCs/>
        </w:rPr>
      </w:pPr>
    </w:p>
    <w:p w14:paraId="52CA583A" w14:textId="77777777" w:rsidR="0033650D" w:rsidRDefault="0033650D" w:rsidP="004E2C1A">
      <w:pPr>
        <w:pStyle w:val="ListParagraph"/>
        <w:rPr>
          <w:b/>
          <w:bCs/>
          <w:u w:val="single"/>
        </w:rPr>
      </w:pPr>
    </w:p>
    <w:p w14:paraId="3124ED02" w14:textId="77777777" w:rsidR="0033650D" w:rsidRDefault="0033650D" w:rsidP="004E2C1A">
      <w:pPr>
        <w:pStyle w:val="ListParagraph"/>
        <w:rPr>
          <w:b/>
          <w:bCs/>
          <w:u w:val="single"/>
        </w:rPr>
      </w:pPr>
    </w:p>
    <w:p w14:paraId="5300618B" w14:textId="37A7884E" w:rsidR="005534E0" w:rsidRPr="00CF4B73" w:rsidRDefault="005534E0" w:rsidP="004E2C1A">
      <w:pPr>
        <w:pStyle w:val="ListParagraph"/>
        <w:rPr>
          <w:b/>
          <w:bCs/>
          <w:u w:val="single"/>
        </w:rPr>
      </w:pPr>
      <w:r w:rsidRPr="00CF4B73">
        <w:rPr>
          <w:b/>
          <w:bCs/>
          <w:u w:val="single"/>
        </w:rPr>
        <w:lastRenderedPageBreak/>
        <w:t xml:space="preserve">Conclusion: </w:t>
      </w:r>
    </w:p>
    <w:p w14:paraId="6F584528" w14:textId="2861F908" w:rsidR="005534E0" w:rsidRDefault="005534E0" w:rsidP="004E2C1A">
      <w:pPr>
        <w:pStyle w:val="ListParagraph"/>
      </w:pPr>
    </w:p>
    <w:p w14:paraId="4EF7EABF" w14:textId="5FE8AA71" w:rsidR="00CF4B73" w:rsidRDefault="005534E0" w:rsidP="00CF4B73">
      <w:pPr>
        <w:pStyle w:val="ListParagraph"/>
      </w:pPr>
      <w:r>
        <w:t xml:space="preserve">Throughout this written assignment legislation and regulation for complementary therapies has been thoroughly examined as well as briefly discussing the difference between statutory legislation and voluntary regulation. Legislation is a law that is made and passed by the government that all industries and businesses must follow such as the Data protection act 1998. Regulation is then introduced from legislations; regulations are standards and guidelines set by professionals within that specific industry that helps to protect the industry itself as well as all individuals within that industry such as potential clients/patients. The assignment then examined why some complementary therapies are more difficult to regulate due to limited amount of research that currently exists. Without the correct information and research available it is difficult to regulate a complementary therapy without knowing what type of regulations are needed within that practice, as putting in the wrong regulations could potentially make the practice/therapy a lot worse. The general data protection regulation was also discussed within the assignment. The general data protection regulation </w:t>
      </w:r>
      <w:r w:rsidR="00CF4B73">
        <w:t xml:space="preserve">is a set of guidelines and strategy’s put in place to protect the processing and movement of an individual’s personal and confidential data, this could be achieved by consent forms, password secured computers and safely moving and transferring one’s personal data. Lastly, the assignment then moved onto discuss potential recommendations for regulation within complementary therapies. One recommendation could be to ensure all practitioners carrying out a complementary therapy and passed as a professional and are fully qualified in order for them to have regulations in place. </w:t>
      </w:r>
    </w:p>
    <w:p w14:paraId="0194C3B8" w14:textId="56171D47" w:rsidR="004E2C1A" w:rsidRDefault="004E2C1A" w:rsidP="004E2C1A"/>
    <w:p w14:paraId="4FCB158B" w14:textId="0C131EAE" w:rsidR="004E2C1A" w:rsidRDefault="004E2C1A" w:rsidP="005534E0">
      <w:pPr>
        <w:pStyle w:val="ListParagraph"/>
      </w:pPr>
    </w:p>
    <w:p w14:paraId="548CADBC" w14:textId="33F1EBCD" w:rsidR="00D15DF1" w:rsidRDefault="00D15DF1" w:rsidP="005534E0">
      <w:pPr>
        <w:pStyle w:val="ListParagraph"/>
      </w:pPr>
    </w:p>
    <w:p w14:paraId="62EFDD87" w14:textId="27127DE1" w:rsidR="00D15DF1" w:rsidRDefault="00D15DF1" w:rsidP="005534E0">
      <w:pPr>
        <w:pStyle w:val="ListParagraph"/>
      </w:pPr>
    </w:p>
    <w:p w14:paraId="0B73E18E" w14:textId="77A0BCA1" w:rsidR="00D15DF1" w:rsidRDefault="00D15DF1" w:rsidP="005534E0">
      <w:pPr>
        <w:pStyle w:val="ListParagraph"/>
      </w:pPr>
    </w:p>
    <w:p w14:paraId="6C716798" w14:textId="55A01CD7" w:rsidR="00D15DF1" w:rsidRDefault="00D15DF1" w:rsidP="005534E0">
      <w:pPr>
        <w:pStyle w:val="ListParagraph"/>
      </w:pPr>
    </w:p>
    <w:p w14:paraId="7A7F5039" w14:textId="01359F09" w:rsidR="00D15DF1" w:rsidRDefault="00D15DF1" w:rsidP="005534E0">
      <w:pPr>
        <w:pStyle w:val="ListParagraph"/>
      </w:pPr>
    </w:p>
    <w:p w14:paraId="0122C75C" w14:textId="2E46B28C" w:rsidR="00D15DF1" w:rsidRDefault="00D15DF1" w:rsidP="005534E0">
      <w:pPr>
        <w:pStyle w:val="ListParagraph"/>
      </w:pPr>
    </w:p>
    <w:p w14:paraId="693C6495" w14:textId="4CEB90C4" w:rsidR="00D15DF1" w:rsidRDefault="00D15DF1" w:rsidP="005534E0">
      <w:pPr>
        <w:pStyle w:val="ListParagraph"/>
      </w:pPr>
    </w:p>
    <w:p w14:paraId="041D8F44" w14:textId="7D0DD1EE" w:rsidR="00D15DF1" w:rsidRDefault="00D15DF1" w:rsidP="005534E0">
      <w:pPr>
        <w:pStyle w:val="ListParagraph"/>
      </w:pPr>
    </w:p>
    <w:p w14:paraId="163B9A70" w14:textId="07A081A6" w:rsidR="00D15DF1" w:rsidRDefault="00D15DF1" w:rsidP="005534E0">
      <w:pPr>
        <w:pStyle w:val="ListParagraph"/>
      </w:pPr>
    </w:p>
    <w:p w14:paraId="339A714E" w14:textId="46F9996C" w:rsidR="00D15DF1" w:rsidRDefault="00D15DF1" w:rsidP="005534E0">
      <w:pPr>
        <w:pStyle w:val="ListParagraph"/>
      </w:pPr>
    </w:p>
    <w:p w14:paraId="707FA723" w14:textId="6C3BE0EC" w:rsidR="00D15DF1" w:rsidRDefault="00D15DF1" w:rsidP="005534E0">
      <w:pPr>
        <w:pStyle w:val="ListParagraph"/>
      </w:pPr>
    </w:p>
    <w:p w14:paraId="5030BDA3" w14:textId="78E7F273" w:rsidR="00D15DF1" w:rsidRDefault="00D15DF1" w:rsidP="005534E0">
      <w:pPr>
        <w:pStyle w:val="ListParagraph"/>
      </w:pPr>
    </w:p>
    <w:p w14:paraId="754D169E" w14:textId="29699A85" w:rsidR="00D15DF1" w:rsidRDefault="00D15DF1" w:rsidP="005534E0">
      <w:pPr>
        <w:pStyle w:val="ListParagraph"/>
      </w:pPr>
    </w:p>
    <w:p w14:paraId="5359A22D" w14:textId="30AF8B97" w:rsidR="00D15DF1" w:rsidRDefault="00D15DF1" w:rsidP="005534E0">
      <w:pPr>
        <w:pStyle w:val="ListParagraph"/>
      </w:pPr>
    </w:p>
    <w:p w14:paraId="598AE144" w14:textId="3FF0DD7F" w:rsidR="00D15DF1" w:rsidRDefault="00D15DF1" w:rsidP="005534E0">
      <w:pPr>
        <w:pStyle w:val="ListParagraph"/>
      </w:pPr>
    </w:p>
    <w:p w14:paraId="166E2B47" w14:textId="1B7F09FA" w:rsidR="00D15DF1" w:rsidRDefault="00D15DF1" w:rsidP="005534E0">
      <w:pPr>
        <w:pStyle w:val="ListParagraph"/>
      </w:pPr>
    </w:p>
    <w:p w14:paraId="73AE84B9" w14:textId="0926A34C" w:rsidR="00D15DF1" w:rsidRDefault="00D15DF1" w:rsidP="005534E0">
      <w:pPr>
        <w:pStyle w:val="ListParagraph"/>
      </w:pPr>
    </w:p>
    <w:p w14:paraId="2A535847" w14:textId="5A6E6213" w:rsidR="00D15DF1" w:rsidRDefault="00D15DF1" w:rsidP="005534E0">
      <w:pPr>
        <w:pStyle w:val="ListParagraph"/>
      </w:pPr>
    </w:p>
    <w:p w14:paraId="1D65F00F" w14:textId="77777777" w:rsidR="000A3169" w:rsidRDefault="000A3169" w:rsidP="000A3169">
      <w:pPr>
        <w:rPr>
          <w:b/>
          <w:bCs/>
          <w:sz w:val="32"/>
          <w:szCs w:val="32"/>
        </w:rPr>
      </w:pPr>
    </w:p>
    <w:p w14:paraId="0A3A60C1" w14:textId="77777777" w:rsidR="0033650D" w:rsidRDefault="0033650D" w:rsidP="000A3169">
      <w:pPr>
        <w:rPr>
          <w:b/>
          <w:bCs/>
          <w:sz w:val="32"/>
          <w:szCs w:val="32"/>
        </w:rPr>
      </w:pPr>
    </w:p>
    <w:p w14:paraId="3F8A34CD" w14:textId="7C9E807C" w:rsidR="0002528A" w:rsidRPr="0033650D" w:rsidRDefault="0002528A" w:rsidP="000A3169">
      <w:pPr>
        <w:rPr>
          <w:b/>
          <w:bCs/>
          <w:sz w:val="32"/>
          <w:szCs w:val="32"/>
          <w:u w:val="single"/>
        </w:rPr>
      </w:pPr>
      <w:r w:rsidRPr="0033650D">
        <w:rPr>
          <w:b/>
          <w:bCs/>
          <w:sz w:val="32"/>
          <w:szCs w:val="32"/>
          <w:u w:val="single"/>
        </w:rPr>
        <w:lastRenderedPageBreak/>
        <w:t>References</w:t>
      </w:r>
    </w:p>
    <w:p w14:paraId="34188527" w14:textId="77777777" w:rsidR="0002528A" w:rsidRDefault="0002528A" w:rsidP="00D15DF1">
      <w:pPr>
        <w:rPr>
          <w:rFonts w:ascii="Times New Roman" w:eastAsia="Times New Roman" w:hAnsi="Times New Roman" w:cs="Times New Roman"/>
          <w:lang w:eastAsia="en-GB"/>
        </w:rPr>
      </w:pPr>
    </w:p>
    <w:p w14:paraId="4CDCDACF" w14:textId="77777777" w:rsidR="0002528A" w:rsidRPr="0060614F" w:rsidRDefault="0002528A" w:rsidP="0060614F">
      <w:pPr>
        <w:rPr>
          <w:rFonts w:ascii="Times New Roman" w:eastAsia="Times New Roman" w:hAnsi="Times New Roman" w:cs="Times New Roman"/>
          <w:lang w:eastAsia="en-GB"/>
        </w:rPr>
      </w:pPr>
      <w:r w:rsidRPr="0060614F">
        <w:rPr>
          <w:rFonts w:ascii="Arial" w:eastAsia="Times New Roman" w:hAnsi="Arial" w:cs="Arial"/>
          <w:color w:val="000000"/>
          <w:sz w:val="20"/>
          <w:szCs w:val="20"/>
          <w:shd w:val="clear" w:color="auto" w:fill="FFFFFF"/>
          <w:lang w:eastAsia="en-GB"/>
        </w:rPr>
        <w:t>2020. </w:t>
      </w:r>
      <w:r w:rsidRPr="0060614F">
        <w:rPr>
          <w:rFonts w:ascii="Arial" w:eastAsia="Times New Roman" w:hAnsi="Arial" w:cs="Arial"/>
          <w:i/>
          <w:iCs/>
          <w:color w:val="000000"/>
          <w:sz w:val="20"/>
          <w:szCs w:val="20"/>
          <w:lang w:eastAsia="en-GB"/>
        </w:rPr>
        <w:t>How CAM Is Regulated</w:t>
      </w:r>
      <w:r w:rsidRPr="0060614F">
        <w:rPr>
          <w:rFonts w:ascii="Arial" w:eastAsia="Times New Roman" w:hAnsi="Arial" w:cs="Arial"/>
          <w:color w:val="000000"/>
          <w:sz w:val="20"/>
          <w:szCs w:val="20"/>
          <w:shd w:val="clear" w:color="auto" w:fill="FFFFFF"/>
          <w:lang w:eastAsia="en-GB"/>
        </w:rPr>
        <w:t>. [online] Available at: &lt;https://www.ibdrelief.com/learn/treatment/complementary-therapies/how-cam-is-regulated&gt; [Accessed 9 July 2020].</w:t>
      </w:r>
    </w:p>
    <w:p w14:paraId="384EEFA1" w14:textId="77777777" w:rsidR="0002528A" w:rsidRDefault="0002528A" w:rsidP="00D15DF1">
      <w:pPr>
        <w:rPr>
          <w:rFonts w:ascii="Arial" w:eastAsia="Times New Roman" w:hAnsi="Arial" w:cs="Arial"/>
          <w:color w:val="000000"/>
          <w:sz w:val="20"/>
          <w:szCs w:val="20"/>
          <w:shd w:val="clear" w:color="auto" w:fill="FFFFFF"/>
          <w:lang w:eastAsia="en-GB"/>
        </w:rPr>
      </w:pPr>
    </w:p>
    <w:p w14:paraId="4FC3105D" w14:textId="5913C7D8" w:rsidR="0002528A" w:rsidRPr="00D15DF1" w:rsidRDefault="0002528A" w:rsidP="00D15DF1">
      <w:pPr>
        <w:rPr>
          <w:rFonts w:ascii="Times New Roman" w:eastAsia="Times New Roman" w:hAnsi="Times New Roman" w:cs="Times New Roman"/>
          <w:lang w:eastAsia="en-GB"/>
        </w:rPr>
      </w:pPr>
      <w:r w:rsidRPr="00D15DF1">
        <w:rPr>
          <w:rFonts w:ascii="Arial" w:eastAsia="Times New Roman" w:hAnsi="Arial" w:cs="Arial"/>
          <w:color w:val="000000"/>
          <w:sz w:val="20"/>
          <w:szCs w:val="20"/>
          <w:shd w:val="clear" w:color="auto" w:fill="FFFFFF"/>
          <w:lang w:eastAsia="en-GB"/>
        </w:rPr>
        <w:t xml:space="preserve">Davis, M., 2018. Government regulations: do they help </w:t>
      </w:r>
      <w:r w:rsidRPr="00D15DF1">
        <w:rPr>
          <w:rFonts w:ascii="Arial" w:eastAsia="Times New Roman" w:hAnsi="Arial" w:cs="Arial"/>
          <w:color w:val="000000"/>
          <w:sz w:val="20"/>
          <w:szCs w:val="20"/>
          <w:shd w:val="clear" w:color="auto" w:fill="FFFFFF"/>
          <w:lang w:eastAsia="en-GB"/>
        </w:rPr>
        <w:t>businesses?</w:t>
      </w:r>
      <w:r w:rsidRPr="00D15DF1">
        <w:rPr>
          <w:rFonts w:ascii="Arial" w:eastAsia="Times New Roman" w:hAnsi="Arial" w:cs="Arial"/>
          <w:color w:val="000000"/>
          <w:sz w:val="20"/>
          <w:szCs w:val="20"/>
          <w:shd w:val="clear" w:color="auto" w:fill="FFFFFF"/>
          <w:lang w:eastAsia="en-GB"/>
        </w:rPr>
        <w:t> </w:t>
      </w:r>
      <w:proofErr w:type="spellStart"/>
      <w:r w:rsidRPr="00D15DF1">
        <w:rPr>
          <w:rFonts w:ascii="Arial" w:eastAsia="Times New Roman" w:hAnsi="Arial" w:cs="Arial"/>
          <w:i/>
          <w:iCs/>
          <w:color w:val="000000"/>
          <w:sz w:val="20"/>
          <w:szCs w:val="20"/>
          <w:lang w:eastAsia="en-GB"/>
        </w:rPr>
        <w:t>investopedia</w:t>
      </w:r>
      <w:proofErr w:type="spellEnd"/>
      <w:r w:rsidRPr="00D15DF1">
        <w:rPr>
          <w:rFonts w:ascii="Arial" w:eastAsia="Times New Roman" w:hAnsi="Arial" w:cs="Arial"/>
          <w:color w:val="000000"/>
          <w:sz w:val="20"/>
          <w:szCs w:val="20"/>
          <w:shd w:val="clear" w:color="auto" w:fill="FFFFFF"/>
          <w:lang w:eastAsia="en-GB"/>
        </w:rPr>
        <w:t>, [online] Available at: &lt;https://www.investopedia.com/articles/economics/11/government-regulations.asp&gt; [Accessed 9 July 2020].</w:t>
      </w:r>
    </w:p>
    <w:p w14:paraId="4341937B" w14:textId="77777777" w:rsidR="0002528A" w:rsidRDefault="0002528A" w:rsidP="001320F5">
      <w:pPr>
        <w:rPr>
          <w:rFonts w:ascii="Arial" w:eastAsia="Times New Roman" w:hAnsi="Arial" w:cs="Arial"/>
          <w:b/>
          <w:bCs/>
          <w:color w:val="666666"/>
          <w:sz w:val="20"/>
          <w:szCs w:val="20"/>
          <w:lang w:eastAsia="en-GB"/>
        </w:rPr>
      </w:pPr>
      <w:r w:rsidRPr="001320F5">
        <w:rPr>
          <w:rFonts w:ascii="Arial" w:eastAsia="Times New Roman" w:hAnsi="Arial" w:cs="Arial"/>
          <w:b/>
          <w:bCs/>
          <w:color w:val="666666"/>
          <w:sz w:val="20"/>
          <w:szCs w:val="20"/>
          <w:lang w:eastAsia="en-GB"/>
        </w:rPr>
        <w:t> </w:t>
      </w:r>
    </w:p>
    <w:p w14:paraId="09579F79" w14:textId="474BD545" w:rsidR="0002528A" w:rsidRPr="001320F5" w:rsidRDefault="0002528A" w:rsidP="001320F5">
      <w:pPr>
        <w:rPr>
          <w:rFonts w:ascii="Times New Roman" w:eastAsia="Times New Roman" w:hAnsi="Times New Roman" w:cs="Times New Roman"/>
          <w:lang w:eastAsia="en-GB"/>
        </w:rPr>
      </w:pPr>
      <w:r w:rsidRPr="001320F5">
        <w:rPr>
          <w:rFonts w:ascii="Arial" w:eastAsia="Times New Roman" w:hAnsi="Arial" w:cs="Arial"/>
          <w:color w:val="000000"/>
          <w:sz w:val="20"/>
          <w:szCs w:val="20"/>
          <w:lang w:eastAsia="en-GB"/>
        </w:rPr>
        <w:t>Ernst, E., 2000. The role of complementary and alternative medicine. </w:t>
      </w:r>
      <w:r w:rsidRPr="001320F5">
        <w:rPr>
          <w:rFonts w:ascii="Arial" w:eastAsia="Times New Roman" w:hAnsi="Arial" w:cs="Arial"/>
          <w:i/>
          <w:iCs/>
          <w:color w:val="000000"/>
          <w:sz w:val="20"/>
          <w:szCs w:val="20"/>
          <w:lang w:eastAsia="en-GB"/>
        </w:rPr>
        <w:t>Complementary medicine</w:t>
      </w:r>
      <w:r w:rsidRPr="001320F5">
        <w:rPr>
          <w:rFonts w:ascii="Arial" w:eastAsia="Times New Roman" w:hAnsi="Arial" w:cs="Arial"/>
          <w:color w:val="000000"/>
          <w:sz w:val="20"/>
          <w:szCs w:val="20"/>
          <w:lang w:eastAsia="en-GB"/>
        </w:rPr>
        <w:t>, [online] pp.1-5. Available at: &lt;https://www.ncbi.nlm.nih.gov/pmc/articles/PMC1118903/#__ffn_sectitle&gt; [Accessed 9 July 2020].</w:t>
      </w:r>
    </w:p>
    <w:p w14:paraId="7CE713BB" w14:textId="77777777" w:rsidR="0002528A" w:rsidRDefault="0002528A" w:rsidP="00D622CF">
      <w:pPr>
        <w:rPr>
          <w:rFonts w:ascii="Arial" w:eastAsia="Times New Roman" w:hAnsi="Arial" w:cs="Arial"/>
          <w:color w:val="000000"/>
          <w:sz w:val="20"/>
          <w:szCs w:val="20"/>
          <w:shd w:val="clear" w:color="auto" w:fill="FFFFFF"/>
          <w:lang w:eastAsia="en-GB"/>
        </w:rPr>
      </w:pPr>
    </w:p>
    <w:p w14:paraId="018D96B7" w14:textId="45C3A03D" w:rsidR="0002528A" w:rsidRPr="00D622CF" w:rsidRDefault="0002528A" w:rsidP="00D622CF">
      <w:pPr>
        <w:rPr>
          <w:rFonts w:ascii="Times New Roman" w:eastAsia="Times New Roman" w:hAnsi="Times New Roman" w:cs="Times New Roman"/>
          <w:lang w:eastAsia="en-GB"/>
        </w:rPr>
      </w:pPr>
      <w:r w:rsidRPr="00D622CF">
        <w:rPr>
          <w:rFonts w:ascii="Arial" w:eastAsia="Times New Roman" w:hAnsi="Arial" w:cs="Arial"/>
          <w:color w:val="000000"/>
          <w:sz w:val="20"/>
          <w:szCs w:val="20"/>
          <w:shd w:val="clear" w:color="auto" w:fill="FFFFFF"/>
          <w:lang w:eastAsia="en-GB"/>
        </w:rPr>
        <w:t>Gall, G., 2013. Statutory regulation and employment relations. </w:t>
      </w:r>
      <w:r w:rsidRPr="00D622CF">
        <w:rPr>
          <w:rFonts w:ascii="Arial" w:eastAsia="Times New Roman" w:hAnsi="Arial" w:cs="Arial"/>
          <w:i/>
          <w:iCs/>
          <w:color w:val="000000"/>
          <w:sz w:val="20"/>
          <w:szCs w:val="20"/>
          <w:lang w:eastAsia="en-GB"/>
        </w:rPr>
        <w:t>industrial law journal</w:t>
      </w:r>
      <w:r w:rsidRPr="00D622CF">
        <w:rPr>
          <w:rFonts w:ascii="Arial" w:eastAsia="Times New Roman" w:hAnsi="Arial" w:cs="Arial"/>
          <w:color w:val="000000"/>
          <w:sz w:val="20"/>
          <w:szCs w:val="20"/>
          <w:shd w:val="clear" w:color="auto" w:fill="FFFFFF"/>
          <w:lang w:eastAsia="en-GB"/>
        </w:rPr>
        <w:t>, [online] 43(2), pp.218-220. Available at: &lt;https://academic.oup.com/ilj/article-abstract/43/2/218/2724341&gt; [Accessed 8 July 2020].</w:t>
      </w:r>
    </w:p>
    <w:p w14:paraId="66C26FED" w14:textId="77777777" w:rsidR="0002528A" w:rsidRDefault="0002528A" w:rsidP="00D15DF1">
      <w:pPr>
        <w:rPr>
          <w:rFonts w:ascii="Arial" w:eastAsia="Times New Roman" w:hAnsi="Arial" w:cs="Arial"/>
          <w:color w:val="000000"/>
          <w:sz w:val="20"/>
          <w:szCs w:val="20"/>
          <w:shd w:val="clear" w:color="auto" w:fill="FFFFFF"/>
          <w:lang w:eastAsia="en-GB"/>
        </w:rPr>
      </w:pPr>
    </w:p>
    <w:p w14:paraId="2FDB8EF9" w14:textId="71B66214" w:rsidR="0002528A" w:rsidRDefault="0002528A" w:rsidP="00D15DF1">
      <w:pPr>
        <w:rPr>
          <w:rFonts w:ascii="Arial" w:eastAsia="Times New Roman" w:hAnsi="Arial" w:cs="Arial"/>
          <w:color w:val="000000"/>
          <w:sz w:val="20"/>
          <w:szCs w:val="20"/>
          <w:shd w:val="clear" w:color="auto" w:fill="FFFFFF"/>
          <w:lang w:eastAsia="en-GB"/>
        </w:rPr>
      </w:pPr>
      <w:proofErr w:type="spellStart"/>
      <w:r w:rsidRPr="00D15DF1">
        <w:rPr>
          <w:rFonts w:ascii="Arial" w:eastAsia="Times New Roman" w:hAnsi="Arial" w:cs="Arial"/>
          <w:color w:val="000000"/>
          <w:sz w:val="20"/>
          <w:szCs w:val="20"/>
          <w:shd w:val="clear" w:color="auto" w:fill="FFFFFF"/>
          <w:lang w:eastAsia="en-GB"/>
        </w:rPr>
        <w:t>Gasior</w:t>
      </w:r>
      <w:proofErr w:type="spellEnd"/>
      <w:r w:rsidRPr="00D15DF1">
        <w:rPr>
          <w:rFonts w:ascii="Arial" w:eastAsia="Times New Roman" w:hAnsi="Arial" w:cs="Arial"/>
          <w:color w:val="000000"/>
          <w:sz w:val="20"/>
          <w:szCs w:val="20"/>
          <w:shd w:val="clear" w:color="auto" w:fill="FFFFFF"/>
          <w:lang w:eastAsia="en-GB"/>
        </w:rPr>
        <w:t xml:space="preserve">, M., 2020. what is regulatory compliance and why is it </w:t>
      </w:r>
      <w:r w:rsidRPr="00D15DF1">
        <w:rPr>
          <w:rFonts w:ascii="Arial" w:eastAsia="Times New Roman" w:hAnsi="Arial" w:cs="Arial"/>
          <w:color w:val="000000"/>
          <w:sz w:val="20"/>
          <w:szCs w:val="20"/>
          <w:shd w:val="clear" w:color="auto" w:fill="FFFFFF"/>
          <w:lang w:eastAsia="en-GB"/>
        </w:rPr>
        <w:t>important?</w:t>
      </w:r>
      <w:r w:rsidRPr="00D15DF1">
        <w:rPr>
          <w:rFonts w:ascii="Arial" w:eastAsia="Times New Roman" w:hAnsi="Arial" w:cs="Arial"/>
          <w:color w:val="000000"/>
          <w:sz w:val="20"/>
          <w:szCs w:val="20"/>
          <w:shd w:val="clear" w:color="auto" w:fill="FFFFFF"/>
          <w:lang w:eastAsia="en-GB"/>
        </w:rPr>
        <w:t> </w:t>
      </w:r>
      <w:proofErr w:type="spellStart"/>
      <w:r w:rsidRPr="00D15DF1">
        <w:rPr>
          <w:rFonts w:ascii="Arial" w:eastAsia="Times New Roman" w:hAnsi="Arial" w:cs="Arial"/>
          <w:i/>
          <w:iCs/>
          <w:color w:val="000000"/>
          <w:sz w:val="20"/>
          <w:szCs w:val="20"/>
          <w:lang w:eastAsia="en-GB"/>
        </w:rPr>
        <w:t>powerdms</w:t>
      </w:r>
      <w:proofErr w:type="spellEnd"/>
      <w:r w:rsidRPr="00D15DF1">
        <w:rPr>
          <w:rFonts w:ascii="Arial" w:eastAsia="Times New Roman" w:hAnsi="Arial" w:cs="Arial"/>
          <w:color w:val="000000"/>
          <w:sz w:val="20"/>
          <w:szCs w:val="20"/>
          <w:shd w:val="clear" w:color="auto" w:fill="FFFFFF"/>
          <w:lang w:eastAsia="en-GB"/>
        </w:rPr>
        <w:t>, [online] Available at: &lt;https://www.powerdms.com/blog/regulatory-compliance-important/&gt; [Accessed 9 July 2020].</w:t>
      </w:r>
    </w:p>
    <w:p w14:paraId="3848F509" w14:textId="77777777" w:rsidR="0002528A" w:rsidRDefault="0002528A" w:rsidP="009374A7">
      <w:pPr>
        <w:rPr>
          <w:rFonts w:ascii="Arial" w:eastAsia="Times New Roman" w:hAnsi="Arial" w:cs="Arial"/>
          <w:color w:val="000000"/>
          <w:sz w:val="20"/>
          <w:szCs w:val="20"/>
          <w:shd w:val="clear" w:color="auto" w:fill="FFFFFF"/>
          <w:lang w:eastAsia="en-GB"/>
        </w:rPr>
      </w:pPr>
    </w:p>
    <w:p w14:paraId="1508AB8C" w14:textId="5C2D08B3" w:rsidR="0002528A" w:rsidRPr="009374A7" w:rsidRDefault="0002528A" w:rsidP="009374A7">
      <w:pPr>
        <w:rPr>
          <w:rFonts w:ascii="Times New Roman" w:eastAsia="Times New Roman" w:hAnsi="Times New Roman" w:cs="Times New Roman"/>
          <w:lang w:eastAsia="en-GB"/>
        </w:rPr>
      </w:pPr>
      <w:r w:rsidRPr="009374A7">
        <w:rPr>
          <w:rFonts w:ascii="Arial" w:eastAsia="Times New Roman" w:hAnsi="Arial" w:cs="Arial"/>
          <w:color w:val="000000"/>
          <w:sz w:val="20"/>
          <w:szCs w:val="20"/>
          <w:shd w:val="clear" w:color="auto" w:fill="FFFFFF"/>
          <w:lang w:eastAsia="en-GB"/>
        </w:rPr>
        <w:t xml:space="preserve">Groot, J., 2019. What is the general data protection </w:t>
      </w:r>
      <w:r w:rsidRPr="009374A7">
        <w:rPr>
          <w:rFonts w:ascii="Arial" w:eastAsia="Times New Roman" w:hAnsi="Arial" w:cs="Arial"/>
          <w:color w:val="000000"/>
          <w:sz w:val="20"/>
          <w:szCs w:val="20"/>
          <w:shd w:val="clear" w:color="auto" w:fill="FFFFFF"/>
          <w:lang w:eastAsia="en-GB"/>
        </w:rPr>
        <w:t>regulation?</w:t>
      </w:r>
      <w:r w:rsidRPr="009374A7">
        <w:rPr>
          <w:rFonts w:ascii="Arial" w:eastAsia="Times New Roman" w:hAnsi="Arial" w:cs="Arial"/>
          <w:color w:val="000000"/>
          <w:sz w:val="20"/>
          <w:szCs w:val="20"/>
          <w:shd w:val="clear" w:color="auto" w:fill="FFFFFF"/>
          <w:lang w:eastAsia="en-GB"/>
        </w:rPr>
        <w:t> </w:t>
      </w:r>
      <w:proofErr w:type="spellStart"/>
      <w:r w:rsidRPr="009374A7">
        <w:rPr>
          <w:rFonts w:ascii="Arial" w:eastAsia="Times New Roman" w:hAnsi="Arial" w:cs="Arial"/>
          <w:i/>
          <w:iCs/>
          <w:color w:val="000000"/>
          <w:sz w:val="20"/>
          <w:szCs w:val="20"/>
          <w:lang w:eastAsia="en-GB"/>
        </w:rPr>
        <w:t>Digitalgurdian</w:t>
      </w:r>
      <w:proofErr w:type="spellEnd"/>
      <w:r w:rsidRPr="009374A7">
        <w:rPr>
          <w:rFonts w:ascii="Arial" w:eastAsia="Times New Roman" w:hAnsi="Arial" w:cs="Arial"/>
          <w:color w:val="000000"/>
          <w:sz w:val="20"/>
          <w:szCs w:val="20"/>
          <w:shd w:val="clear" w:color="auto" w:fill="FFFFFF"/>
          <w:lang w:eastAsia="en-GB"/>
        </w:rPr>
        <w:t>, [online] Available at: &lt;https://digitalguardian.com/blog/what-gdpr-general-data-protection-regulation-understanding-and-complying-gdpr-data-protection&gt; [Accessed 9 July 2020].</w:t>
      </w:r>
    </w:p>
    <w:p w14:paraId="654AF874" w14:textId="77777777" w:rsidR="0002528A" w:rsidRDefault="0002528A" w:rsidP="0060614F">
      <w:pPr>
        <w:rPr>
          <w:rFonts w:ascii="Arial" w:eastAsia="Times New Roman" w:hAnsi="Arial" w:cs="Arial"/>
          <w:color w:val="000000"/>
          <w:sz w:val="20"/>
          <w:szCs w:val="20"/>
          <w:shd w:val="clear" w:color="auto" w:fill="FFFFFF"/>
          <w:lang w:eastAsia="en-GB"/>
        </w:rPr>
      </w:pPr>
    </w:p>
    <w:p w14:paraId="08A9C49C" w14:textId="00DC85CE" w:rsidR="0002528A" w:rsidRPr="0060614F" w:rsidRDefault="0002528A" w:rsidP="0060614F">
      <w:pPr>
        <w:rPr>
          <w:rFonts w:ascii="Times New Roman" w:eastAsia="Times New Roman" w:hAnsi="Times New Roman" w:cs="Times New Roman"/>
          <w:lang w:eastAsia="en-GB"/>
        </w:rPr>
      </w:pPr>
      <w:r w:rsidRPr="0060614F">
        <w:rPr>
          <w:rFonts w:ascii="Arial" w:eastAsia="Times New Roman" w:hAnsi="Arial" w:cs="Arial"/>
          <w:color w:val="000000"/>
          <w:sz w:val="20"/>
          <w:szCs w:val="20"/>
          <w:shd w:val="clear" w:color="auto" w:fill="FFFFFF"/>
          <w:lang w:eastAsia="en-GB"/>
        </w:rPr>
        <w:t>Health and safety executive.gov. 2020. </w:t>
      </w:r>
      <w:r w:rsidRPr="0060614F">
        <w:rPr>
          <w:rFonts w:ascii="Arial" w:eastAsia="Times New Roman" w:hAnsi="Arial" w:cs="Arial"/>
          <w:i/>
          <w:iCs/>
          <w:color w:val="000000"/>
          <w:sz w:val="20"/>
          <w:szCs w:val="20"/>
          <w:lang w:eastAsia="en-GB"/>
        </w:rPr>
        <w:t xml:space="preserve">Statutory Instruments (Regulations) Owned </w:t>
      </w:r>
      <w:r w:rsidRPr="0060614F">
        <w:rPr>
          <w:rFonts w:ascii="Arial" w:eastAsia="Times New Roman" w:hAnsi="Arial" w:cs="Arial"/>
          <w:i/>
          <w:iCs/>
          <w:color w:val="000000"/>
          <w:sz w:val="20"/>
          <w:szCs w:val="20"/>
          <w:lang w:eastAsia="en-GB"/>
        </w:rPr>
        <w:t>and</w:t>
      </w:r>
      <w:r w:rsidRPr="0060614F">
        <w:rPr>
          <w:rFonts w:ascii="Arial" w:eastAsia="Times New Roman" w:hAnsi="Arial" w:cs="Arial"/>
          <w:i/>
          <w:iCs/>
          <w:color w:val="000000"/>
          <w:sz w:val="20"/>
          <w:szCs w:val="20"/>
          <w:lang w:eastAsia="en-GB"/>
        </w:rPr>
        <w:t xml:space="preserve"> Enforced By HSE/Local Authorities</w:t>
      </w:r>
      <w:r w:rsidRPr="0060614F">
        <w:rPr>
          <w:rFonts w:ascii="Arial" w:eastAsia="Times New Roman" w:hAnsi="Arial" w:cs="Arial"/>
          <w:color w:val="000000"/>
          <w:sz w:val="20"/>
          <w:szCs w:val="20"/>
          <w:shd w:val="clear" w:color="auto" w:fill="FFFFFF"/>
          <w:lang w:eastAsia="en-GB"/>
        </w:rPr>
        <w:t>. [online] Available at: &lt;https://www.hse.gov.uk/legislation/statinstruments.htm&gt; [Accessed 9 July 2020].</w:t>
      </w:r>
    </w:p>
    <w:p w14:paraId="5C126846" w14:textId="77777777" w:rsidR="0002528A" w:rsidRDefault="0002528A" w:rsidP="00D25DD6">
      <w:pPr>
        <w:rPr>
          <w:rFonts w:ascii="Arial" w:eastAsia="Times New Roman" w:hAnsi="Arial" w:cs="Arial"/>
          <w:color w:val="000000"/>
          <w:sz w:val="20"/>
          <w:szCs w:val="20"/>
          <w:shd w:val="clear" w:color="auto" w:fill="FFFFFF"/>
          <w:lang w:eastAsia="en-GB"/>
        </w:rPr>
      </w:pPr>
    </w:p>
    <w:p w14:paraId="66CADCCA" w14:textId="362569E7" w:rsidR="0002528A" w:rsidRDefault="0002528A" w:rsidP="00D25DD6">
      <w:pPr>
        <w:rPr>
          <w:rFonts w:ascii="Arial" w:eastAsia="Times New Roman" w:hAnsi="Arial" w:cs="Arial"/>
          <w:color w:val="000000"/>
          <w:sz w:val="20"/>
          <w:szCs w:val="20"/>
          <w:shd w:val="clear" w:color="auto" w:fill="FFFFFF"/>
          <w:lang w:eastAsia="en-GB"/>
        </w:rPr>
      </w:pPr>
      <w:r w:rsidRPr="00D25DD6">
        <w:rPr>
          <w:rFonts w:ascii="Arial" w:eastAsia="Times New Roman" w:hAnsi="Arial" w:cs="Arial"/>
          <w:color w:val="000000"/>
          <w:sz w:val="20"/>
          <w:szCs w:val="20"/>
          <w:shd w:val="clear" w:color="auto" w:fill="FFFFFF"/>
          <w:lang w:eastAsia="en-GB"/>
        </w:rPr>
        <w:t xml:space="preserve">information </w:t>
      </w:r>
      <w:r w:rsidRPr="00D25DD6">
        <w:rPr>
          <w:rFonts w:ascii="Arial" w:eastAsia="Times New Roman" w:hAnsi="Arial" w:cs="Arial"/>
          <w:color w:val="000000"/>
          <w:sz w:val="20"/>
          <w:szCs w:val="20"/>
          <w:shd w:val="clear" w:color="auto" w:fill="FFFFFF"/>
          <w:lang w:eastAsia="en-GB"/>
        </w:rPr>
        <w:t>commissioner’s</w:t>
      </w:r>
      <w:r w:rsidRPr="00D25DD6">
        <w:rPr>
          <w:rFonts w:ascii="Arial" w:eastAsia="Times New Roman" w:hAnsi="Arial" w:cs="Arial"/>
          <w:color w:val="000000"/>
          <w:sz w:val="20"/>
          <w:szCs w:val="20"/>
          <w:shd w:val="clear" w:color="auto" w:fill="FFFFFF"/>
          <w:lang w:eastAsia="en-GB"/>
        </w:rPr>
        <w:t xml:space="preserve"> office. 2020. </w:t>
      </w:r>
      <w:r w:rsidRPr="00D25DD6">
        <w:rPr>
          <w:rFonts w:ascii="Arial" w:eastAsia="Times New Roman" w:hAnsi="Arial" w:cs="Arial"/>
          <w:i/>
          <w:iCs/>
          <w:color w:val="000000"/>
          <w:sz w:val="20"/>
          <w:szCs w:val="20"/>
          <w:lang w:eastAsia="en-GB"/>
        </w:rPr>
        <w:t xml:space="preserve">Guide </w:t>
      </w:r>
      <w:r w:rsidRPr="00D25DD6">
        <w:rPr>
          <w:rFonts w:ascii="Arial" w:eastAsia="Times New Roman" w:hAnsi="Arial" w:cs="Arial"/>
          <w:i/>
          <w:iCs/>
          <w:color w:val="000000"/>
          <w:sz w:val="20"/>
          <w:szCs w:val="20"/>
          <w:lang w:eastAsia="en-GB"/>
        </w:rPr>
        <w:t>to</w:t>
      </w:r>
      <w:r w:rsidRPr="00D25DD6">
        <w:rPr>
          <w:rFonts w:ascii="Arial" w:eastAsia="Times New Roman" w:hAnsi="Arial" w:cs="Arial"/>
          <w:i/>
          <w:iCs/>
          <w:color w:val="000000"/>
          <w:sz w:val="20"/>
          <w:szCs w:val="20"/>
          <w:lang w:eastAsia="en-GB"/>
        </w:rPr>
        <w:t xml:space="preserve"> The General Data Protection Regulation</w:t>
      </w:r>
      <w:r w:rsidRPr="00D25DD6">
        <w:rPr>
          <w:rFonts w:ascii="Arial" w:eastAsia="Times New Roman" w:hAnsi="Arial" w:cs="Arial"/>
          <w:color w:val="000000"/>
          <w:sz w:val="20"/>
          <w:szCs w:val="20"/>
          <w:shd w:val="clear" w:color="auto" w:fill="FFFFFF"/>
          <w:lang w:eastAsia="en-GB"/>
        </w:rPr>
        <w:t>. [online] Available at: &lt;https://ico.org.uk/for-organisations/guide-to-data-protection/guide-to-the-general-data-</w:t>
      </w:r>
    </w:p>
    <w:p w14:paraId="73E84CFA" w14:textId="49373A78" w:rsidR="0002528A" w:rsidRPr="00D25DD6" w:rsidRDefault="0002528A" w:rsidP="00D25DD6">
      <w:pPr>
        <w:rPr>
          <w:rFonts w:ascii="Times New Roman" w:eastAsia="Times New Roman" w:hAnsi="Times New Roman" w:cs="Times New Roman"/>
          <w:lang w:eastAsia="en-GB"/>
        </w:rPr>
      </w:pPr>
      <w:r w:rsidRPr="00D25DD6">
        <w:rPr>
          <w:rFonts w:ascii="Arial" w:eastAsia="Times New Roman" w:hAnsi="Arial" w:cs="Arial"/>
          <w:color w:val="000000"/>
          <w:sz w:val="20"/>
          <w:szCs w:val="20"/>
          <w:shd w:val="clear" w:color="auto" w:fill="FFFFFF"/>
          <w:lang w:eastAsia="en-GB"/>
        </w:rPr>
        <w:t>protection-regulation-</w:t>
      </w:r>
      <w:proofErr w:type="spellStart"/>
      <w:r w:rsidRPr="00D25DD6">
        <w:rPr>
          <w:rFonts w:ascii="Arial" w:eastAsia="Times New Roman" w:hAnsi="Arial" w:cs="Arial"/>
          <w:color w:val="000000"/>
          <w:sz w:val="20"/>
          <w:szCs w:val="20"/>
          <w:shd w:val="clear" w:color="auto" w:fill="FFFFFF"/>
          <w:lang w:eastAsia="en-GB"/>
        </w:rPr>
        <w:t>gdpr</w:t>
      </w:r>
      <w:proofErr w:type="spellEnd"/>
      <w:r w:rsidRPr="00D25DD6">
        <w:rPr>
          <w:rFonts w:ascii="Arial" w:eastAsia="Times New Roman" w:hAnsi="Arial" w:cs="Arial"/>
          <w:color w:val="000000"/>
          <w:sz w:val="20"/>
          <w:szCs w:val="20"/>
          <w:shd w:val="clear" w:color="auto" w:fill="FFFFFF"/>
          <w:lang w:eastAsia="en-GB"/>
        </w:rPr>
        <w:t>/&gt; [Accessed 7 July 2020].</w:t>
      </w:r>
    </w:p>
    <w:p w14:paraId="03C3798E" w14:textId="77777777" w:rsidR="0002528A" w:rsidRDefault="0002528A" w:rsidP="0060614F">
      <w:pPr>
        <w:rPr>
          <w:rFonts w:ascii="Arial" w:eastAsia="Times New Roman" w:hAnsi="Arial" w:cs="Arial"/>
          <w:color w:val="000000"/>
          <w:sz w:val="20"/>
          <w:szCs w:val="20"/>
          <w:shd w:val="clear" w:color="auto" w:fill="FFFFFF"/>
          <w:lang w:eastAsia="en-GB"/>
        </w:rPr>
      </w:pPr>
    </w:p>
    <w:p w14:paraId="31DE1323" w14:textId="0F85315D" w:rsidR="0002528A" w:rsidRPr="0060614F" w:rsidRDefault="0002528A" w:rsidP="0060614F">
      <w:pPr>
        <w:rPr>
          <w:rFonts w:ascii="Times New Roman" w:eastAsia="Times New Roman" w:hAnsi="Times New Roman" w:cs="Times New Roman"/>
          <w:lang w:eastAsia="en-GB"/>
        </w:rPr>
      </w:pPr>
      <w:r w:rsidRPr="0060614F">
        <w:rPr>
          <w:rFonts w:ascii="Arial" w:eastAsia="Times New Roman" w:hAnsi="Arial" w:cs="Arial"/>
          <w:color w:val="000000"/>
          <w:sz w:val="20"/>
          <w:szCs w:val="20"/>
          <w:shd w:val="clear" w:color="auto" w:fill="FFFFFF"/>
          <w:lang w:eastAsia="en-GB"/>
        </w:rPr>
        <w:t>Legislation.gov.uk. 2020. </w:t>
      </w:r>
      <w:r w:rsidRPr="0060614F">
        <w:rPr>
          <w:rFonts w:ascii="Arial" w:eastAsia="Times New Roman" w:hAnsi="Arial" w:cs="Arial"/>
          <w:i/>
          <w:iCs/>
          <w:color w:val="000000"/>
          <w:sz w:val="20"/>
          <w:szCs w:val="20"/>
          <w:lang w:eastAsia="en-GB"/>
        </w:rPr>
        <w:t>Legislation API</w:t>
      </w:r>
      <w:r w:rsidRPr="0060614F">
        <w:rPr>
          <w:rFonts w:ascii="Arial" w:eastAsia="Times New Roman" w:hAnsi="Arial" w:cs="Arial"/>
          <w:color w:val="000000"/>
          <w:sz w:val="20"/>
          <w:szCs w:val="20"/>
          <w:shd w:val="clear" w:color="auto" w:fill="FFFFFF"/>
          <w:lang w:eastAsia="en-GB"/>
        </w:rPr>
        <w:t>. [online] Available at: &lt;http://www.legislation.gov.uk/index&gt; [Accessed 9 July 2020].</w:t>
      </w:r>
    </w:p>
    <w:p w14:paraId="0F4172ED" w14:textId="77777777" w:rsidR="0002528A" w:rsidRDefault="0002528A" w:rsidP="0060614F">
      <w:pPr>
        <w:rPr>
          <w:rFonts w:ascii="Arial" w:eastAsia="Times New Roman" w:hAnsi="Arial" w:cs="Arial"/>
          <w:color w:val="000000"/>
          <w:sz w:val="20"/>
          <w:szCs w:val="20"/>
          <w:shd w:val="clear" w:color="auto" w:fill="FFFFFF"/>
          <w:lang w:eastAsia="en-GB"/>
        </w:rPr>
      </w:pPr>
    </w:p>
    <w:p w14:paraId="2F90EEC5" w14:textId="7D1AFBF9" w:rsidR="0002528A" w:rsidRPr="0060614F" w:rsidRDefault="0002528A" w:rsidP="0060614F">
      <w:pPr>
        <w:rPr>
          <w:rFonts w:ascii="Times New Roman" w:eastAsia="Times New Roman" w:hAnsi="Times New Roman" w:cs="Times New Roman"/>
          <w:lang w:eastAsia="en-GB"/>
        </w:rPr>
      </w:pPr>
      <w:r w:rsidRPr="0060614F">
        <w:rPr>
          <w:rFonts w:ascii="Arial" w:eastAsia="Times New Roman" w:hAnsi="Arial" w:cs="Arial"/>
          <w:color w:val="000000"/>
          <w:sz w:val="20"/>
          <w:szCs w:val="20"/>
          <w:shd w:val="clear" w:color="auto" w:fill="FFFFFF"/>
          <w:lang w:eastAsia="en-GB"/>
        </w:rPr>
        <w:t>Lewith, G., 2012. Why we need to research the use of complementary medicine. </w:t>
      </w:r>
      <w:r w:rsidRPr="0060614F">
        <w:rPr>
          <w:rFonts w:ascii="Arial" w:eastAsia="Times New Roman" w:hAnsi="Arial" w:cs="Arial"/>
          <w:i/>
          <w:iCs/>
          <w:color w:val="000000"/>
          <w:sz w:val="20"/>
          <w:szCs w:val="20"/>
          <w:lang w:eastAsia="en-GB"/>
        </w:rPr>
        <w:t>The Guardian</w:t>
      </w:r>
      <w:r w:rsidRPr="0060614F">
        <w:rPr>
          <w:rFonts w:ascii="Arial" w:eastAsia="Times New Roman" w:hAnsi="Arial" w:cs="Arial"/>
          <w:color w:val="000000"/>
          <w:sz w:val="20"/>
          <w:szCs w:val="20"/>
          <w:shd w:val="clear" w:color="auto" w:fill="FFFFFF"/>
          <w:lang w:eastAsia="en-GB"/>
        </w:rPr>
        <w:t>, [online] Available at: &lt;https://www.theguardian.com/healthcare-network/2012/nov/29/complementary-alternative-medicine-research-regulation&gt; [Accessed 9 July 2020].</w:t>
      </w:r>
    </w:p>
    <w:p w14:paraId="7CD91C05" w14:textId="77777777" w:rsidR="0002528A" w:rsidRDefault="0002528A" w:rsidP="00D622CF">
      <w:pPr>
        <w:rPr>
          <w:rFonts w:ascii="Arial" w:eastAsia="Times New Roman" w:hAnsi="Arial" w:cs="Arial"/>
          <w:color w:val="000000"/>
          <w:sz w:val="20"/>
          <w:szCs w:val="20"/>
          <w:shd w:val="clear" w:color="auto" w:fill="FFFFFF"/>
          <w:lang w:eastAsia="en-GB"/>
        </w:rPr>
      </w:pPr>
    </w:p>
    <w:p w14:paraId="6624D93A" w14:textId="5CE29E20" w:rsidR="0002528A" w:rsidRPr="00D622CF" w:rsidRDefault="0002528A" w:rsidP="00D622CF">
      <w:pPr>
        <w:rPr>
          <w:rFonts w:ascii="Times New Roman" w:eastAsia="Times New Roman" w:hAnsi="Times New Roman" w:cs="Times New Roman"/>
          <w:lang w:eastAsia="en-GB"/>
        </w:rPr>
      </w:pPr>
      <w:r w:rsidRPr="00D622CF">
        <w:rPr>
          <w:rFonts w:ascii="Arial" w:eastAsia="Times New Roman" w:hAnsi="Arial" w:cs="Arial"/>
          <w:color w:val="000000"/>
          <w:sz w:val="20"/>
          <w:szCs w:val="20"/>
          <w:shd w:val="clear" w:color="auto" w:fill="FFFFFF"/>
          <w:lang w:eastAsia="en-GB"/>
        </w:rPr>
        <w:t>Mills, S., 2001. Regulation in complementary and alternative medicine. </w:t>
      </w:r>
      <w:r w:rsidRPr="00D622CF">
        <w:rPr>
          <w:rFonts w:ascii="Arial" w:eastAsia="Times New Roman" w:hAnsi="Arial" w:cs="Arial"/>
          <w:i/>
          <w:iCs/>
          <w:color w:val="000000"/>
          <w:sz w:val="20"/>
          <w:szCs w:val="20"/>
          <w:lang w:eastAsia="en-GB"/>
        </w:rPr>
        <w:t>Integrated medicine</w:t>
      </w:r>
      <w:r w:rsidRPr="00D622CF">
        <w:rPr>
          <w:rFonts w:ascii="Arial" w:eastAsia="Times New Roman" w:hAnsi="Arial" w:cs="Arial"/>
          <w:color w:val="000000"/>
          <w:sz w:val="20"/>
          <w:szCs w:val="20"/>
          <w:shd w:val="clear" w:color="auto" w:fill="FFFFFF"/>
          <w:lang w:eastAsia="en-GB"/>
        </w:rPr>
        <w:t>, [online] pp.1-4. Available at: &lt;https://www.ncbi.nlm.nih.gov/pmc/articles/PMC1119419/#__ffn_sectitle&gt; [Accessed 9 July 2020].</w:t>
      </w:r>
    </w:p>
    <w:p w14:paraId="2A32EB9D" w14:textId="77777777" w:rsidR="0002528A" w:rsidRDefault="0002528A" w:rsidP="009374A7">
      <w:pPr>
        <w:rPr>
          <w:rFonts w:ascii="Arial" w:eastAsia="Times New Roman" w:hAnsi="Arial" w:cs="Arial"/>
          <w:color w:val="000000"/>
          <w:sz w:val="20"/>
          <w:szCs w:val="20"/>
          <w:shd w:val="clear" w:color="auto" w:fill="FFFFFF"/>
          <w:lang w:eastAsia="en-GB"/>
        </w:rPr>
      </w:pPr>
    </w:p>
    <w:p w14:paraId="2EAE61DC" w14:textId="2705F273" w:rsidR="0002528A" w:rsidRPr="009374A7" w:rsidRDefault="0002528A" w:rsidP="009374A7">
      <w:pPr>
        <w:rPr>
          <w:rFonts w:ascii="Times New Roman" w:eastAsia="Times New Roman" w:hAnsi="Times New Roman" w:cs="Times New Roman"/>
          <w:lang w:eastAsia="en-GB"/>
        </w:rPr>
      </w:pPr>
      <w:r w:rsidRPr="009374A7">
        <w:rPr>
          <w:rFonts w:ascii="Arial" w:eastAsia="Times New Roman" w:hAnsi="Arial" w:cs="Arial"/>
          <w:color w:val="000000"/>
          <w:sz w:val="20"/>
          <w:szCs w:val="20"/>
          <w:shd w:val="clear" w:color="auto" w:fill="FFFFFF"/>
          <w:lang w:eastAsia="en-GB"/>
        </w:rPr>
        <w:t>National institute for health and care excellence. 2020. </w:t>
      </w:r>
      <w:r w:rsidRPr="009374A7">
        <w:rPr>
          <w:rFonts w:ascii="Arial" w:eastAsia="Times New Roman" w:hAnsi="Arial" w:cs="Arial"/>
          <w:i/>
          <w:iCs/>
          <w:color w:val="000000"/>
          <w:sz w:val="20"/>
          <w:szCs w:val="20"/>
          <w:lang w:eastAsia="en-GB"/>
        </w:rPr>
        <w:t xml:space="preserve">Complementary Therapies, Information </w:t>
      </w:r>
      <w:proofErr w:type="gramStart"/>
      <w:r w:rsidRPr="009374A7">
        <w:rPr>
          <w:rFonts w:ascii="Arial" w:eastAsia="Times New Roman" w:hAnsi="Arial" w:cs="Arial"/>
          <w:i/>
          <w:iCs/>
          <w:color w:val="000000"/>
          <w:sz w:val="20"/>
          <w:szCs w:val="20"/>
          <w:lang w:eastAsia="en-GB"/>
        </w:rPr>
        <w:t>For</w:t>
      </w:r>
      <w:proofErr w:type="gramEnd"/>
      <w:r w:rsidRPr="009374A7">
        <w:rPr>
          <w:rFonts w:ascii="Arial" w:eastAsia="Times New Roman" w:hAnsi="Arial" w:cs="Arial"/>
          <w:i/>
          <w:iCs/>
          <w:color w:val="000000"/>
          <w:sz w:val="20"/>
          <w:szCs w:val="20"/>
          <w:lang w:eastAsia="en-GB"/>
        </w:rPr>
        <w:t xml:space="preserve"> The Public</w:t>
      </w:r>
      <w:r w:rsidRPr="009374A7">
        <w:rPr>
          <w:rFonts w:ascii="Arial" w:eastAsia="Times New Roman" w:hAnsi="Arial" w:cs="Arial"/>
          <w:color w:val="000000"/>
          <w:sz w:val="20"/>
          <w:szCs w:val="20"/>
          <w:shd w:val="clear" w:color="auto" w:fill="FFFFFF"/>
          <w:lang w:eastAsia="en-GB"/>
        </w:rPr>
        <w:t>. [online] Available at: &lt;https://www.nice.org.uk/guidance/cg57/ifp/chapter/Complementary-therapies&gt; [Accessed 9 July 2020].</w:t>
      </w:r>
    </w:p>
    <w:p w14:paraId="69C1B145" w14:textId="77777777" w:rsidR="0002528A" w:rsidRDefault="0002528A" w:rsidP="009374A7">
      <w:pPr>
        <w:rPr>
          <w:rFonts w:ascii="Arial" w:eastAsia="Times New Roman" w:hAnsi="Arial" w:cs="Arial"/>
          <w:color w:val="000000"/>
          <w:sz w:val="20"/>
          <w:szCs w:val="20"/>
          <w:shd w:val="clear" w:color="auto" w:fill="FFFFFF"/>
          <w:lang w:eastAsia="en-GB"/>
        </w:rPr>
      </w:pPr>
    </w:p>
    <w:p w14:paraId="72ECFBF3" w14:textId="7E85B019" w:rsidR="0002528A" w:rsidRPr="009374A7" w:rsidRDefault="0002528A" w:rsidP="009374A7">
      <w:pPr>
        <w:rPr>
          <w:rFonts w:ascii="Times New Roman" w:eastAsia="Times New Roman" w:hAnsi="Times New Roman" w:cs="Times New Roman"/>
          <w:lang w:eastAsia="en-GB"/>
        </w:rPr>
      </w:pPr>
      <w:r w:rsidRPr="009374A7">
        <w:rPr>
          <w:rFonts w:ascii="Arial" w:eastAsia="Times New Roman" w:hAnsi="Arial" w:cs="Arial"/>
          <w:color w:val="000000"/>
          <w:sz w:val="20"/>
          <w:szCs w:val="20"/>
          <w:shd w:val="clear" w:color="auto" w:fill="FFFFFF"/>
          <w:lang w:eastAsia="en-GB"/>
        </w:rPr>
        <w:t xml:space="preserve">O'Brien, J. and </w:t>
      </w:r>
      <w:proofErr w:type="spellStart"/>
      <w:r w:rsidRPr="009374A7">
        <w:rPr>
          <w:rFonts w:ascii="Arial" w:eastAsia="Times New Roman" w:hAnsi="Arial" w:cs="Arial"/>
          <w:color w:val="000000"/>
          <w:sz w:val="20"/>
          <w:szCs w:val="20"/>
          <w:shd w:val="clear" w:color="auto" w:fill="FFFFFF"/>
          <w:lang w:eastAsia="en-GB"/>
        </w:rPr>
        <w:t>Chantler</w:t>
      </w:r>
      <w:proofErr w:type="spellEnd"/>
      <w:r w:rsidRPr="009374A7">
        <w:rPr>
          <w:rFonts w:ascii="Arial" w:eastAsia="Times New Roman" w:hAnsi="Arial" w:cs="Arial"/>
          <w:color w:val="000000"/>
          <w:sz w:val="20"/>
          <w:szCs w:val="20"/>
          <w:shd w:val="clear" w:color="auto" w:fill="FFFFFF"/>
          <w:lang w:eastAsia="en-GB"/>
        </w:rPr>
        <w:t>, C., 2020. Confidentiality and the duties of care. </w:t>
      </w:r>
      <w:r w:rsidRPr="009374A7">
        <w:rPr>
          <w:rFonts w:ascii="Arial" w:eastAsia="Times New Roman" w:hAnsi="Arial" w:cs="Arial"/>
          <w:i/>
          <w:iCs/>
          <w:color w:val="000000"/>
          <w:sz w:val="20"/>
          <w:szCs w:val="20"/>
          <w:lang w:eastAsia="en-GB"/>
        </w:rPr>
        <w:t>Journal of Medical ethics</w:t>
      </w:r>
      <w:r w:rsidRPr="009374A7">
        <w:rPr>
          <w:rFonts w:ascii="Arial" w:eastAsia="Times New Roman" w:hAnsi="Arial" w:cs="Arial"/>
          <w:color w:val="000000"/>
          <w:sz w:val="20"/>
          <w:szCs w:val="20"/>
          <w:shd w:val="clear" w:color="auto" w:fill="FFFFFF"/>
          <w:lang w:eastAsia="en-GB"/>
        </w:rPr>
        <w:t>, [online] 29(1), pp.1-3. Available at: &lt;https://jme.bmj.com/content/29/1/36&gt; [Accessed 9 July 2020].</w:t>
      </w:r>
    </w:p>
    <w:p w14:paraId="7C12783A" w14:textId="77777777" w:rsidR="0002528A" w:rsidRDefault="0002528A" w:rsidP="009374A7">
      <w:pPr>
        <w:rPr>
          <w:rFonts w:ascii="Arial" w:eastAsia="Times New Roman" w:hAnsi="Arial" w:cs="Arial"/>
          <w:b/>
          <w:bCs/>
          <w:color w:val="666666"/>
          <w:sz w:val="20"/>
          <w:szCs w:val="20"/>
          <w:lang w:eastAsia="en-GB"/>
        </w:rPr>
      </w:pPr>
    </w:p>
    <w:p w14:paraId="088AA0FA" w14:textId="46BA81CD" w:rsidR="0002528A" w:rsidRPr="009374A7" w:rsidRDefault="0002528A" w:rsidP="009374A7">
      <w:pPr>
        <w:rPr>
          <w:rFonts w:ascii="Times New Roman" w:eastAsia="Times New Roman" w:hAnsi="Times New Roman" w:cs="Times New Roman"/>
          <w:lang w:eastAsia="en-GB"/>
        </w:rPr>
      </w:pPr>
      <w:r w:rsidRPr="009374A7">
        <w:rPr>
          <w:rFonts w:ascii="Arial" w:eastAsia="Times New Roman" w:hAnsi="Arial" w:cs="Arial"/>
          <w:b/>
          <w:bCs/>
          <w:color w:val="666666"/>
          <w:sz w:val="20"/>
          <w:szCs w:val="20"/>
          <w:lang w:eastAsia="en-GB"/>
        </w:rPr>
        <w:t> </w:t>
      </w:r>
      <w:r w:rsidRPr="009374A7">
        <w:rPr>
          <w:rFonts w:ascii="Arial" w:eastAsia="Times New Roman" w:hAnsi="Arial" w:cs="Arial"/>
          <w:color w:val="000000"/>
          <w:sz w:val="20"/>
          <w:szCs w:val="20"/>
          <w:lang w:eastAsia="en-GB"/>
        </w:rPr>
        <w:t>Palmer, D., 2019. What is GDPR? everything you need to know about the new general data protection regulations. </w:t>
      </w:r>
      <w:r w:rsidRPr="009374A7">
        <w:rPr>
          <w:rFonts w:ascii="Arial" w:eastAsia="Times New Roman" w:hAnsi="Arial" w:cs="Arial"/>
          <w:i/>
          <w:iCs/>
          <w:color w:val="000000"/>
          <w:sz w:val="20"/>
          <w:szCs w:val="20"/>
          <w:lang w:eastAsia="en-GB"/>
        </w:rPr>
        <w:t>ZDNet</w:t>
      </w:r>
      <w:r w:rsidRPr="009374A7">
        <w:rPr>
          <w:rFonts w:ascii="Arial" w:eastAsia="Times New Roman" w:hAnsi="Arial" w:cs="Arial"/>
          <w:color w:val="000000"/>
          <w:sz w:val="20"/>
          <w:szCs w:val="20"/>
          <w:lang w:eastAsia="en-GB"/>
        </w:rPr>
        <w:t>, [online]</w:t>
      </w:r>
    </w:p>
    <w:p w14:paraId="3BE73BC0" w14:textId="77777777" w:rsidR="0002528A" w:rsidRDefault="0002528A" w:rsidP="009374A7">
      <w:pPr>
        <w:rPr>
          <w:rFonts w:ascii="Arial" w:eastAsia="Times New Roman" w:hAnsi="Arial" w:cs="Arial"/>
          <w:color w:val="000000"/>
          <w:sz w:val="20"/>
          <w:szCs w:val="20"/>
          <w:shd w:val="clear" w:color="auto" w:fill="FFFFFF"/>
          <w:lang w:eastAsia="en-GB"/>
        </w:rPr>
      </w:pPr>
    </w:p>
    <w:p w14:paraId="494E487F" w14:textId="7AC06F04" w:rsidR="0002528A" w:rsidRPr="009374A7" w:rsidRDefault="0002528A" w:rsidP="009374A7">
      <w:pPr>
        <w:rPr>
          <w:rFonts w:ascii="Times New Roman" w:eastAsia="Times New Roman" w:hAnsi="Times New Roman" w:cs="Times New Roman"/>
          <w:lang w:eastAsia="en-GB"/>
        </w:rPr>
      </w:pPr>
      <w:proofErr w:type="spellStart"/>
      <w:r w:rsidRPr="009374A7">
        <w:rPr>
          <w:rFonts w:ascii="Arial" w:eastAsia="Times New Roman" w:hAnsi="Arial" w:cs="Arial"/>
          <w:color w:val="000000"/>
          <w:sz w:val="20"/>
          <w:szCs w:val="20"/>
          <w:shd w:val="clear" w:color="auto" w:fill="FFFFFF"/>
          <w:lang w:eastAsia="en-GB"/>
        </w:rPr>
        <w:t>Sujan</w:t>
      </w:r>
      <w:proofErr w:type="spellEnd"/>
      <w:r w:rsidRPr="009374A7">
        <w:rPr>
          <w:rFonts w:ascii="Arial" w:eastAsia="Times New Roman" w:hAnsi="Arial" w:cs="Arial"/>
          <w:color w:val="000000"/>
          <w:sz w:val="20"/>
          <w:szCs w:val="20"/>
          <w:shd w:val="clear" w:color="auto" w:fill="FFFFFF"/>
          <w:lang w:eastAsia="en-GB"/>
        </w:rPr>
        <w:t xml:space="preserve">, M. and Johnson, C., 2015. Should healthcare providers do safety </w:t>
      </w:r>
      <w:r w:rsidR="00422A47" w:rsidRPr="009374A7">
        <w:rPr>
          <w:rFonts w:ascii="Arial" w:eastAsia="Times New Roman" w:hAnsi="Arial" w:cs="Arial"/>
          <w:color w:val="000000"/>
          <w:sz w:val="20"/>
          <w:szCs w:val="20"/>
          <w:shd w:val="clear" w:color="auto" w:fill="FFFFFF"/>
          <w:lang w:eastAsia="en-GB"/>
        </w:rPr>
        <w:t>cases.</w:t>
      </w:r>
      <w:r w:rsidRPr="009374A7">
        <w:rPr>
          <w:rFonts w:ascii="Arial" w:eastAsia="Times New Roman" w:hAnsi="Arial" w:cs="Arial"/>
          <w:color w:val="000000"/>
          <w:sz w:val="20"/>
          <w:szCs w:val="20"/>
          <w:shd w:val="clear" w:color="auto" w:fill="FFFFFF"/>
          <w:lang w:eastAsia="en-GB"/>
        </w:rPr>
        <w:t> </w:t>
      </w:r>
      <w:r w:rsidRPr="009374A7">
        <w:rPr>
          <w:rFonts w:ascii="Arial" w:eastAsia="Times New Roman" w:hAnsi="Arial" w:cs="Arial"/>
          <w:i/>
          <w:iCs/>
          <w:color w:val="000000"/>
          <w:sz w:val="20"/>
          <w:szCs w:val="20"/>
          <w:lang w:eastAsia="en-GB"/>
        </w:rPr>
        <w:t>Science Direct</w:t>
      </w:r>
      <w:r w:rsidRPr="009374A7">
        <w:rPr>
          <w:rFonts w:ascii="Arial" w:eastAsia="Times New Roman" w:hAnsi="Arial" w:cs="Arial"/>
          <w:color w:val="000000"/>
          <w:sz w:val="20"/>
          <w:szCs w:val="20"/>
          <w:shd w:val="clear" w:color="auto" w:fill="FFFFFF"/>
          <w:lang w:eastAsia="en-GB"/>
        </w:rPr>
        <w:t>, [online] 84, pp.181-189. Available at: &lt;https://www.sciencedirect.com/science/article/pii/S0925753515003501&gt; [Accessed 9 July 2020].</w:t>
      </w:r>
    </w:p>
    <w:p w14:paraId="5B401A62" w14:textId="77777777" w:rsidR="0002528A" w:rsidRPr="00D25DD6" w:rsidRDefault="0002528A" w:rsidP="00D25DD6">
      <w:pPr>
        <w:rPr>
          <w:rFonts w:ascii="Times New Roman" w:eastAsia="Times New Roman" w:hAnsi="Times New Roman" w:cs="Times New Roman"/>
          <w:lang w:eastAsia="en-GB"/>
        </w:rPr>
      </w:pPr>
      <w:r w:rsidRPr="00D25DD6">
        <w:rPr>
          <w:rFonts w:ascii="Arial" w:eastAsia="Times New Roman" w:hAnsi="Arial" w:cs="Arial"/>
          <w:color w:val="000000"/>
          <w:sz w:val="20"/>
          <w:szCs w:val="20"/>
          <w:shd w:val="clear" w:color="auto" w:fill="FFFFFF"/>
          <w:lang w:eastAsia="en-GB"/>
        </w:rPr>
        <w:lastRenderedPageBreak/>
        <w:t>Wallace, M., 2012. The regulator: voluntary regulation in healthcare. </w:t>
      </w:r>
      <w:r w:rsidRPr="00D25DD6">
        <w:rPr>
          <w:rFonts w:ascii="Arial" w:eastAsia="Times New Roman" w:hAnsi="Arial" w:cs="Arial"/>
          <w:i/>
          <w:iCs/>
          <w:color w:val="000000"/>
          <w:sz w:val="20"/>
          <w:szCs w:val="20"/>
          <w:lang w:eastAsia="en-GB"/>
        </w:rPr>
        <w:t xml:space="preserve">Kingsley </w:t>
      </w:r>
      <w:proofErr w:type="spellStart"/>
      <w:r w:rsidRPr="00D25DD6">
        <w:rPr>
          <w:rFonts w:ascii="Arial" w:eastAsia="Times New Roman" w:hAnsi="Arial" w:cs="Arial"/>
          <w:i/>
          <w:iCs/>
          <w:color w:val="000000"/>
          <w:sz w:val="20"/>
          <w:szCs w:val="20"/>
          <w:lang w:eastAsia="en-GB"/>
        </w:rPr>
        <w:t>Napley</w:t>
      </w:r>
      <w:proofErr w:type="spellEnd"/>
      <w:r w:rsidRPr="00D25DD6">
        <w:rPr>
          <w:rFonts w:ascii="Arial" w:eastAsia="Times New Roman" w:hAnsi="Arial" w:cs="Arial"/>
          <w:color w:val="000000"/>
          <w:sz w:val="20"/>
          <w:szCs w:val="20"/>
          <w:shd w:val="clear" w:color="auto" w:fill="FFFFFF"/>
          <w:lang w:eastAsia="en-GB"/>
        </w:rPr>
        <w:t>, [online] Available at: &lt;https://www.kingsleynapley.co.uk/insights/blogs/regulatory-blog/the-regulator-voluntary-regulation-in-healthcare&gt; [Accessed 9 July 2020].</w:t>
      </w:r>
    </w:p>
    <w:p w14:paraId="6B37C5AE" w14:textId="77777777" w:rsidR="0002528A" w:rsidRDefault="0002528A" w:rsidP="00D15DF1">
      <w:pPr>
        <w:rPr>
          <w:rFonts w:ascii="Arial" w:eastAsia="Times New Roman" w:hAnsi="Arial" w:cs="Arial"/>
          <w:color w:val="000000"/>
          <w:sz w:val="20"/>
          <w:szCs w:val="20"/>
          <w:shd w:val="clear" w:color="auto" w:fill="FFFFFF"/>
          <w:lang w:eastAsia="en-GB"/>
        </w:rPr>
      </w:pPr>
    </w:p>
    <w:p w14:paraId="4541112B" w14:textId="338B00D3" w:rsidR="0002528A" w:rsidRPr="00D15DF1" w:rsidRDefault="0002528A" w:rsidP="00D15DF1">
      <w:pPr>
        <w:rPr>
          <w:rFonts w:ascii="Times New Roman" w:eastAsia="Times New Roman" w:hAnsi="Times New Roman" w:cs="Times New Roman"/>
          <w:lang w:eastAsia="en-GB"/>
        </w:rPr>
      </w:pPr>
      <w:r w:rsidRPr="00D15DF1">
        <w:rPr>
          <w:rFonts w:ascii="Arial" w:eastAsia="Times New Roman" w:hAnsi="Arial" w:cs="Arial"/>
          <w:color w:val="000000"/>
          <w:sz w:val="20"/>
          <w:szCs w:val="20"/>
          <w:shd w:val="clear" w:color="auto" w:fill="FFFFFF"/>
          <w:lang w:eastAsia="en-GB"/>
        </w:rPr>
        <w:t>World Health Organisation. 2020. </w:t>
      </w:r>
      <w:r w:rsidRPr="00D15DF1">
        <w:rPr>
          <w:rFonts w:ascii="Arial" w:eastAsia="Times New Roman" w:hAnsi="Arial" w:cs="Arial"/>
          <w:i/>
          <w:iCs/>
          <w:color w:val="000000"/>
          <w:sz w:val="20"/>
          <w:szCs w:val="20"/>
          <w:lang w:eastAsia="en-GB"/>
        </w:rPr>
        <w:t xml:space="preserve">Legislation </w:t>
      </w:r>
      <w:r w:rsidR="00BE665C" w:rsidRPr="00D15DF1">
        <w:rPr>
          <w:rFonts w:ascii="Arial" w:eastAsia="Times New Roman" w:hAnsi="Arial" w:cs="Arial"/>
          <w:i/>
          <w:iCs/>
          <w:color w:val="000000"/>
          <w:sz w:val="20"/>
          <w:szCs w:val="20"/>
          <w:lang w:eastAsia="en-GB"/>
        </w:rPr>
        <w:t>and</w:t>
      </w:r>
      <w:r w:rsidRPr="00D15DF1">
        <w:rPr>
          <w:rFonts w:ascii="Arial" w:eastAsia="Times New Roman" w:hAnsi="Arial" w:cs="Arial"/>
          <w:i/>
          <w:iCs/>
          <w:color w:val="000000"/>
          <w:sz w:val="20"/>
          <w:szCs w:val="20"/>
          <w:lang w:eastAsia="en-GB"/>
        </w:rPr>
        <w:t xml:space="preserve"> Regulation</w:t>
      </w:r>
      <w:r w:rsidRPr="00D15DF1">
        <w:rPr>
          <w:rFonts w:ascii="Arial" w:eastAsia="Times New Roman" w:hAnsi="Arial" w:cs="Arial"/>
          <w:color w:val="000000"/>
          <w:sz w:val="20"/>
          <w:szCs w:val="20"/>
          <w:shd w:val="clear" w:color="auto" w:fill="FFFFFF"/>
          <w:lang w:eastAsia="en-GB"/>
        </w:rPr>
        <w:t>. [online] Available at: &lt;https://www.who.int/heli/tools/legis_regul/en/&gt; [Accessed 9 July 2020].</w:t>
      </w:r>
    </w:p>
    <w:p w14:paraId="19336116" w14:textId="77777777" w:rsidR="0002528A" w:rsidRDefault="0002528A" w:rsidP="0060614F">
      <w:pPr>
        <w:rPr>
          <w:rFonts w:ascii="Arial" w:eastAsia="Times New Roman" w:hAnsi="Arial" w:cs="Arial"/>
          <w:b/>
          <w:bCs/>
          <w:color w:val="666666"/>
          <w:sz w:val="20"/>
          <w:szCs w:val="20"/>
          <w:lang w:eastAsia="en-GB"/>
        </w:rPr>
      </w:pPr>
    </w:p>
    <w:p w14:paraId="6C3C8A37" w14:textId="55A79607" w:rsidR="0002528A" w:rsidRPr="0060614F" w:rsidRDefault="0002528A" w:rsidP="0060614F">
      <w:pPr>
        <w:rPr>
          <w:rFonts w:ascii="Times New Roman" w:eastAsia="Times New Roman" w:hAnsi="Times New Roman" w:cs="Times New Roman"/>
          <w:lang w:eastAsia="en-GB"/>
        </w:rPr>
      </w:pPr>
      <w:r w:rsidRPr="0060614F">
        <w:rPr>
          <w:rFonts w:ascii="Arial" w:eastAsia="Times New Roman" w:hAnsi="Arial" w:cs="Arial"/>
          <w:b/>
          <w:bCs/>
          <w:color w:val="666666"/>
          <w:sz w:val="20"/>
          <w:szCs w:val="20"/>
          <w:lang w:eastAsia="en-GB"/>
        </w:rPr>
        <w:t> </w:t>
      </w:r>
      <w:r w:rsidRPr="0060614F">
        <w:rPr>
          <w:rFonts w:ascii="Arial" w:eastAsia="Times New Roman" w:hAnsi="Arial" w:cs="Arial"/>
          <w:color w:val="000000"/>
          <w:sz w:val="20"/>
          <w:szCs w:val="20"/>
          <w:lang w:eastAsia="en-GB"/>
        </w:rPr>
        <w:t>Zarah, L., 2020. 7 reasons why research is important. </w:t>
      </w:r>
      <w:proofErr w:type="spellStart"/>
      <w:r w:rsidRPr="0060614F">
        <w:rPr>
          <w:rFonts w:ascii="Arial" w:eastAsia="Times New Roman" w:hAnsi="Arial" w:cs="Arial"/>
          <w:i/>
          <w:iCs/>
          <w:color w:val="000000"/>
          <w:sz w:val="20"/>
          <w:szCs w:val="20"/>
          <w:lang w:eastAsia="en-GB"/>
        </w:rPr>
        <w:t>Owlcation</w:t>
      </w:r>
      <w:proofErr w:type="spellEnd"/>
      <w:r w:rsidRPr="0060614F">
        <w:rPr>
          <w:rFonts w:ascii="Arial" w:eastAsia="Times New Roman" w:hAnsi="Arial" w:cs="Arial"/>
          <w:color w:val="000000"/>
          <w:sz w:val="20"/>
          <w:szCs w:val="20"/>
          <w:lang w:eastAsia="en-GB"/>
        </w:rPr>
        <w:t>, [online] Available at: &lt;https://owlcation.com/academia/Why-Research-is-Important-Within-and-Beyond-the-Academe&gt; [Accessed 9 July 2020].</w:t>
      </w:r>
    </w:p>
    <w:p w14:paraId="7EEB420E" w14:textId="77777777" w:rsidR="00D622CF" w:rsidRPr="00D15DF1" w:rsidRDefault="00D622CF" w:rsidP="00D15DF1">
      <w:pPr>
        <w:rPr>
          <w:rFonts w:ascii="Times New Roman" w:eastAsia="Times New Roman" w:hAnsi="Times New Roman" w:cs="Times New Roman"/>
          <w:lang w:eastAsia="en-GB"/>
        </w:rPr>
      </w:pPr>
    </w:p>
    <w:p w14:paraId="0F923233" w14:textId="77777777" w:rsidR="00D15DF1" w:rsidRDefault="00D15DF1" w:rsidP="005534E0">
      <w:pPr>
        <w:pStyle w:val="ListParagraph"/>
      </w:pPr>
    </w:p>
    <w:sectPr w:rsidR="00D15DF1" w:rsidSect="005233A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mp;quo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7138D2"/>
    <w:multiLevelType w:val="hybridMultilevel"/>
    <w:tmpl w:val="B030C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153"/>
    <w:rsid w:val="0002528A"/>
    <w:rsid w:val="000505BC"/>
    <w:rsid w:val="0007307F"/>
    <w:rsid w:val="000A3169"/>
    <w:rsid w:val="000C15A9"/>
    <w:rsid w:val="000F034C"/>
    <w:rsid w:val="001320F5"/>
    <w:rsid w:val="001B59D5"/>
    <w:rsid w:val="0032591F"/>
    <w:rsid w:val="0033650D"/>
    <w:rsid w:val="00357F76"/>
    <w:rsid w:val="00422A47"/>
    <w:rsid w:val="004E2C1A"/>
    <w:rsid w:val="005233AC"/>
    <w:rsid w:val="0053283F"/>
    <w:rsid w:val="00550489"/>
    <w:rsid w:val="005534E0"/>
    <w:rsid w:val="005737ED"/>
    <w:rsid w:val="005D0A6E"/>
    <w:rsid w:val="0060614F"/>
    <w:rsid w:val="00660518"/>
    <w:rsid w:val="00772D5E"/>
    <w:rsid w:val="007B459A"/>
    <w:rsid w:val="0081593F"/>
    <w:rsid w:val="00816B99"/>
    <w:rsid w:val="008A545C"/>
    <w:rsid w:val="009374A7"/>
    <w:rsid w:val="009463F3"/>
    <w:rsid w:val="00947B46"/>
    <w:rsid w:val="00971045"/>
    <w:rsid w:val="009D2283"/>
    <w:rsid w:val="00B72951"/>
    <w:rsid w:val="00BE665C"/>
    <w:rsid w:val="00BF1860"/>
    <w:rsid w:val="00C35934"/>
    <w:rsid w:val="00C47868"/>
    <w:rsid w:val="00C532DD"/>
    <w:rsid w:val="00C60B0D"/>
    <w:rsid w:val="00CB122D"/>
    <w:rsid w:val="00CF0E5A"/>
    <w:rsid w:val="00CF4B73"/>
    <w:rsid w:val="00D07828"/>
    <w:rsid w:val="00D15DF1"/>
    <w:rsid w:val="00D25DD6"/>
    <w:rsid w:val="00D314F7"/>
    <w:rsid w:val="00D622CF"/>
    <w:rsid w:val="00D627AE"/>
    <w:rsid w:val="00E44E42"/>
    <w:rsid w:val="00F61B25"/>
    <w:rsid w:val="00FF6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1A1BA7"/>
  <w15:chartTrackingRefBased/>
  <w15:docId w15:val="{3773E71F-781C-734F-ACEB-464A2B6FF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934"/>
    <w:pPr>
      <w:ind w:left="720"/>
      <w:contextualSpacing/>
    </w:pPr>
  </w:style>
  <w:style w:type="character" w:customStyle="1" w:styleId="apple-converted-space">
    <w:name w:val="apple-converted-space"/>
    <w:basedOn w:val="DefaultParagraphFont"/>
    <w:rsid w:val="00D15DF1"/>
  </w:style>
  <w:style w:type="character" w:customStyle="1" w:styleId="selectable">
    <w:name w:val="selectable"/>
    <w:basedOn w:val="DefaultParagraphFont"/>
    <w:rsid w:val="006061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913495">
      <w:bodyDiv w:val="1"/>
      <w:marLeft w:val="0"/>
      <w:marRight w:val="0"/>
      <w:marTop w:val="0"/>
      <w:marBottom w:val="0"/>
      <w:divBdr>
        <w:top w:val="none" w:sz="0" w:space="0" w:color="auto"/>
        <w:left w:val="none" w:sz="0" w:space="0" w:color="auto"/>
        <w:bottom w:val="none" w:sz="0" w:space="0" w:color="auto"/>
        <w:right w:val="none" w:sz="0" w:space="0" w:color="auto"/>
      </w:divBdr>
    </w:div>
    <w:div w:id="572281972">
      <w:bodyDiv w:val="1"/>
      <w:marLeft w:val="0"/>
      <w:marRight w:val="0"/>
      <w:marTop w:val="0"/>
      <w:marBottom w:val="0"/>
      <w:divBdr>
        <w:top w:val="none" w:sz="0" w:space="0" w:color="auto"/>
        <w:left w:val="none" w:sz="0" w:space="0" w:color="auto"/>
        <w:bottom w:val="none" w:sz="0" w:space="0" w:color="auto"/>
        <w:right w:val="none" w:sz="0" w:space="0" w:color="auto"/>
      </w:divBdr>
    </w:div>
    <w:div w:id="637538115">
      <w:bodyDiv w:val="1"/>
      <w:marLeft w:val="0"/>
      <w:marRight w:val="0"/>
      <w:marTop w:val="0"/>
      <w:marBottom w:val="0"/>
      <w:divBdr>
        <w:top w:val="none" w:sz="0" w:space="0" w:color="auto"/>
        <w:left w:val="none" w:sz="0" w:space="0" w:color="auto"/>
        <w:bottom w:val="none" w:sz="0" w:space="0" w:color="auto"/>
        <w:right w:val="none" w:sz="0" w:space="0" w:color="auto"/>
      </w:divBdr>
    </w:div>
    <w:div w:id="745804163">
      <w:bodyDiv w:val="1"/>
      <w:marLeft w:val="0"/>
      <w:marRight w:val="0"/>
      <w:marTop w:val="0"/>
      <w:marBottom w:val="0"/>
      <w:divBdr>
        <w:top w:val="none" w:sz="0" w:space="0" w:color="auto"/>
        <w:left w:val="none" w:sz="0" w:space="0" w:color="auto"/>
        <w:bottom w:val="none" w:sz="0" w:space="0" w:color="auto"/>
        <w:right w:val="none" w:sz="0" w:space="0" w:color="auto"/>
      </w:divBdr>
    </w:div>
    <w:div w:id="841162202">
      <w:bodyDiv w:val="1"/>
      <w:marLeft w:val="0"/>
      <w:marRight w:val="0"/>
      <w:marTop w:val="0"/>
      <w:marBottom w:val="0"/>
      <w:divBdr>
        <w:top w:val="none" w:sz="0" w:space="0" w:color="auto"/>
        <w:left w:val="none" w:sz="0" w:space="0" w:color="auto"/>
        <w:bottom w:val="none" w:sz="0" w:space="0" w:color="auto"/>
        <w:right w:val="none" w:sz="0" w:space="0" w:color="auto"/>
      </w:divBdr>
    </w:div>
    <w:div w:id="903564862">
      <w:bodyDiv w:val="1"/>
      <w:marLeft w:val="0"/>
      <w:marRight w:val="0"/>
      <w:marTop w:val="0"/>
      <w:marBottom w:val="0"/>
      <w:divBdr>
        <w:top w:val="none" w:sz="0" w:space="0" w:color="auto"/>
        <w:left w:val="none" w:sz="0" w:space="0" w:color="auto"/>
        <w:bottom w:val="none" w:sz="0" w:space="0" w:color="auto"/>
        <w:right w:val="none" w:sz="0" w:space="0" w:color="auto"/>
      </w:divBdr>
    </w:div>
    <w:div w:id="976573916">
      <w:bodyDiv w:val="1"/>
      <w:marLeft w:val="0"/>
      <w:marRight w:val="0"/>
      <w:marTop w:val="0"/>
      <w:marBottom w:val="0"/>
      <w:divBdr>
        <w:top w:val="none" w:sz="0" w:space="0" w:color="auto"/>
        <w:left w:val="none" w:sz="0" w:space="0" w:color="auto"/>
        <w:bottom w:val="none" w:sz="0" w:space="0" w:color="auto"/>
        <w:right w:val="none" w:sz="0" w:space="0" w:color="auto"/>
      </w:divBdr>
    </w:div>
    <w:div w:id="1081373042">
      <w:bodyDiv w:val="1"/>
      <w:marLeft w:val="0"/>
      <w:marRight w:val="0"/>
      <w:marTop w:val="0"/>
      <w:marBottom w:val="0"/>
      <w:divBdr>
        <w:top w:val="none" w:sz="0" w:space="0" w:color="auto"/>
        <w:left w:val="none" w:sz="0" w:space="0" w:color="auto"/>
        <w:bottom w:val="none" w:sz="0" w:space="0" w:color="auto"/>
        <w:right w:val="none" w:sz="0" w:space="0" w:color="auto"/>
      </w:divBdr>
    </w:div>
    <w:div w:id="1091779422">
      <w:bodyDiv w:val="1"/>
      <w:marLeft w:val="0"/>
      <w:marRight w:val="0"/>
      <w:marTop w:val="0"/>
      <w:marBottom w:val="0"/>
      <w:divBdr>
        <w:top w:val="none" w:sz="0" w:space="0" w:color="auto"/>
        <w:left w:val="none" w:sz="0" w:space="0" w:color="auto"/>
        <w:bottom w:val="none" w:sz="0" w:space="0" w:color="auto"/>
        <w:right w:val="none" w:sz="0" w:space="0" w:color="auto"/>
      </w:divBdr>
    </w:div>
    <w:div w:id="1230000251">
      <w:bodyDiv w:val="1"/>
      <w:marLeft w:val="0"/>
      <w:marRight w:val="0"/>
      <w:marTop w:val="0"/>
      <w:marBottom w:val="0"/>
      <w:divBdr>
        <w:top w:val="none" w:sz="0" w:space="0" w:color="auto"/>
        <w:left w:val="none" w:sz="0" w:space="0" w:color="auto"/>
        <w:bottom w:val="none" w:sz="0" w:space="0" w:color="auto"/>
        <w:right w:val="none" w:sz="0" w:space="0" w:color="auto"/>
      </w:divBdr>
    </w:div>
    <w:div w:id="1322806492">
      <w:bodyDiv w:val="1"/>
      <w:marLeft w:val="0"/>
      <w:marRight w:val="0"/>
      <w:marTop w:val="0"/>
      <w:marBottom w:val="0"/>
      <w:divBdr>
        <w:top w:val="none" w:sz="0" w:space="0" w:color="auto"/>
        <w:left w:val="none" w:sz="0" w:space="0" w:color="auto"/>
        <w:bottom w:val="none" w:sz="0" w:space="0" w:color="auto"/>
        <w:right w:val="none" w:sz="0" w:space="0" w:color="auto"/>
      </w:divBdr>
    </w:div>
    <w:div w:id="1426879963">
      <w:bodyDiv w:val="1"/>
      <w:marLeft w:val="0"/>
      <w:marRight w:val="0"/>
      <w:marTop w:val="0"/>
      <w:marBottom w:val="0"/>
      <w:divBdr>
        <w:top w:val="none" w:sz="0" w:space="0" w:color="auto"/>
        <w:left w:val="none" w:sz="0" w:space="0" w:color="auto"/>
        <w:bottom w:val="none" w:sz="0" w:space="0" w:color="auto"/>
        <w:right w:val="none" w:sz="0" w:space="0" w:color="auto"/>
      </w:divBdr>
    </w:div>
    <w:div w:id="1860897873">
      <w:bodyDiv w:val="1"/>
      <w:marLeft w:val="0"/>
      <w:marRight w:val="0"/>
      <w:marTop w:val="0"/>
      <w:marBottom w:val="0"/>
      <w:divBdr>
        <w:top w:val="none" w:sz="0" w:space="0" w:color="auto"/>
        <w:left w:val="none" w:sz="0" w:space="0" w:color="auto"/>
        <w:bottom w:val="none" w:sz="0" w:space="0" w:color="auto"/>
        <w:right w:val="none" w:sz="0" w:space="0" w:color="auto"/>
      </w:divBdr>
    </w:div>
    <w:div w:id="1878160117">
      <w:bodyDiv w:val="1"/>
      <w:marLeft w:val="0"/>
      <w:marRight w:val="0"/>
      <w:marTop w:val="0"/>
      <w:marBottom w:val="0"/>
      <w:divBdr>
        <w:top w:val="none" w:sz="0" w:space="0" w:color="auto"/>
        <w:left w:val="none" w:sz="0" w:space="0" w:color="auto"/>
        <w:bottom w:val="none" w:sz="0" w:space="0" w:color="auto"/>
        <w:right w:val="none" w:sz="0" w:space="0" w:color="auto"/>
      </w:divBdr>
    </w:div>
    <w:div w:id="1890145238">
      <w:bodyDiv w:val="1"/>
      <w:marLeft w:val="0"/>
      <w:marRight w:val="0"/>
      <w:marTop w:val="0"/>
      <w:marBottom w:val="0"/>
      <w:divBdr>
        <w:top w:val="none" w:sz="0" w:space="0" w:color="auto"/>
        <w:left w:val="none" w:sz="0" w:space="0" w:color="auto"/>
        <w:bottom w:val="none" w:sz="0" w:space="0" w:color="auto"/>
        <w:right w:val="none" w:sz="0" w:space="0" w:color="auto"/>
      </w:divBdr>
    </w:div>
    <w:div w:id="1895655915">
      <w:bodyDiv w:val="1"/>
      <w:marLeft w:val="0"/>
      <w:marRight w:val="0"/>
      <w:marTop w:val="0"/>
      <w:marBottom w:val="0"/>
      <w:divBdr>
        <w:top w:val="none" w:sz="0" w:space="0" w:color="auto"/>
        <w:left w:val="none" w:sz="0" w:space="0" w:color="auto"/>
        <w:bottom w:val="none" w:sz="0" w:space="0" w:color="auto"/>
        <w:right w:val="none" w:sz="0" w:space="0" w:color="auto"/>
      </w:divBdr>
    </w:div>
    <w:div w:id="1927223249">
      <w:bodyDiv w:val="1"/>
      <w:marLeft w:val="0"/>
      <w:marRight w:val="0"/>
      <w:marTop w:val="0"/>
      <w:marBottom w:val="0"/>
      <w:divBdr>
        <w:top w:val="none" w:sz="0" w:space="0" w:color="auto"/>
        <w:left w:val="none" w:sz="0" w:space="0" w:color="auto"/>
        <w:bottom w:val="none" w:sz="0" w:space="0" w:color="auto"/>
        <w:right w:val="none" w:sz="0" w:space="0" w:color="auto"/>
      </w:divBdr>
    </w:div>
    <w:div w:id="1972008648">
      <w:bodyDiv w:val="1"/>
      <w:marLeft w:val="0"/>
      <w:marRight w:val="0"/>
      <w:marTop w:val="0"/>
      <w:marBottom w:val="0"/>
      <w:divBdr>
        <w:top w:val="none" w:sz="0" w:space="0" w:color="auto"/>
        <w:left w:val="none" w:sz="0" w:space="0" w:color="auto"/>
        <w:bottom w:val="none" w:sz="0" w:space="0" w:color="auto"/>
        <w:right w:val="none" w:sz="0" w:space="0" w:color="auto"/>
      </w:divBdr>
    </w:div>
    <w:div w:id="2062317518">
      <w:bodyDiv w:val="1"/>
      <w:marLeft w:val="0"/>
      <w:marRight w:val="0"/>
      <w:marTop w:val="0"/>
      <w:marBottom w:val="0"/>
      <w:divBdr>
        <w:top w:val="none" w:sz="0" w:space="0" w:color="auto"/>
        <w:left w:val="none" w:sz="0" w:space="0" w:color="auto"/>
        <w:bottom w:val="none" w:sz="0" w:space="0" w:color="auto"/>
        <w:right w:val="none" w:sz="0" w:space="0" w:color="auto"/>
      </w:divBdr>
    </w:div>
    <w:div w:id="2110617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Adr20</b:Tag>
    <b:SourceType>InternetSite</b:SourceType>
    <b:Guid>{0CBB8966-8CA7-864E-A703-DC492446522E}</b:Guid>
    <b:Author>
      <b:Author>
        <b:NameList>
          <b:Person>
            <b:Last>Raby</b:Last>
            <b:First>Adrian</b:First>
          </b:Person>
        </b:NameList>
      </b:Author>
    </b:Author>
    <b:Title>Complementary therapies </b:Title>
    <b:InternetSiteTitle>Bupa </b:InternetSiteTitle>
    <b:URL>https://www.bupa.co.uk/health-information/complementary-therapies/complementary-therapies</b:URL>
    <b:Year>2020 </b:Year>
    <b:RefOrder>1</b:RefOrder>
  </b:Source>
</b:Sources>
</file>

<file path=customXml/itemProps1.xml><?xml version="1.0" encoding="utf-8"?>
<ds:datastoreItem xmlns:ds="http://schemas.openxmlformats.org/officeDocument/2006/customXml" ds:itemID="{244EF01E-AEC2-674B-A09A-CB3E8D14E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8</Pages>
  <Words>3014</Words>
  <Characters>17182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Hill (1800825)</dc:creator>
  <cp:keywords/>
  <dc:description/>
  <cp:lastModifiedBy>Abbie Hill (1800825)</cp:lastModifiedBy>
  <cp:revision>20</cp:revision>
  <dcterms:created xsi:type="dcterms:W3CDTF">2020-05-24T20:48:00Z</dcterms:created>
  <dcterms:modified xsi:type="dcterms:W3CDTF">2020-07-10T02:41:00Z</dcterms:modified>
</cp:coreProperties>
</file>