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A9F91" w14:textId="020E34AC" w:rsidR="00A83859" w:rsidRDefault="00674316">
      <w:r>
        <w:rPr>
          <w:noProof/>
        </w:rPr>
        <w:drawing>
          <wp:inline distT="0" distB="0" distL="0" distR="0" wp14:anchorId="1EF8182A" wp14:editId="5F826F2E">
            <wp:extent cx="2688060" cy="8915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2695800" cy="894107"/>
                    </a:xfrm>
                    <a:prstGeom prst="rect">
                      <a:avLst/>
                    </a:prstGeom>
                  </pic:spPr>
                </pic:pic>
              </a:graphicData>
            </a:graphic>
          </wp:inline>
        </w:drawing>
      </w:r>
    </w:p>
    <w:p w14:paraId="7607581D" w14:textId="12CC4222" w:rsidR="00674316" w:rsidRDefault="00674316"/>
    <w:p w14:paraId="4111C4A1" w14:textId="61B129C1" w:rsidR="00674316" w:rsidRDefault="00674316"/>
    <w:p w14:paraId="649BC613" w14:textId="470AB57F" w:rsidR="00674316" w:rsidRDefault="00674316"/>
    <w:p w14:paraId="00E1A6E0" w14:textId="6BCB9BC4" w:rsidR="00674316" w:rsidRDefault="00674316"/>
    <w:p w14:paraId="597710A4" w14:textId="77777777" w:rsidR="00674316" w:rsidRDefault="00674316" w:rsidP="00674316">
      <w:pPr>
        <w:jc w:val="center"/>
        <w:rPr>
          <w:rFonts w:ascii="Bell MT" w:hAnsi="Bell MT"/>
          <w:b/>
          <w:bCs/>
          <w:i/>
          <w:iCs/>
          <w:sz w:val="96"/>
          <w:szCs w:val="96"/>
        </w:rPr>
      </w:pPr>
      <w:r w:rsidRPr="00420076">
        <w:rPr>
          <w:rFonts w:ascii="Bell MT" w:hAnsi="Bell MT"/>
          <w:b/>
          <w:bCs/>
          <w:i/>
          <w:iCs/>
          <w:sz w:val="96"/>
          <w:szCs w:val="96"/>
        </w:rPr>
        <w:t>Community Engagement</w:t>
      </w:r>
    </w:p>
    <w:p w14:paraId="47C63E04" w14:textId="77777777" w:rsidR="00674316" w:rsidRDefault="00674316" w:rsidP="00674316">
      <w:pPr>
        <w:rPr>
          <w:rFonts w:ascii="Bell MT" w:hAnsi="Bell MT"/>
          <w:b/>
          <w:bCs/>
          <w:i/>
          <w:iCs/>
          <w:sz w:val="72"/>
          <w:szCs w:val="72"/>
        </w:rPr>
      </w:pPr>
    </w:p>
    <w:p w14:paraId="1B460283" w14:textId="77777777" w:rsidR="00674316" w:rsidRDefault="00674316" w:rsidP="00674316">
      <w:pPr>
        <w:rPr>
          <w:rFonts w:ascii="Bell MT" w:hAnsi="Bell MT"/>
          <w:i/>
          <w:iCs/>
          <w:sz w:val="56"/>
          <w:szCs w:val="56"/>
        </w:rPr>
      </w:pPr>
      <w:r w:rsidRPr="00420076">
        <w:rPr>
          <w:rFonts w:ascii="Bell MT" w:hAnsi="Bell MT"/>
          <w:b/>
          <w:bCs/>
          <w:i/>
          <w:iCs/>
          <w:sz w:val="56"/>
          <w:szCs w:val="56"/>
        </w:rPr>
        <w:t>Module</w:t>
      </w:r>
      <w:r>
        <w:rPr>
          <w:rFonts w:ascii="Bell MT" w:hAnsi="Bell MT"/>
          <w:b/>
          <w:bCs/>
          <w:i/>
          <w:iCs/>
          <w:sz w:val="56"/>
          <w:szCs w:val="56"/>
        </w:rPr>
        <w:t xml:space="preserve">: </w:t>
      </w:r>
      <w:r w:rsidRPr="00420076">
        <w:rPr>
          <w:rFonts w:ascii="Bell MT" w:hAnsi="Bell MT"/>
          <w:i/>
          <w:iCs/>
          <w:sz w:val="56"/>
          <w:szCs w:val="56"/>
        </w:rPr>
        <w:t>Community Engagement</w:t>
      </w:r>
    </w:p>
    <w:p w14:paraId="67DB1402" w14:textId="77777777" w:rsidR="00674316" w:rsidRDefault="00674316" w:rsidP="00674316">
      <w:pPr>
        <w:rPr>
          <w:rFonts w:ascii="Bell MT" w:hAnsi="Bell MT"/>
          <w:i/>
          <w:iCs/>
          <w:sz w:val="56"/>
          <w:szCs w:val="56"/>
        </w:rPr>
      </w:pPr>
      <w:r w:rsidRPr="00420076">
        <w:rPr>
          <w:rFonts w:ascii="Bell MT" w:hAnsi="Bell MT"/>
          <w:b/>
          <w:bCs/>
          <w:i/>
          <w:iCs/>
          <w:sz w:val="56"/>
          <w:szCs w:val="56"/>
        </w:rPr>
        <w:t>Code</w:t>
      </w:r>
      <w:r>
        <w:rPr>
          <w:rFonts w:ascii="Bell MT" w:hAnsi="Bell MT"/>
          <w:b/>
          <w:bCs/>
          <w:i/>
          <w:iCs/>
          <w:sz w:val="56"/>
          <w:szCs w:val="56"/>
        </w:rPr>
        <w:t xml:space="preserve">: </w:t>
      </w:r>
      <w:r w:rsidRPr="00420076">
        <w:rPr>
          <w:rFonts w:ascii="Bell MT" w:hAnsi="Bell MT"/>
          <w:i/>
          <w:iCs/>
          <w:sz w:val="56"/>
          <w:szCs w:val="56"/>
        </w:rPr>
        <w:t>LCBB</w:t>
      </w:r>
      <w:r>
        <w:rPr>
          <w:rFonts w:ascii="Bell MT" w:hAnsi="Bell MT"/>
          <w:i/>
          <w:iCs/>
          <w:sz w:val="56"/>
          <w:szCs w:val="56"/>
        </w:rPr>
        <w:t>4002</w:t>
      </w:r>
    </w:p>
    <w:p w14:paraId="5A9B8850" w14:textId="77777777" w:rsidR="00674316" w:rsidRDefault="00674316" w:rsidP="00674316">
      <w:pPr>
        <w:rPr>
          <w:rFonts w:ascii="Bell MT" w:hAnsi="Bell MT"/>
          <w:i/>
          <w:iCs/>
          <w:sz w:val="56"/>
          <w:szCs w:val="56"/>
        </w:rPr>
      </w:pPr>
      <w:r w:rsidRPr="00420076">
        <w:rPr>
          <w:rFonts w:ascii="Bell MT" w:hAnsi="Bell MT"/>
          <w:b/>
          <w:bCs/>
          <w:i/>
          <w:iCs/>
          <w:sz w:val="56"/>
          <w:szCs w:val="56"/>
        </w:rPr>
        <w:t>Lecturer</w:t>
      </w:r>
      <w:r>
        <w:rPr>
          <w:rFonts w:ascii="Bell MT" w:hAnsi="Bell MT"/>
          <w:b/>
          <w:bCs/>
          <w:i/>
          <w:iCs/>
          <w:sz w:val="56"/>
          <w:szCs w:val="56"/>
        </w:rPr>
        <w:t xml:space="preserve">: </w:t>
      </w:r>
      <w:r w:rsidRPr="00420076">
        <w:rPr>
          <w:rFonts w:ascii="Bell MT" w:hAnsi="Bell MT"/>
          <w:i/>
          <w:iCs/>
          <w:sz w:val="56"/>
          <w:szCs w:val="56"/>
        </w:rPr>
        <w:t>Anita Nan</w:t>
      </w:r>
    </w:p>
    <w:p w14:paraId="1BC93B02" w14:textId="77777777" w:rsidR="00674316" w:rsidRDefault="00674316" w:rsidP="00674316">
      <w:pPr>
        <w:rPr>
          <w:rFonts w:ascii="Bell MT" w:hAnsi="Bell MT"/>
          <w:i/>
          <w:iCs/>
          <w:sz w:val="56"/>
          <w:szCs w:val="56"/>
        </w:rPr>
      </w:pPr>
      <w:r w:rsidRPr="00420076">
        <w:rPr>
          <w:rFonts w:ascii="Bell MT" w:hAnsi="Bell MT"/>
          <w:b/>
          <w:bCs/>
          <w:i/>
          <w:iCs/>
          <w:sz w:val="56"/>
          <w:szCs w:val="56"/>
        </w:rPr>
        <w:t>Name</w:t>
      </w:r>
      <w:r>
        <w:rPr>
          <w:rFonts w:ascii="Bell MT" w:hAnsi="Bell MT"/>
          <w:b/>
          <w:bCs/>
          <w:i/>
          <w:iCs/>
          <w:sz w:val="56"/>
          <w:szCs w:val="56"/>
        </w:rPr>
        <w:t xml:space="preserve">: </w:t>
      </w:r>
      <w:r w:rsidRPr="00420076">
        <w:rPr>
          <w:rFonts w:ascii="Bell MT" w:hAnsi="Bell MT"/>
          <w:i/>
          <w:iCs/>
          <w:sz w:val="56"/>
          <w:szCs w:val="56"/>
        </w:rPr>
        <w:t>Mirena Terzieva</w:t>
      </w:r>
    </w:p>
    <w:p w14:paraId="11E97C51" w14:textId="77777777" w:rsidR="00674316" w:rsidRDefault="00674316" w:rsidP="00674316">
      <w:pPr>
        <w:rPr>
          <w:rFonts w:ascii="Bell MT" w:hAnsi="Bell MT"/>
          <w:i/>
          <w:iCs/>
          <w:sz w:val="56"/>
          <w:szCs w:val="56"/>
        </w:rPr>
      </w:pPr>
      <w:r w:rsidRPr="00850F0D">
        <w:rPr>
          <w:rFonts w:ascii="Bell MT" w:hAnsi="Bell MT"/>
          <w:b/>
          <w:bCs/>
          <w:i/>
          <w:iCs/>
          <w:sz w:val="56"/>
          <w:szCs w:val="56"/>
        </w:rPr>
        <w:t>Student ID</w:t>
      </w:r>
      <w:r>
        <w:rPr>
          <w:rFonts w:ascii="Bell MT" w:hAnsi="Bell MT"/>
          <w:b/>
          <w:bCs/>
          <w:i/>
          <w:iCs/>
          <w:sz w:val="56"/>
          <w:szCs w:val="56"/>
        </w:rPr>
        <w:t xml:space="preserve">: </w:t>
      </w:r>
      <w:r w:rsidRPr="00850F0D">
        <w:rPr>
          <w:rFonts w:ascii="Bell MT" w:hAnsi="Bell MT"/>
          <w:i/>
          <w:iCs/>
          <w:sz w:val="56"/>
          <w:szCs w:val="56"/>
        </w:rPr>
        <w:t>2130468</w:t>
      </w:r>
    </w:p>
    <w:p w14:paraId="4552F8EE" w14:textId="77777777" w:rsidR="00674316" w:rsidRDefault="00674316" w:rsidP="00674316">
      <w:pPr>
        <w:rPr>
          <w:rFonts w:ascii="Bell MT" w:hAnsi="Bell MT"/>
          <w:i/>
          <w:iCs/>
          <w:sz w:val="56"/>
          <w:szCs w:val="56"/>
        </w:rPr>
      </w:pPr>
    </w:p>
    <w:p w14:paraId="1B24A392" w14:textId="2EE02580" w:rsidR="00674316" w:rsidRDefault="00674316" w:rsidP="00674316">
      <w:pPr>
        <w:jc w:val="right"/>
        <w:rPr>
          <w:rFonts w:ascii="Bell MT" w:hAnsi="Bell MT"/>
          <w:b/>
          <w:bCs/>
          <w:i/>
          <w:iCs/>
          <w:sz w:val="56"/>
          <w:szCs w:val="56"/>
        </w:rPr>
      </w:pPr>
      <w:r w:rsidRPr="00850F0D">
        <w:rPr>
          <w:rFonts w:ascii="Bell MT" w:hAnsi="Bell MT"/>
          <w:b/>
          <w:bCs/>
          <w:i/>
          <w:iCs/>
          <w:sz w:val="56"/>
          <w:szCs w:val="56"/>
        </w:rPr>
        <w:t xml:space="preserve">Submitted on the </w:t>
      </w:r>
      <w:r w:rsidR="002E5091">
        <w:rPr>
          <w:rFonts w:ascii="Bell MT" w:hAnsi="Bell MT"/>
          <w:b/>
          <w:bCs/>
          <w:i/>
          <w:iCs/>
          <w:sz w:val="56"/>
          <w:szCs w:val="56"/>
        </w:rPr>
        <w:t>8th of</w:t>
      </w:r>
      <w:r w:rsidRPr="00850F0D">
        <w:rPr>
          <w:rFonts w:ascii="Bell MT" w:hAnsi="Bell MT"/>
          <w:b/>
          <w:bCs/>
          <w:i/>
          <w:iCs/>
          <w:sz w:val="56"/>
          <w:szCs w:val="56"/>
        </w:rPr>
        <w:t xml:space="preserve"> </w:t>
      </w:r>
      <w:r>
        <w:rPr>
          <w:rFonts w:ascii="Bell MT" w:hAnsi="Bell MT"/>
          <w:b/>
          <w:bCs/>
          <w:i/>
          <w:iCs/>
          <w:sz w:val="56"/>
          <w:szCs w:val="56"/>
        </w:rPr>
        <w:t>January</w:t>
      </w:r>
    </w:p>
    <w:p w14:paraId="65458FF6" w14:textId="38B0C063" w:rsidR="00C74CE0" w:rsidRDefault="00C74CE0" w:rsidP="00674316">
      <w:pPr>
        <w:jc w:val="right"/>
        <w:rPr>
          <w:rFonts w:ascii="Bell MT" w:hAnsi="Bell MT"/>
          <w:b/>
          <w:bCs/>
          <w:i/>
          <w:iCs/>
          <w:sz w:val="56"/>
          <w:szCs w:val="56"/>
        </w:rPr>
      </w:pPr>
    </w:p>
    <w:p w14:paraId="00267C11" w14:textId="77777777" w:rsidR="00C74CE0" w:rsidRPr="00C74CE0" w:rsidRDefault="00C74CE0" w:rsidP="00C74CE0">
      <w:pPr>
        <w:pStyle w:val="TOCHeading"/>
        <w:pageBreakBefor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23855470"/>
      <w:r w:rsidRPr="00C74CE0">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Contents</w:t>
      </w:r>
      <w:bookmarkEnd w:id="0"/>
    </w:p>
    <w:p w14:paraId="5F723A44" w14:textId="77777777" w:rsidR="00C74CE0" w:rsidRPr="003F3B75" w:rsidRDefault="00C74CE0" w:rsidP="00C74CE0">
      <w:pPr>
        <w:pStyle w:val="TOC1"/>
        <w:tabs>
          <w:tab w:val="right" w:leader="dot" w:pos="9350"/>
        </w:tabs>
        <w:rPr>
          <w:rFonts w:asciiTheme="minorHAnsi" w:eastAsiaTheme="minorEastAsia" w:hAnsiTheme="minorHAnsi" w:cstheme="minorBidi"/>
          <w:noProof/>
          <w:color w:val="auto"/>
          <w:sz w:val="22"/>
          <w:lang w:val="en-US" w:eastAsia="en-US"/>
        </w:rPr>
      </w:pPr>
      <w:r>
        <w:fldChar w:fldCharType="begin"/>
      </w:r>
      <w:r>
        <w:instrText xml:space="preserve"> TOC \o "1-3" \h \z \u </w:instrText>
      </w:r>
      <w:r>
        <w:fldChar w:fldCharType="separate"/>
      </w:r>
    </w:p>
    <w:p w14:paraId="3C323558" w14:textId="77777777" w:rsidR="00C74CE0" w:rsidRDefault="00C74CE0" w:rsidP="00C74CE0">
      <w:pPr>
        <w:pStyle w:val="TOC1"/>
        <w:tabs>
          <w:tab w:val="right" w:leader="dot" w:pos="9350"/>
        </w:tabs>
        <w:rPr>
          <w:rFonts w:asciiTheme="minorHAnsi" w:eastAsiaTheme="minorEastAsia" w:hAnsiTheme="minorHAnsi" w:cstheme="minorBidi"/>
          <w:noProof/>
          <w:color w:val="auto"/>
          <w:sz w:val="22"/>
          <w:lang w:val="en-US" w:eastAsia="en-US"/>
        </w:rPr>
      </w:pPr>
      <w:hyperlink w:anchor="_Toc123855471" w:history="1">
        <w:r w:rsidRPr="00EF02D2">
          <w:rPr>
            <w:rStyle w:val="Hyperlink"/>
            <w:noProof/>
          </w:rPr>
          <w:t>INTRODUCTION</w:t>
        </w:r>
        <w:r>
          <w:rPr>
            <w:noProof/>
            <w:webHidden/>
          </w:rPr>
          <w:tab/>
        </w:r>
        <w:r>
          <w:rPr>
            <w:noProof/>
            <w:webHidden/>
          </w:rPr>
          <w:fldChar w:fldCharType="begin"/>
        </w:r>
        <w:r>
          <w:rPr>
            <w:noProof/>
            <w:webHidden/>
          </w:rPr>
          <w:instrText xml:space="preserve"> PAGEREF _Toc123855471 \h </w:instrText>
        </w:r>
        <w:r>
          <w:rPr>
            <w:noProof/>
            <w:webHidden/>
          </w:rPr>
        </w:r>
        <w:r>
          <w:rPr>
            <w:noProof/>
            <w:webHidden/>
          </w:rPr>
          <w:fldChar w:fldCharType="separate"/>
        </w:r>
        <w:r>
          <w:rPr>
            <w:noProof/>
            <w:webHidden/>
          </w:rPr>
          <w:t>1</w:t>
        </w:r>
        <w:r>
          <w:rPr>
            <w:noProof/>
            <w:webHidden/>
          </w:rPr>
          <w:fldChar w:fldCharType="end"/>
        </w:r>
      </w:hyperlink>
    </w:p>
    <w:p w14:paraId="6D3555BF" w14:textId="77777777" w:rsidR="00C74CE0" w:rsidRDefault="00C74CE0" w:rsidP="00C74CE0">
      <w:pPr>
        <w:pStyle w:val="TOC1"/>
        <w:tabs>
          <w:tab w:val="right" w:leader="dot" w:pos="9350"/>
        </w:tabs>
        <w:rPr>
          <w:rFonts w:asciiTheme="minorHAnsi" w:eastAsiaTheme="minorEastAsia" w:hAnsiTheme="minorHAnsi" w:cstheme="minorBidi"/>
          <w:noProof/>
          <w:color w:val="auto"/>
          <w:sz w:val="22"/>
          <w:lang w:val="en-US" w:eastAsia="en-US"/>
        </w:rPr>
      </w:pPr>
      <w:hyperlink w:anchor="_Toc123855472" w:history="1">
        <w:r w:rsidRPr="00EF02D2">
          <w:rPr>
            <w:rStyle w:val="Hyperlink"/>
            <w:noProof/>
          </w:rPr>
          <w:t>MAIN BODY</w:t>
        </w:r>
        <w:r>
          <w:rPr>
            <w:noProof/>
            <w:webHidden/>
          </w:rPr>
          <w:tab/>
        </w:r>
        <w:r>
          <w:rPr>
            <w:noProof/>
            <w:webHidden/>
          </w:rPr>
          <w:fldChar w:fldCharType="begin"/>
        </w:r>
        <w:r>
          <w:rPr>
            <w:noProof/>
            <w:webHidden/>
          </w:rPr>
          <w:instrText xml:space="preserve"> PAGEREF _Toc123855472 \h </w:instrText>
        </w:r>
        <w:r>
          <w:rPr>
            <w:noProof/>
            <w:webHidden/>
          </w:rPr>
        </w:r>
        <w:r>
          <w:rPr>
            <w:noProof/>
            <w:webHidden/>
          </w:rPr>
          <w:fldChar w:fldCharType="separate"/>
        </w:r>
        <w:r>
          <w:rPr>
            <w:noProof/>
            <w:webHidden/>
          </w:rPr>
          <w:t>1</w:t>
        </w:r>
        <w:r>
          <w:rPr>
            <w:noProof/>
            <w:webHidden/>
          </w:rPr>
          <w:fldChar w:fldCharType="end"/>
        </w:r>
      </w:hyperlink>
    </w:p>
    <w:p w14:paraId="322765FE" w14:textId="77777777" w:rsidR="00C74CE0" w:rsidRDefault="00C74CE0" w:rsidP="00C74CE0">
      <w:pPr>
        <w:pStyle w:val="TOC2"/>
        <w:tabs>
          <w:tab w:val="right" w:leader="dot" w:pos="9350"/>
        </w:tabs>
        <w:rPr>
          <w:rFonts w:asciiTheme="minorHAnsi" w:eastAsiaTheme="minorEastAsia" w:hAnsiTheme="minorHAnsi" w:cstheme="minorBidi"/>
          <w:noProof/>
          <w:color w:val="auto"/>
          <w:sz w:val="22"/>
          <w:lang w:val="en-US" w:eastAsia="en-US"/>
        </w:rPr>
      </w:pPr>
      <w:hyperlink w:anchor="_Toc123855473" w:history="1">
        <w:r w:rsidRPr="00EF02D2">
          <w:rPr>
            <w:rStyle w:val="Hyperlink"/>
            <w:noProof/>
          </w:rPr>
          <w:t>Projects in the common wealth games</w:t>
        </w:r>
        <w:r>
          <w:rPr>
            <w:noProof/>
            <w:webHidden/>
          </w:rPr>
          <w:tab/>
        </w:r>
        <w:r>
          <w:rPr>
            <w:noProof/>
            <w:webHidden/>
          </w:rPr>
          <w:fldChar w:fldCharType="begin"/>
        </w:r>
        <w:r>
          <w:rPr>
            <w:noProof/>
            <w:webHidden/>
          </w:rPr>
          <w:instrText xml:space="preserve"> PAGEREF _Toc123855473 \h </w:instrText>
        </w:r>
        <w:r>
          <w:rPr>
            <w:noProof/>
            <w:webHidden/>
          </w:rPr>
        </w:r>
        <w:r>
          <w:rPr>
            <w:noProof/>
            <w:webHidden/>
          </w:rPr>
          <w:fldChar w:fldCharType="separate"/>
        </w:r>
        <w:r>
          <w:rPr>
            <w:noProof/>
            <w:webHidden/>
          </w:rPr>
          <w:t>1</w:t>
        </w:r>
        <w:r>
          <w:rPr>
            <w:noProof/>
            <w:webHidden/>
          </w:rPr>
          <w:fldChar w:fldCharType="end"/>
        </w:r>
      </w:hyperlink>
    </w:p>
    <w:p w14:paraId="2C808071" w14:textId="77777777" w:rsidR="00C74CE0" w:rsidRDefault="00C74CE0" w:rsidP="00C74CE0">
      <w:pPr>
        <w:pStyle w:val="TOC2"/>
        <w:tabs>
          <w:tab w:val="right" w:leader="dot" w:pos="9350"/>
        </w:tabs>
        <w:rPr>
          <w:rFonts w:asciiTheme="minorHAnsi" w:eastAsiaTheme="minorEastAsia" w:hAnsiTheme="minorHAnsi" w:cstheme="minorBidi"/>
          <w:noProof/>
          <w:color w:val="auto"/>
          <w:sz w:val="22"/>
          <w:lang w:val="en-US" w:eastAsia="en-US"/>
        </w:rPr>
      </w:pPr>
      <w:hyperlink w:anchor="_Toc123855474" w:history="1">
        <w:r w:rsidRPr="00EF02D2">
          <w:rPr>
            <w:rStyle w:val="Hyperlink"/>
            <w:noProof/>
          </w:rPr>
          <w:t>Community engagement</w:t>
        </w:r>
        <w:r>
          <w:rPr>
            <w:noProof/>
            <w:webHidden/>
          </w:rPr>
          <w:tab/>
        </w:r>
        <w:r>
          <w:rPr>
            <w:noProof/>
            <w:webHidden/>
          </w:rPr>
          <w:fldChar w:fldCharType="begin"/>
        </w:r>
        <w:r>
          <w:rPr>
            <w:noProof/>
            <w:webHidden/>
          </w:rPr>
          <w:instrText xml:space="preserve"> PAGEREF _Toc123855474 \h </w:instrText>
        </w:r>
        <w:r>
          <w:rPr>
            <w:noProof/>
            <w:webHidden/>
          </w:rPr>
        </w:r>
        <w:r>
          <w:rPr>
            <w:noProof/>
            <w:webHidden/>
          </w:rPr>
          <w:fldChar w:fldCharType="separate"/>
        </w:r>
        <w:r>
          <w:rPr>
            <w:noProof/>
            <w:webHidden/>
          </w:rPr>
          <w:t>1</w:t>
        </w:r>
        <w:r>
          <w:rPr>
            <w:noProof/>
            <w:webHidden/>
          </w:rPr>
          <w:fldChar w:fldCharType="end"/>
        </w:r>
      </w:hyperlink>
    </w:p>
    <w:p w14:paraId="58CC273F" w14:textId="77777777" w:rsidR="00C74CE0" w:rsidRDefault="00C74CE0" w:rsidP="00C74CE0">
      <w:pPr>
        <w:pStyle w:val="TOC2"/>
        <w:tabs>
          <w:tab w:val="right" w:leader="dot" w:pos="9350"/>
        </w:tabs>
        <w:rPr>
          <w:rFonts w:asciiTheme="minorHAnsi" w:eastAsiaTheme="minorEastAsia" w:hAnsiTheme="minorHAnsi" w:cstheme="minorBidi"/>
          <w:noProof/>
          <w:color w:val="auto"/>
          <w:sz w:val="22"/>
          <w:lang w:val="en-US" w:eastAsia="en-US"/>
        </w:rPr>
      </w:pPr>
      <w:hyperlink w:anchor="_Toc123855475" w:history="1">
        <w:r w:rsidRPr="00EF02D2">
          <w:rPr>
            <w:rStyle w:val="Hyperlink"/>
            <w:noProof/>
          </w:rPr>
          <w:t>Reflect on what could have been done differently and why?</w:t>
        </w:r>
        <w:r>
          <w:rPr>
            <w:noProof/>
            <w:webHidden/>
          </w:rPr>
          <w:tab/>
        </w:r>
        <w:r>
          <w:rPr>
            <w:noProof/>
            <w:webHidden/>
          </w:rPr>
          <w:fldChar w:fldCharType="begin"/>
        </w:r>
        <w:r>
          <w:rPr>
            <w:noProof/>
            <w:webHidden/>
          </w:rPr>
          <w:instrText xml:space="preserve"> PAGEREF _Toc123855475 \h </w:instrText>
        </w:r>
        <w:r>
          <w:rPr>
            <w:noProof/>
            <w:webHidden/>
          </w:rPr>
        </w:r>
        <w:r>
          <w:rPr>
            <w:noProof/>
            <w:webHidden/>
          </w:rPr>
          <w:fldChar w:fldCharType="separate"/>
        </w:r>
        <w:r>
          <w:rPr>
            <w:noProof/>
            <w:webHidden/>
          </w:rPr>
          <w:t>2</w:t>
        </w:r>
        <w:r>
          <w:rPr>
            <w:noProof/>
            <w:webHidden/>
          </w:rPr>
          <w:fldChar w:fldCharType="end"/>
        </w:r>
      </w:hyperlink>
    </w:p>
    <w:p w14:paraId="2B0A7E92" w14:textId="77777777" w:rsidR="00C74CE0" w:rsidRDefault="00C74CE0" w:rsidP="00C74CE0">
      <w:pPr>
        <w:pStyle w:val="TOC2"/>
        <w:tabs>
          <w:tab w:val="right" w:leader="dot" w:pos="9350"/>
        </w:tabs>
        <w:rPr>
          <w:rFonts w:asciiTheme="minorHAnsi" w:eastAsiaTheme="minorEastAsia" w:hAnsiTheme="minorHAnsi" w:cstheme="minorBidi"/>
          <w:noProof/>
          <w:color w:val="auto"/>
          <w:sz w:val="22"/>
          <w:lang w:val="en-US" w:eastAsia="en-US"/>
        </w:rPr>
      </w:pPr>
      <w:hyperlink w:anchor="_Toc123855476" w:history="1">
        <w:r w:rsidRPr="00EF02D2">
          <w:rPr>
            <w:rStyle w:val="Hyperlink"/>
            <w:noProof/>
          </w:rPr>
          <w:t>Impact of active consultation, communication, stakeholders’ participation, and inclusion</w:t>
        </w:r>
        <w:r>
          <w:rPr>
            <w:noProof/>
            <w:webHidden/>
          </w:rPr>
          <w:tab/>
        </w:r>
        <w:r>
          <w:rPr>
            <w:noProof/>
            <w:webHidden/>
          </w:rPr>
          <w:fldChar w:fldCharType="begin"/>
        </w:r>
        <w:r>
          <w:rPr>
            <w:noProof/>
            <w:webHidden/>
          </w:rPr>
          <w:instrText xml:space="preserve"> PAGEREF _Toc123855476 \h </w:instrText>
        </w:r>
        <w:r>
          <w:rPr>
            <w:noProof/>
            <w:webHidden/>
          </w:rPr>
        </w:r>
        <w:r>
          <w:rPr>
            <w:noProof/>
            <w:webHidden/>
          </w:rPr>
          <w:fldChar w:fldCharType="separate"/>
        </w:r>
        <w:r>
          <w:rPr>
            <w:noProof/>
            <w:webHidden/>
          </w:rPr>
          <w:t>2</w:t>
        </w:r>
        <w:r>
          <w:rPr>
            <w:noProof/>
            <w:webHidden/>
          </w:rPr>
          <w:fldChar w:fldCharType="end"/>
        </w:r>
      </w:hyperlink>
    </w:p>
    <w:p w14:paraId="4CA662FB" w14:textId="77777777" w:rsidR="00C74CE0" w:rsidRDefault="00C74CE0" w:rsidP="00C74CE0">
      <w:pPr>
        <w:pStyle w:val="TOC2"/>
        <w:tabs>
          <w:tab w:val="right" w:leader="dot" w:pos="9350"/>
        </w:tabs>
        <w:rPr>
          <w:rFonts w:asciiTheme="minorHAnsi" w:eastAsiaTheme="minorEastAsia" w:hAnsiTheme="minorHAnsi" w:cstheme="minorBidi"/>
          <w:noProof/>
          <w:color w:val="auto"/>
          <w:sz w:val="22"/>
          <w:lang w:val="en-US" w:eastAsia="en-US"/>
        </w:rPr>
      </w:pPr>
      <w:hyperlink w:anchor="_Toc123855477" w:history="1">
        <w:r w:rsidRPr="00EF02D2">
          <w:rPr>
            <w:rStyle w:val="Hyperlink"/>
            <w:noProof/>
          </w:rPr>
          <w:t>Analysis of the research that has been conducted describing community mapping, social engagement through social media platforms, impact analysis justifying the best practices</w:t>
        </w:r>
        <w:r>
          <w:rPr>
            <w:noProof/>
            <w:webHidden/>
          </w:rPr>
          <w:tab/>
        </w:r>
        <w:r>
          <w:rPr>
            <w:noProof/>
            <w:webHidden/>
          </w:rPr>
          <w:fldChar w:fldCharType="begin"/>
        </w:r>
        <w:r>
          <w:rPr>
            <w:noProof/>
            <w:webHidden/>
          </w:rPr>
          <w:instrText xml:space="preserve"> PAGEREF _Toc123855477 \h </w:instrText>
        </w:r>
        <w:r>
          <w:rPr>
            <w:noProof/>
            <w:webHidden/>
          </w:rPr>
        </w:r>
        <w:r>
          <w:rPr>
            <w:noProof/>
            <w:webHidden/>
          </w:rPr>
          <w:fldChar w:fldCharType="separate"/>
        </w:r>
        <w:r>
          <w:rPr>
            <w:noProof/>
            <w:webHidden/>
          </w:rPr>
          <w:t>3</w:t>
        </w:r>
        <w:r>
          <w:rPr>
            <w:noProof/>
            <w:webHidden/>
          </w:rPr>
          <w:fldChar w:fldCharType="end"/>
        </w:r>
      </w:hyperlink>
    </w:p>
    <w:p w14:paraId="26301D03" w14:textId="77777777" w:rsidR="00C74CE0" w:rsidRDefault="00C74CE0" w:rsidP="00C74CE0">
      <w:pPr>
        <w:pStyle w:val="TOC2"/>
        <w:tabs>
          <w:tab w:val="right" w:leader="dot" w:pos="9350"/>
        </w:tabs>
        <w:rPr>
          <w:rFonts w:asciiTheme="minorHAnsi" w:eastAsiaTheme="minorEastAsia" w:hAnsiTheme="minorHAnsi" w:cstheme="minorBidi"/>
          <w:noProof/>
          <w:color w:val="auto"/>
          <w:sz w:val="22"/>
          <w:lang w:val="en-US" w:eastAsia="en-US"/>
        </w:rPr>
      </w:pPr>
      <w:hyperlink w:anchor="_Toc123855478" w:history="1">
        <w:r w:rsidRPr="00EF02D2">
          <w:rPr>
            <w:rStyle w:val="Hyperlink"/>
            <w:noProof/>
          </w:rPr>
          <w:t>Best social media practices to boost the network of these games</w:t>
        </w:r>
        <w:r>
          <w:rPr>
            <w:noProof/>
            <w:webHidden/>
          </w:rPr>
          <w:tab/>
        </w:r>
        <w:r>
          <w:rPr>
            <w:noProof/>
            <w:webHidden/>
          </w:rPr>
          <w:fldChar w:fldCharType="begin"/>
        </w:r>
        <w:r>
          <w:rPr>
            <w:noProof/>
            <w:webHidden/>
          </w:rPr>
          <w:instrText xml:space="preserve"> PAGEREF _Toc123855478 \h </w:instrText>
        </w:r>
        <w:r>
          <w:rPr>
            <w:noProof/>
            <w:webHidden/>
          </w:rPr>
        </w:r>
        <w:r>
          <w:rPr>
            <w:noProof/>
            <w:webHidden/>
          </w:rPr>
          <w:fldChar w:fldCharType="separate"/>
        </w:r>
        <w:r>
          <w:rPr>
            <w:noProof/>
            <w:webHidden/>
          </w:rPr>
          <w:t>4</w:t>
        </w:r>
        <w:r>
          <w:rPr>
            <w:noProof/>
            <w:webHidden/>
          </w:rPr>
          <w:fldChar w:fldCharType="end"/>
        </w:r>
      </w:hyperlink>
    </w:p>
    <w:p w14:paraId="1ED5D029" w14:textId="77777777" w:rsidR="00C74CE0" w:rsidRDefault="00C74CE0" w:rsidP="00C74CE0">
      <w:pPr>
        <w:pStyle w:val="TOC1"/>
        <w:tabs>
          <w:tab w:val="right" w:leader="dot" w:pos="9350"/>
        </w:tabs>
        <w:rPr>
          <w:rFonts w:asciiTheme="minorHAnsi" w:eastAsiaTheme="minorEastAsia" w:hAnsiTheme="minorHAnsi" w:cstheme="minorBidi"/>
          <w:noProof/>
          <w:color w:val="auto"/>
          <w:sz w:val="22"/>
          <w:lang w:val="en-US" w:eastAsia="en-US"/>
        </w:rPr>
      </w:pPr>
      <w:hyperlink w:anchor="_Toc123855479" w:history="1">
        <w:r w:rsidRPr="00EF02D2">
          <w:rPr>
            <w:rStyle w:val="Hyperlink"/>
            <w:noProof/>
          </w:rPr>
          <w:t>CONCLUSION</w:t>
        </w:r>
        <w:r>
          <w:rPr>
            <w:noProof/>
            <w:webHidden/>
          </w:rPr>
          <w:tab/>
        </w:r>
        <w:r>
          <w:rPr>
            <w:noProof/>
            <w:webHidden/>
          </w:rPr>
          <w:fldChar w:fldCharType="begin"/>
        </w:r>
        <w:r>
          <w:rPr>
            <w:noProof/>
            <w:webHidden/>
          </w:rPr>
          <w:instrText xml:space="preserve"> PAGEREF _Toc123855479 \h </w:instrText>
        </w:r>
        <w:r>
          <w:rPr>
            <w:noProof/>
            <w:webHidden/>
          </w:rPr>
        </w:r>
        <w:r>
          <w:rPr>
            <w:noProof/>
            <w:webHidden/>
          </w:rPr>
          <w:fldChar w:fldCharType="separate"/>
        </w:r>
        <w:r>
          <w:rPr>
            <w:noProof/>
            <w:webHidden/>
          </w:rPr>
          <w:t>4</w:t>
        </w:r>
        <w:r>
          <w:rPr>
            <w:noProof/>
            <w:webHidden/>
          </w:rPr>
          <w:fldChar w:fldCharType="end"/>
        </w:r>
      </w:hyperlink>
    </w:p>
    <w:p w14:paraId="0B9F8718" w14:textId="77777777" w:rsidR="00C74CE0" w:rsidRDefault="00C74CE0" w:rsidP="00C74CE0">
      <w:pPr>
        <w:pStyle w:val="TOC1"/>
        <w:tabs>
          <w:tab w:val="right" w:leader="dot" w:pos="9350"/>
        </w:tabs>
        <w:rPr>
          <w:rFonts w:asciiTheme="minorHAnsi" w:eastAsiaTheme="minorEastAsia" w:hAnsiTheme="minorHAnsi" w:cstheme="minorBidi"/>
          <w:noProof/>
          <w:color w:val="auto"/>
          <w:sz w:val="22"/>
          <w:lang w:val="en-US" w:eastAsia="en-US"/>
        </w:rPr>
      </w:pPr>
      <w:hyperlink w:anchor="_Toc123855480" w:history="1">
        <w:r w:rsidRPr="00EF02D2">
          <w:rPr>
            <w:rStyle w:val="Hyperlink"/>
            <w:noProof/>
          </w:rPr>
          <w:t>REFERENCES</w:t>
        </w:r>
        <w:r>
          <w:rPr>
            <w:noProof/>
            <w:webHidden/>
          </w:rPr>
          <w:tab/>
        </w:r>
        <w:r>
          <w:rPr>
            <w:noProof/>
            <w:webHidden/>
          </w:rPr>
          <w:fldChar w:fldCharType="begin"/>
        </w:r>
        <w:r>
          <w:rPr>
            <w:noProof/>
            <w:webHidden/>
          </w:rPr>
          <w:instrText xml:space="preserve"> PAGEREF _Toc123855480 \h </w:instrText>
        </w:r>
        <w:r>
          <w:rPr>
            <w:noProof/>
            <w:webHidden/>
          </w:rPr>
        </w:r>
        <w:r>
          <w:rPr>
            <w:noProof/>
            <w:webHidden/>
          </w:rPr>
          <w:fldChar w:fldCharType="separate"/>
        </w:r>
        <w:r>
          <w:rPr>
            <w:noProof/>
            <w:webHidden/>
          </w:rPr>
          <w:t>5</w:t>
        </w:r>
        <w:r>
          <w:rPr>
            <w:noProof/>
            <w:webHidden/>
          </w:rPr>
          <w:fldChar w:fldCharType="end"/>
        </w:r>
      </w:hyperlink>
    </w:p>
    <w:p w14:paraId="020E612A" w14:textId="77777777" w:rsidR="00C74CE0" w:rsidRDefault="00C74CE0" w:rsidP="00C74CE0">
      <w:pPr>
        <w:rPr>
          <w:b/>
          <w:bCs/>
          <w:lang w:val="en-US"/>
        </w:rPr>
      </w:pPr>
      <w:r>
        <w:fldChar w:fldCharType="end"/>
      </w:r>
    </w:p>
    <w:p w14:paraId="3763D8C3" w14:textId="77777777" w:rsidR="00C74CE0" w:rsidRPr="00C74CE0" w:rsidRDefault="00C74CE0" w:rsidP="00C74CE0">
      <w:pPr>
        <w:pStyle w:val="Heading1"/>
        <w:numPr>
          <w:ilvl w:val="0"/>
          <w:numId w:val="1"/>
        </w:numPr>
        <w:tabs>
          <w:tab w:val="clear" w:pos="0"/>
        </w:tabs>
        <w:ind w:left="0" w:firstLine="0"/>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23855471"/>
      <w:r w:rsidRPr="00C74CE0">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1"/>
    </w:p>
    <w:p w14:paraId="0C7F8F2E" w14:textId="457C714D" w:rsidR="00C74CE0" w:rsidRPr="00C74CE0" w:rsidRDefault="00C74CE0" w:rsidP="00C74CE0">
      <w:pPr>
        <w:ind w:left="840" w:hanging="840"/>
        <w:rPr>
          <w:sz w:val="28"/>
          <w:szCs w:val="28"/>
        </w:rPr>
      </w:pPr>
      <w:r>
        <w:tab/>
      </w:r>
      <w:r w:rsidRPr="00C74CE0">
        <w:rPr>
          <w:sz w:val="28"/>
          <w:szCs w:val="28"/>
        </w:rPr>
        <w:t xml:space="preserve">Community engagement is defined as the process of working together with as well as by groups of people which is affiliated by geographic proximity, special </w:t>
      </w:r>
      <w:r w:rsidR="002E5091" w:rsidRPr="00C74CE0">
        <w:rPr>
          <w:sz w:val="28"/>
          <w:szCs w:val="28"/>
        </w:rPr>
        <w:t>interest,</w:t>
      </w:r>
      <w:r w:rsidRPr="00C74CE0">
        <w:rPr>
          <w:sz w:val="28"/>
          <w:szCs w:val="28"/>
        </w:rPr>
        <w:t xml:space="preserve"> or similar situations to identify issues that affects the well-being of the people. It refers to the participation in a company with the purpose to welfare of community or society </w:t>
      </w:r>
      <w:r w:rsidRPr="00C74CE0">
        <w:rPr>
          <w:sz w:val="28"/>
          <w:szCs w:val="28"/>
          <w:shd w:val="clear" w:color="auto" w:fill="FFFFFF"/>
        </w:rPr>
        <w:t>(McLaverty, 2017)</w:t>
      </w:r>
      <w:r w:rsidRPr="00C74CE0">
        <w:rPr>
          <w:sz w:val="28"/>
          <w:szCs w:val="28"/>
        </w:rPr>
        <w:t xml:space="preserve">. </w:t>
      </w:r>
      <w:r w:rsidR="002E5091" w:rsidRPr="00C74CE0">
        <w:rPr>
          <w:sz w:val="28"/>
          <w:szCs w:val="28"/>
        </w:rPr>
        <w:t>To</w:t>
      </w:r>
      <w:r w:rsidRPr="00C74CE0">
        <w:rPr>
          <w:sz w:val="28"/>
          <w:szCs w:val="28"/>
        </w:rPr>
        <w:t xml:space="preserve"> analyse the best practices of community engagement, </w:t>
      </w:r>
      <w:r w:rsidR="002E5091" w:rsidRPr="00C74CE0">
        <w:rPr>
          <w:sz w:val="28"/>
          <w:szCs w:val="28"/>
        </w:rPr>
        <w:t>Commonwealth</w:t>
      </w:r>
      <w:r w:rsidRPr="00C74CE0">
        <w:rPr>
          <w:sz w:val="28"/>
          <w:szCs w:val="28"/>
        </w:rPr>
        <w:t xml:space="preserve"> games in Birmingham is the selected event which is organised by the committee on a huge scale. The </w:t>
      </w:r>
      <w:r w:rsidR="002E5091" w:rsidRPr="00C74CE0">
        <w:rPr>
          <w:sz w:val="28"/>
          <w:szCs w:val="28"/>
        </w:rPr>
        <w:t>Commonwealth</w:t>
      </w:r>
      <w:r w:rsidRPr="00C74CE0">
        <w:rPr>
          <w:sz w:val="28"/>
          <w:szCs w:val="28"/>
        </w:rPr>
        <w:t xml:space="preserve"> games was held in July and August 2022, in Birmingham, it is one of the largest multi-sport </w:t>
      </w:r>
      <w:r w:rsidR="002E5091" w:rsidRPr="00C74CE0">
        <w:rPr>
          <w:sz w:val="28"/>
          <w:szCs w:val="28"/>
        </w:rPr>
        <w:t>events</w:t>
      </w:r>
      <w:r w:rsidRPr="00C74CE0">
        <w:rPr>
          <w:sz w:val="28"/>
          <w:szCs w:val="28"/>
        </w:rPr>
        <w:t xml:space="preserve"> which is organised in England in 10 years. The event takes place in 15 venues across Birmingham, the West Midlands and London. There were total of 19 different sports, these games entertained more than 1.5 million ticketed spectators. It also includes 9 different festival sites which hosted in different places. People from outside the country come to watch the event as it is organised on a large scale. This event has impacted positive on the country as well, as people are now aware about the place along with event and the people who organised this event. </w:t>
      </w:r>
    </w:p>
    <w:p w14:paraId="14A48A97" w14:textId="0A719622" w:rsidR="00C74CE0" w:rsidRPr="00C74CE0" w:rsidRDefault="00C74CE0" w:rsidP="00C74CE0">
      <w:pPr>
        <w:ind w:firstLine="432"/>
        <w:rPr>
          <w:sz w:val="28"/>
          <w:szCs w:val="28"/>
        </w:rPr>
      </w:pPr>
      <w:r w:rsidRPr="00C74CE0">
        <w:rPr>
          <w:sz w:val="28"/>
          <w:szCs w:val="28"/>
        </w:rPr>
        <w:lastRenderedPageBreak/>
        <w:t xml:space="preserve">The report highlights a reflection report on </w:t>
      </w:r>
      <w:r w:rsidR="002E5091" w:rsidRPr="00C74CE0">
        <w:rPr>
          <w:sz w:val="28"/>
          <w:szCs w:val="28"/>
        </w:rPr>
        <w:t>commonwealth</w:t>
      </w:r>
      <w:r w:rsidRPr="00C74CE0">
        <w:rPr>
          <w:sz w:val="28"/>
          <w:szCs w:val="28"/>
        </w:rPr>
        <w:t xml:space="preserve"> games which was held in Birmingham. Proper research was done </w:t>
      </w:r>
      <w:r w:rsidR="002E5091" w:rsidRPr="00C74CE0">
        <w:rPr>
          <w:sz w:val="28"/>
          <w:szCs w:val="28"/>
        </w:rPr>
        <w:t>to</w:t>
      </w:r>
      <w:r w:rsidRPr="00C74CE0">
        <w:rPr>
          <w:sz w:val="28"/>
          <w:szCs w:val="28"/>
        </w:rPr>
        <w:t xml:space="preserve"> organise this event as it was held on a hue scale. </w:t>
      </w:r>
    </w:p>
    <w:p w14:paraId="33716135" w14:textId="77777777" w:rsidR="00C74CE0" w:rsidRPr="00C74CE0" w:rsidRDefault="00C74CE0" w:rsidP="00C74CE0">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23855472"/>
      <w:r w:rsidRPr="00C74CE0">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 BODY</w:t>
      </w:r>
      <w:bookmarkEnd w:id="2"/>
    </w:p>
    <w:p w14:paraId="1FAAFB6F" w14:textId="163070B1" w:rsidR="00C74CE0" w:rsidRPr="00C74CE0" w:rsidRDefault="00C74CE0" w:rsidP="00C74CE0">
      <w:pPr>
        <w:pStyle w:val="Heading2"/>
        <w:rPr>
          <w:b/>
          <w:bCs w:val="0"/>
          <w:sz w:val="28"/>
          <w:szCs w:val="28"/>
        </w:rPr>
      </w:pPr>
      <w:bookmarkStart w:id="3" w:name="_Toc123855473"/>
      <w:r w:rsidRPr="00C74CE0">
        <w:rPr>
          <w:b/>
          <w:bCs w:val="0"/>
          <w:sz w:val="28"/>
          <w:szCs w:val="28"/>
        </w:rPr>
        <w:t xml:space="preserve">Projects in the </w:t>
      </w:r>
      <w:r w:rsidR="002E5091" w:rsidRPr="00C74CE0">
        <w:rPr>
          <w:b/>
          <w:bCs w:val="0"/>
          <w:sz w:val="28"/>
          <w:szCs w:val="28"/>
        </w:rPr>
        <w:t>commonwealth</w:t>
      </w:r>
      <w:r w:rsidRPr="00C74CE0">
        <w:rPr>
          <w:b/>
          <w:bCs w:val="0"/>
          <w:sz w:val="28"/>
          <w:szCs w:val="28"/>
        </w:rPr>
        <w:t xml:space="preserve"> games</w:t>
      </w:r>
      <w:bookmarkEnd w:id="3"/>
    </w:p>
    <w:p w14:paraId="7D7C883E" w14:textId="0FD4431E" w:rsidR="00C74CE0" w:rsidRPr="002E5091" w:rsidRDefault="00C74CE0" w:rsidP="00C74CE0">
      <w:pPr>
        <w:rPr>
          <w:sz w:val="28"/>
          <w:szCs w:val="28"/>
        </w:rPr>
      </w:pPr>
      <w:r>
        <w:tab/>
      </w:r>
      <w:r w:rsidRPr="002E5091">
        <w:rPr>
          <w:sz w:val="28"/>
          <w:szCs w:val="28"/>
        </w:rPr>
        <w:t xml:space="preserve">Organising committee in Birmingham responsible for planning and operating delivery of the planned games. Projects in the </w:t>
      </w:r>
      <w:r w:rsidR="002E5091" w:rsidRPr="002E5091">
        <w:rPr>
          <w:sz w:val="28"/>
          <w:szCs w:val="28"/>
        </w:rPr>
        <w:t>commonwealth</w:t>
      </w:r>
      <w:r w:rsidRPr="002E5091">
        <w:rPr>
          <w:sz w:val="28"/>
          <w:szCs w:val="28"/>
        </w:rPr>
        <w:t xml:space="preserve"> games consists of sport, competition management, venue, sale of tickets, ceremonies from day one to the </w:t>
      </w:r>
      <w:r w:rsidR="002E5091" w:rsidRPr="002E5091">
        <w:rPr>
          <w:sz w:val="28"/>
          <w:szCs w:val="28"/>
        </w:rPr>
        <w:t>head</w:t>
      </w:r>
      <w:r w:rsidRPr="002E5091">
        <w:rPr>
          <w:sz w:val="28"/>
          <w:szCs w:val="28"/>
        </w:rPr>
        <w:t xml:space="preserve"> of investiture. </w:t>
      </w:r>
      <w:r w:rsidR="002E5091" w:rsidRPr="002E5091">
        <w:rPr>
          <w:sz w:val="28"/>
          <w:szCs w:val="28"/>
        </w:rPr>
        <w:t>To</w:t>
      </w:r>
      <w:r w:rsidRPr="002E5091">
        <w:rPr>
          <w:sz w:val="28"/>
          <w:szCs w:val="28"/>
        </w:rPr>
        <w:t xml:space="preserve"> make complete projects effectively, organising committee trying to build new </w:t>
      </w:r>
      <w:r w:rsidR="002E5091" w:rsidRPr="002E5091">
        <w:rPr>
          <w:sz w:val="28"/>
          <w:szCs w:val="28"/>
        </w:rPr>
        <w:t>infrastructure</w:t>
      </w:r>
      <w:r w:rsidRPr="002E5091">
        <w:rPr>
          <w:sz w:val="28"/>
          <w:szCs w:val="28"/>
        </w:rPr>
        <w:t xml:space="preserve"> so that programme can be held. What I analyse that organising committee did their best to make this event happen. </w:t>
      </w:r>
    </w:p>
    <w:p w14:paraId="2D83B832" w14:textId="77777777" w:rsidR="00C74CE0" w:rsidRPr="002E5091" w:rsidRDefault="00C74CE0" w:rsidP="00C74CE0">
      <w:pPr>
        <w:pStyle w:val="Heading2"/>
        <w:rPr>
          <w:b/>
          <w:bCs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23855474"/>
      <w:r w:rsidRPr="002E5091">
        <w:rPr>
          <w:b/>
          <w:bCs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 engagement</w:t>
      </w:r>
      <w:bookmarkEnd w:id="4"/>
    </w:p>
    <w:p w14:paraId="313E31CD" w14:textId="5423A6C7" w:rsidR="00C74CE0" w:rsidRPr="002E5091" w:rsidRDefault="00C74CE0" w:rsidP="00C74CE0">
      <w:pPr>
        <w:ind w:firstLine="360"/>
        <w:rPr>
          <w:sz w:val="28"/>
          <w:szCs w:val="28"/>
        </w:rPr>
      </w:pPr>
      <w:r w:rsidRPr="002E5091">
        <w:rPr>
          <w:sz w:val="28"/>
          <w:szCs w:val="28"/>
        </w:rPr>
        <w:t xml:space="preserve">It has been analysed that organising committee made best practices as well as approaches for community engagement. Community </w:t>
      </w:r>
      <w:r w:rsidR="002E5091" w:rsidRPr="002E5091">
        <w:rPr>
          <w:sz w:val="28"/>
          <w:szCs w:val="28"/>
        </w:rPr>
        <w:t>players</w:t>
      </w:r>
      <w:r w:rsidRPr="002E5091">
        <w:rPr>
          <w:sz w:val="28"/>
          <w:szCs w:val="28"/>
        </w:rPr>
        <w:t xml:space="preserve"> an important role in any event as they are the heart and blood of this. A community works as a thready where people are bought together to advocate and support each other. Community engagement refers to the process of strategic implication where people are </w:t>
      </w:r>
      <w:r w:rsidR="002E5091" w:rsidRPr="002E5091">
        <w:rPr>
          <w:sz w:val="28"/>
          <w:szCs w:val="28"/>
        </w:rPr>
        <w:t>bringing</w:t>
      </w:r>
      <w:r w:rsidRPr="002E5091">
        <w:rPr>
          <w:sz w:val="28"/>
          <w:szCs w:val="28"/>
        </w:rPr>
        <w:t xml:space="preserve"> for specific purpose. There are several approaches which is being taken by the organising committee which are as follows:</w:t>
      </w:r>
    </w:p>
    <w:p w14:paraId="3A0964EF" w14:textId="1C0DB8E3" w:rsidR="00C74CE0" w:rsidRPr="002E5091" w:rsidRDefault="00C74CE0" w:rsidP="00C74CE0">
      <w:pPr>
        <w:numPr>
          <w:ilvl w:val="0"/>
          <w:numId w:val="2"/>
        </w:numPr>
        <w:suppressAutoHyphens/>
        <w:spacing w:after="0" w:line="360" w:lineRule="auto"/>
        <w:jc w:val="both"/>
        <w:rPr>
          <w:sz w:val="28"/>
          <w:szCs w:val="28"/>
        </w:rPr>
      </w:pPr>
      <w:r w:rsidRPr="002E5091">
        <w:rPr>
          <w:sz w:val="28"/>
          <w:szCs w:val="28"/>
        </w:rPr>
        <w:t xml:space="preserve">I have analysed and evaluated that they have planned resources accordingly so that community can be engaged in the event. Some of the planned practices was conduction of public meetings where they have tried </w:t>
      </w:r>
      <w:r w:rsidR="002E5091" w:rsidRPr="002E5091">
        <w:rPr>
          <w:sz w:val="28"/>
          <w:szCs w:val="28"/>
        </w:rPr>
        <w:t>to</w:t>
      </w:r>
      <w:r w:rsidRPr="002E5091">
        <w:rPr>
          <w:sz w:val="28"/>
          <w:szCs w:val="28"/>
        </w:rPr>
        <w:t xml:space="preserve"> engage the community. This practice is great </w:t>
      </w:r>
      <w:r w:rsidR="002E5091" w:rsidRPr="002E5091">
        <w:rPr>
          <w:sz w:val="28"/>
          <w:szCs w:val="28"/>
        </w:rPr>
        <w:t>initiative</w:t>
      </w:r>
      <w:r w:rsidRPr="002E5091">
        <w:rPr>
          <w:sz w:val="28"/>
          <w:szCs w:val="28"/>
        </w:rPr>
        <w:t xml:space="preserve"> which is more democratic and citizen focus approach. Public meetings are general way of gathering attention of many people in the community. </w:t>
      </w:r>
    </w:p>
    <w:p w14:paraId="1571E80A" w14:textId="5D521B4B" w:rsidR="00C74CE0" w:rsidRPr="002E5091" w:rsidRDefault="00C74CE0" w:rsidP="00C74CE0">
      <w:pPr>
        <w:numPr>
          <w:ilvl w:val="0"/>
          <w:numId w:val="2"/>
        </w:numPr>
        <w:suppressAutoHyphens/>
        <w:spacing w:after="0" w:line="360" w:lineRule="auto"/>
        <w:jc w:val="both"/>
        <w:rPr>
          <w:sz w:val="28"/>
          <w:szCs w:val="28"/>
        </w:rPr>
      </w:pPr>
      <w:r w:rsidRPr="002E5091">
        <w:rPr>
          <w:sz w:val="28"/>
          <w:szCs w:val="28"/>
        </w:rPr>
        <w:t xml:space="preserve">This is analysed by the promotion posters that they have made partnering with the big organisations and community members to involve them as a part of event. It is not easy to conduct such a big event in the country with gaining engagement of community </w:t>
      </w:r>
      <w:r w:rsidR="002E5091" w:rsidRPr="002E5091">
        <w:rPr>
          <w:sz w:val="28"/>
          <w:szCs w:val="28"/>
        </w:rPr>
        <w:t>to</w:t>
      </w:r>
      <w:r w:rsidRPr="002E5091">
        <w:rPr>
          <w:sz w:val="28"/>
          <w:szCs w:val="28"/>
        </w:rPr>
        <w:t xml:space="preserve"> complete </w:t>
      </w:r>
      <w:r w:rsidR="002E5091" w:rsidRPr="002E5091">
        <w:rPr>
          <w:sz w:val="28"/>
          <w:szCs w:val="28"/>
        </w:rPr>
        <w:t>commonwealth</w:t>
      </w:r>
      <w:r w:rsidRPr="002E5091">
        <w:rPr>
          <w:sz w:val="28"/>
          <w:szCs w:val="28"/>
        </w:rPr>
        <w:t xml:space="preserve"> games. </w:t>
      </w:r>
      <w:r w:rsidRPr="002E5091">
        <w:rPr>
          <w:sz w:val="28"/>
          <w:szCs w:val="28"/>
        </w:rPr>
        <w:lastRenderedPageBreak/>
        <w:t xml:space="preserve">Including community members and organisations can mitigate the issue of match fixing or any other problem. </w:t>
      </w:r>
    </w:p>
    <w:p w14:paraId="4DDF787C" w14:textId="77777777" w:rsidR="00C74CE0" w:rsidRPr="002E5091" w:rsidRDefault="00C74CE0" w:rsidP="00C74CE0">
      <w:pPr>
        <w:pStyle w:val="Heading2"/>
        <w:rPr>
          <w:b/>
          <w:bCs w:val="0"/>
          <w:sz w:val="28"/>
          <w:szCs w:val="28"/>
        </w:rPr>
      </w:pPr>
      <w:bookmarkStart w:id="5" w:name="_Toc123855475"/>
      <w:r w:rsidRPr="002E5091">
        <w:rPr>
          <w:b/>
          <w:bCs w:val="0"/>
          <w:sz w:val="28"/>
          <w:szCs w:val="28"/>
        </w:rPr>
        <w:t>Reflect on what could have been done differently and why?</w:t>
      </w:r>
      <w:bookmarkEnd w:id="5"/>
    </w:p>
    <w:p w14:paraId="111E1760" w14:textId="2892DDF5" w:rsidR="00C74CE0" w:rsidRPr="002E5091" w:rsidRDefault="00C74CE0" w:rsidP="00C74CE0">
      <w:pPr>
        <w:rPr>
          <w:sz w:val="28"/>
          <w:szCs w:val="28"/>
        </w:rPr>
      </w:pPr>
      <w:r>
        <w:tab/>
      </w:r>
      <w:r w:rsidRPr="002E5091">
        <w:rPr>
          <w:sz w:val="28"/>
          <w:szCs w:val="28"/>
        </w:rPr>
        <w:t xml:space="preserve">Community engagement makes and sustain the reality of an event where they </w:t>
      </w:r>
      <w:r w:rsidR="002E5091" w:rsidRPr="002E5091">
        <w:rPr>
          <w:sz w:val="28"/>
          <w:szCs w:val="28"/>
        </w:rPr>
        <w:t>play</w:t>
      </w:r>
      <w:r w:rsidRPr="002E5091">
        <w:rPr>
          <w:sz w:val="28"/>
          <w:szCs w:val="28"/>
        </w:rPr>
        <w:t xml:space="preserve"> an important role. Organising committee seeks to make good arrangement of community engagement </w:t>
      </w:r>
      <w:r w:rsidR="002E5091" w:rsidRPr="002E5091">
        <w:rPr>
          <w:sz w:val="28"/>
          <w:szCs w:val="28"/>
        </w:rPr>
        <w:t>to</w:t>
      </w:r>
      <w:r w:rsidRPr="002E5091">
        <w:rPr>
          <w:sz w:val="28"/>
          <w:szCs w:val="28"/>
        </w:rPr>
        <w:t xml:space="preserve"> attain sustainable outcome. There are some lacking which can be improved to make event effective. There are certain </w:t>
      </w:r>
      <w:r w:rsidR="002E5091" w:rsidRPr="002E5091">
        <w:rPr>
          <w:sz w:val="28"/>
          <w:szCs w:val="28"/>
        </w:rPr>
        <w:t>ways</w:t>
      </w:r>
      <w:r w:rsidRPr="002E5091">
        <w:rPr>
          <w:sz w:val="28"/>
          <w:szCs w:val="28"/>
        </w:rPr>
        <w:t xml:space="preserve"> or approach to make healthy community engagement. I have analysed that they lack in interaction with the people </w:t>
      </w:r>
      <w:r w:rsidR="002E5091" w:rsidRPr="002E5091">
        <w:rPr>
          <w:sz w:val="28"/>
          <w:szCs w:val="28"/>
        </w:rPr>
        <w:t>to</w:t>
      </w:r>
      <w:r w:rsidRPr="002E5091">
        <w:rPr>
          <w:sz w:val="28"/>
          <w:szCs w:val="28"/>
        </w:rPr>
        <w:t xml:space="preserve"> engage them. As per my point of view committee managers needs to become more responsive towards the work of engagement. Building more authentic connections with the people could be the best way of </w:t>
      </w:r>
      <w:r w:rsidR="002E5091" w:rsidRPr="002E5091">
        <w:rPr>
          <w:sz w:val="28"/>
          <w:szCs w:val="28"/>
        </w:rPr>
        <w:t>engaging</w:t>
      </w:r>
      <w:r w:rsidRPr="002E5091">
        <w:rPr>
          <w:sz w:val="28"/>
          <w:szCs w:val="28"/>
        </w:rPr>
        <w:t xml:space="preserve"> them. Connections could be </w:t>
      </w:r>
      <w:r w:rsidR="002E5091" w:rsidRPr="002E5091">
        <w:rPr>
          <w:sz w:val="28"/>
          <w:szCs w:val="28"/>
        </w:rPr>
        <w:t>built</w:t>
      </w:r>
      <w:r w:rsidRPr="002E5091">
        <w:rPr>
          <w:sz w:val="28"/>
          <w:szCs w:val="28"/>
        </w:rPr>
        <w:t xml:space="preserve"> by giving them a chance to know about backstage story. Content which is published for community engagement can be improved or should be in a way which encourages user-generated content. Using emerging platforms such as social media, blogs, poster are the one which impacts people greatly. The content in should be engaging so that people can connect themselves. If I consider myself as a part of community, I would like to shift towards more engaging content. By this way they can build trust and I think it is the greatest way to engage community.</w:t>
      </w:r>
    </w:p>
    <w:p w14:paraId="5658651E" w14:textId="77777777" w:rsidR="00C74CE0" w:rsidRPr="002E5091" w:rsidRDefault="00C74CE0" w:rsidP="00C74CE0">
      <w:pPr>
        <w:pStyle w:val="Heading2"/>
        <w:rPr>
          <w:b/>
          <w:bCs w:val="0"/>
          <w:sz w:val="28"/>
          <w:szCs w:val="28"/>
        </w:rPr>
      </w:pPr>
      <w:bookmarkStart w:id="6" w:name="_Toc123855476"/>
      <w:r w:rsidRPr="002E5091">
        <w:rPr>
          <w:b/>
          <w:bCs w:val="0"/>
          <w:sz w:val="28"/>
          <w:szCs w:val="28"/>
        </w:rPr>
        <w:t>Impact of active consultation, communication, stakeholders’ participation, and inclusion</w:t>
      </w:r>
      <w:bookmarkEnd w:id="6"/>
    </w:p>
    <w:p w14:paraId="182C07A4" w14:textId="0257AD09" w:rsidR="00C74CE0" w:rsidRPr="002E5091" w:rsidRDefault="00C74CE0" w:rsidP="00C74CE0">
      <w:pPr>
        <w:rPr>
          <w:sz w:val="28"/>
          <w:szCs w:val="28"/>
        </w:rPr>
      </w:pPr>
      <w:r>
        <w:tab/>
      </w:r>
      <w:r w:rsidRPr="002E5091">
        <w:rPr>
          <w:sz w:val="28"/>
          <w:szCs w:val="28"/>
        </w:rPr>
        <w:t xml:space="preserve">These are the core elements in the </w:t>
      </w:r>
      <w:r w:rsidR="002E5091" w:rsidRPr="002E5091">
        <w:rPr>
          <w:sz w:val="28"/>
          <w:szCs w:val="28"/>
        </w:rPr>
        <w:t>event,</w:t>
      </w:r>
      <w:r w:rsidRPr="002E5091">
        <w:rPr>
          <w:sz w:val="28"/>
          <w:szCs w:val="28"/>
        </w:rPr>
        <w:t xml:space="preserve"> and which needs to be addressed in a way to complete the event. Active consultation </w:t>
      </w:r>
      <w:r w:rsidR="002E5091" w:rsidRPr="002E5091">
        <w:rPr>
          <w:sz w:val="28"/>
          <w:szCs w:val="28"/>
        </w:rPr>
        <w:t>needs</w:t>
      </w:r>
      <w:r w:rsidRPr="002E5091">
        <w:rPr>
          <w:sz w:val="28"/>
          <w:szCs w:val="28"/>
        </w:rPr>
        <w:t xml:space="preserve"> to be there as it is important part of the community engagement. Consultation is </w:t>
      </w:r>
      <w:r w:rsidR="002E5091" w:rsidRPr="002E5091">
        <w:rPr>
          <w:sz w:val="28"/>
          <w:szCs w:val="28"/>
        </w:rPr>
        <w:t>an</w:t>
      </w:r>
      <w:r w:rsidRPr="002E5091">
        <w:rPr>
          <w:sz w:val="28"/>
          <w:szCs w:val="28"/>
        </w:rPr>
        <w:t xml:space="preserve"> effective process where organising </w:t>
      </w:r>
      <w:r w:rsidR="002E5091" w:rsidRPr="002E5091">
        <w:rPr>
          <w:sz w:val="28"/>
          <w:szCs w:val="28"/>
        </w:rPr>
        <w:t>committee</w:t>
      </w:r>
      <w:r w:rsidRPr="002E5091">
        <w:rPr>
          <w:sz w:val="28"/>
          <w:szCs w:val="28"/>
        </w:rPr>
        <w:t xml:space="preserve"> opens the formal as well as informal communication channel which can depict whole event negatively. Communication is the tool which </w:t>
      </w:r>
      <w:r w:rsidR="002E5091" w:rsidRPr="002E5091">
        <w:rPr>
          <w:sz w:val="28"/>
          <w:szCs w:val="28"/>
        </w:rPr>
        <w:t>transfers</w:t>
      </w:r>
      <w:r w:rsidRPr="002E5091">
        <w:rPr>
          <w:sz w:val="28"/>
          <w:szCs w:val="28"/>
        </w:rPr>
        <w:t xml:space="preserve"> the message to the community about the event. Communication helps in generating relationships better. According to me there should be clarity and credibility in the communication </w:t>
      </w:r>
      <w:r w:rsidR="002E5091" w:rsidRPr="002E5091">
        <w:rPr>
          <w:sz w:val="28"/>
          <w:szCs w:val="28"/>
        </w:rPr>
        <w:t>to</w:t>
      </w:r>
      <w:r w:rsidRPr="002E5091">
        <w:rPr>
          <w:sz w:val="28"/>
          <w:szCs w:val="28"/>
        </w:rPr>
        <w:t xml:space="preserve"> mitigate the issue which can transmits the actual information in a wrong way. Stakeholders’ participation is as much as important without </w:t>
      </w:r>
      <w:r w:rsidR="002E5091" w:rsidRPr="002E5091">
        <w:rPr>
          <w:sz w:val="28"/>
          <w:szCs w:val="28"/>
        </w:rPr>
        <w:t>its</w:t>
      </w:r>
      <w:r w:rsidRPr="002E5091">
        <w:rPr>
          <w:sz w:val="28"/>
          <w:szCs w:val="28"/>
        </w:rPr>
        <w:t xml:space="preserve"> event cannot become successful. </w:t>
      </w:r>
      <w:r w:rsidR="002E5091" w:rsidRPr="002E5091">
        <w:rPr>
          <w:sz w:val="28"/>
          <w:szCs w:val="28"/>
        </w:rPr>
        <w:t>Stakeholders’</w:t>
      </w:r>
      <w:r w:rsidRPr="002E5091">
        <w:rPr>
          <w:sz w:val="28"/>
          <w:szCs w:val="28"/>
        </w:rPr>
        <w:t xml:space="preserve"> participation is </w:t>
      </w:r>
      <w:r w:rsidR="002E5091" w:rsidRPr="002E5091">
        <w:rPr>
          <w:sz w:val="28"/>
          <w:szCs w:val="28"/>
        </w:rPr>
        <w:t>proceeded</w:t>
      </w:r>
      <w:r w:rsidRPr="002E5091">
        <w:rPr>
          <w:sz w:val="28"/>
          <w:szCs w:val="28"/>
        </w:rPr>
        <w:t xml:space="preserve"> through via an organising </w:t>
      </w:r>
      <w:r w:rsidR="002E5091" w:rsidRPr="002E5091">
        <w:rPr>
          <w:sz w:val="28"/>
          <w:szCs w:val="28"/>
        </w:rPr>
        <w:t>committee</w:t>
      </w:r>
      <w:r w:rsidRPr="002E5091">
        <w:rPr>
          <w:sz w:val="28"/>
          <w:szCs w:val="28"/>
        </w:rPr>
        <w:t xml:space="preserve"> communicates together with get to know about their stakeholders.  This event needs </w:t>
      </w:r>
      <w:r w:rsidR="002E5091" w:rsidRPr="002E5091">
        <w:rPr>
          <w:sz w:val="28"/>
          <w:szCs w:val="28"/>
        </w:rPr>
        <w:t>to involve</w:t>
      </w:r>
      <w:r w:rsidRPr="002E5091">
        <w:rPr>
          <w:sz w:val="28"/>
          <w:szCs w:val="28"/>
        </w:rPr>
        <w:t xml:space="preserve"> participation stakeholders </w:t>
      </w:r>
      <w:r w:rsidRPr="002E5091">
        <w:rPr>
          <w:sz w:val="28"/>
          <w:szCs w:val="28"/>
        </w:rPr>
        <w:lastRenderedPageBreak/>
        <w:t>through transparent communication and mutual cordial understanding. Inclusion of people should not be bounded through any aspect because it can create problem for the organising committee if they neglect this aspect. People in the community should be treated equally.</w:t>
      </w:r>
    </w:p>
    <w:p w14:paraId="6C2DECF3" w14:textId="77777777" w:rsidR="00C74CE0" w:rsidRPr="002E5091" w:rsidRDefault="00C74CE0" w:rsidP="00C74CE0">
      <w:pPr>
        <w:pStyle w:val="Heading2"/>
        <w:rPr>
          <w:b/>
          <w:bCs w:val="0"/>
          <w:sz w:val="28"/>
          <w:szCs w:val="28"/>
        </w:rPr>
      </w:pPr>
      <w:bookmarkStart w:id="7" w:name="_Toc123855477"/>
      <w:r w:rsidRPr="002E5091">
        <w:rPr>
          <w:b/>
          <w:bCs w:val="0"/>
          <w:sz w:val="28"/>
          <w:szCs w:val="28"/>
        </w:rPr>
        <w:t>Analysis of the research that has been conducted describing community mapping, social engagement through social media platforms, impact analysis justifying the best practices</w:t>
      </w:r>
      <w:bookmarkEnd w:id="7"/>
    </w:p>
    <w:p w14:paraId="38E82655" w14:textId="48DFB2D1" w:rsidR="00C74CE0" w:rsidRPr="002E5091" w:rsidRDefault="00C74CE0" w:rsidP="00C74CE0">
      <w:pPr>
        <w:ind w:firstLine="432"/>
        <w:rPr>
          <w:sz w:val="28"/>
          <w:szCs w:val="28"/>
        </w:rPr>
      </w:pPr>
      <w:r w:rsidRPr="002E5091">
        <w:rPr>
          <w:sz w:val="28"/>
          <w:szCs w:val="28"/>
        </w:rPr>
        <w:t xml:space="preserve">Community mapping refers to the act of involving </w:t>
      </w:r>
      <w:r w:rsidR="002E5091" w:rsidRPr="002E5091">
        <w:rPr>
          <w:sz w:val="28"/>
          <w:szCs w:val="28"/>
        </w:rPr>
        <w:t>residents</w:t>
      </w:r>
      <w:r w:rsidRPr="002E5091">
        <w:rPr>
          <w:sz w:val="28"/>
          <w:szCs w:val="28"/>
        </w:rPr>
        <w:t xml:space="preserve"> in identifying the assets nearby, looking for the opportunities in context to conduct an event or planning to live </w:t>
      </w:r>
      <w:r w:rsidR="002E5091" w:rsidRPr="002E5091">
        <w:rPr>
          <w:sz w:val="28"/>
          <w:szCs w:val="28"/>
        </w:rPr>
        <w:t>in. the</w:t>
      </w:r>
      <w:r w:rsidRPr="002E5091">
        <w:rPr>
          <w:sz w:val="28"/>
          <w:szCs w:val="28"/>
        </w:rPr>
        <w:t xml:space="preserve"> main objective of community mapping is to gather and collect the data </w:t>
      </w:r>
      <w:r w:rsidR="002E5091" w:rsidRPr="002E5091">
        <w:rPr>
          <w:sz w:val="28"/>
          <w:szCs w:val="28"/>
        </w:rPr>
        <w:t>to</w:t>
      </w:r>
      <w:r w:rsidRPr="002E5091">
        <w:rPr>
          <w:sz w:val="28"/>
          <w:szCs w:val="28"/>
        </w:rPr>
        <w:t xml:space="preserve"> create a map of community assets and resources within a </w:t>
      </w:r>
      <w:r w:rsidR="002E5091" w:rsidRPr="002E5091">
        <w:rPr>
          <w:sz w:val="28"/>
          <w:szCs w:val="28"/>
        </w:rPr>
        <w:t>well-defined</w:t>
      </w:r>
      <w:r w:rsidRPr="002E5091">
        <w:rPr>
          <w:sz w:val="28"/>
          <w:szCs w:val="28"/>
        </w:rPr>
        <w:t xml:space="preserve"> area. Commonwealth games create a room for the community engagement that would help the researchers to develop or collect data from the citizens of Birmingham. The Commonwealth game held in 2022 was held considering the cultural festival to create massive cultural exchanges among people. This would help them to understand each other’s culture well. The CGF had 170 questions regarding Birmingham’s bid. On 21</w:t>
      </w:r>
      <w:r w:rsidRPr="002E5091">
        <w:rPr>
          <w:sz w:val="28"/>
          <w:szCs w:val="28"/>
          <w:vertAlign w:val="superscript"/>
        </w:rPr>
        <w:t>st</w:t>
      </w:r>
      <w:r w:rsidRPr="002E5091">
        <w:rPr>
          <w:sz w:val="28"/>
          <w:szCs w:val="28"/>
        </w:rPr>
        <w:t xml:space="preserve"> December 2017, Birmingham was selected as a host of these games. The BOCCG was responsible for the delivery of the games. These might have included deciding the sport, ticket sales, ceremonies and Queen’s Baton Relay as well as the venue and the competition management. In November 2019, Sky New Zealand acquired broadcasting rights of 2022 and 2026 games. The CGF has set out to make technology a pillar of its plans to safeguard the future of its remarkable event. Aruba, the networking arm of Hewlett Packard Enterprise, was held responsible for delivering the networks that would connect the venues, coaches, organisers, athletes, federations, press, medical </w:t>
      </w:r>
      <w:r w:rsidR="002E5091" w:rsidRPr="002E5091">
        <w:rPr>
          <w:sz w:val="28"/>
          <w:szCs w:val="28"/>
        </w:rPr>
        <w:t>officials,</w:t>
      </w:r>
      <w:r w:rsidRPr="002E5091">
        <w:rPr>
          <w:sz w:val="28"/>
          <w:szCs w:val="28"/>
        </w:rPr>
        <w:t xml:space="preserve"> and technical systems considering important. </w:t>
      </w:r>
    </w:p>
    <w:p w14:paraId="3D134EB1" w14:textId="1969C8FB" w:rsidR="00C74CE0" w:rsidRPr="002E5091" w:rsidRDefault="00C74CE0" w:rsidP="00C74CE0">
      <w:pPr>
        <w:rPr>
          <w:sz w:val="28"/>
          <w:szCs w:val="28"/>
        </w:rPr>
      </w:pPr>
      <w:r w:rsidRPr="002E5091">
        <w:rPr>
          <w:sz w:val="28"/>
          <w:szCs w:val="28"/>
        </w:rPr>
        <w:tab/>
      </w:r>
      <w:r w:rsidR="002E5091" w:rsidRPr="002E5091">
        <w:rPr>
          <w:sz w:val="28"/>
          <w:szCs w:val="28"/>
        </w:rPr>
        <w:t>All</w:t>
      </w:r>
      <w:r w:rsidRPr="002E5091">
        <w:rPr>
          <w:sz w:val="28"/>
          <w:szCs w:val="28"/>
        </w:rPr>
        <w:t xml:space="preserve"> the necessary updates were uploaded on different social media as well as OTT platforms such as </w:t>
      </w:r>
      <w:r w:rsidR="002E5091" w:rsidRPr="002E5091">
        <w:rPr>
          <w:sz w:val="28"/>
          <w:szCs w:val="28"/>
        </w:rPr>
        <w:t>YouTube</w:t>
      </w:r>
      <w:r w:rsidRPr="002E5091">
        <w:rPr>
          <w:sz w:val="28"/>
          <w:szCs w:val="28"/>
        </w:rPr>
        <w:t xml:space="preserve"> premium, Tik </w:t>
      </w:r>
      <w:r w:rsidR="002E5091" w:rsidRPr="002E5091">
        <w:rPr>
          <w:sz w:val="28"/>
          <w:szCs w:val="28"/>
        </w:rPr>
        <w:t>Tok</w:t>
      </w:r>
      <w:r w:rsidRPr="002E5091">
        <w:rPr>
          <w:sz w:val="28"/>
          <w:szCs w:val="28"/>
        </w:rPr>
        <w:t xml:space="preserve">, Facebook, Instagram, Tweeter. The major insights were seen on the platform of Sports Pro. Their network named Aruba could install access points only when the organisers could have a full access of the venue. The social media platforms engage people and communities with these games over a broad network. This had led a positive impact on the socio- cultural values of different countries. </w:t>
      </w:r>
    </w:p>
    <w:p w14:paraId="28BE9E8A" w14:textId="77777777" w:rsidR="00C74CE0" w:rsidRPr="002E5091" w:rsidRDefault="00C74CE0" w:rsidP="00C74CE0">
      <w:pPr>
        <w:pStyle w:val="Heading2"/>
        <w:rPr>
          <w:b/>
          <w:bCs w:val="0"/>
          <w:sz w:val="28"/>
          <w:szCs w:val="28"/>
        </w:rPr>
      </w:pPr>
      <w:bookmarkStart w:id="8" w:name="_Toc123855478"/>
      <w:r w:rsidRPr="002E5091">
        <w:rPr>
          <w:b/>
          <w:bCs w:val="0"/>
          <w:sz w:val="28"/>
          <w:szCs w:val="28"/>
        </w:rPr>
        <w:lastRenderedPageBreak/>
        <w:t>Best social media practices to boost the network of these games</w:t>
      </w:r>
      <w:bookmarkEnd w:id="8"/>
    </w:p>
    <w:p w14:paraId="33D4DD7D" w14:textId="48035EC0" w:rsidR="00C74CE0" w:rsidRDefault="00C74CE0" w:rsidP="00C74CE0">
      <w:pPr>
        <w:ind w:firstLine="432"/>
      </w:pPr>
      <w:r w:rsidRPr="002E5091">
        <w:rPr>
          <w:sz w:val="28"/>
          <w:szCs w:val="28"/>
        </w:rPr>
        <w:t xml:space="preserve">Social media is a powerful tool that could be used in the success of any event across the nations such as Commonwealth Games of 2022. It may offer huge advantages for all the organisers, sponsors and even the players to get </w:t>
      </w:r>
      <w:r w:rsidR="002E5091" w:rsidRPr="002E5091">
        <w:rPr>
          <w:sz w:val="28"/>
          <w:szCs w:val="28"/>
        </w:rPr>
        <w:t>publicly</w:t>
      </w:r>
      <w:r w:rsidRPr="002E5091">
        <w:rPr>
          <w:sz w:val="28"/>
          <w:szCs w:val="28"/>
        </w:rPr>
        <w:t xml:space="preserve"> known. I personally think that this may help them to build brand awareness, raise visibility and encourage conversation. However, the successful online presence requires loyalty, time, focus, nurturing and feedback. The first point that I personally suggest would be to plan for even the slightest detail of the event. Second, understanding the resources thus available and defining the workflow process for getting input and approval on the social media posts by the officials as well as the </w:t>
      </w:r>
      <w:r w:rsidR="002E5091" w:rsidRPr="002E5091">
        <w:rPr>
          <w:sz w:val="28"/>
          <w:szCs w:val="28"/>
        </w:rPr>
        <w:t>public</w:t>
      </w:r>
      <w:r w:rsidRPr="002E5091">
        <w:rPr>
          <w:sz w:val="28"/>
          <w:szCs w:val="28"/>
        </w:rPr>
        <w:t xml:space="preserve">. Thirdly, preparing for the social media strategy and consider using social media calendar for maintaining these social media accounts. It would handle over the control of publishing in their hands, also let them focus on the big picture rather than day to day posting. Fourth, searching for the best publishing platform on social media is essential estimating the different category of crowd involved. Fifth, selecting for the best alternative that suits as a whole and aiming to strike a balance between sharing and hearing into the comments </w:t>
      </w:r>
      <w:proofErr w:type="spellStart"/>
      <w:r w:rsidR="002E5091" w:rsidRPr="002E5091">
        <w:rPr>
          <w:sz w:val="28"/>
          <w:szCs w:val="28"/>
        </w:rPr>
        <w:t>their</w:t>
      </w:r>
      <w:proofErr w:type="spellEnd"/>
      <w:r w:rsidRPr="002E5091">
        <w:rPr>
          <w:sz w:val="28"/>
          <w:szCs w:val="28"/>
        </w:rPr>
        <w:t xml:space="preserve"> in. Sixth, identifying and applying relevant hashtags mentioning the related brands who have sponsored the event. Lastly, focusing on the details mentioned in the post, thus made. The successful social media presence can be reflected by the content that seems to be visually good, </w:t>
      </w:r>
      <w:r w:rsidR="002E5091" w:rsidRPr="002E5091">
        <w:rPr>
          <w:sz w:val="28"/>
          <w:szCs w:val="28"/>
        </w:rPr>
        <w:t>succinct,</w:t>
      </w:r>
      <w:r w:rsidRPr="002E5091">
        <w:rPr>
          <w:sz w:val="28"/>
          <w:szCs w:val="28"/>
        </w:rPr>
        <w:t xml:space="preserve"> and consistent. It is advisable by me to tailor any information that could considered to be a misfit. The events like these Commonwealth Games, 2022 require huge audiences to connect. To share the same links, videos, shorts, images, etc. on multiple platforms, make sure to customise the message or the theme of the message to differentiate</w:t>
      </w:r>
      <w:r>
        <w:t xml:space="preserve">. </w:t>
      </w:r>
    </w:p>
    <w:p w14:paraId="252E87B6" w14:textId="77777777" w:rsidR="00C74CE0" w:rsidRPr="002E5091" w:rsidRDefault="00C74CE0" w:rsidP="00C74CE0">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123855479"/>
      <w:r w:rsidRPr="002E509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9"/>
      <w:r w:rsidRPr="002E509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5191BD3" w14:textId="0124F308" w:rsidR="00C74CE0" w:rsidRPr="002E5091" w:rsidRDefault="00C74CE0" w:rsidP="00C74CE0">
      <w:pPr>
        <w:rPr>
          <w:sz w:val="28"/>
          <w:szCs w:val="28"/>
        </w:rPr>
      </w:pPr>
      <w:r>
        <w:tab/>
      </w:r>
      <w:r w:rsidRPr="002E5091">
        <w:rPr>
          <w:sz w:val="28"/>
          <w:szCs w:val="28"/>
        </w:rPr>
        <w:t xml:space="preserve">From the above report it is concluded that community engagement is an uncertain relational procedure which enables communication, involvement, exchange and interaction between a firm and community for a range of various outcomes. It is community centred orientation which is based on dialogue. By maintaining good relations with the community leads to wide sense of ownership, grater take up of facilities and better results in solving issues of the local people. The practice which was undertaken is the </w:t>
      </w:r>
      <w:r w:rsidR="002E5091" w:rsidRPr="002E5091">
        <w:rPr>
          <w:sz w:val="28"/>
          <w:szCs w:val="28"/>
        </w:rPr>
        <w:t>Commonwealth</w:t>
      </w:r>
      <w:r w:rsidRPr="002E5091">
        <w:rPr>
          <w:sz w:val="28"/>
          <w:szCs w:val="28"/>
        </w:rPr>
        <w:t xml:space="preserve"> games held in Birmingham in which 19 different sports was involved. Community </w:t>
      </w:r>
      <w:r w:rsidRPr="002E5091">
        <w:rPr>
          <w:sz w:val="28"/>
          <w:szCs w:val="28"/>
        </w:rPr>
        <w:lastRenderedPageBreak/>
        <w:t xml:space="preserve">engagement is beneficial as it takes actions which impacts the stakeholders with government, political or funding power </w:t>
      </w:r>
      <w:r w:rsidR="002E5091" w:rsidRPr="002E5091">
        <w:rPr>
          <w:sz w:val="28"/>
          <w:szCs w:val="28"/>
        </w:rPr>
        <w:t>to</w:t>
      </w:r>
      <w:r w:rsidRPr="002E5091">
        <w:rPr>
          <w:sz w:val="28"/>
          <w:szCs w:val="28"/>
        </w:rPr>
        <w:t xml:space="preserve"> execute public projects as well as policies that is primarily benefit drive social change and individual community. There are many people who have participated in the games, this event is organised on a big scale where people come from outside the country to watch this event. For community engagement best practice of the company is organising events which engages people. A group of people have organised this event in which many talented people have shown their abilities of playing any sport. There were many stakeholders who contributed </w:t>
      </w:r>
      <w:r w:rsidR="002E5091" w:rsidRPr="002E5091">
        <w:rPr>
          <w:sz w:val="28"/>
          <w:szCs w:val="28"/>
        </w:rPr>
        <w:t>to</w:t>
      </w:r>
      <w:r w:rsidRPr="002E5091">
        <w:rPr>
          <w:sz w:val="28"/>
          <w:szCs w:val="28"/>
        </w:rPr>
        <w:t xml:space="preserve"> organising this event as it was held on a large scale. Though this event, the brand awareness of the country as well as stakeholders have increased which helped them in showcasing themselves in front of large number of people. </w:t>
      </w:r>
    </w:p>
    <w:p w14:paraId="2F4D24CD" w14:textId="77777777" w:rsidR="00C74CE0" w:rsidRPr="002E5091" w:rsidRDefault="00C74CE0" w:rsidP="00C74CE0">
      <w:pPr>
        <w:rPr>
          <w:sz w:val="28"/>
          <w:szCs w:val="28"/>
        </w:rPr>
      </w:pPr>
    </w:p>
    <w:p w14:paraId="3D899A53" w14:textId="77777777" w:rsidR="00C74CE0" w:rsidRDefault="00C74CE0" w:rsidP="00C74CE0">
      <w:pPr>
        <w:ind w:left="840" w:hanging="840"/>
      </w:pPr>
    </w:p>
    <w:p w14:paraId="0A21DAB9" w14:textId="77777777" w:rsidR="00C74CE0" w:rsidRPr="002E5091" w:rsidRDefault="00C74CE0" w:rsidP="00C74CE0">
      <w:pPr>
        <w:pStyle w:val="Heading1"/>
        <w:rPr>
          <w:b/>
          <w:bCs/>
        </w:rPr>
      </w:pPr>
      <w:bookmarkStart w:id="10" w:name="_Toc123855480"/>
      <w:r>
        <w:br w:type="page"/>
      </w:r>
      <w:r w:rsidRPr="002E509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bookmarkEnd w:id="10"/>
    </w:p>
    <w:p w14:paraId="4FD0A55A" w14:textId="77777777" w:rsidR="00C74CE0" w:rsidRPr="00784894" w:rsidRDefault="00C74CE0" w:rsidP="00C74CE0">
      <w:pPr>
        <w:rPr>
          <w:u w:val="single"/>
        </w:rPr>
      </w:pPr>
      <w:r w:rsidRPr="00F21A73">
        <w:rPr>
          <w:u w:val="single"/>
        </w:rPr>
        <w:t>Books and Journals:</w:t>
      </w:r>
    </w:p>
    <w:p w14:paraId="126445BD" w14:textId="77777777" w:rsidR="00C74CE0" w:rsidRPr="00784894" w:rsidRDefault="00C74CE0" w:rsidP="00C74CE0">
      <w:pPr>
        <w:spacing w:line="240" w:lineRule="auto"/>
        <w:ind w:left="840" w:hanging="840"/>
        <w:rPr>
          <w:color w:val="222222"/>
          <w:szCs w:val="24"/>
          <w:shd w:val="clear" w:color="auto" w:fill="FFFFFF"/>
        </w:rPr>
      </w:pPr>
      <w:r w:rsidRPr="00784894">
        <w:rPr>
          <w:color w:val="222222"/>
          <w:szCs w:val="24"/>
          <w:shd w:val="clear" w:color="auto" w:fill="FFFFFF"/>
        </w:rPr>
        <w:t>Aitken, A., 2022. Community perceptions of private security at a mega-event. </w:t>
      </w:r>
      <w:r w:rsidRPr="00784894">
        <w:rPr>
          <w:i/>
          <w:iCs/>
          <w:color w:val="222222"/>
          <w:szCs w:val="24"/>
          <w:shd w:val="clear" w:color="auto" w:fill="FFFFFF"/>
        </w:rPr>
        <w:t>Security Journal</w:t>
      </w:r>
      <w:r w:rsidRPr="00784894">
        <w:rPr>
          <w:color w:val="222222"/>
          <w:szCs w:val="24"/>
          <w:shd w:val="clear" w:color="auto" w:fill="FFFFFF"/>
        </w:rPr>
        <w:t>, </w:t>
      </w:r>
      <w:r w:rsidRPr="00784894">
        <w:rPr>
          <w:i/>
          <w:iCs/>
          <w:color w:val="222222"/>
          <w:szCs w:val="24"/>
          <w:shd w:val="clear" w:color="auto" w:fill="FFFFFF"/>
        </w:rPr>
        <w:t>35</w:t>
      </w:r>
      <w:r w:rsidRPr="00784894">
        <w:rPr>
          <w:color w:val="222222"/>
          <w:szCs w:val="24"/>
          <w:shd w:val="clear" w:color="auto" w:fill="FFFFFF"/>
        </w:rPr>
        <w:t>(4), pp.987-1005.</w:t>
      </w:r>
    </w:p>
    <w:p w14:paraId="2BD4278C" w14:textId="77777777" w:rsidR="00C74CE0" w:rsidRPr="00784894" w:rsidRDefault="00C74CE0" w:rsidP="00C74CE0">
      <w:pPr>
        <w:spacing w:line="240" w:lineRule="auto"/>
        <w:ind w:left="840" w:hanging="840"/>
        <w:rPr>
          <w:color w:val="222222"/>
          <w:szCs w:val="24"/>
          <w:shd w:val="clear" w:color="auto" w:fill="FFFFFF"/>
        </w:rPr>
      </w:pPr>
      <w:r w:rsidRPr="00784894">
        <w:rPr>
          <w:color w:val="222222"/>
          <w:szCs w:val="24"/>
          <w:shd w:val="clear" w:color="auto" w:fill="FFFFFF"/>
        </w:rPr>
        <w:t>Bouzguenda, I., Alalouch, C. and Fava, N., 2019. Towards smart sustainable cities: A review of the role digital citizen participation could play in advancing social sustainability. </w:t>
      </w:r>
      <w:r w:rsidRPr="00784894">
        <w:rPr>
          <w:i/>
          <w:iCs/>
          <w:color w:val="222222"/>
          <w:szCs w:val="24"/>
          <w:shd w:val="clear" w:color="auto" w:fill="FFFFFF"/>
        </w:rPr>
        <w:t>Sustainable Cities and Society</w:t>
      </w:r>
      <w:r w:rsidRPr="00784894">
        <w:rPr>
          <w:color w:val="222222"/>
          <w:szCs w:val="24"/>
          <w:shd w:val="clear" w:color="auto" w:fill="FFFFFF"/>
        </w:rPr>
        <w:t>, </w:t>
      </w:r>
      <w:r w:rsidRPr="00784894">
        <w:rPr>
          <w:i/>
          <w:iCs/>
          <w:color w:val="222222"/>
          <w:szCs w:val="24"/>
          <w:shd w:val="clear" w:color="auto" w:fill="FFFFFF"/>
        </w:rPr>
        <w:t>50</w:t>
      </w:r>
      <w:r w:rsidRPr="00784894">
        <w:rPr>
          <w:color w:val="222222"/>
          <w:szCs w:val="24"/>
          <w:shd w:val="clear" w:color="auto" w:fill="FFFFFF"/>
        </w:rPr>
        <w:t>, p.101627.</w:t>
      </w:r>
    </w:p>
    <w:p w14:paraId="04FDEF11" w14:textId="5ECC6BDB" w:rsidR="00C74CE0" w:rsidRDefault="00C74CE0" w:rsidP="00C74CE0">
      <w:pPr>
        <w:ind w:left="840" w:hanging="840"/>
        <w:rPr>
          <w:szCs w:val="24"/>
          <w:shd w:val="clear" w:color="auto" w:fill="FFFFFF"/>
        </w:rPr>
      </w:pPr>
      <w:r>
        <w:rPr>
          <w:szCs w:val="24"/>
          <w:shd w:val="clear" w:color="auto" w:fill="FFFFFF"/>
        </w:rPr>
        <w:t>Freeman, R.  E., Parmar, B.  L. and Martin, K., 2020. BUSINESS AND ETHICS. In </w:t>
      </w:r>
      <w:r>
        <w:rPr>
          <w:i/>
          <w:szCs w:val="24"/>
          <w:shd w:val="clear" w:color="auto" w:fill="FFFFFF"/>
        </w:rPr>
        <w:t xml:space="preserve">The Power of </w:t>
      </w:r>
      <w:r w:rsidR="002E5091">
        <w:rPr>
          <w:i/>
          <w:szCs w:val="24"/>
          <w:shd w:val="clear" w:color="auto" w:fill="FFFFFF"/>
        </w:rPr>
        <w:t>and</w:t>
      </w:r>
      <w:r>
        <w:rPr>
          <w:szCs w:val="24"/>
          <w:shd w:val="clear" w:color="auto" w:fill="FFFFFF"/>
        </w:rPr>
        <w:t> (pp. 129-140). Columbia University Press.</w:t>
      </w:r>
    </w:p>
    <w:p w14:paraId="1CC92469" w14:textId="77777777" w:rsidR="00C74CE0" w:rsidRPr="00784894" w:rsidRDefault="00C74CE0" w:rsidP="00C74CE0">
      <w:pPr>
        <w:spacing w:line="240" w:lineRule="auto"/>
        <w:ind w:left="840" w:hanging="840"/>
        <w:rPr>
          <w:color w:val="222222"/>
          <w:szCs w:val="24"/>
          <w:shd w:val="clear" w:color="auto" w:fill="FFFFFF"/>
        </w:rPr>
      </w:pPr>
      <w:r w:rsidRPr="00784894">
        <w:rPr>
          <w:color w:val="222222"/>
          <w:szCs w:val="24"/>
          <w:shd w:val="clear" w:color="auto" w:fill="FFFFFF"/>
        </w:rPr>
        <w:t>Kaur, H. and Paruthi, M., 2019. Antecedents and consequences of online engagement: Measurement and assessment of reliability. </w:t>
      </w:r>
      <w:r w:rsidRPr="00784894">
        <w:rPr>
          <w:i/>
          <w:iCs/>
          <w:color w:val="222222"/>
          <w:szCs w:val="24"/>
          <w:shd w:val="clear" w:color="auto" w:fill="FFFFFF"/>
        </w:rPr>
        <w:t>IUP Journal of Marketing Management</w:t>
      </w:r>
      <w:r w:rsidRPr="00784894">
        <w:rPr>
          <w:color w:val="222222"/>
          <w:szCs w:val="24"/>
          <w:shd w:val="clear" w:color="auto" w:fill="FFFFFF"/>
        </w:rPr>
        <w:t>, </w:t>
      </w:r>
      <w:r w:rsidRPr="00784894">
        <w:rPr>
          <w:i/>
          <w:iCs/>
          <w:color w:val="222222"/>
          <w:szCs w:val="24"/>
          <w:shd w:val="clear" w:color="auto" w:fill="FFFFFF"/>
        </w:rPr>
        <w:t>18</w:t>
      </w:r>
      <w:r w:rsidRPr="00784894">
        <w:rPr>
          <w:color w:val="222222"/>
          <w:szCs w:val="24"/>
          <w:shd w:val="clear" w:color="auto" w:fill="FFFFFF"/>
        </w:rPr>
        <w:t>(2), pp.54-73.</w:t>
      </w:r>
    </w:p>
    <w:p w14:paraId="6B86A3B0" w14:textId="77777777" w:rsidR="00C74CE0" w:rsidRPr="00784894" w:rsidRDefault="00C74CE0" w:rsidP="00C74CE0">
      <w:pPr>
        <w:spacing w:line="240" w:lineRule="auto"/>
        <w:ind w:left="840" w:hanging="840"/>
        <w:rPr>
          <w:color w:val="222222"/>
          <w:szCs w:val="24"/>
          <w:shd w:val="clear" w:color="auto" w:fill="FFFFFF"/>
        </w:rPr>
      </w:pPr>
      <w:r w:rsidRPr="00784894">
        <w:rPr>
          <w:color w:val="222222"/>
          <w:szCs w:val="24"/>
          <w:shd w:val="clear" w:color="auto" w:fill="FFFFFF"/>
        </w:rPr>
        <w:t>Kaur, H., Paruthi, M., Islam, J. and Hollebeek, L.</w:t>
      </w:r>
      <w:r>
        <w:rPr>
          <w:color w:val="222222"/>
          <w:szCs w:val="24"/>
          <w:shd w:val="clear" w:color="auto" w:fill="FFFFFF"/>
        </w:rPr>
        <w:t xml:space="preserve"> </w:t>
      </w:r>
      <w:r w:rsidRPr="00784894">
        <w:rPr>
          <w:color w:val="222222"/>
          <w:szCs w:val="24"/>
          <w:shd w:val="clear" w:color="auto" w:fill="FFFFFF"/>
        </w:rPr>
        <w:t>D., 2020. The role of brand community identification and reward on consumer brand engagement and brand loyalty in virtual brand communities. </w:t>
      </w:r>
      <w:r w:rsidRPr="00784894">
        <w:rPr>
          <w:i/>
          <w:iCs/>
          <w:color w:val="222222"/>
          <w:szCs w:val="24"/>
          <w:shd w:val="clear" w:color="auto" w:fill="FFFFFF"/>
        </w:rPr>
        <w:t>Telematics and Informatics</w:t>
      </w:r>
      <w:r w:rsidRPr="00784894">
        <w:rPr>
          <w:color w:val="222222"/>
          <w:szCs w:val="24"/>
          <w:shd w:val="clear" w:color="auto" w:fill="FFFFFF"/>
        </w:rPr>
        <w:t>, </w:t>
      </w:r>
      <w:r w:rsidRPr="00784894">
        <w:rPr>
          <w:i/>
          <w:iCs/>
          <w:color w:val="222222"/>
          <w:szCs w:val="24"/>
          <w:shd w:val="clear" w:color="auto" w:fill="FFFFFF"/>
        </w:rPr>
        <w:t>46</w:t>
      </w:r>
      <w:r w:rsidRPr="00784894">
        <w:rPr>
          <w:color w:val="222222"/>
          <w:szCs w:val="24"/>
          <w:shd w:val="clear" w:color="auto" w:fill="FFFFFF"/>
        </w:rPr>
        <w:t>, p.101321.</w:t>
      </w:r>
    </w:p>
    <w:p w14:paraId="27428515" w14:textId="77777777" w:rsidR="00C74CE0" w:rsidRDefault="00C74CE0" w:rsidP="00C74CE0">
      <w:pPr>
        <w:ind w:left="840" w:hanging="840"/>
        <w:rPr>
          <w:szCs w:val="24"/>
          <w:shd w:val="clear" w:color="auto" w:fill="FFFFFF"/>
        </w:rPr>
      </w:pPr>
      <w:r>
        <w:rPr>
          <w:szCs w:val="24"/>
          <w:shd w:val="clear" w:color="auto" w:fill="FFFFFF"/>
        </w:rPr>
        <w:t>McLaverty, P. ed., 2017. </w:t>
      </w:r>
      <w:r>
        <w:rPr>
          <w:i/>
          <w:szCs w:val="24"/>
          <w:shd w:val="clear" w:color="auto" w:fill="FFFFFF"/>
        </w:rPr>
        <w:t>Public participation and innovations in community governance</w:t>
      </w:r>
      <w:r>
        <w:rPr>
          <w:szCs w:val="24"/>
          <w:shd w:val="clear" w:color="auto" w:fill="FFFFFF"/>
        </w:rPr>
        <w:t>. Taylor &amp; Francis.</w:t>
      </w:r>
    </w:p>
    <w:p w14:paraId="3DF85111" w14:textId="77777777" w:rsidR="00C74CE0" w:rsidRDefault="00C74CE0" w:rsidP="00C74CE0">
      <w:pPr>
        <w:ind w:left="840" w:hanging="840"/>
        <w:rPr>
          <w:szCs w:val="24"/>
          <w:shd w:val="clear" w:color="auto" w:fill="FFFFFF"/>
        </w:rPr>
      </w:pPr>
      <w:r>
        <w:rPr>
          <w:szCs w:val="24"/>
          <w:shd w:val="clear" w:color="auto" w:fill="FFFFFF"/>
        </w:rPr>
        <w:t>Poncian, J. and Jose, J., 2019. Resource governance and community participation: Making hydrocarbon extraction work for Tanzania. </w:t>
      </w:r>
      <w:r>
        <w:rPr>
          <w:i/>
          <w:szCs w:val="24"/>
          <w:shd w:val="clear" w:color="auto" w:fill="FFFFFF"/>
        </w:rPr>
        <w:t>Resources Policy</w:t>
      </w:r>
      <w:r>
        <w:rPr>
          <w:szCs w:val="24"/>
          <w:shd w:val="clear" w:color="auto" w:fill="FFFFFF"/>
        </w:rPr>
        <w:t>. 62. pp.84-93.</w:t>
      </w:r>
    </w:p>
    <w:p w14:paraId="7A4ADC3A" w14:textId="77777777" w:rsidR="00C74CE0" w:rsidRDefault="00C74CE0" w:rsidP="00C74CE0">
      <w:pPr>
        <w:ind w:left="840" w:hanging="840"/>
        <w:rPr>
          <w:szCs w:val="24"/>
          <w:shd w:val="clear" w:color="auto" w:fill="FFFFFF"/>
        </w:rPr>
      </w:pPr>
      <w:r>
        <w:rPr>
          <w:szCs w:val="24"/>
          <w:shd w:val="clear" w:color="auto" w:fill="FFFFFF"/>
        </w:rPr>
        <w:t>Ryan, B. and et. al., 2020. Community engagement for disaster preparedness: A systematic literature review. </w:t>
      </w:r>
      <w:r>
        <w:rPr>
          <w:i/>
          <w:szCs w:val="24"/>
          <w:shd w:val="clear" w:color="auto" w:fill="FFFFFF"/>
        </w:rPr>
        <w:t>International journal of disaster risk reduction</w:t>
      </w:r>
      <w:r>
        <w:rPr>
          <w:szCs w:val="24"/>
          <w:shd w:val="clear" w:color="auto" w:fill="FFFFFF"/>
        </w:rPr>
        <w:t>. 49. p.101655.</w:t>
      </w:r>
    </w:p>
    <w:p w14:paraId="24EFA238" w14:textId="77777777" w:rsidR="00C74CE0" w:rsidRDefault="00C74CE0" w:rsidP="00C74CE0">
      <w:pPr>
        <w:ind w:left="840" w:hanging="840"/>
        <w:rPr>
          <w:szCs w:val="24"/>
          <w:shd w:val="clear" w:color="auto" w:fill="FFFFFF"/>
        </w:rPr>
      </w:pPr>
      <w:r>
        <w:rPr>
          <w:szCs w:val="24"/>
          <w:shd w:val="clear" w:color="auto" w:fill="FFFFFF"/>
        </w:rPr>
        <w:t>Skogan, W. G. and Hartnett, S. M., 2019. Community policing. </w:t>
      </w:r>
      <w:r>
        <w:rPr>
          <w:i/>
          <w:szCs w:val="24"/>
          <w:shd w:val="clear" w:color="auto" w:fill="FFFFFF"/>
        </w:rPr>
        <w:t>Police innovation: Contrasting perspectives</w:t>
      </w:r>
      <w:r>
        <w:rPr>
          <w:szCs w:val="24"/>
          <w:shd w:val="clear" w:color="auto" w:fill="FFFFFF"/>
        </w:rPr>
        <w:t>, pp.27-44.</w:t>
      </w:r>
    </w:p>
    <w:p w14:paraId="182F0FA5" w14:textId="77777777" w:rsidR="00C74CE0" w:rsidRPr="00784894" w:rsidRDefault="00C74CE0" w:rsidP="00C74CE0">
      <w:pPr>
        <w:spacing w:line="240" w:lineRule="auto"/>
        <w:ind w:left="840" w:hanging="840"/>
        <w:rPr>
          <w:color w:val="222222"/>
          <w:szCs w:val="24"/>
          <w:shd w:val="clear" w:color="auto" w:fill="FFFFFF"/>
        </w:rPr>
      </w:pPr>
      <w:r w:rsidRPr="00784894">
        <w:rPr>
          <w:color w:val="222222"/>
          <w:szCs w:val="24"/>
          <w:shd w:val="clear" w:color="auto" w:fill="FFFFFF"/>
        </w:rPr>
        <w:t>Tow, S., Gober, J. and Nelson, M.</w:t>
      </w:r>
      <w:r>
        <w:rPr>
          <w:color w:val="222222"/>
          <w:szCs w:val="24"/>
          <w:shd w:val="clear" w:color="auto" w:fill="FFFFFF"/>
        </w:rPr>
        <w:t xml:space="preserve"> </w:t>
      </w:r>
      <w:r w:rsidRPr="00784894">
        <w:rPr>
          <w:color w:val="222222"/>
          <w:szCs w:val="24"/>
          <w:shd w:val="clear" w:color="auto" w:fill="FFFFFF"/>
        </w:rPr>
        <w:t>R., 2020. Adaptive sports, arts, recreation, and community engagement. </w:t>
      </w:r>
      <w:r w:rsidRPr="00784894">
        <w:rPr>
          <w:i/>
          <w:iCs/>
          <w:color w:val="222222"/>
          <w:szCs w:val="24"/>
          <w:shd w:val="clear" w:color="auto" w:fill="FFFFFF"/>
        </w:rPr>
        <w:t>Physical Medicine and Rehabilitation Clinics</w:t>
      </w:r>
      <w:r w:rsidRPr="00784894">
        <w:rPr>
          <w:color w:val="222222"/>
          <w:szCs w:val="24"/>
          <w:shd w:val="clear" w:color="auto" w:fill="FFFFFF"/>
        </w:rPr>
        <w:t>, </w:t>
      </w:r>
      <w:r w:rsidRPr="00784894">
        <w:rPr>
          <w:i/>
          <w:iCs/>
          <w:color w:val="222222"/>
          <w:szCs w:val="24"/>
          <w:shd w:val="clear" w:color="auto" w:fill="FFFFFF"/>
        </w:rPr>
        <w:t>31</w:t>
      </w:r>
      <w:r w:rsidRPr="00784894">
        <w:rPr>
          <w:color w:val="222222"/>
          <w:szCs w:val="24"/>
          <w:shd w:val="clear" w:color="auto" w:fill="FFFFFF"/>
        </w:rPr>
        <w:t>(1), pp.143-158.</w:t>
      </w:r>
    </w:p>
    <w:p w14:paraId="6077E37D" w14:textId="77777777" w:rsidR="00C74CE0" w:rsidRPr="00784894" w:rsidRDefault="00C74CE0" w:rsidP="00C74CE0">
      <w:pPr>
        <w:spacing w:line="240" w:lineRule="auto"/>
        <w:ind w:left="840" w:hanging="840"/>
        <w:rPr>
          <w:color w:val="222222"/>
          <w:szCs w:val="24"/>
          <w:shd w:val="clear" w:color="auto" w:fill="FFFFFF"/>
        </w:rPr>
      </w:pPr>
      <w:r w:rsidRPr="00784894">
        <w:rPr>
          <w:color w:val="222222"/>
          <w:szCs w:val="24"/>
          <w:shd w:val="clear" w:color="auto" w:fill="FFFFFF"/>
        </w:rPr>
        <w:t>Williams, S., 2022. </w:t>
      </w:r>
      <w:r w:rsidRPr="00784894">
        <w:rPr>
          <w:i/>
          <w:iCs/>
          <w:color w:val="222222"/>
          <w:szCs w:val="24"/>
          <w:shd w:val="clear" w:color="auto" w:fill="FFFFFF"/>
        </w:rPr>
        <w:t>Data action: Using data for public good</w:t>
      </w:r>
      <w:r w:rsidRPr="00784894">
        <w:rPr>
          <w:color w:val="222222"/>
          <w:szCs w:val="24"/>
          <w:shd w:val="clear" w:color="auto" w:fill="FFFFFF"/>
        </w:rPr>
        <w:t>. MIT Press.</w:t>
      </w:r>
    </w:p>
    <w:p w14:paraId="62F2316D" w14:textId="77777777" w:rsidR="00C74CE0" w:rsidRDefault="00C74CE0" w:rsidP="00C74CE0"/>
    <w:p w14:paraId="6FD15EA5" w14:textId="005F032F" w:rsidR="00C74CE0" w:rsidRDefault="00C74CE0" w:rsidP="00C74CE0">
      <w:pPr>
        <w:rPr>
          <w:rFonts w:ascii="Bell MT" w:hAnsi="Bell MT"/>
          <w:b/>
          <w:bCs/>
          <w:i/>
          <w:iCs/>
          <w:sz w:val="56"/>
          <w:szCs w:val="56"/>
        </w:rPr>
      </w:pPr>
      <w:r>
        <w:br w:type="page"/>
      </w:r>
    </w:p>
    <w:p w14:paraId="0C85B2BC" w14:textId="77777777" w:rsidR="00C74CE0" w:rsidRDefault="00C74CE0" w:rsidP="00674316">
      <w:pPr>
        <w:jc w:val="right"/>
        <w:rPr>
          <w:rFonts w:ascii="Bell MT" w:hAnsi="Bell MT"/>
          <w:b/>
          <w:bCs/>
          <w:i/>
          <w:iCs/>
          <w:sz w:val="56"/>
          <w:szCs w:val="56"/>
        </w:rPr>
      </w:pPr>
    </w:p>
    <w:p w14:paraId="7D23977A" w14:textId="77777777" w:rsidR="00674316" w:rsidRDefault="00674316"/>
    <w:sectPr w:rsidR="006743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MS Gothic"/>
    <w:charset w:val="80"/>
    <w:family w:val="auto"/>
    <w:pitch w:val="variable"/>
  </w:font>
  <w:font w:name="Bell MT">
    <w:panose1 w:val="020205030603050203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24083300">
    <w:abstractNumId w:val="0"/>
  </w:num>
  <w:num w:numId="2" w16cid:durableId="9123492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316"/>
    <w:rsid w:val="002E5091"/>
    <w:rsid w:val="00674316"/>
    <w:rsid w:val="00950043"/>
    <w:rsid w:val="0098395E"/>
    <w:rsid w:val="00A83859"/>
    <w:rsid w:val="00AF5970"/>
    <w:rsid w:val="00C7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505D7"/>
  <w15:chartTrackingRefBased/>
  <w15:docId w15:val="{B40B6CBE-5B88-4B8E-B770-DCDEE0B66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C74C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C74CE0"/>
    <w:pPr>
      <w:keepNext/>
      <w:keepLines/>
      <w:tabs>
        <w:tab w:val="num" w:pos="0"/>
      </w:tabs>
      <w:suppressAutoHyphens/>
      <w:spacing w:before="113" w:after="0" w:line="360" w:lineRule="auto"/>
      <w:ind w:left="576" w:hanging="576"/>
      <w:jc w:val="both"/>
      <w:outlineLvl w:val="1"/>
    </w:pPr>
    <w:rPr>
      <w:rFonts w:ascii="Times New Roman" w:eastAsia="Times New Roman" w:hAnsi="Times New Roman" w:cs="Times New Roman"/>
      <w:bCs/>
      <w:color w:val="000000"/>
      <w:sz w:val="24"/>
      <w:szCs w:val="26"/>
      <w:u w:val="single"/>
      <w:lang w:eastAsia="ar-SA"/>
    </w:rPr>
  </w:style>
  <w:style w:type="paragraph" w:styleId="Heading3">
    <w:name w:val="heading 3"/>
    <w:basedOn w:val="Normal"/>
    <w:next w:val="BodyText"/>
    <w:link w:val="Heading3Char"/>
    <w:qFormat/>
    <w:rsid w:val="00C74CE0"/>
    <w:pPr>
      <w:keepNext/>
      <w:tabs>
        <w:tab w:val="num" w:pos="0"/>
      </w:tabs>
      <w:suppressAutoHyphens/>
      <w:spacing w:before="240" w:after="120" w:line="360" w:lineRule="auto"/>
      <w:ind w:left="720" w:hanging="720"/>
      <w:jc w:val="both"/>
      <w:outlineLvl w:val="2"/>
    </w:pPr>
    <w:rPr>
      <w:rFonts w:ascii="Arial" w:eastAsia="Droid Sans" w:hAnsi="Arial" w:cs="DejaVu Sans"/>
      <w:b/>
      <w:bCs/>
      <w:color w:val="000000"/>
      <w:sz w:val="28"/>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C74CE0"/>
    <w:rPr>
      <w:color w:val="000080"/>
      <w:u w:val="single"/>
    </w:rPr>
  </w:style>
  <w:style w:type="character" w:customStyle="1" w:styleId="Heading1Char">
    <w:name w:val="Heading 1 Char"/>
    <w:basedOn w:val="DefaultParagraphFont"/>
    <w:link w:val="Heading1"/>
    <w:uiPriority w:val="9"/>
    <w:rsid w:val="00C74C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qFormat/>
    <w:rsid w:val="00C74CE0"/>
    <w:pPr>
      <w:spacing w:line="252" w:lineRule="auto"/>
    </w:pPr>
    <w:rPr>
      <w:rFonts w:ascii="Calibri Light" w:eastAsia="Times New Roman" w:hAnsi="Calibri Light" w:cs="Times New Roman"/>
      <w:color w:val="2E74B5"/>
      <w:lang w:val="en-US" w:eastAsia="ar-SA"/>
    </w:rPr>
  </w:style>
  <w:style w:type="paragraph" w:styleId="TOC1">
    <w:name w:val="toc 1"/>
    <w:basedOn w:val="Normal"/>
    <w:next w:val="Normal"/>
    <w:uiPriority w:val="39"/>
    <w:rsid w:val="00C74CE0"/>
    <w:pPr>
      <w:suppressAutoHyphens/>
      <w:spacing w:after="0" w:line="360" w:lineRule="auto"/>
      <w:jc w:val="both"/>
    </w:pPr>
    <w:rPr>
      <w:rFonts w:ascii="Times New Roman" w:eastAsia="Calibri" w:hAnsi="Times New Roman" w:cs="Times New Roman"/>
      <w:color w:val="000000"/>
      <w:sz w:val="24"/>
      <w:lang w:eastAsia="ar-SA"/>
    </w:rPr>
  </w:style>
  <w:style w:type="paragraph" w:styleId="TOC2">
    <w:name w:val="toc 2"/>
    <w:basedOn w:val="Normal"/>
    <w:next w:val="Normal"/>
    <w:uiPriority w:val="39"/>
    <w:rsid w:val="00C74CE0"/>
    <w:pPr>
      <w:suppressAutoHyphens/>
      <w:spacing w:after="0" w:line="360" w:lineRule="auto"/>
      <w:ind w:left="240"/>
      <w:jc w:val="both"/>
    </w:pPr>
    <w:rPr>
      <w:rFonts w:ascii="Times New Roman" w:eastAsia="Calibri" w:hAnsi="Times New Roman" w:cs="Times New Roman"/>
      <w:color w:val="000000"/>
      <w:sz w:val="24"/>
      <w:lang w:eastAsia="ar-SA"/>
    </w:rPr>
  </w:style>
  <w:style w:type="character" w:customStyle="1" w:styleId="Heading2Char">
    <w:name w:val="Heading 2 Char"/>
    <w:basedOn w:val="DefaultParagraphFont"/>
    <w:link w:val="Heading2"/>
    <w:rsid w:val="00C74CE0"/>
    <w:rPr>
      <w:rFonts w:ascii="Times New Roman" w:eastAsia="Times New Roman" w:hAnsi="Times New Roman" w:cs="Times New Roman"/>
      <w:bCs/>
      <w:color w:val="000000"/>
      <w:sz w:val="24"/>
      <w:szCs w:val="26"/>
      <w:u w:val="single"/>
      <w:lang w:eastAsia="ar-SA"/>
    </w:rPr>
  </w:style>
  <w:style w:type="character" w:customStyle="1" w:styleId="Heading3Char">
    <w:name w:val="Heading 3 Char"/>
    <w:basedOn w:val="DefaultParagraphFont"/>
    <w:link w:val="Heading3"/>
    <w:rsid w:val="00C74CE0"/>
    <w:rPr>
      <w:rFonts w:ascii="Arial" w:eastAsia="Droid Sans" w:hAnsi="Arial" w:cs="DejaVu Sans"/>
      <w:b/>
      <w:bCs/>
      <w:color w:val="000000"/>
      <w:sz w:val="28"/>
      <w:szCs w:val="28"/>
      <w:lang w:eastAsia="ar-SA"/>
    </w:rPr>
  </w:style>
  <w:style w:type="paragraph" w:styleId="BodyText">
    <w:name w:val="Body Text"/>
    <w:basedOn w:val="Normal"/>
    <w:link w:val="BodyTextChar"/>
    <w:uiPriority w:val="99"/>
    <w:semiHidden/>
    <w:unhideWhenUsed/>
    <w:rsid w:val="00C74CE0"/>
    <w:pPr>
      <w:spacing w:after="120"/>
    </w:pPr>
  </w:style>
  <w:style w:type="character" w:customStyle="1" w:styleId="BodyTextChar">
    <w:name w:val="Body Text Char"/>
    <w:basedOn w:val="DefaultParagraphFont"/>
    <w:link w:val="BodyText"/>
    <w:uiPriority w:val="99"/>
    <w:semiHidden/>
    <w:rsid w:val="00C74C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2167</Words>
  <Characters>12357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Mirena Terzieva (2130468)</dc:creator>
  <cp:keywords/>
  <dc:description/>
  <cp:lastModifiedBy>Mirena Terzieva (2130468)</cp:lastModifiedBy>
  <cp:revision>1</cp:revision>
  <dcterms:created xsi:type="dcterms:W3CDTF">2023-01-08T21:00:00Z</dcterms:created>
  <dcterms:modified xsi:type="dcterms:W3CDTF">2023-01-08T21:31:00Z</dcterms:modified>
</cp:coreProperties>
</file>