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sz w:val="32"/>
          <w:szCs w:val="32"/>
        </w:rPr>
      </w:pPr>
    </w:p>
    <w:p w:rsidR="00E14297" w:rsidRPr="00304E86" w:rsidRDefault="00E14297" w:rsidP="00304E86">
      <w:pPr>
        <w:jc w:val="both"/>
        <w:rPr>
          <w:rFonts w:asciiTheme="minorHAnsi" w:hAnsiTheme="minorHAnsi" w:cstheme="minorHAnsi"/>
          <w:sz w:val="32"/>
          <w:szCs w:val="32"/>
        </w:rPr>
      </w:pPr>
    </w:p>
    <w:p w:rsidR="00A24AA5" w:rsidRPr="00304E86" w:rsidRDefault="00A24AA5" w:rsidP="00304E86">
      <w:pPr>
        <w:jc w:val="center"/>
        <w:rPr>
          <w:rFonts w:asciiTheme="minorHAnsi" w:hAnsiTheme="minorHAnsi" w:cstheme="minorHAnsi"/>
          <w:sz w:val="32"/>
          <w:szCs w:val="32"/>
        </w:rPr>
      </w:pPr>
      <w:r w:rsidRPr="00304E86">
        <w:rPr>
          <w:rFonts w:asciiTheme="minorHAnsi" w:hAnsiTheme="minorHAnsi" w:cstheme="minorHAnsi"/>
          <w:b/>
          <w:bCs/>
          <w:sz w:val="32"/>
          <w:szCs w:val="32"/>
        </w:rPr>
        <w:t>Student Name</w:t>
      </w:r>
      <w:r w:rsidRPr="00304E86">
        <w:rPr>
          <w:rFonts w:asciiTheme="minorHAnsi" w:hAnsiTheme="minorHAnsi" w:cstheme="minorHAnsi"/>
          <w:sz w:val="32"/>
          <w:szCs w:val="32"/>
        </w:rPr>
        <w:t>:</w:t>
      </w:r>
      <w:r w:rsidR="00ED5CBD" w:rsidRPr="00304E86">
        <w:rPr>
          <w:rFonts w:asciiTheme="minorHAnsi" w:hAnsiTheme="minorHAnsi" w:cstheme="minorHAnsi"/>
          <w:sz w:val="32"/>
          <w:szCs w:val="32"/>
        </w:rPr>
        <w:t xml:space="preserve"> </w:t>
      </w:r>
      <w:proofErr w:type="spellStart"/>
      <w:r w:rsidR="00ED5CBD" w:rsidRPr="00304E86">
        <w:rPr>
          <w:rFonts w:asciiTheme="minorHAnsi" w:hAnsiTheme="minorHAnsi" w:cstheme="minorHAnsi"/>
          <w:sz w:val="32"/>
          <w:szCs w:val="32"/>
        </w:rPr>
        <w:t>Hichem</w:t>
      </w:r>
      <w:proofErr w:type="spellEnd"/>
      <w:r w:rsidR="00ED5CBD" w:rsidRPr="00304E86">
        <w:rPr>
          <w:rFonts w:asciiTheme="minorHAnsi" w:hAnsiTheme="minorHAnsi" w:cstheme="minorHAnsi"/>
          <w:sz w:val="32"/>
          <w:szCs w:val="32"/>
        </w:rPr>
        <w:t xml:space="preserve"> Ben Abdelaziz</w:t>
      </w:r>
    </w:p>
    <w:p w:rsidR="00E14297" w:rsidRPr="00304E86" w:rsidRDefault="00E14297" w:rsidP="00304E86">
      <w:pPr>
        <w:jc w:val="center"/>
        <w:rPr>
          <w:rFonts w:asciiTheme="minorHAnsi" w:hAnsiTheme="minorHAnsi" w:cstheme="minorHAnsi"/>
          <w:sz w:val="32"/>
          <w:szCs w:val="32"/>
        </w:rPr>
      </w:pPr>
    </w:p>
    <w:p w:rsidR="00A24AA5" w:rsidRPr="00304E86" w:rsidRDefault="00A24AA5" w:rsidP="00304E86">
      <w:pPr>
        <w:jc w:val="center"/>
        <w:rPr>
          <w:rFonts w:asciiTheme="minorHAnsi" w:hAnsiTheme="minorHAnsi" w:cstheme="minorHAnsi"/>
          <w:sz w:val="32"/>
          <w:szCs w:val="32"/>
        </w:rPr>
      </w:pPr>
      <w:r w:rsidRPr="00304E86">
        <w:rPr>
          <w:rFonts w:asciiTheme="minorHAnsi" w:hAnsiTheme="minorHAnsi" w:cstheme="minorHAnsi"/>
          <w:b/>
          <w:bCs/>
          <w:sz w:val="32"/>
          <w:szCs w:val="32"/>
        </w:rPr>
        <w:t>Student Number</w:t>
      </w:r>
      <w:r w:rsidRPr="00304E86">
        <w:rPr>
          <w:rFonts w:asciiTheme="minorHAnsi" w:hAnsiTheme="minorHAnsi" w:cstheme="minorHAnsi"/>
          <w:sz w:val="32"/>
          <w:szCs w:val="32"/>
        </w:rPr>
        <w:t>:</w:t>
      </w:r>
      <w:r w:rsidR="00ED5CBD" w:rsidRPr="00304E86">
        <w:rPr>
          <w:rFonts w:asciiTheme="minorHAnsi" w:hAnsiTheme="minorHAnsi" w:cstheme="minorHAnsi"/>
          <w:sz w:val="32"/>
          <w:szCs w:val="32"/>
        </w:rPr>
        <w:t xml:space="preserve"> 2016256</w:t>
      </w:r>
    </w:p>
    <w:p w:rsidR="00E14297" w:rsidRPr="00304E86" w:rsidRDefault="00E14297" w:rsidP="00304E86">
      <w:pPr>
        <w:jc w:val="center"/>
        <w:rPr>
          <w:rFonts w:asciiTheme="minorHAnsi" w:hAnsiTheme="minorHAnsi" w:cstheme="minorHAnsi"/>
          <w:sz w:val="32"/>
          <w:szCs w:val="32"/>
        </w:rPr>
      </w:pPr>
    </w:p>
    <w:p w:rsidR="00E14297" w:rsidRPr="00304E86" w:rsidRDefault="00E14297" w:rsidP="00304E86">
      <w:pPr>
        <w:jc w:val="both"/>
        <w:rPr>
          <w:rFonts w:asciiTheme="minorHAnsi" w:hAnsiTheme="minorHAnsi" w:cstheme="minorHAnsi"/>
          <w:sz w:val="32"/>
          <w:szCs w:val="32"/>
        </w:rPr>
      </w:pPr>
    </w:p>
    <w:p w:rsidR="00E14297" w:rsidRPr="00304E86" w:rsidRDefault="00E14297" w:rsidP="00304E86">
      <w:pPr>
        <w:jc w:val="both"/>
        <w:rPr>
          <w:rFonts w:asciiTheme="minorHAnsi" w:hAnsiTheme="minorHAnsi" w:cstheme="minorHAnsi"/>
          <w:sz w:val="32"/>
          <w:szCs w:val="32"/>
        </w:rPr>
      </w:pPr>
    </w:p>
    <w:p w:rsidR="00A24AA5" w:rsidRPr="00304E86" w:rsidRDefault="00A24AA5" w:rsidP="00304E86">
      <w:pPr>
        <w:jc w:val="both"/>
        <w:rPr>
          <w:rFonts w:asciiTheme="minorHAnsi" w:hAnsiTheme="minorHAnsi" w:cstheme="minorHAnsi"/>
          <w:sz w:val="32"/>
          <w:szCs w:val="32"/>
        </w:rPr>
      </w:pPr>
      <w:r w:rsidRPr="00304E86">
        <w:rPr>
          <w:rFonts w:asciiTheme="minorHAnsi" w:hAnsiTheme="minorHAnsi" w:cstheme="minorHAnsi"/>
          <w:b/>
          <w:bCs/>
          <w:sz w:val="32"/>
          <w:szCs w:val="32"/>
        </w:rPr>
        <w:t>Essay Title</w:t>
      </w:r>
      <w:r w:rsidRPr="00304E86">
        <w:rPr>
          <w:rFonts w:asciiTheme="minorHAnsi" w:hAnsiTheme="minorHAnsi" w:cstheme="minorHAnsi"/>
          <w:sz w:val="32"/>
          <w:szCs w:val="32"/>
        </w:rPr>
        <w:t xml:space="preserve">: </w:t>
      </w:r>
      <w:r w:rsidR="00ED5CBD" w:rsidRPr="00304E86">
        <w:rPr>
          <w:rFonts w:asciiTheme="minorHAnsi" w:hAnsiTheme="minorHAnsi" w:cstheme="minorHAnsi"/>
          <w:sz w:val="32"/>
          <w:szCs w:val="32"/>
        </w:rPr>
        <w:t>With reference to the constitution of the United Kingdom, consider the importance of judicial independence. You will need to discuss the extent to which the United Kingdom’s constitution allows for separation between the judiciary and the other branches of state</w:t>
      </w:r>
      <w:r w:rsidR="00E14297" w:rsidRPr="00304E86">
        <w:rPr>
          <w:rFonts w:asciiTheme="minorHAnsi" w:hAnsiTheme="minorHAnsi" w:cstheme="minorHAnsi"/>
          <w:sz w:val="32"/>
          <w:szCs w:val="32"/>
        </w:rPr>
        <w:t>.</w:t>
      </w:r>
    </w:p>
    <w:p w:rsidR="00E14297" w:rsidRPr="00304E86" w:rsidRDefault="00E14297" w:rsidP="00304E86">
      <w:pPr>
        <w:jc w:val="both"/>
        <w:rPr>
          <w:rFonts w:asciiTheme="minorHAnsi" w:hAnsiTheme="minorHAnsi" w:cstheme="minorHAnsi"/>
          <w:sz w:val="32"/>
          <w:szCs w:val="32"/>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E14297" w:rsidRPr="00304E86" w:rsidRDefault="00E14297" w:rsidP="00304E86">
      <w:pPr>
        <w:jc w:val="both"/>
        <w:rPr>
          <w:rFonts w:asciiTheme="minorHAnsi" w:hAnsiTheme="minorHAnsi" w:cstheme="minorHAnsi"/>
        </w:rPr>
      </w:pPr>
    </w:p>
    <w:p w:rsidR="00A24AA5" w:rsidRPr="00304E86" w:rsidRDefault="00A24AA5" w:rsidP="00304E86">
      <w:pPr>
        <w:jc w:val="both"/>
        <w:rPr>
          <w:rFonts w:asciiTheme="minorHAnsi" w:hAnsiTheme="minorHAnsi" w:cstheme="minorHAnsi"/>
        </w:rPr>
      </w:pPr>
    </w:p>
    <w:p w:rsidR="00A24AA5" w:rsidRPr="00304E86" w:rsidRDefault="00A24AA5" w:rsidP="00304E86">
      <w:pPr>
        <w:jc w:val="both"/>
        <w:rPr>
          <w:rFonts w:asciiTheme="minorHAnsi" w:hAnsiTheme="minorHAnsi" w:cstheme="minorHAnsi"/>
        </w:rPr>
      </w:pPr>
    </w:p>
    <w:p w:rsidR="00A24AA5" w:rsidRPr="00304E86" w:rsidRDefault="00A24AA5" w:rsidP="00304E86">
      <w:pPr>
        <w:jc w:val="both"/>
        <w:rPr>
          <w:rFonts w:asciiTheme="minorHAnsi" w:hAnsiTheme="minorHAnsi" w:cstheme="minorHAnsi"/>
        </w:rPr>
      </w:pPr>
    </w:p>
    <w:p w:rsidR="00A24AA5" w:rsidRPr="00304E86" w:rsidRDefault="00A24AA5" w:rsidP="00304E86">
      <w:pPr>
        <w:jc w:val="both"/>
        <w:rPr>
          <w:rFonts w:asciiTheme="minorHAnsi" w:hAnsiTheme="minorHAnsi" w:cstheme="minorHAnsi"/>
        </w:rPr>
      </w:pPr>
    </w:p>
    <w:p w:rsidR="00A24AA5" w:rsidRPr="00304E86" w:rsidRDefault="00A24AA5" w:rsidP="00304E86">
      <w:pPr>
        <w:jc w:val="both"/>
        <w:rPr>
          <w:rFonts w:asciiTheme="minorHAnsi" w:hAnsiTheme="minorHAnsi" w:cstheme="minorHAnsi"/>
        </w:rPr>
      </w:pPr>
    </w:p>
    <w:p w:rsidR="00A24AA5" w:rsidRPr="00304E86" w:rsidRDefault="00A24AA5" w:rsidP="00304E86">
      <w:pPr>
        <w:jc w:val="both"/>
        <w:rPr>
          <w:rFonts w:asciiTheme="minorHAnsi" w:hAnsiTheme="minorHAnsi" w:cstheme="minorHAnsi"/>
        </w:rPr>
      </w:pPr>
    </w:p>
    <w:p w:rsidR="00304E86" w:rsidRDefault="00304E86" w:rsidP="00304E86">
      <w:pPr>
        <w:jc w:val="both"/>
        <w:rPr>
          <w:rFonts w:asciiTheme="minorHAnsi" w:hAnsiTheme="minorHAnsi" w:cstheme="minorHAnsi"/>
          <w:b/>
          <w:bCs/>
        </w:rPr>
      </w:pPr>
    </w:p>
    <w:p w:rsidR="00304E86" w:rsidRDefault="00304E86" w:rsidP="00304E86">
      <w:pPr>
        <w:jc w:val="both"/>
        <w:rPr>
          <w:rFonts w:asciiTheme="minorHAnsi" w:hAnsiTheme="minorHAnsi" w:cstheme="minorHAnsi"/>
          <w:b/>
          <w:bCs/>
        </w:rPr>
      </w:pPr>
    </w:p>
    <w:p w:rsidR="00B44FD5" w:rsidRPr="00304E86" w:rsidRDefault="008258F4" w:rsidP="00304E86">
      <w:pPr>
        <w:jc w:val="both"/>
        <w:rPr>
          <w:rFonts w:asciiTheme="minorHAnsi" w:hAnsiTheme="minorHAnsi" w:cstheme="minorHAnsi"/>
          <w:b/>
          <w:bCs/>
        </w:rPr>
      </w:pPr>
      <w:r w:rsidRPr="00304E86">
        <w:rPr>
          <w:rFonts w:asciiTheme="minorHAnsi" w:hAnsiTheme="minorHAnsi" w:cstheme="minorHAnsi"/>
          <w:b/>
          <w:bCs/>
        </w:rPr>
        <w:t>Introduction</w:t>
      </w:r>
    </w:p>
    <w:p w:rsidR="00E14297" w:rsidRPr="00304E86" w:rsidRDefault="00E14297" w:rsidP="00304E86">
      <w:pPr>
        <w:jc w:val="both"/>
        <w:rPr>
          <w:rFonts w:asciiTheme="minorHAnsi" w:hAnsiTheme="minorHAnsi" w:cstheme="minorHAnsi"/>
          <w:b/>
          <w:bCs/>
        </w:rPr>
      </w:pPr>
    </w:p>
    <w:p w:rsidR="0096199C" w:rsidRPr="00304E86" w:rsidRDefault="0096199C" w:rsidP="00304E86">
      <w:pPr>
        <w:jc w:val="both"/>
        <w:rPr>
          <w:rFonts w:asciiTheme="minorHAnsi" w:hAnsiTheme="minorHAnsi" w:cstheme="minorHAnsi"/>
        </w:rPr>
      </w:pPr>
    </w:p>
    <w:p w:rsidR="007C3A96" w:rsidRPr="00304E86" w:rsidRDefault="007C3A96" w:rsidP="00304E86">
      <w:pPr>
        <w:jc w:val="both"/>
        <w:rPr>
          <w:rFonts w:asciiTheme="minorHAnsi" w:hAnsiTheme="minorHAnsi" w:cstheme="minorHAnsi"/>
        </w:rPr>
      </w:pPr>
      <w:r w:rsidRPr="00304E86">
        <w:rPr>
          <w:rFonts w:asciiTheme="minorHAnsi" w:hAnsiTheme="minorHAnsi" w:cstheme="minorHAnsi"/>
        </w:rPr>
        <w:t xml:space="preserve">It is crucially significant in a </w:t>
      </w:r>
      <w:r w:rsidRPr="00304E86">
        <w:rPr>
          <w:rFonts w:asciiTheme="minorHAnsi" w:hAnsiTheme="minorHAnsi" w:cstheme="minorHAnsi"/>
        </w:rPr>
        <w:t>democracy</w:t>
      </w:r>
      <w:r w:rsidRPr="00304E86">
        <w:rPr>
          <w:rFonts w:asciiTheme="minorHAnsi" w:hAnsiTheme="minorHAnsi" w:cstheme="minorHAnsi"/>
        </w:rPr>
        <w:t xml:space="preserve"> based system that individual </w:t>
      </w:r>
      <w:r w:rsidRPr="00304E86">
        <w:rPr>
          <w:rFonts w:asciiTheme="minorHAnsi" w:hAnsiTheme="minorHAnsi" w:cstheme="minorHAnsi"/>
        </w:rPr>
        <w:t xml:space="preserve">judge </w:t>
      </w:r>
      <w:r w:rsidRPr="00304E86">
        <w:rPr>
          <w:rFonts w:asciiTheme="minorHAnsi" w:hAnsiTheme="minorHAnsi" w:cstheme="minorHAnsi"/>
        </w:rPr>
        <w:t xml:space="preserve">and the legal </w:t>
      </w:r>
      <w:r w:rsidRPr="00304E86">
        <w:rPr>
          <w:rFonts w:asciiTheme="minorHAnsi" w:hAnsiTheme="minorHAnsi" w:cstheme="minorHAnsi"/>
        </w:rPr>
        <w:t>judiciary</w:t>
      </w:r>
      <w:r w:rsidRPr="00304E86">
        <w:rPr>
          <w:rFonts w:asciiTheme="minorHAnsi" w:hAnsiTheme="minorHAnsi" w:cstheme="minorHAnsi"/>
        </w:rPr>
        <w:t xml:space="preserve"> all in all are fair-minded and autonomous of every single outside weight and of one another so the individuals who show up before them and the more extensive public can have certainty that their cases will be chosen reasonably and as per the law. When doing their legal capacity they should be liberated from any inappropriate impact. Such impact could emerge out of quite a few sources. It could emerge from ill-advised weight by the </w:t>
      </w:r>
      <w:r w:rsidRPr="00304E86">
        <w:rPr>
          <w:rFonts w:asciiTheme="minorHAnsi" w:hAnsiTheme="minorHAnsi" w:cstheme="minorHAnsi"/>
        </w:rPr>
        <w:t>executive</w:t>
      </w:r>
      <w:r w:rsidRPr="00304E86">
        <w:rPr>
          <w:rFonts w:asciiTheme="minorHAnsi" w:hAnsiTheme="minorHAnsi" w:cstheme="minorHAnsi"/>
        </w:rPr>
        <w:t xml:space="preserve"> or the </w:t>
      </w:r>
      <w:r w:rsidRPr="00304E86">
        <w:rPr>
          <w:rFonts w:asciiTheme="minorHAnsi" w:hAnsiTheme="minorHAnsi" w:cstheme="minorHAnsi"/>
        </w:rPr>
        <w:t>legislature</w:t>
      </w:r>
      <w:r w:rsidRPr="00304E86">
        <w:rPr>
          <w:rFonts w:asciiTheme="minorHAnsi" w:hAnsiTheme="minorHAnsi" w:cstheme="minorHAnsi"/>
        </w:rPr>
        <w:t xml:space="preserve">, by singular disputants, particular pressure groups, the media, personal responsibility or different appointed authorities, specifically more senior </w:t>
      </w:r>
      <w:r w:rsidRPr="00304E86">
        <w:rPr>
          <w:rFonts w:asciiTheme="minorHAnsi" w:hAnsiTheme="minorHAnsi" w:cstheme="minorHAnsi"/>
        </w:rPr>
        <w:t>judges</w:t>
      </w:r>
      <w:r w:rsidRPr="00304E86">
        <w:rPr>
          <w:rFonts w:asciiTheme="minorHAnsi" w:hAnsiTheme="minorHAnsi" w:cstheme="minorHAnsi"/>
        </w:rPr>
        <w:t>.</w:t>
      </w:r>
    </w:p>
    <w:p w:rsidR="007C3A96" w:rsidRPr="00304E86" w:rsidRDefault="007C3A96" w:rsidP="00304E86">
      <w:pPr>
        <w:jc w:val="both"/>
        <w:rPr>
          <w:rFonts w:asciiTheme="minorHAnsi" w:hAnsiTheme="minorHAnsi" w:cstheme="minorHAnsi"/>
        </w:rPr>
      </w:pPr>
    </w:p>
    <w:p w:rsidR="00A7599B" w:rsidRPr="00304E86" w:rsidRDefault="00E14297" w:rsidP="00304E86">
      <w:pPr>
        <w:jc w:val="both"/>
        <w:rPr>
          <w:rFonts w:asciiTheme="minorHAnsi" w:hAnsiTheme="minorHAnsi" w:cstheme="minorHAnsi"/>
          <w:b/>
          <w:bCs/>
        </w:rPr>
      </w:pPr>
      <w:r w:rsidRPr="00304E86">
        <w:rPr>
          <w:rFonts w:asciiTheme="minorHAnsi" w:hAnsiTheme="minorHAnsi" w:cstheme="minorHAnsi"/>
          <w:b/>
          <w:bCs/>
        </w:rPr>
        <w:t>I</w:t>
      </w:r>
      <w:r w:rsidR="00A7599B" w:rsidRPr="00304E86">
        <w:rPr>
          <w:rFonts w:asciiTheme="minorHAnsi" w:hAnsiTheme="minorHAnsi" w:cstheme="minorHAnsi"/>
          <w:b/>
          <w:bCs/>
        </w:rPr>
        <w:t>mportan</w:t>
      </w:r>
      <w:r w:rsidRPr="00304E86">
        <w:rPr>
          <w:rFonts w:asciiTheme="minorHAnsi" w:hAnsiTheme="minorHAnsi" w:cstheme="minorHAnsi"/>
          <w:b/>
          <w:bCs/>
        </w:rPr>
        <w:t xml:space="preserve">ce  Judicial Independence </w:t>
      </w:r>
    </w:p>
    <w:p w:rsidR="00E14297" w:rsidRPr="00304E86" w:rsidRDefault="00E14297" w:rsidP="00304E86">
      <w:pPr>
        <w:jc w:val="both"/>
        <w:rPr>
          <w:rFonts w:asciiTheme="minorHAnsi" w:hAnsiTheme="minorHAnsi" w:cstheme="minorHAnsi"/>
          <w:b/>
          <w:bCs/>
        </w:rPr>
      </w:pPr>
    </w:p>
    <w:p w:rsidR="00361AA3" w:rsidRPr="00304E86" w:rsidRDefault="00361AA3" w:rsidP="00304E86">
      <w:pPr>
        <w:jc w:val="both"/>
        <w:rPr>
          <w:rFonts w:asciiTheme="minorHAnsi" w:hAnsiTheme="minorHAnsi" w:cstheme="minorHAnsi"/>
        </w:rPr>
      </w:pPr>
      <w:r w:rsidRPr="00304E86">
        <w:rPr>
          <w:rFonts w:asciiTheme="minorHAnsi" w:hAnsiTheme="minorHAnsi" w:cstheme="minorHAnsi"/>
        </w:rPr>
        <w:t>I</w:t>
      </w:r>
      <w:r w:rsidRPr="00304E86">
        <w:rPr>
          <w:rFonts w:asciiTheme="minorHAnsi" w:hAnsiTheme="minorHAnsi" w:cstheme="minorHAnsi"/>
        </w:rPr>
        <w:t xml:space="preserve">t is essential that each judge can choose cases exclusively on the proof introduced in court by the partis and as per the law. Just pertinent realities and law should shape the premise of an </w:t>
      </w:r>
      <w:proofErr w:type="spellStart"/>
      <w:r w:rsidRPr="00304E86">
        <w:rPr>
          <w:rFonts w:asciiTheme="minorHAnsi" w:hAnsiTheme="minorHAnsi" w:cstheme="minorHAnsi"/>
        </w:rPr>
        <w:t>judges's</w:t>
      </w:r>
      <w:proofErr w:type="spellEnd"/>
      <w:r w:rsidRPr="00304E86">
        <w:rPr>
          <w:rFonts w:asciiTheme="minorHAnsi" w:hAnsiTheme="minorHAnsi" w:cstheme="minorHAnsi"/>
        </w:rPr>
        <w:t xml:space="preserve"> choice. Just in this manner can makes a decision about release their established duty to give reasonable and fair-minded equity; to do equity as Lord Brougham, a nineteenth Century Lord Chancellor, put it 'among man a lot' or as Lord Clarke, previous Master of the Rolls put it all the more as of late in 2005, ‘between citizen and citizen or between citizen and the state’.</w:t>
      </w:r>
    </w:p>
    <w:p w:rsidR="00361AA3" w:rsidRPr="00304E86" w:rsidRDefault="00361AA3" w:rsidP="00304E86">
      <w:pPr>
        <w:jc w:val="both"/>
        <w:rPr>
          <w:rFonts w:asciiTheme="minorHAnsi" w:hAnsiTheme="minorHAnsi" w:cstheme="minorHAnsi"/>
        </w:rPr>
      </w:pPr>
    </w:p>
    <w:p w:rsidR="00361AA3" w:rsidRPr="00304E86" w:rsidRDefault="00361AA3" w:rsidP="00304E86">
      <w:pPr>
        <w:jc w:val="both"/>
        <w:rPr>
          <w:rFonts w:asciiTheme="minorHAnsi" w:hAnsiTheme="minorHAnsi" w:cstheme="minorHAnsi"/>
        </w:rPr>
      </w:pPr>
      <w:r w:rsidRPr="00304E86">
        <w:rPr>
          <w:rFonts w:asciiTheme="minorHAnsi" w:hAnsiTheme="minorHAnsi" w:cstheme="minorHAnsi"/>
        </w:rPr>
        <w:t>The obligations of judges in debates between the citizen and the state have expanded along with the development in legislative capacities in the course of the only remaining century. The obligation of the judiciary  to secure residents against unlawful demonstrations of government has consequently expanded, and with it the requirement for the judiciary to be autonomous of government.</w:t>
      </w:r>
    </w:p>
    <w:p w:rsidR="00E14297" w:rsidRPr="00304E86" w:rsidRDefault="00E14297" w:rsidP="00304E86">
      <w:pPr>
        <w:jc w:val="both"/>
        <w:rPr>
          <w:rFonts w:asciiTheme="minorHAnsi" w:hAnsiTheme="minorHAnsi" w:cstheme="minorHAnsi"/>
        </w:rPr>
      </w:pPr>
    </w:p>
    <w:p w:rsidR="0096199C" w:rsidRPr="00304E86" w:rsidRDefault="0096199C" w:rsidP="00304E86">
      <w:pPr>
        <w:jc w:val="both"/>
        <w:rPr>
          <w:rFonts w:asciiTheme="minorHAnsi" w:hAnsiTheme="minorHAnsi" w:cstheme="minorHAnsi"/>
          <w:b/>
          <w:bCs/>
        </w:rPr>
      </w:pPr>
      <w:r w:rsidRPr="00304E86">
        <w:rPr>
          <w:rFonts w:asciiTheme="minorHAnsi" w:hAnsiTheme="minorHAnsi" w:cstheme="minorHAnsi"/>
          <w:b/>
          <w:bCs/>
        </w:rPr>
        <w:t>Separation of power</w:t>
      </w:r>
    </w:p>
    <w:p w:rsidR="00E14297" w:rsidRPr="00304E86" w:rsidRDefault="00E14297" w:rsidP="00304E86">
      <w:pPr>
        <w:jc w:val="both"/>
        <w:rPr>
          <w:rFonts w:asciiTheme="minorHAnsi" w:hAnsiTheme="minorHAnsi" w:cstheme="minorHAnsi"/>
          <w:b/>
          <w:bCs/>
        </w:rPr>
      </w:pPr>
    </w:p>
    <w:p w:rsidR="00361AA3" w:rsidRPr="00304E86" w:rsidRDefault="00361AA3" w:rsidP="00304E86">
      <w:pPr>
        <w:jc w:val="both"/>
        <w:rPr>
          <w:rFonts w:asciiTheme="minorHAnsi" w:hAnsiTheme="minorHAnsi" w:cstheme="minorHAnsi"/>
        </w:rPr>
      </w:pPr>
      <w:r w:rsidRPr="00304E86">
        <w:rPr>
          <w:rFonts w:asciiTheme="minorHAnsi" w:hAnsiTheme="minorHAnsi" w:cstheme="minorHAnsi"/>
        </w:rPr>
        <w:t xml:space="preserve">The unadulterated perspective on the </w:t>
      </w:r>
      <w:r w:rsidRPr="00320EC7">
        <w:rPr>
          <w:rFonts w:asciiTheme="minorHAnsi" w:hAnsiTheme="minorHAnsi" w:cstheme="minorHAnsi"/>
          <w:shd w:val="clear" w:color="auto" w:fill="FFFFFF"/>
        </w:rPr>
        <w:t xml:space="preserve">separation of powers </w:t>
      </w:r>
      <w:r w:rsidRPr="00304E86">
        <w:rPr>
          <w:rFonts w:asciiTheme="minorHAnsi" w:hAnsiTheme="minorHAnsi" w:cstheme="minorHAnsi"/>
          <w:shd w:val="clear" w:color="auto" w:fill="FFFFFF"/>
        </w:rPr>
        <w:t xml:space="preserve">that </w:t>
      </w:r>
      <w:r w:rsidRPr="00304E86">
        <w:rPr>
          <w:rFonts w:asciiTheme="minorHAnsi" w:hAnsiTheme="minorHAnsi" w:cstheme="minorHAnsi"/>
        </w:rPr>
        <w:t xml:space="preserve">each part of state remains totally separate from one another. Neither one of the branches can actually meddle with the capacities that are performed by another part of state. Every one of the three branches are made of discrete staff checking and adjusting the forces of each branch. The closest guide to this variant is the US constitution. Each branch stays bound to its own capacity and can't infringe of another branches work. </w:t>
      </w:r>
    </w:p>
    <w:p w:rsidR="00361AA3" w:rsidRPr="00304E86" w:rsidRDefault="00361AA3" w:rsidP="00304E86">
      <w:pPr>
        <w:jc w:val="both"/>
        <w:rPr>
          <w:rFonts w:asciiTheme="minorHAnsi" w:hAnsiTheme="minorHAnsi" w:cstheme="minorHAnsi"/>
        </w:rPr>
      </w:pPr>
    </w:p>
    <w:p w:rsidR="00361AA3" w:rsidRPr="00304E86" w:rsidRDefault="00361AA3" w:rsidP="00304E86">
      <w:pPr>
        <w:jc w:val="both"/>
        <w:rPr>
          <w:rFonts w:asciiTheme="minorHAnsi" w:hAnsiTheme="minorHAnsi" w:cstheme="minorHAnsi"/>
        </w:rPr>
      </w:pPr>
      <w:r w:rsidRPr="00304E86">
        <w:rPr>
          <w:rFonts w:asciiTheme="minorHAnsi" w:hAnsiTheme="minorHAnsi" w:cstheme="minorHAnsi"/>
        </w:rPr>
        <w:t xml:space="preserve">The issue with the unadulterated perspective on the </w:t>
      </w:r>
      <w:r w:rsidRPr="00320EC7">
        <w:rPr>
          <w:rFonts w:asciiTheme="minorHAnsi" w:hAnsiTheme="minorHAnsi" w:cstheme="minorHAnsi"/>
          <w:shd w:val="clear" w:color="auto" w:fill="FFFFFF"/>
        </w:rPr>
        <w:t xml:space="preserve">separation of powers </w:t>
      </w:r>
      <w:r w:rsidRPr="00304E86">
        <w:rPr>
          <w:rFonts w:asciiTheme="minorHAnsi" w:hAnsiTheme="minorHAnsi" w:cstheme="minorHAnsi"/>
        </w:rPr>
        <w:t xml:space="preserve">is that it chances the likely issue of a branch conceivably mishandling their capacity. The incomplete view follows the possibility that while each part of government has its own unmistakable jobs and capacities, each branch shares their power somewhat to restrict the power of different branches in its exercises. This view proposes that separation  between each part of state shouldn't be unbending to accomplish whatever objective it is intended to seek after. It is more related with respect to how power assigned to each branch. This adaptation of the separation is more proficient and to a greater extent a reality to the UK's constitution given </w:t>
      </w:r>
      <w:r w:rsidRPr="00304E86">
        <w:rPr>
          <w:rFonts w:asciiTheme="minorHAnsi" w:hAnsiTheme="minorHAnsi" w:cstheme="minorHAnsi"/>
        </w:rPr>
        <w:lastRenderedPageBreak/>
        <w:t>that specific bodies and organizations in the UK's constitution can't be delegated having a place exclusively with one branch or the other.</w:t>
      </w:r>
    </w:p>
    <w:p w:rsidR="00361AA3" w:rsidRPr="00304E86" w:rsidRDefault="00361AA3" w:rsidP="00304E86">
      <w:pPr>
        <w:jc w:val="both"/>
        <w:rPr>
          <w:rFonts w:asciiTheme="minorHAnsi" w:hAnsiTheme="minorHAnsi" w:cstheme="minorHAnsi"/>
        </w:rPr>
      </w:pPr>
    </w:p>
    <w:p w:rsidR="00361AA3" w:rsidRPr="00304E86" w:rsidRDefault="00361AA3" w:rsidP="00304E86">
      <w:pPr>
        <w:jc w:val="both"/>
        <w:rPr>
          <w:rFonts w:asciiTheme="minorHAnsi" w:hAnsiTheme="minorHAnsi" w:cstheme="minorHAnsi"/>
          <w:b/>
          <w:bCs/>
        </w:rPr>
      </w:pPr>
    </w:p>
    <w:p w:rsidR="00361AA3" w:rsidRPr="00304E86" w:rsidRDefault="00361AA3" w:rsidP="00304E86">
      <w:pPr>
        <w:jc w:val="both"/>
        <w:rPr>
          <w:rFonts w:asciiTheme="minorHAnsi" w:hAnsiTheme="minorHAnsi" w:cstheme="minorHAnsi"/>
          <w:b/>
          <w:bCs/>
        </w:rPr>
      </w:pPr>
      <w:r w:rsidRPr="00304E86">
        <w:rPr>
          <w:rFonts w:asciiTheme="minorHAnsi" w:hAnsiTheme="minorHAnsi" w:cstheme="minorHAnsi"/>
          <w:b/>
          <w:bCs/>
        </w:rPr>
        <w:t>Relation with Legislative, Executive and Judiciary</w:t>
      </w:r>
    </w:p>
    <w:p w:rsidR="00361AA3" w:rsidRPr="00304E86" w:rsidRDefault="00361AA3" w:rsidP="00304E86">
      <w:pPr>
        <w:jc w:val="both"/>
        <w:rPr>
          <w:rFonts w:asciiTheme="minorHAnsi" w:hAnsiTheme="minorHAnsi" w:cstheme="minorHAnsi"/>
          <w:b/>
          <w:bCs/>
        </w:rPr>
      </w:pPr>
    </w:p>
    <w:p w:rsidR="00314517" w:rsidRPr="00304E86" w:rsidRDefault="00314517" w:rsidP="00304E86">
      <w:pPr>
        <w:jc w:val="both"/>
        <w:rPr>
          <w:rFonts w:asciiTheme="minorHAnsi" w:hAnsiTheme="minorHAnsi" w:cstheme="minorHAnsi"/>
        </w:rPr>
      </w:pPr>
      <w:r w:rsidRPr="00304E86">
        <w:rPr>
          <w:rFonts w:asciiTheme="minorHAnsi" w:hAnsiTheme="minorHAnsi" w:cstheme="minorHAnsi"/>
        </w:rPr>
        <w:t xml:space="preserve">So let us look at this relationship. Right off the bat, the inquiry to pose is whether similar people structure part of both the law-making body and executive It very well may be seen that ministers are members from one House of Parliament, yet there are restrictions with respect to the number of minister can sit in the House of Commons. Just as this, the vast majority inside the executive are precluded from the Commons. These incorporate those in the arm forces and police and holders of public offices. So it tends to be seen from this that it is 'just minister who practice a double function as key figures in both Parliament and the executive.' </w:t>
      </w:r>
    </w:p>
    <w:p w:rsidR="00314517" w:rsidRPr="00304E86" w:rsidRDefault="00314517" w:rsidP="00304E86">
      <w:pPr>
        <w:jc w:val="both"/>
        <w:rPr>
          <w:rFonts w:asciiTheme="minorHAnsi" w:hAnsiTheme="minorHAnsi" w:cstheme="minorHAnsi"/>
        </w:rPr>
      </w:pPr>
    </w:p>
    <w:p w:rsidR="00314517" w:rsidRPr="00304E86" w:rsidRDefault="00314517" w:rsidP="00304E86">
      <w:pPr>
        <w:jc w:val="both"/>
        <w:rPr>
          <w:rFonts w:asciiTheme="minorHAnsi" w:hAnsiTheme="minorHAnsi" w:cstheme="minorHAnsi"/>
        </w:rPr>
      </w:pPr>
      <w:r w:rsidRPr="00304E86">
        <w:rPr>
          <w:rFonts w:asciiTheme="minorHAnsi" w:hAnsiTheme="minorHAnsi" w:cstheme="minorHAnsi"/>
        </w:rPr>
        <w:t xml:space="preserve">The Second inquiry is whether the executive control the judiciary or do the judiciary  control the executive. Judicial freedom is constrained by law. Since the Act of Settlement 1700, judges  must be excused by a location from the two Houses of Parliament. Be that as it may, the judiciary do practice some authority over the executive. This is through judicial survey. Bradley and Ewing state that this is an 'fundamental capacity to ensure the resident against unlawful demonstrations of government organizations and authorities'. It includes the courts deciding the legitimateness of executive power and is primarily worried about the lawfulness of the dynamic cycle when designated enactment is made. This shows a conclusive hybrid between the judiciary  and executive.  In any case, some open bodies are absolved. For instance, in R v Parliamentary Commissioner for Standards, ex </w:t>
      </w:r>
      <w:proofErr w:type="spellStart"/>
      <w:r w:rsidRPr="00304E86">
        <w:rPr>
          <w:rFonts w:asciiTheme="minorHAnsi" w:hAnsiTheme="minorHAnsi" w:cstheme="minorHAnsi"/>
        </w:rPr>
        <w:t>parte</w:t>
      </w:r>
      <w:proofErr w:type="spellEnd"/>
      <w:r w:rsidRPr="00304E86">
        <w:rPr>
          <w:rFonts w:asciiTheme="minorHAnsi" w:hAnsiTheme="minorHAnsi" w:cstheme="minorHAnsi"/>
        </w:rPr>
        <w:t xml:space="preserve"> Al Fayed (1998) the court of Appeal decided that the Parliamentary Commissioner for Standards couldn't be exposed to judicial review. This was to a great extent because of the standards of the separation of power.</w:t>
      </w:r>
    </w:p>
    <w:p w:rsidR="00314517" w:rsidRPr="00304E86" w:rsidRDefault="00314517" w:rsidP="00304E86">
      <w:pPr>
        <w:jc w:val="both"/>
        <w:rPr>
          <w:rFonts w:asciiTheme="minorHAnsi" w:hAnsiTheme="minorHAnsi" w:cstheme="minorHAnsi"/>
        </w:rPr>
      </w:pPr>
    </w:p>
    <w:p w:rsidR="00314517" w:rsidRPr="00304E86" w:rsidRDefault="00314517" w:rsidP="00304E86">
      <w:pPr>
        <w:jc w:val="both"/>
        <w:rPr>
          <w:rFonts w:asciiTheme="minorHAnsi" w:hAnsiTheme="minorHAnsi" w:cstheme="minorHAnsi"/>
        </w:rPr>
      </w:pPr>
      <w:r w:rsidRPr="00304E86">
        <w:rPr>
          <w:rFonts w:asciiTheme="minorHAnsi" w:hAnsiTheme="minorHAnsi" w:cstheme="minorHAnsi"/>
        </w:rPr>
        <w:t>The third inquiry is whether the executive and judiciary control each other's capacities. Indeed, cover can be seen, with the executive practicing a judicial capacity through the development of regulatory courts which mediate over questions including executive choices.</w:t>
      </w:r>
    </w:p>
    <w:p w:rsidR="00936F5E" w:rsidRPr="00304E86" w:rsidRDefault="00936F5E" w:rsidP="00304E86">
      <w:pPr>
        <w:jc w:val="both"/>
        <w:rPr>
          <w:rFonts w:asciiTheme="minorHAnsi" w:hAnsiTheme="minorHAnsi" w:cstheme="minorHAnsi"/>
        </w:rPr>
      </w:pPr>
    </w:p>
    <w:p w:rsidR="00B75C02" w:rsidRPr="00304E86" w:rsidRDefault="00B75C02" w:rsidP="00304E86">
      <w:pPr>
        <w:jc w:val="both"/>
        <w:rPr>
          <w:rFonts w:asciiTheme="minorHAnsi" w:hAnsiTheme="minorHAnsi" w:cstheme="minorHAnsi"/>
        </w:rPr>
      </w:pPr>
      <w:r w:rsidRPr="00304E86">
        <w:rPr>
          <w:rFonts w:asciiTheme="minorHAnsi" w:hAnsiTheme="minorHAnsi" w:cstheme="minorHAnsi"/>
        </w:rPr>
        <w:t xml:space="preserve">The last relationship to look at is that of the judiciary and legislature, and once more, similar inquiries must be posed. Initially, do similar people practice legislature and judiciary capacities? To respect the separation of power, the House of Commons Disqualification Act 1975 gives that all full time individuals from the judiciary are banned from participation of the House of Commons. In earlier years, the Law Lords from the House of Lords sat in the upper place of the council. Subsequently they: 'partook, partially, in legislative business.' However, since the Constitutional Reform Act 2005, they not, at this point execute authoritative capacities because of the recently made Supreme Court, which is independent from the House of Lords. </w:t>
      </w:r>
    </w:p>
    <w:p w:rsidR="00B75C02" w:rsidRPr="00304E86" w:rsidRDefault="00B75C02" w:rsidP="00304E86">
      <w:pPr>
        <w:jc w:val="both"/>
        <w:rPr>
          <w:rFonts w:asciiTheme="minorHAnsi" w:hAnsiTheme="minorHAnsi" w:cstheme="minorHAnsi"/>
        </w:rPr>
      </w:pPr>
    </w:p>
    <w:p w:rsidR="00936F5E" w:rsidRPr="00304E86" w:rsidRDefault="00B75C02" w:rsidP="00304E86">
      <w:pPr>
        <w:jc w:val="both"/>
        <w:rPr>
          <w:rFonts w:asciiTheme="minorHAnsi" w:hAnsiTheme="minorHAnsi" w:cstheme="minorHAnsi"/>
        </w:rPr>
      </w:pPr>
      <w:r w:rsidRPr="00304E86">
        <w:rPr>
          <w:rFonts w:asciiTheme="minorHAnsi" w:hAnsiTheme="minorHAnsi" w:cstheme="minorHAnsi"/>
        </w:rPr>
        <w:t xml:space="preserve">Besides, does the legislature control the judiciary or does the judiciary control the governing body. It is an established show that MP's should regard judicial freedom and not remark on the exercises of judges except if there is movement to excuse a superior judge. Judges, </w:t>
      </w:r>
      <w:r w:rsidRPr="00304E86">
        <w:rPr>
          <w:rFonts w:asciiTheme="minorHAnsi" w:hAnsiTheme="minorHAnsi" w:cstheme="minorHAnsi"/>
        </w:rPr>
        <w:lastRenderedPageBreak/>
        <w:t>despite the fact that they may analyse demonstrations of the executive to ensure they adjust with the law, can't audit the legitimacy of enactment passed by the legislature because of the convention of legislative supremacy. They are under an obligation to apply and decipher the laws instituted by Parliament. On the off chance that a Parliamentary Act is in penetrate of the European Convention on Human Rights, at that point, under the Human Rights Act 1998, decided in predominant courts can make an assertion of contrariness. Anyway this doesn't mean the demonstration isn't substantial, in light of the fact that, again regarding the separation of power; just the Parliament can make or undo law</w:t>
      </w:r>
      <w:r w:rsidRPr="00304E86">
        <w:rPr>
          <w:rFonts w:asciiTheme="minorHAnsi" w:hAnsiTheme="minorHAnsi" w:cstheme="minorHAnsi"/>
        </w:rPr>
        <w:t>.</w:t>
      </w:r>
    </w:p>
    <w:p w:rsidR="00936F5E" w:rsidRPr="00304E86" w:rsidRDefault="00936F5E" w:rsidP="00304E86">
      <w:pPr>
        <w:jc w:val="both"/>
        <w:rPr>
          <w:rFonts w:asciiTheme="minorHAnsi" w:hAnsiTheme="minorHAnsi" w:cstheme="minorHAnsi"/>
        </w:rPr>
      </w:pPr>
    </w:p>
    <w:p w:rsidR="00B75C02" w:rsidRPr="00304E86" w:rsidRDefault="00B75C02" w:rsidP="00304E86">
      <w:pPr>
        <w:jc w:val="both"/>
        <w:rPr>
          <w:rFonts w:asciiTheme="minorHAnsi" w:hAnsiTheme="minorHAnsi" w:cstheme="minorHAnsi"/>
        </w:rPr>
      </w:pPr>
      <w:r w:rsidRPr="00304E86">
        <w:rPr>
          <w:rFonts w:asciiTheme="minorHAnsi" w:hAnsiTheme="minorHAnsi" w:cstheme="minorHAnsi"/>
        </w:rPr>
        <w:t xml:space="preserve">The last inquiry is whether the law-making body and judiciary exercise each other's capacities. 'Each House of Parliament has the ability to authorize its own advantages and to rebuff the individuals who irritate against them'. This by and by is an illustration of cover. The judiciary, when building up the custom-based law, interpret statutes and delegated legislation. Accordingly, Bradley and Ewing portray them to have a semi authoritative capacity. They have a tight capacity to administer, yet their 'choices are significant as a wellspring of law on issues where the Government is reluctant to request that Parliament enact, and … straightforwardly influence the proper connection between the judiciary and Parliament.' </w:t>
      </w:r>
    </w:p>
    <w:p w:rsidR="00B75C02" w:rsidRPr="00304E86" w:rsidRDefault="00B75C02" w:rsidP="00304E86">
      <w:pPr>
        <w:jc w:val="both"/>
        <w:rPr>
          <w:rFonts w:asciiTheme="minorHAnsi" w:hAnsiTheme="minorHAnsi" w:cstheme="minorHAnsi"/>
        </w:rPr>
      </w:pPr>
    </w:p>
    <w:p w:rsidR="009D3C57" w:rsidRPr="009D3C57" w:rsidRDefault="009D3C57" w:rsidP="00304E86">
      <w:pPr>
        <w:shd w:val="clear" w:color="auto" w:fill="FFFFFF"/>
        <w:spacing w:after="100" w:afterAutospacing="1"/>
        <w:jc w:val="both"/>
        <w:outlineLvl w:val="1"/>
        <w:rPr>
          <w:rFonts w:asciiTheme="minorHAnsi" w:hAnsiTheme="minorHAnsi" w:cstheme="minorHAnsi"/>
          <w:b/>
          <w:bCs/>
        </w:rPr>
      </w:pPr>
      <w:r w:rsidRPr="009D3C57">
        <w:rPr>
          <w:rFonts w:asciiTheme="minorHAnsi" w:hAnsiTheme="minorHAnsi" w:cstheme="minorHAnsi"/>
          <w:b/>
          <w:bCs/>
        </w:rPr>
        <w:t>The Lord Chancellor</w:t>
      </w:r>
    </w:p>
    <w:p w:rsidR="002F19BB" w:rsidRPr="00304E86" w:rsidRDefault="002F19BB" w:rsidP="00304E86">
      <w:pPr>
        <w:jc w:val="both"/>
        <w:rPr>
          <w:rFonts w:asciiTheme="minorHAnsi" w:hAnsiTheme="minorHAnsi" w:cstheme="minorHAnsi"/>
        </w:rPr>
      </w:pPr>
      <w:r w:rsidRPr="00304E86">
        <w:rPr>
          <w:rFonts w:asciiTheme="minorHAnsi" w:hAnsiTheme="minorHAnsi" w:cstheme="minorHAnsi"/>
        </w:rPr>
        <w:t xml:space="preserve">One of the most unconventional highlights of the UK was likely the Lord Chancellor. This is essentially because of the way that the Lord Chancellor was a piece of each of the three parts of the public authority (for example chief, authoritative, and legal). The Lord Chancellor is frequently viewed as a negligence to the convention of separation of power. Before the " </w:t>
      </w:r>
      <w:r w:rsidRPr="009D3C57">
        <w:rPr>
          <w:rFonts w:asciiTheme="minorHAnsi" w:hAnsiTheme="minorHAnsi" w:cstheme="minorHAnsi"/>
        </w:rPr>
        <w:t>Constitutional Reform Act 2005</w:t>
      </w:r>
      <w:r w:rsidRPr="00304E86">
        <w:rPr>
          <w:rFonts w:asciiTheme="minorHAnsi" w:hAnsiTheme="minorHAnsi" w:cstheme="minorHAnsi"/>
        </w:rPr>
        <w:t xml:space="preserve">″ the Lord Chancellor went about as the top of the Judiciary, was an individual from the Cabinet and managed the House of Lords as its Speaker. Be that as it may, after the "Established Reform Act 2005″ was passed, the Lord Chancellor was taken out from his situation in the Judiciary. Also, he no longer goes about as the speaker of the House of Lords. In future, the Lord Chancellor can be a piece of both of the Houses. The " </w:t>
      </w:r>
      <w:r w:rsidRPr="009D3C57">
        <w:rPr>
          <w:rFonts w:asciiTheme="minorHAnsi" w:hAnsiTheme="minorHAnsi" w:cstheme="minorHAnsi"/>
        </w:rPr>
        <w:t>Constitutional Reform Act 2005</w:t>
      </w:r>
      <w:r w:rsidRPr="00304E86">
        <w:rPr>
          <w:rFonts w:asciiTheme="minorHAnsi" w:hAnsiTheme="minorHAnsi" w:cstheme="minorHAnsi"/>
        </w:rPr>
        <w:t>″ drove the British government towards having a more clear division among the powers.</w:t>
      </w:r>
    </w:p>
    <w:p w:rsidR="009D3C57" w:rsidRPr="009D3C57" w:rsidRDefault="009D3C57" w:rsidP="00304E86">
      <w:pPr>
        <w:shd w:val="clear" w:color="auto" w:fill="FFFFFF"/>
        <w:spacing w:after="100" w:afterAutospacing="1"/>
        <w:jc w:val="both"/>
        <w:rPr>
          <w:rFonts w:asciiTheme="minorHAnsi" w:hAnsiTheme="minorHAnsi" w:cstheme="minorHAnsi"/>
        </w:rPr>
      </w:pPr>
    </w:p>
    <w:p w:rsidR="00A24AA5" w:rsidRPr="00304E86" w:rsidRDefault="00416E62" w:rsidP="00304E86">
      <w:pPr>
        <w:jc w:val="both"/>
        <w:rPr>
          <w:rFonts w:asciiTheme="minorHAnsi" w:hAnsiTheme="minorHAnsi" w:cstheme="minorHAnsi"/>
          <w:b/>
          <w:bCs/>
        </w:rPr>
      </w:pPr>
      <w:r w:rsidRPr="00416E62">
        <w:rPr>
          <w:rFonts w:asciiTheme="minorHAnsi" w:hAnsiTheme="minorHAnsi" w:cstheme="minorHAnsi"/>
          <w:b/>
          <w:bCs/>
        </w:rPr>
        <w:t>Parliamentary sovereignty</w:t>
      </w:r>
    </w:p>
    <w:p w:rsidR="00E14297" w:rsidRPr="00304E86" w:rsidRDefault="00E14297" w:rsidP="00304E86">
      <w:pPr>
        <w:jc w:val="both"/>
        <w:rPr>
          <w:rFonts w:asciiTheme="minorHAnsi" w:hAnsiTheme="minorHAnsi" w:cstheme="minorHAnsi"/>
          <w:b/>
          <w:bCs/>
        </w:rPr>
      </w:pPr>
    </w:p>
    <w:p w:rsidR="00304E86" w:rsidRPr="00304E86" w:rsidRDefault="00304E86" w:rsidP="00304E86">
      <w:pPr>
        <w:jc w:val="both"/>
        <w:rPr>
          <w:rFonts w:asciiTheme="minorHAnsi" w:hAnsiTheme="minorHAnsi" w:cstheme="minorHAnsi"/>
        </w:rPr>
      </w:pPr>
      <w:r w:rsidRPr="00304E86">
        <w:rPr>
          <w:rFonts w:asciiTheme="minorHAnsi" w:hAnsiTheme="minorHAnsi" w:cstheme="minorHAnsi"/>
        </w:rPr>
        <w:t xml:space="preserve">Parliamentary </w:t>
      </w:r>
      <w:r w:rsidRPr="00416E62">
        <w:rPr>
          <w:rFonts w:asciiTheme="minorHAnsi" w:hAnsiTheme="minorHAnsi" w:cstheme="minorHAnsi"/>
        </w:rPr>
        <w:t>sovereignty</w:t>
      </w:r>
      <w:r w:rsidRPr="00304E86">
        <w:rPr>
          <w:rFonts w:asciiTheme="minorHAnsi" w:hAnsiTheme="minorHAnsi" w:cstheme="minorHAnsi"/>
        </w:rPr>
        <w:t xml:space="preserve"> depends on the possibility that rule is preeminent. Whatever Parliament says is a definitive rule that everyone must follow, and the main time an judge can debate rule is the point at which it negates another more significant resolution. The United Kingdom is the main nation on the planet with a guideline very like this in light of the fact that instead of being a standard intentionally made and set up, it emerged out of the miasma of history, and viably found by Sir William Blackstone in the eighteenth century when he composed his Commentaries on the Laws of England. </w:t>
      </w:r>
    </w:p>
    <w:p w:rsidR="00304E86" w:rsidRPr="00304E86" w:rsidRDefault="00304E86" w:rsidP="00304E86">
      <w:pPr>
        <w:jc w:val="both"/>
        <w:rPr>
          <w:rFonts w:asciiTheme="minorHAnsi" w:hAnsiTheme="minorHAnsi" w:cstheme="minorHAnsi"/>
        </w:rPr>
      </w:pPr>
    </w:p>
    <w:p w:rsidR="00304E86" w:rsidRPr="00304E86" w:rsidRDefault="00304E86" w:rsidP="00304E86">
      <w:pPr>
        <w:jc w:val="both"/>
        <w:rPr>
          <w:rFonts w:asciiTheme="minorHAnsi" w:hAnsiTheme="minorHAnsi" w:cstheme="minorHAnsi"/>
        </w:rPr>
      </w:pPr>
      <w:r w:rsidRPr="00304E86">
        <w:rPr>
          <w:rFonts w:asciiTheme="minorHAnsi" w:hAnsiTheme="minorHAnsi" w:cstheme="minorHAnsi"/>
        </w:rPr>
        <w:t xml:space="preserve">One of the explanation this guideline had the option to be supported anyway was that Parliament spoke to the blend of each part of the constitution: </w:t>
      </w:r>
      <w:r w:rsidRPr="00416E62">
        <w:rPr>
          <w:rFonts w:asciiTheme="minorHAnsi" w:hAnsiTheme="minorHAnsi" w:cstheme="minorHAnsi"/>
        </w:rPr>
        <w:t xml:space="preserve">the executive, the legislative </w:t>
      </w:r>
      <w:r w:rsidRPr="00416E62">
        <w:rPr>
          <w:rFonts w:asciiTheme="minorHAnsi" w:hAnsiTheme="minorHAnsi" w:cstheme="minorHAnsi"/>
        </w:rPr>
        <w:lastRenderedPageBreak/>
        <w:t>and the judiciary</w:t>
      </w:r>
      <w:r w:rsidRPr="00304E86">
        <w:rPr>
          <w:rFonts w:asciiTheme="minorHAnsi" w:hAnsiTheme="minorHAnsi" w:cstheme="minorHAnsi"/>
        </w:rPr>
        <w:t xml:space="preserve">. Presently that the body that establishes a definitive piece of the </w:t>
      </w:r>
      <w:r w:rsidRPr="00416E62">
        <w:rPr>
          <w:rFonts w:asciiTheme="minorHAnsi" w:hAnsiTheme="minorHAnsi" w:cstheme="minorHAnsi"/>
        </w:rPr>
        <w:t>judicial process</w:t>
      </w:r>
      <w:r w:rsidRPr="00304E86">
        <w:rPr>
          <w:rFonts w:asciiTheme="minorHAnsi" w:hAnsiTheme="minorHAnsi" w:cstheme="minorHAnsi"/>
        </w:rPr>
        <w:t xml:space="preserve">, the Law Lords, have been moved from the House of Lords to the Supreme Court across Parliament Square, it implies the judiciary is not, at this point coordinated into the </w:t>
      </w:r>
      <w:r w:rsidRPr="00416E62">
        <w:rPr>
          <w:rFonts w:asciiTheme="minorHAnsi" w:hAnsiTheme="minorHAnsi" w:cstheme="minorHAnsi"/>
        </w:rPr>
        <w:t>legislative process</w:t>
      </w:r>
      <w:r w:rsidRPr="00304E86">
        <w:rPr>
          <w:rFonts w:asciiTheme="minorHAnsi" w:hAnsiTheme="minorHAnsi" w:cstheme="minorHAnsi"/>
        </w:rPr>
        <w:t xml:space="preserve">. The fundamental motivation behind why judges needed to regard the incomparability of rule was on the grounds that, by sitting in the House of Lords, they had in actuality bought in to the enactment. </w:t>
      </w:r>
    </w:p>
    <w:p w:rsidR="00304E86" w:rsidRPr="00304E86" w:rsidRDefault="00304E86" w:rsidP="00304E86">
      <w:pPr>
        <w:jc w:val="both"/>
        <w:rPr>
          <w:rFonts w:asciiTheme="minorHAnsi" w:hAnsiTheme="minorHAnsi" w:cstheme="minorHAnsi"/>
        </w:rPr>
      </w:pPr>
    </w:p>
    <w:p w:rsidR="00304E86" w:rsidRPr="00304E86" w:rsidRDefault="00304E86" w:rsidP="00304E86">
      <w:pPr>
        <w:jc w:val="both"/>
        <w:rPr>
          <w:rFonts w:asciiTheme="minorHAnsi" w:hAnsiTheme="minorHAnsi" w:cstheme="minorHAnsi"/>
        </w:rPr>
      </w:pPr>
      <w:r w:rsidRPr="00304E86">
        <w:rPr>
          <w:rFonts w:asciiTheme="minorHAnsi" w:hAnsiTheme="minorHAnsi" w:cstheme="minorHAnsi"/>
        </w:rPr>
        <w:t xml:space="preserve">It is essential to stress that in no sense is the significance of </w:t>
      </w:r>
      <w:proofErr w:type="spellStart"/>
      <w:r w:rsidRPr="00304E86">
        <w:rPr>
          <w:rFonts w:asciiTheme="minorHAnsi" w:hAnsiTheme="minorHAnsi" w:cstheme="minorHAnsi"/>
        </w:rPr>
        <w:t>a</w:t>
      </w:r>
      <w:proofErr w:type="spellEnd"/>
      <w:r w:rsidRPr="00304E86">
        <w:rPr>
          <w:rFonts w:asciiTheme="minorHAnsi" w:hAnsiTheme="minorHAnsi" w:cstheme="minorHAnsi"/>
        </w:rPr>
        <w:t xml:space="preserve"> </w:t>
      </w:r>
      <w:r w:rsidRPr="00416E62">
        <w:rPr>
          <w:rFonts w:asciiTheme="minorHAnsi" w:hAnsiTheme="minorHAnsi" w:cstheme="minorHAnsi"/>
        </w:rPr>
        <w:t xml:space="preserve">independent judiciary </w:t>
      </w:r>
      <w:r w:rsidRPr="00304E86">
        <w:rPr>
          <w:rFonts w:asciiTheme="minorHAnsi" w:hAnsiTheme="minorHAnsi" w:cstheme="minorHAnsi"/>
        </w:rPr>
        <w:t xml:space="preserve">being addressed. In 2004, Lord Bingham, one of the main appointed authorities of late occasions, was drawn closer to meet Charles Clarke, at that point Home Secretary, after the Law Lords decided that the </w:t>
      </w:r>
      <w:r w:rsidRPr="00416E62">
        <w:rPr>
          <w:rFonts w:asciiTheme="minorHAnsi" w:hAnsiTheme="minorHAnsi" w:cstheme="minorHAnsi"/>
        </w:rPr>
        <w:t>Anti-terrorism</w:t>
      </w:r>
      <w:r w:rsidRPr="00304E86">
        <w:rPr>
          <w:rFonts w:asciiTheme="minorHAnsi" w:hAnsiTheme="minorHAnsi" w:cstheme="minorHAnsi"/>
        </w:rPr>
        <w:t>, Crime and Security Act 2001 was incongruent with the Human Rights Act 1998. Ruler Bingham would not meet, perceiving that it was probably not going to be simply social in nature, and regardless of whether it were, it was improper for an judge to liaise with a pastor over whose enactment he may need to condemn. Ruler Bingham's choice was totally correct and legitimate in this circumstance. However, there is a distinction among Parliament and an individual clergyman of the Crown. Parliament is the popularity based body that speaks to the desire of the people. In that capacity, judges are relied upon and needed to tune in to Parliament, and to abrogate other customary law standards in the event that it is the thing that Parliament chooses.</w:t>
      </w:r>
    </w:p>
    <w:p w:rsidR="00304E86" w:rsidRPr="00304E86" w:rsidRDefault="00304E86" w:rsidP="00304E86">
      <w:pPr>
        <w:jc w:val="both"/>
        <w:rPr>
          <w:rFonts w:asciiTheme="minorHAnsi" w:hAnsiTheme="minorHAnsi" w:cstheme="minorHAnsi"/>
        </w:rPr>
      </w:pPr>
    </w:p>
    <w:p w:rsidR="00416E62" w:rsidRPr="00304E86" w:rsidRDefault="00416E62" w:rsidP="00304E86">
      <w:pPr>
        <w:shd w:val="clear" w:color="auto" w:fill="FFFFFF"/>
        <w:spacing w:after="390"/>
        <w:jc w:val="both"/>
        <w:rPr>
          <w:rFonts w:asciiTheme="minorHAnsi" w:hAnsiTheme="minorHAnsi" w:cstheme="minorHAnsi"/>
          <w:b/>
          <w:bCs/>
        </w:rPr>
      </w:pPr>
      <w:r w:rsidRPr="00304E86">
        <w:rPr>
          <w:rFonts w:asciiTheme="minorHAnsi" w:hAnsiTheme="minorHAnsi" w:cstheme="minorHAnsi"/>
          <w:b/>
          <w:bCs/>
        </w:rPr>
        <w:t>Conclusion</w:t>
      </w:r>
    </w:p>
    <w:p w:rsidR="00416E62" w:rsidRPr="00304E86" w:rsidRDefault="00304E86" w:rsidP="00304E86">
      <w:pPr>
        <w:jc w:val="both"/>
        <w:rPr>
          <w:rFonts w:asciiTheme="minorHAnsi" w:hAnsiTheme="minorHAnsi" w:cstheme="minorHAnsi"/>
        </w:rPr>
      </w:pPr>
      <w:r w:rsidRPr="00304E86">
        <w:rPr>
          <w:rFonts w:asciiTheme="minorHAnsi" w:hAnsiTheme="minorHAnsi" w:cstheme="minorHAnsi"/>
        </w:rPr>
        <w:t xml:space="preserve">All in all, it very well may be seen there are clear connections between every appendage of government, and this shows that the separation of power isn't an idea to which the United Kingdom completely follows. Be that as it may, the perspective on the courts is one of total partition. '… it is a component of the curiously British origination of the separation of power that Parliament, the leader and the courts have their particular and generally restrictive space.' Whilst the courts survive from this view, and while the three appendages, despite the fact that they cover from multiple points of view, stay unmistakable and to a great extent isolated, we can say there is at any rate an incomplete detachment of forces in the UK. Also, properly, as </w:t>
      </w:r>
      <w:proofErr w:type="spellStart"/>
      <w:r w:rsidRPr="00304E86">
        <w:rPr>
          <w:rFonts w:asciiTheme="minorHAnsi" w:hAnsiTheme="minorHAnsi" w:cstheme="minorHAnsi"/>
        </w:rPr>
        <w:t>Parpworth</w:t>
      </w:r>
      <w:proofErr w:type="spellEnd"/>
      <w:r w:rsidRPr="00304E86">
        <w:rPr>
          <w:rFonts w:asciiTheme="minorHAnsi" w:hAnsiTheme="minorHAnsi" w:cstheme="minorHAnsi"/>
        </w:rPr>
        <w:t xml:space="preserve"> brings up: 'a flat out separation would practically speaking be counterproductive in that it would forestall the maltreatment of intensity by forestalling the activity of intensity. Government couldn't work if this were the situation.' The ongoing changes to the constitution because of the Constitutional Reform Act 2005 demonstrate that the idea is still solidly trusted in, and keeping in mind that not generally regarded, it remains something the Munro states ought not be 'daintily excused'.</w:t>
      </w:r>
    </w:p>
    <w:p w:rsidR="00416E62" w:rsidRPr="00416E62" w:rsidRDefault="00416E62" w:rsidP="00304E86">
      <w:pPr>
        <w:shd w:val="clear" w:color="auto" w:fill="FFFFFF"/>
        <w:spacing w:after="390"/>
        <w:jc w:val="both"/>
        <w:rPr>
          <w:rFonts w:asciiTheme="minorHAnsi" w:hAnsiTheme="minorHAnsi" w:cstheme="minorHAnsi"/>
        </w:rPr>
      </w:pPr>
    </w:p>
    <w:p w:rsidR="00A24AA5" w:rsidRPr="00304E86" w:rsidRDefault="00A24AA5" w:rsidP="00304E86">
      <w:pPr>
        <w:jc w:val="both"/>
        <w:rPr>
          <w:rFonts w:asciiTheme="minorHAnsi" w:hAnsiTheme="minorHAnsi" w:cstheme="minorHAnsi"/>
        </w:rPr>
      </w:pPr>
    </w:p>
    <w:p w:rsidR="00A24AA5" w:rsidRPr="00304E86" w:rsidRDefault="00A24AA5" w:rsidP="00304E86">
      <w:pPr>
        <w:jc w:val="both"/>
        <w:rPr>
          <w:rFonts w:asciiTheme="minorHAnsi" w:hAnsiTheme="minorHAnsi" w:cstheme="minorHAnsi"/>
        </w:rPr>
      </w:pPr>
    </w:p>
    <w:p w:rsidR="00416E62" w:rsidRPr="00304E86" w:rsidRDefault="00416E62" w:rsidP="00304E86">
      <w:pPr>
        <w:jc w:val="both"/>
        <w:rPr>
          <w:rFonts w:asciiTheme="minorHAnsi" w:hAnsiTheme="minorHAnsi" w:cstheme="minorHAnsi"/>
          <w:b/>
        </w:rPr>
      </w:pPr>
    </w:p>
    <w:p w:rsidR="00416E62" w:rsidRPr="00304E86" w:rsidRDefault="00416E62" w:rsidP="00304E86">
      <w:pPr>
        <w:jc w:val="both"/>
        <w:rPr>
          <w:rFonts w:asciiTheme="minorHAnsi" w:hAnsiTheme="minorHAnsi" w:cstheme="minorHAnsi"/>
          <w:b/>
        </w:rPr>
      </w:pPr>
    </w:p>
    <w:p w:rsidR="00416E62" w:rsidRPr="00304E86" w:rsidRDefault="00416E62" w:rsidP="00304E86">
      <w:pPr>
        <w:jc w:val="both"/>
        <w:rPr>
          <w:rFonts w:asciiTheme="minorHAnsi" w:hAnsiTheme="minorHAnsi" w:cstheme="minorHAnsi"/>
          <w:b/>
        </w:rPr>
      </w:pPr>
    </w:p>
    <w:p w:rsidR="00416E62" w:rsidRPr="00304E86" w:rsidRDefault="00416E62" w:rsidP="00304E86">
      <w:pPr>
        <w:jc w:val="both"/>
        <w:rPr>
          <w:rFonts w:asciiTheme="minorHAnsi" w:hAnsiTheme="minorHAnsi" w:cstheme="minorHAnsi"/>
          <w:b/>
        </w:rPr>
      </w:pPr>
    </w:p>
    <w:p w:rsidR="00416E62" w:rsidRPr="00304E86" w:rsidRDefault="00416E62" w:rsidP="00304E86">
      <w:pPr>
        <w:jc w:val="both"/>
        <w:rPr>
          <w:rFonts w:asciiTheme="minorHAnsi" w:hAnsiTheme="minorHAnsi" w:cstheme="minorHAnsi"/>
          <w:b/>
        </w:rPr>
      </w:pPr>
    </w:p>
    <w:p w:rsidR="00416E62" w:rsidRPr="00304E86" w:rsidRDefault="00416E62" w:rsidP="00304E86">
      <w:pPr>
        <w:jc w:val="both"/>
        <w:rPr>
          <w:rFonts w:asciiTheme="minorHAnsi" w:hAnsiTheme="minorHAnsi" w:cstheme="minorHAnsi"/>
          <w:b/>
        </w:rPr>
      </w:pPr>
    </w:p>
    <w:p w:rsidR="00416E62" w:rsidRPr="00304E86" w:rsidRDefault="00416E62" w:rsidP="00304E86">
      <w:pPr>
        <w:jc w:val="both"/>
        <w:rPr>
          <w:rFonts w:asciiTheme="minorHAnsi" w:hAnsiTheme="minorHAnsi" w:cstheme="minorHAnsi"/>
          <w:b/>
        </w:rPr>
      </w:pPr>
    </w:p>
    <w:p w:rsidR="00A7599B" w:rsidRPr="00304E86" w:rsidRDefault="00A24AA5" w:rsidP="00304E86">
      <w:pPr>
        <w:jc w:val="both"/>
        <w:rPr>
          <w:rFonts w:asciiTheme="minorHAnsi" w:hAnsiTheme="minorHAnsi" w:cstheme="minorHAnsi"/>
          <w:b/>
        </w:rPr>
      </w:pPr>
      <w:r w:rsidRPr="00304E86">
        <w:rPr>
          <w:rFonts w:asciiTheme="minorHAnsi" w:hAnsiTheme="minorHAnsi" w:cstheme="minorHAnsi"/>
          <w:b/>
        </w:rPr>
        <w:t>Reference</w:t>
      </w:r>
    </w:p>
    <w:p w:rsidR="00AA5CB7" w:rsidRPr="00304E86" w:rsidRDefault="00AA5CB7" w:rsidP="00304E86">
      <w:pPr>
        <w:jc w:val="both"/>
        <w:rPr>
          <w:rFonts w:asciiTheme="minorHAnsi" w:hAnsiTheme="minorHAnsi" w:cstheme="minorHAnsi"/>
        </w:rPr>
      </w:pPr>
    </w:p>
    <w:p w:rsidR="00E06364" w:rsidRPr="00304E86" w:rsidRDefault="00E06364" w:rsidP="00304E86">
      <w:pPr>
        <w:jc w:val="both"/>
        <w:rPr>
          <w:rFonts w:asciiTheme="minorHAnsi" w:hAnsiTheme="minorHAnsi" w:cstheme="minorHAnsi"/>
        </w:rPr>
      </w:pPr>
      <w:r w:rsidRPr="00304E86">
        <w:rPr>
          <w:rFonts w:asciiTheme="minorHAnsi" w:hAnsiTheme="minorHAnsi" w:cstheme="minorHAnsi"/>
        </w:rPr>
        <w:t xml:space="preserve">Judicial Independence and Parliaments, Dame Mary Arden DBE, in Ziegler, </w:t>
      </w:r>
      <w:proofErr w:type="spellStart"/>
      <w:r w:rsidRPr="00304E86">
        <w:rPr>
          <w:rFonts w:asciiTheme="minorHAnsi" w:hAnsiTheme="minorHAnsi" w:cstheme="minorHAnsi"/>
        </w:rPr>
        <w:t>Baranger</w:t>
      </w:r>
      <w:proofErr w:type="spellEnd"/>
      <w:r w:rsidRPr="00304E86">
        <w:rPr>
          <w:rFonts w:asciiTheme="minorHAnsi" w:hAnsiTheme="minorHAnsi" w:cstheme="minorHAnsi"/>
        </w:rPr>
        <w:t xml:space="preserve"> &amp; Bradley, Constitutionalism and the Role of Parliaments (Hart Publishing, 2007)</w:t>
      </w:r>
    </w:p>
    <w:p w:rsidR="00AA5CB7" w:rsidRPr="00304E86" w:rsidRDefault="00AA5CB7" w:rsidP="00304E86">
      <w:pPr>
        <w:jc w:val="both"/>
        <w:rPr>
          <w:rFonts w:asciiTheme="minorHAnsi" w:hAnsiTheme="minorHAnsi" w:cstheme="minorHAnsi"/>
        </w:rPr>
      </w:pPr>
    </w:p>
    <w:p w:rsidR="009D3C57" w:rsidRPr="00304E86" w:rsidRDefault="009D3C57" w:rsidP="00304E86">
      <w:pPr>
        <w:jc w:val="both"/>
        <w:rPr>
          <w:rFonts w:asciiTheme="minorHAnsi" w:hAnsiTheme="minorHAnsi" w:cstheme="minorHAnsi"/>
        </w:rPr>
      </w:pPr>
      <w:r w:rsidRPr="00304E86">
        <w:rPr>
          <w:rFonts w:asciiTheme="minorHAnsi" w:hAnsiTheme="minorHAnsi" w:cstheme="minorHAnsi"/>
        </w:rPr>
        <w:t>All Answers Ltd. November 2018. Separation of Powers in the UK. [online]. Available from: https://www.lawteacher.net/free-law-essays/administrative-law/separation-of-powers-in-the-uk-administrative-law-essay.php?vref=1 [Accessed 27 November 2020].</w:t>
      </w:r>
    </w:p>
    <w:p w:rsidR="00AA5CB7" w:rsidRPr="00304E86" w:rsidRDefault="00AA5CB7" w:rsidP="00304E86">
      <w:pPr>
        <w:jc w:val="both"/>
        <w:rPr>
          <w:rFonts w:asciiTheme="minorHAnsi" w:hAnsiTheme="minorHAnsi" w:cstheme="minorHAnsi"/>
        </w:rPr>
      </w:pPr>
    </w:p>
    <w:p w:rsidR="00E06364" w:rsidRPr="00304E86" w:rsidRDefault="00AA5CB7" w:rsidP="00304E86">
      <w:pPr>
        <w:jc w:val="both"/>
        <w:rPr>
          <w:rFonts w:asciiTheme="minorHAnsi" w:hAnsiTheme="minorHAnsi" w:cstheme="minorHAnsi"/>
        </w:rPr>
      </w:pPr>
      <w:r w:rsidRPr="00304E86">
        <w:rPr>
          <w:rFonts w:asciiTheme="minorHAnsi" w:hAnsiTheme="minorHAnsi" w:cstheme="minorHAnsi"/>
        </w:rPr>
        <w:t>Public Law ( 3</w:t>
      </w:r>
      <w:r w:rsidRPr="00304E86">
        <w:rPr>
          <w:rFonts w:asciiTheme="minorHAnsi" w:hAnsiTheme="minorHAnsi" w:cstheme="minorHAnsi"/>
          <w:vertAlign w:val="superscript"/>
        </w:rPr>
        <w:t>rd</w:t>
      </w:r>
      <w:r w:rsidRPr="00304E86">
        <w:rPr>
          <w:rFonts w:asciiTheme="minorHAnsi" w:hAnsiTheme="minorHAnsi" w:cstheme="minorHAnsi"/>
        </w:rPr>
        <w:t xml:space="preserve"> </w:t>
      </w:r>
      <w:proofErr w:type="spellStart"/>
      <w:r w:rsidRPr="00304E86">
        <w:rPr>
          <w:rFonts w:asciiTheme="minorHAnsi" w:hAnsiTheme="minorHAnsi" w:cstheme="minorHAnsi"/>
        </w:rPr>
        <w:t>Edn</w:t>
      </w:r>
      <w:proofErr w:type="spellEnd"/>
      <w:r w:rsidRPr="00304E86">
        <w:rPr>
          <w:rFonts w:asciiTheme="minorHAnsi" w:hAnsiTheme="minorHAnsi" w:cstheme="minorHAnsi"/>
        </w:rPr>
        <w:t>), Mark Elliott and Robert Thomas, Oxford University Press, 2017</w:t>
      </w:r>
    </w:p>
    <w:p w:rsidR="00A24AA5" w:rsidRPr="00304E86" w:rsidRDefault="00A24AA5" w:rsidP="00304E86">
      <w:pPr>
        <w:jc w:val="both"/>
        <w:rPr>
          <w:rFonts w:asciiTheme="minorHAnsi" w:hAnsiTheme="minorHAnsi" w:cstheme="minorHAnsi"/>
        </w:rPr>
      </w:pPr>
    </w:p>
    <w:p w:rsidR="00A7599B" w:rsidRPr="00304E86" w:rsidRDefault="0071641B" w:rsidP="00304E86">
      <w:pPr>
        <w:jc w:val="both"/>
        <w:rPr>
          <w:rStyle w:val="titlepart"/>
          <w:rFonts w:asciiTheme="minorHAnsi" w:hAnsiTheme="minorHAnsi" w:cstheme="minorHAnsi"/>
        </w:rPr>
      </w:pPr>
      <w:r w:rsidRPr="00304E86">
        <w:rPr>
          <w:rStyle w:val="titlepart"/>
          <w:rFonts w:asciiTheme="minorHAnsi" w:hAnsiTheme="minorHAnsi" w:cstheme="minorHAnsi"/>
        </w:rPr>
        <w:t>Lord Steyn ‘ Democracy, the Rule of Law and Role of Judges [2006] EHRLR 243</w:t>
      </w:r>
    </w:p>
    <w:p w:rsidR="0071641B" w:rsidRPr="00304E86" w:rsidRDefault="0071641B" w:rsidP="00304E86">
      <w:pPr>
        <w:jc w:val="both"/>
        <w:rPr>
          <w:rStyle w:val="titlepart"/>
          <w:rFonts w:asciiTheme="minorHAnsi" w:hAnsiTheme="minorHAnsi" w:cstheme="minorHAnsi"/>
        </w:rPr>
      </w:pPr>
    </w:p>
    <w:p w:rsidR="0071641B" w:rsidRPr="00304E86" w:rsidRDefault="0071641B" w:rsidP="00304E86">
      <w:pPr>
        <w:jc w:val="both"/>
        <w:rPr>
          <w:rStyle w:val="titlepart"/>
          <w:rFonts w:asciiTheme="minorHAnsi" w:hAnsiTheme="minorHAnsi" w:cstheme="minorHAnsi"/>
        </w:rPr>
      </w:pPr>
    </w:p>
    <w:p w:rsidR="0071641B" w:rsidRPr="00304E86" w:rsidRDefault="0071641B" w:rsidP="00304E86">
      <w:pPr>
        <w:jc w:val="both"/>
        <w:rPr>
          <w:rFonts w:asciiTheme="minorHAnsi" w:hAnsiTheme="minorHAnsi" w:cstheme="minorHAnsi"/>
        </w:rPr>
      </w:pPr>
      <w:r w:rsidRPr="00304E86">
        <w:rPr>
          <w:rStyle w:val="titlepart"/>
          <w:rFonts w:asciiTheme="minorHAnsi" w:hAnsiTheme="minorHAnsi" w:cstheme="minorHAnsi"/>
        </w:rPr>
        <w:t>Williams, Sir David ‘ Bias; the Judges and the Separation of Powers [2000] PL 45</w:t>
      </w:r>
    </w:p>
    <w:sectPr w:rsidR="0071641B" w:rsidRPr="00304E86" w:rsidSect="00F313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orbel-Bold">
    <w:altName w:val="Times New Roman"/>
    <w:panose1 w:val="020B0604020202020204"/>
    <w:charset w:val="00"/>
    <w:family w:val="roman"/>
    <w:notTrueType/>
    <w:pitch w:val="default"/>
  </w:font>
  <w:font w:name="Georgia">
    <w:altName w:val="Georgia"/>
    <w:panose1 w:val="02040502050405020303"/>
    <w:charset w:val="00"/>
    <w:family w:val="roman"/>
    <w:pitch w:val="variable"/>
    <w:sig w:usb0="00000287" w:usb1="00000000" w:usb2="00000000" w:usb3="00000000" w:csb0="0000009F" w:csb1="00000000"/>
  </w:font>
  <w:font w:name="Georgia-Italic">
    <w:altName w:val="Times New Roman"/>
    <w:panose1 w:val="02040502050405090303"/>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7599B"/>
    <w:rsid w:val="001171CF"/>
    <w:rsid w:val="002862FA"/>
    <w:rsid w:val="002F19BB"/>
    <w:rsid w:val="00304E86"/>
    <w:rsid w:val="00314517"/>
    <w:rsid w:val="00320EC7"/>
    <w:rsid w:val="00361AA3"/>
    <w:rsid w:val="00416E62"/>
    <w:rsid w:val="00504195"/>
    <w:rsid w:val="00676246"/>
    <w:rsid w:val="0071641B"/>
    <w:rsid w:val="007C3A96"/>
    <w:rsid w:val="008258F4"/>
    <w:rsid w:val="00847BF4"/>
    <w:rsid w:val="008E4BFB"/>
    <w:rsid w:val="00936F5E"/>
    <w:rsid w:val="0096199C"/>
    <w:rsid w:val="009D3C57"/>
    <w:rsid w:val="00A24AA5"/>
    <w:rsid w:val="00A7599B"/>
    <w:rsid w:val="00AA5CB7"/>
    <w:rsid w:val="00AF4630"/>
    <w:rsid w:val="00B44FD5"/>
    <w:rsid w:val="00B75C02"/>
    <w:rsid w:val="00E06364"/>
    <w:rsid w:val="00E14297"/>
    <w:rsid w:val="00ED5CBD"/>
    <w:rsid w:val="00F3135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D778C"/>
  <w15:docId w15:val="{70533E16-35F8-414F-A630-A493EED4B3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6E62"/>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link w:val="Heading2Char"/>
    <w:uiPriority w:val="9"/>
    <w:qFormat/>
    <w:rsid w:val="009D3C57"/>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676246"/>
    <w:rPr>
      <w:rFonts w:ascii="Corbel" w:hAnsi="Corbel" w:hint="default"/>
      <w:b w:val="0"/>
      <w:bCs w:val="0"/>
      <w:i w:val="0"/>
      <w:iCs w:val="0"/>
      <w:color w:val="808080"/>
      <w:sz w:val="22"/>
      <w:szCs w:val="22"/>
    </w:rPr>
  </w:style>
  <w:style w:type="character" w:customStyle="1" w:styleId="fontstyle11">
    <w:name w:val="fontstyle11"/>
    <w:basedOn w:val="DefaultParagraphFont"/>
    <w:rsid w:val="00676246"/>
    <w:rPr>
      <w:rFonts w:ascii="Corbel-Bold" w:hAnsi="Corbel-Bold" w:hint="default"/>
      <w:b/>
      <w:bCs/>
      <w:i w:val="0"/>
      <w:iCs w:val="0"/>
      <w:color w:val="000000"/>
      <w:sz w:val="30"/>
      <w:szCs w:val="30"/>
    </w:rPr>
  </w:style>
  <w:style w:type="character" w:customStyle="1" w:styleId="fontstyle31">
    <w:name w:val="fontstyle31"/>
    <w:basedOn w:val="DefaultParagraphFont"/>
    <w:rsid w:val="00676246"/>
    <w:rPr>
      <w:rFonts w:ascii="Georgia" w:hAnsi="Georgia" w:hint="default"/>
      <w:b w:val="0"/>
      <w:bCs w:val="0"/>
      <w:i w:val="0"/>
      <w:iCs w:val="0"/>
      <w:color w:val="000000"/>
      <w:sz w:val="22"/>
      <w:szCs w:val="22"/>
    </w:rPr>
  </w:style>
  <w:style w:type="character" w:customStyle="1" w:styleId="fontstyle41">
    <w:name w:val="fontstyle41"/>
    <w:basedOn w:val="DefaultParagraphFont"/>
    <w:rsid w:val="00676246"/>
    <w:rPr>
      <w:rFonts w:ascii="Georgia-Italic" w:hAnsi="Georgia-Italic" w:hint="default"/>
      <w:b w:val="0"/>
      <w:bCs w:val="0"/>
      <w:i/>
      <w:iCs/>
      <w:color w:val="000000"/>
      <w:sz w:val="22"/>
      <w:szCs w:val="22"/>
    </w:rPr>
  </w:style>
  <w:style w:type="character" w:styleId="Hyperlink">
    <w:name w:val="Hyperlink"/>
    <w:basedOn w:val="DefaultParagraphFont"/>
    <w:uiPriority w:val="99"/>
    <w:unhideWhenUsed/>
    <w:rsid w:val="00A24AA5"/>
    <w:rPr>
      <w:color w:val="0563C1" w:themeColor="hyperlink"/>
      <w:u w:val="single"/>
    </w:rPr>
  </w:style>
  <w:style w:type="paragraph" w:styleId="BalloonText">
    <w:name w:val="Balloon Text"/>
    <w:basedOn w:val="Normal"/>
    <w:link w:val="BalloonTextChar"/>
    <w:uiPriority w:val="99"/>
    <w:semiHidden/>
    <w:unhideWhenUsed/>
    <w:rsid w:val="00ED5CBD"/>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ED5CBD"/>
    <w:rPr>
      <w:rFonts w:ascii="Times New Roman" w:hAnsi="Times New Roman" w:cs="Times New Roman"/>
      <w:sz w:val="18"/>
      <w:szCs w:val="18"/>
    </w:rPr>
  </w:style>
  <w:style w:type="character" w:customStyle="1" w:styleId="Heading2Char">
    <w:name w:val="Heading 2 Char"/>
    <w:basedOn w:val="DefaultParagraphFont"/>
    <w:link w:val="Heading2"/>
    <w:uiPriority w:val="9"/>
    <w:rsid w:val="009D3C5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9D3C57"/>
    <w:pPr>
      <w:spacing w:before="100" w:beforeAutospacing="1" w:after="100" w:afterAutospacing="1"/>
    </w:pPr>
  </w:style>
  <w:style w:type="character" w:styleId="Strong">
    <w:name w:val="Strong"/>
    <w:basedOn w:val="DefaultParagraphFont"/>
    <w:uiPriority w:val="22"/>
    <w:qFormat/>
    <w:rsid w:val="00416E62"/>
    <w:rPr>
      <w:b/>
      <w:bCs/>
    </w:rPr>
  </w:style>
  <w:style w:type="character" w:customStyle="1" w:styleId="titlepart">
    <w:name w:val="titlepart"/>
    <w:basedOn w:val="DefaultParagraphFont"/>
    <w:rsid w:val="00AA5C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027167">
      <w:bodyDiv w:val="1"/>
      <w:marLeft w:val="0"/>
      <w:marRight w:val="0"/>
      <w:marTop w:val="0"/>
      <w:marBottom w:val="0"/>
      <w:divBdr>
        <w:top w:val="none" w:sz="0" w:space="0" w:color="auto"/>
        <w:left w:val="none" w:sz="0" w:space="0" w:color="auto"/>
        <w:bottom w:val="none" w:sz="0" w:space="0" w:color="auto"/>
        <w:right w:val="none" w:sz="0" w:space="0" w:color="auto"/>
      </w:divBdr>
    </w:div>
    <w:div w:id="460684000">
      <w:bodyDiv w:val="1"/>
      <w:marLeft w:val="0"/>
      <w:marRight w:val="0"/>
      <w:marTop w:val="0"/>
      <w:marBottom w:val="0"/>
      <w:divBdr>
        <w:top w:val="none" w:sz="0" w:space="0" w:color="auto"/>
        <w:left w:val="none" w:sz="0" w:space="0" w:color="auto"/>
        <w:bottom w:val="none" w:sz="0" w:space="0" w:color="auto"/>
        <w:right w:val="none" w:sz="0" w:space="0" w:color="auto"/>
      </w:divBdr>
    </w:div>
    <w:div w:id="1319655506">
      <w:bodyDiv w:val="1"/>
      <w:marLeft w:val="0"/>
      <w:marRight w:val="0"/>
      <w:marTop w:val="0"/>
      <w:marBottom w:val="0"/>
      <w:divBdr>
        <w:top w:val="none" w:sz="0" w:space="0" w:color="auto"/>
        <w:left w:val="none" w:sz="0" w:space="0" w:color="auto"/>
        <w:bottom w:val="none" w:sz="0" w:space="0" w:color="auto"/>
        <w:right w:val="none" w:sz="0" w:space="0" w:color="auto"/>
      </w:divBdr>
    </w:div>
    <w:div w:id="1397049606">
      <w:bodyDiv w:val="1"/>
      <w:marLeft w:val="0"/>
      <w:marRight w:val="0"/>
      <w:marTop w:val="0"/>
      <w:marBottom w:val="0"/>
      <w:divBdr>
        <w:top w:val="none" w:sz="0" w:space="0" w:color="auto"/>
        <w:left w:val="none" w:sz="0" w:space="0" w:color="auto"/>
        <w:bottom w:val="none" w:sz="0" w:space="0" w:color="auto"/>
        <w:right w:val="none" w:sz="0" w:space="0" w:color="auto"/>
      </w:divBdr>
      <w:divsChild>
        <w:div w:id="466435228">
          <w:marLeft w:val="0"/>
          <w:marRight w:val="0"/>
          <w:marTop w:val="0"/>
          <w:marBottom w:val="0"/>
          <w:divBdr>
            <w:top w:val="none" w:sz="0" w:space="0" w:color="auto"/>
            <w:left w:val="none" w:sz="0" w:space="0" w:color="auto"/>
            <w:bottom w:val="none" w:sz="0" w:space="0" w:color="auto"/>
            <w:right w:val="none" w:sz="0" w:space="0" w:color="auto"/>
          </w:divBdr>
        </w:div>
        <w:div w:id="1360661003">
          <w:marLeft w:val="0"/>
          <w:marRight w:val="0"/>
          <w:marTop w:val="0"/>
          <w:marBottom w:val="0"/>
          <w:divBdr>
            <w:top w:val="none" w:sz="0" w:space="0" w:color="auto"/>
            <w:left w:val="none" w:sz="0" w:space="0" w:color="auto"/>
            <w:bottom w:val="none" w:sz="0" w:space="0" w:color="auto"/>
            <w:right w:val="none" w:sz="0" w:space="0" w:color="auto"/>
          </w:divBdr>
        </w:div>
      </w:divsChild>
    </w:div>
    <w:div w:id="1552573482">
      <w:bodyDiv w:val="1"/>
      <w:marLeft w:val="0"/>
      <w:marRight w:val="0"/>
      <w:marTop w:val="0"/>
      <w:marBottom w:val="0"/>
      <w:divBdr>
        <w:top w:val="none" w:sz="0" w:space="0" w:color="auto"/>
        <w:left w:val="none" w:sz="0" w:space="0" w:color="auto"/>
        <w:bottom w:val="none" w:sz="0" w:space="0" w:color="auto"/>
        <w:right w:val="none" w:sz="0" w:space="0" w:color="auto"/>
      </w:divBdr>
    </w:div>
    <w:div w:id="1622223350">
      <w:bodyDiv w:val="1"/>
      <w:marLeft w:val="0"/>
      <w:marRight w:val="0"/>
      <w:marTop w:val="0"/>
      <w:marBottom w:val="0"/>
      <w:divBdr>
        <w:top w:val="none" w:sz="0" w:space="0" w:color="auto"/>
        <w:left w:val="none" w:sz="0" w:space="0" w:color="auto"/>
        <w:bottom w:val="none" w:sz="0" w:space="0" w:color="auto"/>
        <w:right w:val="none" w:sz="0" w:space="0" w:color="auto"/>
      </w:divBdr>
    </w:div>
    <w:div w:id="2143302997">
      <w:bodyDiv w:val="1"/>
      <w:marLeft w:val="0"/>
      <w:marRight w:val="0"/>
      <w:marTop w:val="0"/>
      <w:marBottom w:val="0"/>
      <w:divBdr>
        <w:top w:val="none" w:sz="0" w:space="0" w:color="auto"/>
        <w:left w:val="none" w:sz="0" w:space="0" w:color="auto"/>
        <w:bottom w:val="none" w:sz="0" w:space="0" w:color="auto"/>
        <w:right w:val="none" w:sz="0" w:space="0" w:color="auto"/>
      </w:divBdr>
      <w:divsChild>
        <w:div w:id="384138592">
          <w:marLeft w:val="0"/>
          <w:marRight w:val="0"/>
          <w:marTop w:val="0"/>
          <w:marBottom w:val="0"/>
          <w:divBdr>
            <w:top w:val="none" w:sz="0" w:space="0" w:color="auto"/>
            <w:left w:val="none" w:sz="0" w:space="0" w:color="auto"/>
            <w:bottom w:val="none" w:sz="0" w:space="0" w:color="auto"/>
            <w:right w:val="none" w:sz="0" w:space="0" w:color="auto"/>
          </w:divBdr>
        </w:div>
        <w:div w:id="21300512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734</TotalTime>
  <Pages>6</Pages>
  <Words>1988</Words>
  <Characters>11336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Newton</dc:creator>
  <cp:lastModifiedBy>Microsoft Office User</cp:lastModifiedBy>
  <cp:revision>9</cp:revision>
  <dcterms:created xsi:type="dcterms:W3CDTF">2020-11-26T13:58:00Z</dcterms:created>
  <dcterms:modified xsi:type="dcterms:W3CDTF">2020-11-27T11:48:00Z</dcterms:modified>
</cp:coreProperties>
</file>