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75C5" w:rsidRPr="00A65844" w:rsidRDefault="00A65844" w:rsidP="00A65844">
      <w:pPr>
        <w:spacing w:line="360" w:lineRule="auto"/>
        <w:rPr>
          <w:rFonts w:ascii="Times New Roman" w:hAnsi="Times New Roman" w:cs="Times New Roman"/>
          <w:sz w:val="24"/>
          <w:u w:val="single"/>
        </w:rPr>
      </w:pPr>
      <w:r w:rsidRPr="00A65844">
        <w:rPr>
          <w:rFonts w:ascii="Times New Roman" w:hAnsi="Times New Roman" w:cs="Times New Roman"/>
          <w:sz w:val="24"/>
          <w:u w:val="single"/>
        </w:rPr>
        <w:t>Gobbet: Herodotus’ Histories 4.5</w:t>
      </w:r>
    </w:p>
    <w:p w:rsidR="00786CB2" w:rsidRPr="00EA631C" w:rsidRDefault="00786CB2" w:rsidP="00786CB2">
      <w:pPr>
        <w:spacing w:line="360" w:lineRule="auto"/>
        <w:rPr>
          <w:rFonts w:ascii="Times New Roman" w:hAnsi="Times New Roman" w:cs="Times New Roman"/>
          <w:sz w:val="24"/>
        </w:rPr>
      </w:pPr>
      <w:r w:rsidRPr="00EA631C">
        <w:rPr>
          <w:rFonts w:ascii="Times New Roman" w:hAnsi="Times New Roman" w:cs="Times New Roman"/>
          <w:sz w:val="24"/>
        </w:rPr>
        <w:t>The segment of Herodotus’ Histories I will be looking at for my gobbet is book 4 chapter 5; chapter 5 details the Scythian myth of the formation of Scythia.</w:t>
      </w:r>
      <w:r w:rsidRPr="00EA631C">
        <w:rPr>
          <w:rStyle w:val="FootnoteReference"/>
          <w:rFonts w:ascii="Times New Roman" w:hAnsi="Times New Roman" w:cs="Times New Roman"/>
          <w:sz w:val="24"/>
        </w:rPr>
        <w:footnoteReference w:id="2"/>
      </w:r>
      <w:r w:rsidRPr="00EA631C">
        <w:rPr>
          <w:rFonts w:ascii="Times New Roman" w:hAnsi="Times New Roman" w:cs="Times New Roman"/>
          <w:sz w:val="24"/>
        </w:rPr>
        <w:t xml:space="preserve"> In this gobbet I shall look at the credibility of the source and the author, the intended audience and the purpose of its inclusion.</w:t>
      </w:r>
    </w:p>
    <w:p w:rsidR="00786CB2" w:rsidRPr="00A65844" w:rsidRDefault="00786CB2" w:rsidP="00786CB2">
      <w:pPr>
        <w:spacing w:line="360" w:lineRule="auto"/>
        <w:rPr>
          <w:rFonts w:ascii="Times New Roman" w:hAnsi="Times New Roman" w:cs="Times New Roman"/>
          <w:sz w:val="24"/>
        </w:rPr>
      </w:pPr>
      <w:r w:rsidRPr="00A65844">
        <w:rPr>
          <w:rFonts w:ascii="Times New Roman" w:hAnsi="Times New Roman" w:cs="Times New Roman"/>
          <w:sz w:val="24"/>
        </w:rPr>
        <w:t>Herodotus we</w:t>
      </w:r>
      <w:r>
        <w:rPr>
          <w:rFonts w:ascii="Times New Roman" w:hAnsi="Times New Roman" w:cs="Times New Roman"/>
          <w:sz w:val="24"/>
        </w:rPr>
        <w:t xml:space="preserve"> know published his Histories between 460-425 </w:t>
      </w:r>
      <w:r w:rsidRPr="00A65844">
        <w:rPr>
          <w:rFonts w:ascii="Times New Roman" w:hAnsi="Times New Roman" w:cs="Times New Roman"/>
          <w:sz w:val="24"/>
        </w:rPr>
        <w:t>BCE</w:t>
      </w:r>
      <w:r w:rsidRPr="00A65844">
        <w:rPr>
          <w:rStyle w:val="FootnoteReference"/>
          <w:rFonts w:ascii="Times New Roman" w:hAnsi="Times New Roman" w:cs="Times New Roman"/>
          <w:sz w:val="24"/>
        </w:rPr>
        <w:footnoteReference w:id="3"/>
      </w:r>
      <w:r w:rsidRPr="00A65844">
        <w:rPr>
          <w:rFonts w:ascii="Times New Roman" w:hAnsi="Times New Roman" w:cs="Times New Roman"/>
          <w:sz w:val="24"/>
        </w:rPr>
        <w:t xml:space="preserve"> however the Scythian empire was formed in the 8</w:t>
      </w:r>
      <w:r w:rsidRPr="00A65844">
        <w:rPr>
          <w:rFonts w:ascii="Times New Roman" w:hAnsi="Times New Roman" w:cs="Times New Roman"/>
          <w:sz w:val="24"/>
          <w:vertAlign w:val="superscript"/>
        </w:rPr>
        <w:t>th</w:t>
      </w:r>
      <w:r w:rsidRPr="00A65844">
        <w:rPr>
          <w:rFonts w:ascii="Times New Roman" w:hAnsi="Times New Roman" w:cs="Times New Roman"/>
          <w:sz w:val="24"/>
        </w:rPr>
        <w:t xml:space="preserve"> century BCE so from this we can logically infer that he was working with word of mouth and folk lore that survived</w:t>
      </w:r>
      <w:r>
        <w:rPr>
          <w:rFonts w:ascii="Times New Roman" w:hAnsi="Times New Roman" w:cs="Times New Roman"/>
          <w:sz w:val="24"/>
        </w:rPr>
        <w:t>.</w:t>
      </w:r>
      <w:r w:rsidRPr="00A65844">
        <w:rPr>
          <w:rFonts w:ascii="Times New Roman" w:hAnsi="Times New Roman" w:cs="Times New Roman"/>
          <w:sz w:val="24"/>
        </w:rPr>
        <w:t xml:space="preserve"> </w:t>
      </w:r>
      <w:r>
        <w:rPr>
          <w:rFonts w:ascii="Times New Roman" w:hAnsi="Times New Roman" w:cs="Times New Roman"/>
          <w:sz w:val="24"/>
        </w:rPr>
        <w:t>T</w:t>
      </w:r>
      <w:r w:rsidRPr="00A65844">
        <w:rPr>
          <w:rFonts w:ascii="Times New Roman" w:hAnsi="Times New Roman" w:cs="Times New Roman"/>
          <w:sz w:val="24"/>
        </w:rPr>
        <w:t>h</w:t>
      </w:r>
      <w:r>
        <w:rPr>
          <w:rFonts w:ascii="Times New Roman" w:hAnsi="Times New Roman" w:cs="Times New Roman"/>
          <w:sz w:val="24"/>
        </w:rPr>
        <w:t>is</w:t>
      </w:r>
      <w:r w:rsidRPr="00A65844">
        <w:rPr>
          <w:rFonts w:ascii="Times New Roman" w:hAnsi="Times New Roman" w:cs="Times New Roman"/>
          <w:sz w:val="24"/>
        </w:rPr>
        <w:t xml:space="preserve"> does draw into question the reliability of the source however</w:t>
      </w:r>
      <w:r>
        <w:rPr>
          <w:rFonts w:ascii="Times New Roman" w:hAnsi="Times New Roman" w:cs="Times New Roman"/>
          <w:sz w:val="24"/>
        </w:rPr>
        <w:t>;</w:t>
      </w:r>
      <w:r w:rsidRPr="00A65844">
        <w:rPr>
          <w:rFonts w:ascii="Times New Roman" w:hAnsi="Times New Roman" w:cs="Times New Roman"/>
          <w:sz w:val="24"/>
        </w:rPr>
        <w:t xml:space="preserve"> in reading the source we know that it is supernatural in form which Herodotus himself discounts as myth “I do not believe the tale, but it is told nevertheless”</w:t>
      </w:r>
      <w:r>
        <w:rPr>
          <w:rFonts w:ascii="Times New Roman" w:hAnsi="Times New Roman" w:cs="Times New Roman"/>
          <w:sz w:val="24"/>
        </w:rPr>
        <w:t>.</w:t>
      </w:r>
      <w:r w:rsidRPr="00A65844">
        <w:rPr>
          <w:rStyle w:val="FootnoteReference"/>
          <w:rFonts w:ascii="Times New Roman" w:hAnsi="Times New Roman" w:cs="Times New Roman"/>
          <w:sz w:val="24"/>
        </w:rPr>
        <w:footnoteReference w:id="4"/>
      </w:r>
      <w:r>
        <w:rPr>
          <w:rFonts w:ascii="Times New Roman" w:hAnsi="Times New Roman" w:cs="Times New Roman"/>
          <w:sz w:val="24"/>
        </w:rPr>
        <w:t xml:space="preserve"> S</w:t>
      </w:r>
      <w:r w:rsidRPr="00A65844">
        <w:rPr>
          <w:rFonts w:ascii="Times New Roman" w:hAnsi="Times New Roman" w:cs="Times New Roman"/>
          <w:sz w:val="24"/>
        </w:rPr>
        <w:t>o rather than seeking out the credibility of this source I believe that it should be attributed to the proem Herodotus introduces his histories in “the hope of thereby preserving from decay the remembrance of what men have done, and of preventing the great and wonderful actions of the Greeks and Barbarians from losing their due need of glory”</w:t>
      </w:r>
      <w:r>
        <w:rPr>
          <w:rFonts w:ascii="Times New Roman" w:hAnsi="Times New Roman" w:cs="Times New Roman"/>
          <w:sz w:val="24"/>
        </w:rPr>
        <w:t>.</w:t>
      </w:r>
      <w:r w:rsidRPr="00A65844">
        <w:rPr>
          <w:rStyle w:val="FootnoteReference"/>
          <w:rFonts w:ascii="Times New Roman" w:hAnsi="Times New Roman" w:cs="Times New Roman"/>
          <w:sz w:val="24"/>
        </w:rPr>
        <w:footnoteReference w:id="5"/>
      </w:r>
      <w:r>
        <w:rPr>
          <w:rFonts w:ascii="Times New Roman" w:hAnsi="Times New Roman" w:cs="Times New Roman"/>
          <w:sz w:val="24"/>
        </w:rPr>
        <w:t xml:space="preserve"> </w:t>
      </w:r>
      <w:r w:rsidR="00E33799" w:rsidRPr="00EA631C">
        <w:rPr>
          <w:rFonts w:ascii="Times New Roman" w:hAnsi="Times New Roman" w:cs="Times New Roman"/>
          <w:sz w:val="24"/>
        </w:rPr>
        <w:t>The inclusion of myth from other cultures such as the Scythian at 4.5 could be an attempt to appeal to that wider audience by making it diverse in the nature of his stories.</w:t>
      </w:r>
      <w:r w:rsidR="00E33799">
        <w:rPr>
          <w:rFonts w:ascii="Times New Roman" w:hAnsi="Times New Roman" w:cs="Times New Roman"/>
          <w:sz w:val="24"/>
        </w:rPr>
        <w:t xml:space="preserve"> </w:t>
      </w:r>
      <w:r>
        <w:rPr>
          <w:rFonts w:ascii="Times New Roman" w:hAnsi="Times New Roman" w:cs="Times New Roman"/>
          <w:sz w:val="24"/>
        </w:rPr>
        <w:t>Herodotus includes two other versions of events, the Greek and another which he does not source, t</w:t>
      </w:r>
      <w:r w:rsidRPr="00A65844">
        <w:rPr>
          <w:rFonts w:ascii="Times New Roman" w:hAnsi="Times New Roman" w:cs="Times New Roman"/>
          <w:sz w:val="24"/>
        </w:rPr>
        <w:t>he inclusion of these other tales validates the fanciful story in chapter 5 as it supports the claim that he is including it for the sake of preserving knowledge and giving it the du</w:t>
      </w:r>
      <w:r>
        <w:rPr>
          <w:rFonts w:ascii="Times New Roman" w:hAnsi="Times New Roman" w:cs="Times New Roman"/>
          <w:sz w:val="24"/>
        </w:rPr>
        <w:t>e glory rather than naively</w:t>
      </w:r>
      <w:r w:rsidRPr="00A65844">
        <w:rPr>
          <w:rFonts w:ascii="Times New Roman" w:hAnsi="Times New Roman" w:cs="Times New Roman"/>
          <w:sz w:val="24"/>
        </w:rPr>
        <w:t xml:space="preserve"> accepting that as truth.</w:t>
      </w:r>
      <w:r>
        <w:rPr>
          <w:rFonts w:ascii="Times New Roman" w:hAnsi="Times New Roman" w:cs="Times New Roman"/>
          <w:sz w:val="24"/>
        </w:rPr>
        <w:t xml:space="preserve"> Herodotus has demonstrated here that, even though it is brief, he has engaged with his sources on a somewhat critical level.</w:t>
      </w:r>
    </w:p>
    <w:p w:rsidR="00786CB2" w:rsidRDefault="00786CB2" w:rsidP="00786CB2">
      <w:pPr>
        <w:spacing w:line="360" w:lineRule="auto"/>
        <w:rPr>
          <w:rFonts w:ascii="Times New Roman" w:hAnsi="Times New Roman" w:cs="Times New Roman"/>
          <w:sz w:val="24"/>
        </w:rPr>
      </w:pPr>
      <w:r>
        <w:rPr>
          <w:rFonts w:ascii="Times New Roman" w:hAnsi="Times New Roman" w:cs="Times New Roman"/>
          <w:sz w:val="24"/>
        </w:rPr>
        <w:t>Lincoln identifies that the ruler of Scythia is the one who benefits most from this story so it was most likely spread by them as a way to legitimize their rule</w:t>
      </w:r>
      <w:r>
        <w:rPr>
          <w:rStyle w:val="FootnoteReference"/>
          <w:rFonts w:ascii="Times New Roman" w:hAnsi="Times New Roman" w:cs="Times New Roman"/>
          <w:sz w:val="24"/>
        </w:rPr>
        <w:footnoteReference w:id="6"/>
      </w:r>
      <w:r>
        <w:rPr>
          <w:rFonts w:ascii="Times New Roman" w:hAnsi="Times New Roman" w:cs="Times New Roman"/>
          <w:sz w:val="24"/>
        </w:rPr>
        <w:t xml:space="preserve"> and it was accepted by the general populous as the succession of the younger brother parallels Scythia being the youngest nation thus validating them as worthy. When we look into the meaning behind the text we see that there is a link between the etymology of the characters and the theory that it was a story proliferated by the monarch. Firstly the father Targitaos whose name has Old Iranian etymology and translates to long lasting which mirrors what the rulers desire, next the three brother all of whose names end in –xais which is old Iranian for ruling and lastly the </w:t>
      </w:r>
      <w:r>
        <w:rPr>
          <w:rFonts w:ascii="Times New Roman" w:hAnsi="Times New Roman" w:cs="Times New Roman"/>
          <w:sz w:val="24"/>
        </w:rPr>
        <w:lastRenderedPageBreak/>
        <w:t>youngest brothers name translates to first established ruling.</w:t>
      </w:r>
      <w:r>
        <w:rPr>
          <w:rStyle w:val="FootnoteReference"/>
          <w:rFonts w:ascii="Times New Roman" w:hAnsi="Times New Roman" w:cs="Times New Roman"/>
          <w:sz w:val="24"/>
        </w:rPr>
        <w:footnoteReference w:id="7"/>
      </w:r>
      <w:r>
        <w:rPr>
          <w:rFonts w:ascii="Times New Roman" w:hAnsi="Times New Roman" w:cs="Times New Roman"/>
          <w:sz w:val="24"/>
        </w:rPr>
        <w:t xml:space="preserve"> This assessment of the myth put forward by Lincoln is very credible as it utilises the information provided by analysing the etymological evidence to draw a conclusion with this in mind I find it a compelling point of view.</w:t>
      </w:r>
    </w:p>
    <w:p w:rsidR="00786CB2" w:rsidRPr="00A65844" w:rsidRDefault="00786CB2" w:rsidP="00786CB2">
      <w:pPr>
        <w:spacing w:line="360" w:lineRule="auto"/>
        <w:rPr>
          <w:rFonts w:ascii="Times New Roman" w:hAnsi="Times New Roman" w:cs="Times New Roman"/>
          <w:sz w:val="24"/>
        </w:rPr>
      </w:pPr>
      <w:r w:rsidRPr="00A65844">
        <w:rPr>
          <w:rFonts w:ascii="Times New Roman" w:hAnsi="Times New Roman" w:cs="Times New Roman"/>
          <w:sz w:val="24"/>
        </w:rPr>
        <w:t>Herodotus’ account of the birth of Scythia is the only prima</w:t>
      </w:r>
      <w:r>
        <w:rPr>
          <w:rFonts w:ascii="Times New Roman" w:hAnsi="Times New Roman" w:cs="Times New Roman"/>
          <w:sz w:val="24"/>
        </w:rPr>
        <w:t>ry source which has survived</w:t>
      </w:r>
      <w:r w:rsidRPr="00A65844">
        <w:rPr>
          <w:rFonts w:ascii="Times New Roman" w:hAnsi="Times New Roman" w:cs="Times New Roman"/>
          <w:sz w:val="24"/>
        </w:rPr>
        <w:t>; the bible does mention Scythians but only in passing</w:t>
      </w:r>
      <w:r>
        <w:rPr>
          <w:rFonts w:ascii="Times New Roman" w:hAnsi="Times New Roman" w:cs="Times New Roman"/>
          <w:sz w:val="24"/>
        </w:rPr>
        <w:t>,</w:t>
      </w:r>
      <w:r w:rsidRPr="00A65844">
        <w:rPr>
          <w:rStyle w:val="FootnoteReference"/>
          <w:rFonts w:ascii="Times New Roman" w:hAnsi="Times New Roman" w:cs="Times New Roman"/>
          <w:sz w:val="24"/>
        </w:rPr>
        <w:footnoteReference w:id="8"/>
      </w:r>
      <w:r w:rsidRPr="00A65844">
        <w:rPr>
          <w:rFonts w:ascii="Times New Roman" w:hAnsi="Times New Roman" w:cs="Times New Roman"/>
          <w:sz w:val="24"/>
        </w:rPr>
        <w:t xml:space="preserve"> so in terms of literary evidence he is our only authority on the matter. Archaeology though does give us</w:t>
      </w:r>
      <w:r>
        <w:rPr>
          <w:rFonts w:ascii="Times New Roman" w:hAnsi="Times New Roman" w:cs="Times New Roman"/>
          <w:sz w:val="24"/>
        </w:rPr>
        <w:t xml:space="preserve"> more of an insight; the</w:t>
      </w:r>
      <w:r w:rsidRPr="00A65844">
        <w:rPr>
          <w:rFonts w:ascii="Times New Roman" w:hAnsi="Times New Roman" w:cs="Times New Roman"/>
          <w:sz w:val="24"/>
        </w:rPr>
        <w:t xml:space="preserve"> </w:t>
      </w:r>
      <w:r>
        <w:rPr>
          <w:rFonts w:ascii="Times New Roman" w:hAnsi="Times New Roman" w:cs="Times New Roman"/>
          <w:sz w:val="24"/>
        </w:rPr>
        <w:t>first mostly championed by the S</w:t>
      </w:r>
      <w:r w:rsidRPr="00A65844">
        <w:rPr>
          <w:rFonts w:ascii="Times New Roman" w:hAnsi="Times New Roman" w:cs="Times New Roman"/>
          <w:sz w:val="24"/>
        </w:rPr>
        <w:t>oviets was that the Scythians were from Eastern Iranian people who came from Inner Asia, west of Serbia</w:t>
      </w:r>
      <w:r>
        <w:rPr>
          <w:rFonts w:ascii="Times New Roman" w:hAnsi="Times New Roman" w:cs="Times New Roman"/>
          <w:sz w:val="24"/>
        </w:rPr>
        <w:t>.</w:t>
      </w:r>
      <w:r w:rsidRPr="00A65844">
        <w:rPr>
          <w:rStyle w:val="FootnoteReference"/>
          <w:rFonts w:ascii="Times New Roman" w:hAnsi="Times New Roman" w:cs="Times New Roman"/>
          <w:sz w:val="24"/>
        </w:rPr>
        <w:footnoteReference w:id="9"/>
      </w:r>
      <w:r w:rsidRPr="00A65844">
        <w:rPr>
          <w:rFonts w:ascii="Times New Roman" w:hAnsi="Times New Roman" w:cs="Times New Roman"/>
          <w:sz w:val="24"/>
        </w:rPr>
        <w:t xml:space="preserve"> </w:t>
      </w:r>
      <w:r w:rsidRPr="008423B5">
        <w:rPr>
          <w:rFonts w:ascii="Times New Roman" w:hAnsi="Times New Roman" w:cs="Times New Roman"/>
          <w:sz w:val="24"/>
        </w:rPr>
        <w:t>The second being the Scythians are a splinter group from the “Timber Grave”/Srubna culture at the coast of the black sea.</w:t>
      </w:r>
      <w:r w:rsidRPr="008423B5">
        <w:rPr>
          <w:rStyle w:val="FootnoteReference"/>
          <w:rFonts w:ascii="Times New Roman" w:hAnsi="Times New Roman" w:cs="Times New Roman"/>
          <w:sz w:val="24"/>
        </w:rPr>
        <w:footnoteReference w:id="10"/>
      </w:r>
      <w:r w:rsidRPr="008423B5">
        <w:rPr>
          <w:rFonts w:ascii="Times New Roman" w:hAnsi="Times New Roman" w:cs="Times New Roman"/>
          <w:sz w:val="24"/>
        </w:rPr>
        <w:t xml:space="preserve"> This is supported by the Scythian skulls that have been found to bare a resemblance to skulls found at the Timber Grave, this has however been called a tenuous link by Mallory.</w:t>
      </w:r>
      <w:r w:rsidRPr="00A65844">
        <w:rPr>
          <w:rFonts w:ascii="Times New Roman" w:hAnsi="Times New Roman" w:cs="Times New Roman"/>
          <w:sz w:val="24"/>
        </w:rPr>
        <w:t xml:space="preserve"> The best evidence of the formation of Scythia still comes from book 4 of the Histories.</w:t>
      </w:r>
      <w:r>
        <w:rPr>
          <w:rFonts w:ascii="Times New Roman" w:hAnsi="Times New Roman" w:cs="Times New Roman"/>
          <w:sz w:val="24"/>
        </w:rPr>
        <w:t xml:space="preserve"> The importance of this is that it is the only version of this account that we have and although Herodotus receives a lot of criticism for his methodology I would argue that his contribution in terms of preserving knowledge outweighs the failings of his methodology. Without Herodotus we would have lost the only account of this myth, as there is no other literary or archaeological evidence, depr</w:t>
      </w:r>
      <w:r w:rsidR="00E33799">
        <w:rPr>
          <w:rFonts w:ascii="Times New Roman" w:hAnsi="Times New Roman" w:cs="Times New Roman"/>
          <w:sz w:val="24"/>
        </w:rPr>
        <w:t>fh</w:t>
      </w:r>
      <w:r>
        <w:rPr>
          <w:rFonts w:ascii="Times New Roman" w:hAnsi="Times New Roman" w:cs="Times New Roman"/>
          <w:sz w:val="24"/>
        </w:rPr>
        <w:t xml:space="preserve">iving us of an insight into Scythian cultural beliefs. </w:t>
      </w:r>
    </w:p>
    <w:p w:rsidR="00786CB2" w:rsidRPr="00A65844" w:rsidRDefault="00786CB2" w:rsidP="00786CB2">
      <w:pPr>
        <w:spacing w:line="360" w:lineRule="auto"/>
        <w:rPr>
          <w:rFonts w:ascii="Times New Roman" w:hAnsi="Times New Roman" w:cs="Times New Roman"/>
          <w:sz w:val="24"/>
        </w:rPr>
      </w:pPr>
      <w:r w:rsidRPr="00A65844">
        <w:rPr>
          <w:rFonts w:ascii="Times New Roman" w:hAnsi="Times New Roman" w:cs="Times New Roman"/>
          <w:sz w:val="24"/>
        </w:rPr>
        <w:t>In their review of the Histories</w:t>
      </w:r>
      <w:r>
        <w:rPr>
          <w:rFonts w:ascii="Times New Roman" w:hAnsi="Times New Roman" w:cs="Times New Roman"/>
          <w:sz w:val="24"/>
        </w:rPr>
        <w:t>,</w:t>
      </w:r>
      <w:r w:rsidRPr="00A65844">
        <w:rPr>
          <w:rFonts w:ascii="Times New Roman" w:hAnsi="Times New Roman" w:cs="Times New Roman"/>
          <w:sz w:val="24"/>
        </w:rPr>
        <w:t xml:space="preserve"> Asheri, Lloyd and Corcella tell us that the purpose behind Herodotus’ inclusion of the story of the formation of Scythia was to correct the earlier Greek accounts by Hecataeus and Proconnesus</w:t>
      </w:r>
      <w:r>
        <w:rPr>
          <w:rFonts w:ascii="Times New Roman" w:hAnsi="Times New Roman" w:cs="Times New Roman"/>
          <w:sz w:val="24"/>
        </w:rPr>
        <w:t>.</w:t>
      </w:r>
      <w:r w:rsidRPr="00A65844">
        <w:rPr>
          <w:rStyle w:val="FootnoteReference"/>
          <w:rFonts w:ascii="Times New Roman" w:hAnsi="Times New Roman" w:cs="Times New Roman"/>
          <w:sz w:val="24"/>
        </w:rPr>
        <w:footnoteReference w:id="11"/>
      </w:r>
      <w:r w:rsidRPr="00A65844">
        <w:rPr>
          <w:rFonts w:ascii="Times New Roman" w:hAnsi="Times New Roman" w:cs="Times New Roman"/>
          <w:sz w:val="24"/>
        </w:rPr>
        <w:t xml:space="preserve"> As a result of him being in the Pontic area and collecting information from sources he found himself he was able to accurately portray all the tales of Scythia</w:t>
      </w:r>
      <w:r>
        <w:rPr>
          <w:rFonts w:ascii="Times New Roman" w:hAnsi="Times New Roman" w:cs="Times New Roman"/>
          <w:sz w:val="24"/>
        </w:rPr>
        <w:t>’</w:t>
      </w:r>
      <w:r w:rsidRPr="00A65844">
        <w:rPr>
          <w:rFonts w:ascii="Times New Roman" w:hAnsi="Times New Roman" w:cs="Times New Roman"/>
          <w:sz w:val="24"/>
        </w:rPr>
        <w:t xml:space="preserve">s formation. </w:t>
      </w:r>
      <w:r>
        <w:rPr>
          <w:rFonts w:ascii="Times New Roman" w:hAnsi="Times New Roman" w:cs="Times New Roman"/>
          <w:sz w:val="24"/>
        </w:rPr>
        <w:t xml:space="preserve">Given that Herodotus was the first to write a history of this style I would say although this is a plausible explanation for its inclusion it is in fact included because it fits the narrative that Herodotus is trying to tell. </w:t>
      </w:r>
    </w:p>
    <w:p w:rsidR="00786CB2" w:rsidRDefault="00786CB2" w:rsidP="00786CB2">
      <w:pPr>
        <w:spacing w:line="360" w:lineRule="auto"/>
        <w:rPr>
          <w:rFonts w:ascii="Times New Roman" w:hAnsi="Times New Roman" w:cs="Times New Roman"/>
          <w:sz w:val="24"/>
        </w:rPr>
      </w:pPr>
      <w:r w:rsidRPr="00A65844">
        <w:rPr>
          <w:rFonts w:ascii="Times New Roman" w:hAnsi="Times New Roman" w:cs="Times New Roman"/>
          <w:sz w:val="24"/>
        </w:rPr>
        <w:t>With everything mentioned above, this extract from Herodotus is crucial record in terms of history and preservation as without this we would have lost the origins of Scythia to time and despite Herodotus disregarding this particular segment as fantasy it is obvious by its inclusion that he fel</w:t>
      </w:r>
      <w:r>
        <w:rPr>
          <w:rFonts w:ascii="Times New Roman" w:hAnsi="Times New Roman" w:cs="Times New Roman"/>
          <w:sz w:val="24"/>
        </w:rPr>
        <w:t>t it important enough to record</w:t>
      </w:r>
      <w:r w:rsidRPr="00A65844">
        <w:rPr>
          <w:rFonts w:ascii="Times New Roman" w:hAnsi="Times New Roman" w:cs="Times New Roman"/>
          <w:sz w:val="24"/>
        </w:rPr>
        <w:t>.</w:t>
      </w:r>
    </w:p>
    <w:p w:rsidR="00A65844" w:rsidRDefault="00A65844" w:rsidP="00E33799">
      <w:pPr>
        <w:spacing w:line="360" w:lineRule="auto"/>
        <w:rPr>
          <w:rFonts w:ascii="Times New Roman" w:hAnsi="Times New Roman" w:cs="Times New Roman"/>
          <w:color w:val="000000"/>
          <w:sz w:val="24"/>
          <w:u w:val="single"/>
        </w:rPr>
      </w:pPr>
      <w:r w:rsidRPr="00E33799">
        <w:rPr>
          <w:rFonts w:ascii="Times New Roman" w:hAnsi="Times New Roman" w:cs="Times New Roman"/>
          <w:color w:val="000000"/>
          <w:sz w:val="24"/>
          <w:u w:val="single"/>
        </w:rPr>
        <w:lastRenderedPageBreak/>
        <w:t>Bibliography</w:t>
      </w:r>
    </w:p>
    <w:p w:rsidR="00570A0A" w:rsidRDefault="00570A0A" w:rsidP="00E33799">
      <w:pPr>
        <w:spacing w:line="360" w:lineRule="auto"/>
        <w:rPr>
          <w:rFonts w:ascii="Times New Roman" w:hAnsi="Times New Roman" w:cs="Times New Roman"/>
          <w:color w:val="000000"/>
          <w:sz w:val="24"/>
          <w:u w:val="single"/>
        </w:rPr>
      </w:pPr>
      <w:r>
        <w:rPr>
          <w:rFonts w:ascii="Times New Roman" w:hAnsi="Times New Roman" w:cs="Times New Roman"/>
          <w:color w:val="000000"/>
          <w:sz w:val="24"/>
          <w:u w:val="single"/>
        </w:rPr>
        <w:t>Ancient Sources:</w:t>
      </w:r>
    </w:p>
    <w:p w:rsidR="00570A0A" w:rsidRDefault="00570A0A" w:rsidP="00570A0A">
      <w:pPr>
        <w:pStyle w:val="ListParagraph"/>
        <w:numPr>
          <w:ilvl w:val="0"/>
          <w:numId w:val="2"/>
        </w:numPr>
        <w:shd w:val="clear" w:color="auto" w:fill="FFFFFF"/>
        <w:spacing w:after="0" w:line="360" w:lineRule="auto"/>
        <w:outlineLvl w:val="0"/>
        <w:rPr>
          <w:rFonts w:ascii="Times New Roman" w:eastAsia="Times New Roman" w:hAnsi="Times New Roman" w:cs="Times New Roman"/>
          <w:color w:val="000000"/>
          <w:kern w:val="36"/>
          <w:sz w:val="24"/>
          <w:szCs w:val="24"/>
          <w:lang w:eastAsia="en-GB"/>
        </w:rPr>
      </w:pPr>
      <w:r w:rsidRPr="00A54AAB">
        <w:rPr>
          <w:rFonts w:ascii="Times New Roman" w:eastAsia="Times New Roman" w:hAnsi="Times New Roman" w:cs="Times New Roman"/>
          <w:color w:val="000000"/>
          <w:kern w:val="36"/>
          <w:sz w:val="24"/>
          <w:szCs w:val="24"/>
          <w:lang w:eastAsia="en-GB"/>
        </w:rPr>
        <w:t>Colossians 3:11 New International Version</w:t>
      </w:r>
    </w:p>
    <w:p w:rsidR="00570A0A" w:rsidRPr="00570A0A" w:rsidRDefault="00570A0A" w:rsidP="00E33799">
      <w:pPr>
        <w:pStyle w:val="ListParagraph"/>
        <w:numPr>
          <w:ilvl w:val="0"/>
          <w:numId w:val="2"/>
        </w:numPr>
        <w:spacing w:line="360" w:lineRule="auto"/>
        <w:rPr>
          <w:rFonts w:ascii="Times New Roman" w:hAnsi="Times New Roman" w:cs="Times New Roman"/>
          <w:color w:val="000000"/>
          <w:sz w:val="24"/>
          <w:szCs w:val="24"/>
        </w:rPr>
      </w:pPr>
      <w:r w:rsidRPr="00A54AAB">
        <w:rPr>
          <w:rFonts w:ascii="Times New Roman" w:hAnsi="Times New Roman" w:cs="Times New Roman"/>
          <w:sz w:val="24"/>
          <w:szCs w:val="24"/>
          <w:shd w:val="clear" w:color="auto" w:fill="FFFFFF"/>
        </w:rPr>
        <w:t xml:space="preserve">Rawlinson, G. (1996) </w:t>
      </w:r>
      <w:r w:rsidRPr="00A54AAB">
        <w:rPr>
          <w:rFonts w:ascii="Times New Roman" w:hAnsi="Times New Roman" w:cs="Times New Roman"/>
          <w:i/>
          <w:sz w:val="24"/>
          <w:szCs w:val="24"/>
          <w:shd w:val="clear" w:color="auto" w:fill="FFFFFF"/>
        </w:rPr>
        <w:t xml:space="preserve">Herodotus Histories. </w:t>
      </w:r>
      <w:r w:rsidRPr="00A54AAB">
        <w:rPr>
          <w:rFonts w:ascii="Times New Roman" w:hAnsi="Times New Roman" w:cs="Times New Roman"/>
          <w:sz w:val="24"/>
          <w:szCs w:val="24"/>
          <w:shd w:val="clear" w:color="auto" w:fill="FFFFFF"/>
        </w:rPr>
        <w:t>Hertfordshire: Wordsworth Editions Limited.</w:t>
      </w:r>
    </w:p>
    <w:p w:rsidR="00570A0A" w:rsidRPr="00E33799" w:rsidRDefault="00570A0A" w:rsidP="00E33799">
      <w:pPr>
        <w:spacing w:line="360" w:lineRule="auto"/>
        <w:rPr>
          <w:rFonts w:ascii="Times New Roman" w:hAnsi="Times New Roman" w:cs="Times New Roman"/>
          <w:sz w:val="24"/>
        </w:rPr>
      </w:pPr>
      <w:r>
        <w:rPr>
          <w:rFonts w:ascii="Times New Roman" w:hAnsi="Times New Roman" w:cs="Times New Roman"/>
          <w:color w:val="000000"/>
          <w:sz w:val="24"/>
          <w:u w:val="single"/>
        </w:rPr>
        <w:t>Modern Scholarship:</w:t>
      </w:r>
    </w:p>
    <w:p w:rsidR="00A54AAB" w:rsidRPr="00A54AAB" w:rsidRDefault="00A54AAB" w:rsidP="00A54AAB">
      <w:pPr>
        <w:pStyle w:val="ListParagraph"/>
        <w:numPr>
          <w:ilvl w:val="0"/>
          <w:numId w:val="2"/>
        </w:numPr>
        <w:spacing w:line="360" w:lineRule="auto"/>
        <w:rPr>
          <w:rFonts w:ascii="Times New Roman" w:hAnsi="Times New Roman" w:cs="Times New Roman"/>
          <w:sz w:val="24"/>
          <w:szCs w:val="24"/>
        </w:rPr>
      </w:pPr>
      <w:r w:rsidRPr="00A54AAB">
        <w:rPr>
          <w:rFonts w:ascii="Times New Roman" w:hAnsi="Times New Roman" w:cs="Times New Roman"/>
          <w:color w:val="000000"/>
          <w:sz w:val="24"/>
          <w:szCs w:val="24"/>
        </w:rPr>
        <w:t xml:space="preserve">Asheri, D. (2007) </w:t>
      </w:r>
      <w:r w:rsidRPr="00A54AAB">
        <w:rPr>
          <w:rFonts w:ascii="Times New Roman" w:hAnsi="Times New Roman" w:cs="Times New Roman"/>
          <w:i/>
          <w:color w:val="000000"/>
          <w:sz w:val="24"/>
          <w:szCs w:val="24"/>
        </w:rPr>
        <w:t xml:space="preserve">A Commentary on Herodotus Books I-IV, </w:t>
      </w:r>
      <w:r w:rsidRPr="00A54AAB">
        <w:rPr>
          <w:rFonts w:ascii="Times New Roman" w:hAnsi="Times New Roman" w:cs="Times New Roman"/>
          <w:color w:val="000000"/>
          <w:sz w:val="24"/>
          <w:szCs w:val="24"/>
        </w:rPr>
        <w:t>Herodotus, University of Oxford Press</w:t>
      </w:r>
    </w:p>
    <w:p w:rsidR="00A54AAB" w:rsidRPr="00A54AAB" w:rsidRDefault="00A54AAB" w:rsidP="00A54AAB">
      <w:pPr>
        <w:pStyle w:val="ListParagraph"/>
        <w:numPr>
          <w:ilvl w:val="0"/>
          <w:numId w:val="2"/>
        </w:numPr>
        <w:shd w:val="clear" w:color="auto" w:fill="FFFFFF"/>
        <w:spacing w:after="0" w:line="360" w:lineRule="auto"/>
        <w:outlineLvl w:val="0"/>
        <w:rPr>
          <w:rFonts w:ascii="Times New Roman" w:hAnsi="Times New Roman" w:cs="Times New Roman"/>
          <w:sz w:val="24"/>
          <w:szCs w:val="24"/>
          <w:shd w:val="clear" w:color="auto" w:fill="FFFFFF"/>
        </w:rPr>
      </w:pPr>
      <w:r w:rsidRPr="00A54AAB">
        <w:rPr>
          <w:rFonts w:ascii="Times New Roman" w:hAnsi="Times New Roman" w:cs="Times New Roman"/>
          <w:sz w:val="24"/>
          <w:szCs w:val="24"/>
          <w:shd w:val="clear" w:color="auto" w:fill="FFFFFF"/>
        </w:rPr>
        <w:t xml:space="preserve">The British Library </w:t>
      </w:r>
      <w:r w:rsidRPr="00A54AAB">
        <w:rPr>
          <w:rFonts w:ascii="Times New Roman" w:hAnsi="Times New Roman" w:cs="Times New Roman"/>
          <w:i/>
          <w:sz w:val="24"/>
          <w:szCs w:val="24"/>
          <w:shd w:val="clear" w:color="auto" w:fill="FFFFFF"/>
        </w:rPr>
        <w:t>The first book of Herodotus’ Histories</w:t>
      </w:r>
      <w:r w:rsidRPr="00A54AAB">
        <w:rPr>
          <w:rFonts w:ascii="Times New Roman" w:hAnsi="Times New Roman" w:cs="Times New Roman"/>
          <w:sz w:val="24"/>
          <w:szCs w:val="24"/>
          <w:shd w:val="clear" w:color="auto" w:fill="FFFFFF"/>
        </w:rPr>
        <w:t xml:space="preserve"> </w:t>
      </w:r>
      <w:hyperlink r:id="rId8" w:history="1">
        <w:r w:rsidRPr="00A54AAB">
          <w:rPr>
            <w:rStyle w:val="Hyperlink"/>
            <w:rFonts w:ascii="Times New Roman" w:hAnsi="Times New Roman" w:cs="Times New Roman"/>
            <w:sz w:val="24"/>
            <w:szCs w:val="24"/>
            <w:shd w:val="clear" w:color="auto" w:fill="FFFFFF"/>
          </w:rPr>
          <w:t>https://www.bl.uk/collection-items/the-first-book-of-herodotus-histories</w:t>
        </w:r>
      </w:hyperlink>
      <w:r w:rsidRPr="00A54AAB">
        <w:rPr>
          <w:rFonts w:ascii="Times New Roman" w:hAnsi="Times New Roman" w:cs="Times New Roman"/>
          <w:sz w:val="24"/>
          <w:szCs w:val="24"/>
          <w:shd w:val="clear" w:color="auto" w:fill="FFFFFF"/>
        </w:rPr>
        <w:t xml:space="preserve"> (Accessed: 21/02/2019)</w:t>
      </w:r>
    </w:p>
    <w:p w:rsidR="00A54AAB" w:rsidRPr="00A54AAB" w:rsidRDefault="00A54AAB" w:rsidP="00A54AAB">
      <w:pPr>
        <w:pStyle w:val="ListParagraph"/>
        <w:numPr>
          <w:ilvl w:val="0"/>
          <w:numId w:val="2"/>
        </w:numPr>
        <w:shd w:val="clear" w:color="auto" w:fill="FFFFFF"/>
        <w:spacing w:after="0" w:line="360" w:lineRule="auto"/>
        <w:outlineLvl w:val="0"/>
        <w:rPr>
          <w:rFonts w:ascii="Times New Roman" w:eastAsia="Times New Roman" w:hAnsi="Times New Roman" w:cs="Times New Roman"/>
          <w:color w:val="000000"/>
          <w:kern w:val="36"/>
          <w:sz w:val="24"/>
          <w:szCs w:val="24"/>
          <w:lang w:eastAsia="en-GB"/>
        </w:rPr>
      </w:pPr>
      <w:r w:rsidRPr="00A54AAB">
        <w:rPr>
          <w:rFonts w:ascii="Times New Roman" w:hAnsi="Times New Roman" w:cs="Times New Roman"/>
          <w:sz w:val="24"/>
          <w:szCs w:val="24"/>
        </w:rPr>
        <w:t xml:space="preserve">Dolukhanov, P. (1996) </w:t>
      </w:r>
      <w:r w:rsidRPr="00A54AAB">
        <w:rPr>
          <w:rFonts w:ascii="Times New Roman" w:hAnsi="Times New Roman" w:cs="Times New Roman"/>
          <w:i/>
          <w:color w:val="000000"/>
          <w:sz w:val="24"/>
          <w:szCs w:val="24"/>
        </w:rPr>
        <w:t xml:space="preserve">The Early Slavs. Eastern Europe from the initial Settlement to the Kievan Rus. </w:t>
      </w:r>
      <w:r w:rsidRPr="00A54AAB">
        <w:rPr>
          <w:rFonts w:ascii="Times New Roman" w:hAnsi="Times New Roman" w:cs="Times New Roman"/>
          <w:color w:val="000000"/>
          <w:sz w:val="24"/>
          <w:szCs w:val="24"/>
        </w:rPr>
        <w:t>Longman</w:t>
      </w:r>
    </w:p>
    <w:p w:rsidR="00A54AAB" w:rsidRPr="00A54AAB" w:rsidRDefault="00A54AAB" w:rsidP="00A54AAB">
      <w:pPr>
        <w:pStyle w:val="ListParagraph"/>
        <w:numPr>
          <w:ilvl w:val="0"/>
          <w:numId w:val="2"/>
        </w:numPr>
        <w:spacing w:line="360" w:lineRule="auto"/>
        <w:rPr>
          <w:rFonts w:ascii="Times New Roman" w:hAnsi="Times New Roman" w:cs="Times New Roman"/>
          <w:color w:val="000000"/>
          <w:sz w:val="24"/>
          <w:szCs w:val="24"/>
        </w:rPr>
      </w:pPr>
      <w:r w:rsidRPr="00A54AAB">
        <w:rPr>
          <w:rFonts w:ascii="Times New Roman" w:hAnsi="Times New Roman" w:cs="Times New Roman"/>
          <w:color w:val="000000"/>
          <w:sz w:val="24"/>
          <w:szCs w:val="24"/>
        </w:rPr>
        <w:t xml:space="preserve">Flory, S (1980) </w:t>
      </w:r>
      <w:r w:rsidRPr="00A54AAB">
        <w:rPr>
          <w:rFonts w:ascii="Times New Roman" w:hAnsi="Times New Roman" w:cs="Times New Roman"/>
          <w:i/>
          <w:color w:val="000000"/>
          <w:sz w:val="24"/>
          <w:szCs w:val="24"/>
        </w:rPr>
        <w:t>Who Read Herodotus' Histories?</w:t>
      </w:r>
      <w:r w:rsidRPr="00A54AAB">
        <w:rPr>
          <w:rFonts w:ascii="Times New Roman" w:hAnsi="Times New Roman" w:cs="Times New Roman"/>
          <w:color w:val="000000"/>
          <w:sz w:val="24"/>
          <w:szCs w:val="24"/>
        </w:rPr>
        <w:t xml:space="preserve"> The American Journal of Philology, vol. 101, p. 12–28.</w:t>
      </w:r>
    </w:p>
    <w:p w:rsidR="00A54AAB" w:rsidRPr="00A54AAB" w:rsidRDefault="00A54AAB" w:rsidP="00A54AAB">
      <w:pPr>
        <w:pStyle w:val="ListParagraph"/>
        <w:numPr>
          <w:ilvl w:val="0"/>
          <w:numId w:val="2"/>
        </w:numPr>
        <w:shd w:val="clear" w:color="auto" w:fill="FFFFFF"/>
        <w:spacing w:after="0" w:line="360" w:lineRule="auto"/>
        <w:outlineLvl w:val="0"/>
        <w:rPr>
          <w:rFonts w:ascii="Times New Roman" w:eastAsia="Times New Roman" w:hAnsi="Times New Roman" w:cs="Times New Roman"/>
          <w:kern w:val="36"/>
          <w:sz w:val="24"/>
          <w:szCs w:val="24"/>
          <w:lang w:eastAsia="en-GB"/>
        </w:rPr>
      </w:pPr>
      <w:r w:rsidRPr="00A54AAB">
        <w:rPr>
          <w:rFonts w:ascii="Times New Roman" w:hAnsi="Times New Roman" w:cs="Times New Roman"/>
          <w:sz w:val="24"/>
          <w:szCs w:val="24"/>
          <w:shd w:val="clear" w:color="auto" w:fill="FFFFFF"/>
        </w:rPr>
        <w:t>Lincoln, B. (2014), ‘</w:t>
      </w:r>
      <w:r w:rsidRPr="00A54AAB">
        <w:rPr>
          <w:rFonts w:ascii="Times New Roman" w:hAnsi="Times New Roman" w:cs="Times New Roman"/>
          <w:i/>
          <w:sz w:val="24"/>
          <w:szCs w:val="24"/>
          <w:shd w:val="clear" w:color="auto" w:fill="FFFFFF"/>
        </w:rPr>
        <w:t>Once Again “the Scythian” Myth of Origins’</w:t>
      </w:r>
      <w:r w:rsidRPr="00A54AAB">
        <w:rPr>
          <w:rFonts w:ascii="Times New Roman" w:hAnsi="Times New Roman" w:cs="Times New Roman"/>
          <w:sz w:val="24"/>
          <w:szCs w:val="24"/>
          <w:shd w:val="clear" w:color="auto" w:fill="FFFFFF"/>
        </w:rPr>
        <w:t> P19-22</w:t>
      </w:r>
    </w:p>
    <w:p w:rsidR="00A54AAB" w:rsidRPr="00A54AAB" w:rsidRDefault="00F75E67" w:rsidP="00A54AAB">
      <w:pPr>
        <w:pStyle w:val="ListParagraph"/>
        <w:numPr>
          <w:ilvl w:val="0"/>
          <w:numId w:val="2"/>
        </w:numPr>
        <w:spacing w:line="360" w:lineRule="auto"/>
        <w:rPr>
          <w:rFonts w:ascii="Times New Roman" w:hAnsi="Times New Roman" w:cs="Times New Roman"/>
          <w:color w:val="000000"/>
          <w:sz w:val="24"/>
          <w:szCs w:val="24"/>
        </w:rPr>
      </w:pPr>
      <w:r w:rsidRPr="00A54AAB">
        <w:rPr>
          <w:rFonts w:ascii="Times New Roman" w:hAnsi="Times New Roman" w:cs="Times New Roman"/>
          <w:color w:val="000000"/>
          <w:sz w:val="24"/>
          <w:szCs w:val="24"/>
        </w:rPr>
        <w:t xml:space="preserve">Mallory, J.P. (1989) </w:t>
      </w:r>
      <w:r w:rsidRPr="00A54AAB">
        <w:rPr>
          <w:rFonts w:ascii="Times New Roman" w:hAnsi="Times New Roman" w:cs="Times New Roman"/>
          <w:i/>
          <w:color w:val="000000"/>
          <w:sz w:val="24"/>
          <w:szCs w:val="24"/>
        </w:rPr>
        <w:t>In Search of the Indo-Europeans: Language Archaeology and Myth</w:t>
      </w:r>
      <w:r w:rsidRPr="00A54AAB">
        <w:rPr>
          <w:rFonts w:ascii="Times New Roman" w:hAnsi="Times New Roman" w:cs="Times New Roman"/>
          <w:color w:val="000000"/>
          <w:sz w:val="24"/>
          <w:szCs w:val="24"/>
        </w:rPr>
        <w:t>. Thames and Hudson.</w:t>
      </w:r>
    </w:p>
    <w:p w:rsidR="00ED763B" w:rsidRPr="00A54AAB" w:rsidRDefault="00BD07F6" w:rsidP="00A54AAB">
      <w:pPr>
        <w:pStyle w:val="ListParagraph"/>
        <w:numPr>
          <w:ilvl w:val="0"/>
          <w:numId w:val="2"/>
        </w:numPr>
        <w:spacing w:line="360" w:lineRule="auto"/>
        <w:rPr>
          <w:rFonts w:ascii="Times New Roman" w:hAnsi="Times New Roman" w:cs="Times New Roman"/>
          <w:color w:val="000000"/>
          <w:sz w:val="24"/>
          <w:szCs w:val="24"/>
        </w:rPr>
      </w:pPr>
      <w:r w:rsidRPr="00A54AAB">
        <w:rPr>
          <w:rFonts w:ascii="Times New Roman" w:hAnsi="Times New Roman" w:cs="Times New Roman"/>
          <w:color w:val="000000"/>
          <w:sz w:val="24"/>
          <w:szCs w:val="24"/>
        </w:rPr>
        <w:t xml:space="preserve">Thomas, B. (2017) </w:t>
      </w:r>
      <w:r w:rsidRPr="00A54AAB">
        <w:rPr>
          <w:rFonts w:ascii="Times New Roman" w:hAnsi="Times New Roman" w:cs="Times New Roman"/>
          <w:i/>
          <w:color w:val="000000"/>
          <w:sz w:val="24"/>
          <w:szCs w:val="24"/>
        </w:rPr>
        <w:t>Great Empires of Central Asia, Part 3: Pirates on a Sea of Grass – The Strange Continent.</w:t>
      </w:r>
      <w:r w:rsidRPr="00A54AAB">
        <w:rPr>
          <w:rFonts w:ascii="Times New Roman" w:hAnsi="Times New Roman" w:cs="Times New Roman"/>
          <w:color w:val="000000"/>
          <w:sz w:val="24"/>
          <w:szCs w:val="24"/>
        </w:rPr>
        <w:t xml:space="preserve"> Available at:</w:t>
      </w:r>
      <w:r w:rsidRPr="00A54AAB">
        <w:rPr>
          <w:rFonts w:ascii="Times New Roman" w:hAnsi="Times New Roman" w:cs="Times New Roman"/>
          <w:sz w:val="24"/>
          <w:szCs w:val="24"/>
        </w:rPr>
        <w:t xml:space="preserve"> </w:t>
      </w:r>
      <w:hyperlink r:id="rId9" w:history="1">
        <w:r w:rsidRPr="00A54AAB">
          <w:rPr>
            <w:rStyle w:val="Hyperlink"/>
            <w:rFonts w:ascii="Times New Roman" w:hAnsi="Times New Roman" w:cs="Times New Roman"/>
            <w:sz w:val="24"/>
            <w:szCs w:val="24"/>
          </w:rPr>
          <w:t>http://thestrangecontinent.com/</w:t>
        </w:r>
      </w:hyperlink>
      <w:r w:rsidRPr="00A54AAB">
        <w:rPr>
          <w:rFonts w:ascii="Times New Roman" w:hAnsi="Times New Roman" w:cs="Times New Roman"/>
          <w:color w:val="000000"/>
          <w:sz w:val="24"/>
          <w:szCs w:val="24"/>
        </w:rPr>
        <w:t xml:space="preserve"> (Accessed: 19/02/2019)</w:t>
      </w:r>
    </w:p>
    <w:p w:rsidR="003B22B8" w:rsidRDefault="003B22B8" w:rsidP="003B22B8">
      <w:pPr>
        <w:shd w:val="clear" w:color="auto" w:fill="FFFFFF"/>
        <w:spacing w:after="0" w:line="360" w:lineRule="auto"/>
        <w:outlineLvl w:val="0"/>
        <w:rPr>
          <w:rFonts w:ascii="Times New Roman" w:eastAsia="Times New Roman" w:hAnsi="Times New Roman" w:cs="Times New Roman"/>
          <w:color w:val="000000"/>
          <w:kern w:val="36"/>
          <w:sz w:val="24"/>
          <w:szCs w:val="24"/>
          <w:lang w:eastAsia="en-GB"/>
        </w:rPr>
      </w:pPr>
    </w:p>
    <w:p w:rsidR="003B22B8" w:rsidRPr="003B22B8" w:rsidRDefault="003B22B8" w:rsidP="003B22B8">
      <w:pPr>
        <w:shd w:val="clear" w:color="auto" w:fill="FFFFFF"/>
        <w:spacing w:after="0" w:line="360" w:lineRule="auto"/>
        <w:outlineLvl w:val="0"/>
        <w:rPr>
          <w:rFonts w:ascii="Times New Roman" w:eastAsia="Times New Roman" w:hAnsi="Times New Roman" w:cs="Times New Roman"/>
          <w:color w:val="000000"/>
          <w:kern w:val="36"/>
          <w:sz w:val="24"/>
          <w:szCs w:val="24"/>
          <w:lang w:eastAsia="en-GB"/>
        </w:rPr>
      </w:pPr>
    </w:p>
    <w:p w:rsidR="008825AD" w:rsidRDefault="008825AD"/>
    <w:sectPr w:rsidR="008825AD" w:rsidSect="00623CFB">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C4DBE" w:rsidRDefault="00BC4DBE" w:rsidP="00EB0F80">
      <w:pPr>
        <w:spacing w:after="0" w:line="240" w:lineRule="auto"/>
      </w:pPr>
      <w:r>
        <w:separator/>
      </w:r>
    </w:p>
  </w:endnote>
  <w:endnote w:type="continuationSeparator" w:id="1">
    <w:p w:rsidR="00BC4DBE" w:rsidRDefault="00BC4DBE" w:rsidP="00EB0F8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C4DBE" w:rsidRDefault="00BC4DBE" w:rsidP="00EB0F80">
      <w:pPr>
        <w:spacing w:after="0" w:line="240" w:lineRule="auto"/>
      </w:pPr>
      <w:r>
        <w:separator/>
      </w:r>
    </w:p>
  </w:footnote>
  <w:footnote w:type="continuationSeparator" w:id="1">
    <w:p w:rsidR="00BC4DBE" w:rsidRDefault="00BC4DBE" w:rsidP="00EB0F80">
      <w:pPr>
        <w:spacing w:after="0" w:line="240" w:lineRule="auto"/>
      </w:pPr>
      <w:r>
        <w:continuationSeparator/>
      </w:r>
    </w:p>
  </w:footnote>
  <w:footnote w:id="2">
    <w:p w:rsidR="00786CB2" w:rsidRDefault="00786CB2" w:rsidP="00786CB2">
      <w:pPr>
        <w:pStyle w:val="FootnoteText"/>
      </w:pPr>
      <w:r>
        <w:rPr>
          <w:rStyle w:val="FootnoteReference"/>
        </w:rPr>
        <w:footnoteRef/>
      </w:r>
      <w:r>
        <w:t xml:space="preserve"> Hrd, 4.5</w:t>
      </w:r>
    </w:p>
  </w:footnote>
  <w:footnote w:id="3">
    <w:p w:rsidR="00786CB2" w:rsidRDefault="00786CB2" w:rsidP="00786CB2">
      <w:pPr>
        <w:pStyle w:val="FootnoteText"/>
      </w:pPr>
      <w:r>
        <w:rPr>
          <w:rStyle w:val="FootnoteReference"/>
        </w:rPr>
        <w:footnoteRef/>
      </w:r>
      <w:r>
        <w:t xml:space="preserve"> British Library</w:t>
      </w:r>
    </w:p>
  </w:footnote>
  <w:footnote w:id="4">
    <w:p w:rsidR="00786CB2" w:rsidRDefault="00786CB2" w:rsidP="00786CB2">
      <w:pPr>
        <w:pStyle w:val="FootnoteText"/>
      </w:pPr>
      <w:r>
        <w:rPr>
          <w:rStyle w:val="FootnoteReference"/>
        </w:rPr>
        <w:footnoteRef/>
      </w:r>
      <w:r>
        <w:t xml:space="preserve"> Hrd, 4.5</w:t>
      </w:r>
    </w:p>
  </w:footnote>
  <w:footnote w:id="5">
    <w:p w:rsidR="00786CB2" w:rsidRDefault="00786CB2" w:rsidP="00786CB2">
      <w:pPr>
        <w:pStyle w:val="FootnoteText"/>
      </w:pPr>
      <w:r>
        <w:rPr>
          <w:rStyle w:val="FootnoteReference"/>
        </w:rPr>
        <w:footnoteRef/>
      </w:r>
      <w:r>
        <w:t xml:space="preserve"> Hrd, 1.0</w:t>
      </w:r>
    </w:p>
  </w:footnote>
  <w:footnote w:id="6">
    <w:p w:rsidR="00786CB2" w:rsidRDefault="00786CB2" w:rsidP="00786CB2">
      <w:pPr>
        <w:pStyle w:val="FootnoteText"/>
      </w:pPr>
      <w:r>
        <w:rPr>
          <w:rStyle w:val="FootnoteReference"/>
        </w:rPr>
        <w:footnoteRef/>
      </w:r>
      <w:r>
        <w:t xml:space="preserve"> </w:t>
      </w:r>
      <w:r w:rsidR="0017488B">
        <w:t>Lincoln, p20 (2014)</w:t>
      </w:r>
    </w:p>
  </w:footnote>
  <w:footnote w:id="7">
    <w:p w:rsidR="00786CB2" w:rsidRDefault="00786CB2" w:rsidP="00786CB2">
      <w:pPr>
        <w:pStyle w:val="FootnoteText"/>
      </w:pPr>
      <w:r>
        <w:rPr>
          <w:rStyle w:val="FootnoteReference"/>
        </w:rPr>
        <w:footnoteRef/>
      </w:r>
      <w:r>
        <w:t xml:space="preserve"> </w:t>
      </w:r>
      <w:r w:rsidR="0017488B">
        <w:t>Lincoln, p21 (2014)</w:t>
      </w:r>
    </w:p>
  </w:footnote>
  <w:footnote w:id="8">
    <w:p w:rsidR="00786CB2" w:rsidRDefault="00786CB2" w:rsidP="00786CB2">
      <w:pPr>
        <w:pStyle w:val="FootnoteText"/>
      </w:pPr>
      <w:r>
        <w:rPr>
          <w:rStyle w:val="FootnoteReference"/>
        </w:rPr>
        <w:footnoteRef/>
      </w:r>
      <w:r>
        <w:t xml:space="preserve"> </w:t>
      </w:r>
      <w:r w:rsidRPr="002D3159">
        <w:rPr>
          <w:rFonts w:eastAsia="Times New Roman" w:cstheme="minorHAnsi"/>
          <w:color w:val="000000"/>
          <w:kern w:val="36"/>
          <w:szCs w:val="24"/>
          <w:lang w:eastAsia="en-GB"/>
        </w:rPr>
        <w:t>Colossians 3:11</w:t>
      </w:r>
      <w:r w:rsidRPr="003B22B8">
        <w:rPr>
          <w:rFonts w:eastAsia="Times New Roman" w:cstheme="minorHAnsi"/>
          <w:color w:val="000000"/>
          <w:kern w:val="36"/>
          <w:szCs w:val="24"/>
          <w:lang w:eastAsia="en-GB"/>
        </w:rPr>
        <w:t> </w:t>
      </w:r>
    </w:p>
  </w:footnote>
  <w:footnote w:id="9">
    <w:p w:rsidR="00786CB2" w:rsidRDefault="00786CB2" w:rsidP="00786CB2">
      <w:pPr>
        <w:pStyle w:val="FootnoteText"/>
      </w:pPr>
      <w:r>
        <w:rPr>
          <w:rStyle w:val="FootnoteReference"/>
        </w:rPr>
        <w:footnoteRef/>
      </w:r>
      <w:r>
        <w:t xml:space="preserve"> Mallroy, 1989</w:t>
      </w:r>
    </w:p>
  </w:footnote>
  <w:footnote w:id="10">
    <w:p w:rsidR="00786CB2" w:rsidRDefault="00786CB2" w:rsidP="00786CB2">
      <w:pPr>
        <w:pStyle w:val="FootnoteText"/>
      </w:pPr>
      <w:r>
        <w:rPr>
          <w:rStyle w:val="FootnoteReference"/>
        </w:rPr>
        <w:footnoteRef/>
      </w:r>
      <w:r>
        <w:t xml:space="preserve"> Mallroy, 1989</w:t>
      </w:r>
    </w:p>
  </w:footnote>
  <w:footnote w:id="11">
    <w:p w:rsidR="00786CB2" w:rsidRDefault="00786CB2" w:rsidP="00786CB2">
      <w:pPr>
        <w:pStyle w:val="FootnoteText"/>
      </w:pPr>
      <w:r>
        <w:rPr>
          <w:rStyle w:val="FootnoteReference"/>
        </w:rPr>
        <w:footnoteRef/>
      </w:r>
      <w:r>
        <w:t xml:space="preserve"> Asheri, 2007</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CD55F6"/>
    <w:multiLevelType w:val="hybridMultilevel"/>
    <w:tmpl w:val="578C0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963490A"/>
    <w:multiLevelType w:val="hybridMultilevel"/>
    <w:tmpl w:val="B798B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rsids>
    <w:rsidRoot w:val="00EB0F80"/>
    <w:rsid w:val="000265C1"/>
    <w:rsid w:val="00133119"/>
    <w:rsid w:val="0017488B"/>
    <w:rsid w:val="001C68DC"/>
    <w:rsid w:val="0020106D"/>
    <w:rsid w:val="00217A3A"/>
    <w:rsid w:val="002A75C5"/>
    <w:rsid w:val="002D3159"/>
    <w:rsid w:val="002D5B98"/>
    <w:rsid w:val="00307F92"/>
    <w:rsid w:val="00375335"/>
    <w:rsid w:val="003902F0"/>
    <w:rsid w:val="00390A76"/>
    <w:rsid w:val="003B22B8"/>
    <w:rsid w:val="00510688"/>
    <w:rsid w:val="00512C1C"/>
    <w:rsid w:val="00570A0A"/>
    <w:rsid w:val="00623CFB"/>
    <w:rsid w:val="006C63AC"/>
    <w:rsid w:val="00783291"/>
    <w:rsid w:val="00786CB2"/>
    <w:rsid w:val="008825AD"/>
    <w:rsid w:val="008B7349"/>
    <w:rsid w:val="00914CC9"/>
    <w:rsid w:val="009150BE"/>
    <w:rsid w:val="009E42EF"/>
    <w:rsid w:val="00A364AC"/>
    <w:rsid w:val="00A54AAB"/>
    <w:rsid w:val="00A65844"/>
    <w:rsid w:val="00B474A3"/>
    <w:rsid w:val="00B53A60"/>
    <w:rsid w:val="00BA6DC7"/>
    <w:rsid w:val="00BC4DBE"/>
    <w:rsid w:val="00BD07F6"/>
    <w:rsid w:val="00CD634C"/>
    <w:rsid w:val="00D94E20"/>
    <w:rsid w:val="00E33799"/>
    <w:rsid w:val="00EB0F80"/>
    <w:rsid w:val="00ED763B"/>
    <w:rsid w:val="00F63F8D"/>
    <w:rsid w:val="00F75E67"/>
    <w:rsid w:val="00FA407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3CFB"/>
  </w:style>
  <w:style w:type="paragraph" w:styleId="Heading1">
    <w:name w:val="heading 1"/>
    <w:basedOn w:val="Normal"/>
    <w:link w:val="Heading1Char"/>
    <w:uiPriority w:val="9"/>
    <w:qFormat/>
    <w:rsid w:val="003B22B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EB0F8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B0F80"/>
    <w:rPr>
      <w:sz w:val="20"/>
      <w:szCs w:val="20"/>
    </w:rPr>
  </w:style>
  <w:style w:type="character" w:styleId="FootnoteReference">
    <w:name w:val="footnote reference"/>
    <w:basedOn w:val="DefaultParagraphFont"/>
    <w:uiPriority w:val="99"/>
    <w:semiHidden/>
    <w:unhideWhenUsed/>
    <w:rsid w:val="00EB0F80"/>
    <w:rPr>
      <w:vertAlign w:val="superscript"/>
    </w:rPr>
  </w:style>
  <w:style w:type="paragraph" w:styleId="NormalWeb">
    <w:name w:val="Normal (Web)"/>
    <w:basedOn w:val="Normal"/>
    <w:uiPriority w:val="99"/>
    <w:semiHidden/>
    <w:unhideWhenUsed/>
    <w:rsid w:val="00A6584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BD07F6"/>
    <w:rPr>
      <w:color w:val="0000FF" w:themeColor="hyperlink"/>
      <w:u w:val="single"/>
    </w:rPr>
  </w:style>
  <w:style w:type="character" w:customStyle="1" w:styleId="Heading1Char">
    <w:name w:val="Heading 1 Char"/>
    <w:basedOn w:val="DefaultParagraphFont"/>
    <w:link w:val="Heading1"/>
    <w:uiPriority w:val="9"/>
    <w:rsid w:val="003B22B8"/>
    <w:rPr>
      <w:rFonts w:ascii="Times New Roman" w:eastAsia="Times New Roman" w:hAnsi="Times New Roman" w:cs="Times New Roman"/>
      <w:b/>
      <w:bCs/>
      <w:kern w:val="36"/>
      <w:sz w:val="48"/>
      <w:szCs w:val="48"/>
      <w:lang w:eastAsia="en-GB"/>
    </w:rPr>
  </w:style>
  <w:style w:type="character" w:customStyle="1" w:styleId="passage-display-bcv">
    <w:name w:val="passage-display-bcv"/>
    <w:basedOn w:val="DefaultParagraphFont"/>
    <w:rsid w:val="003B22B8"/>
  </w:style>
  <w:style w:type="character" w:customStyle="1" w:styleId="passage-display-version">
    <w:name w:val="passage-display-version"/>
    <w:basedOn w:val="DefaultParagraphFont"/>
    <w:rsid w:val="003B22B8"/>
  </w:style>
  <w:style w:type="paragraph" w:styleId="ListParagraph">
    <w:name w:val="List Paragraph"/>
    <w:basedOn w:val="Normal"/>
    <w:uiPriority w:val="34"/>
    <w:qFormat/>
    <w:rsid w:val="003B22B8"/>
    <w:pPr>
      <w:ind w:left="720"/>
      <w:contextualSpacing/>
    </w:pPr>
  </w:style>
  <w:style w:type="character" w:styleId="FollowedHyperlink">
    <w:name w:val="FollowedHyperlink"/>
    <w:basedOn w:val="DefaultParagraphFont"/>
    <w:uiPriority w:val="99"/>
    <w:semiHidden/>
    <w:unhideWhenUsed/>
    <w:rsid w:val="001C68DC"/>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123933013">
      <w:bodyDiv w:val="1"/>
      <w:marLeft w:val="0"/>
      <w:marRight w:val="0"/>
      <w:marTop w:val="0"/>
      <w:marBottom w:val="0"/>
      <w:divBdr>
        <w:top w:val="none" w:sz="0" w:space="0" w:color="auto"/>
        <w:left w:val="none" w:sz="0" w:space="0" w:color="auto"/>
        <w:bottom w:val="none" w:sz="0" w:space="0" w:color="auto"/>
        <w:right w:val="none" w:sz="0" w:space="0" w:color="auto"/>
      </w:divBdr>
    </w:div>
    <w:div w:id="164091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l.uk/collection-items/the-first-book-of-herodotus-historie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thestrangecontinen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DE9B3A-D2A2-4B82-99AE-C58388FCA3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1611</TotalTime>
  <Pages>3</Pages>
  <Words>914</Words>
  <Characters>5211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Watkin</dc:creator>
  <cp:lastModifiedBy>Watkin</cp:lastModifiedBy>
  <cp:revision>11</cp:revision>
  <dcterms:created xsi:type="dcterms:W3CDTF">2019-02-18T14:01:00Z</dcterms:created>
  <dcterms:modified xsi:type="dcterms:W3CDTF">2019-02-24T11:02:00Z</dcterms:modified>
</cp:coreProperties>
</file>