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D18008" w14:textId="5CBBBC62" w:rsidR="00715CF0" w:rsidRDefault="00711818" w:rsidP="006E0A2F">
      <w:pPr>
        <w:spacing w:line="360" w:lineRule="auto"/>
      </w:pPr>
      <w:r>
        <w:t xml:space="preserve">Diana Evans </w:t>
      </w:r>
    </w:p>
    <w:p w14:paraId="2936D212" w14:textId="7897B374" w:rsidR="00711818" w:rsidRDefault="00711818" w:rsidP="006E0A2F">
      <w:pPr>
        <w:spacing w:line="360" w:lineRule="auto"/>
      </w:pPr>
      <w:r>
        <w:t>1706137</w:t>
      </w:r>
    </w:p>
    <w:p w14:paraId="44FE6A88" w14:textId="2AD47677" w:rsidR="006E0A2F" w:rsidRPr="008502C3" w:rsidRDefault="002A0820" w:rsidP="006E0A2F">
      <w:pPr>
        <w:spacing w:line="360" w:lineRule="auto"/>
      </w:pPr>
      <w:bookmarkStart w:id="0" w:name="_GoBack"/>
      <w:r w:rsidRPr="008502C3">
        <w:t>This paper seeks to report and evaluate the systems currently utilised for regulating the use of Complementary and Alternative Medicines</w:t>
      </w:r>
      <w:r>
        <w:t xml:space="preserve"> on a global degre</w:t>
      </w:r>
      <w:r w:rsidRPr="008502C3">
        <w:t>e</w:t>
      </w:r>
      <w:r w:rsidR="00045593">
        <w:t xml:space="preserve"> however the </w:t>
      </w:r>
      <w:r w:rsidR="0029570D">
        <w:t>focus</w:t>
      </w:r>
      <w:r w:rsidR="00045593">
        <w:t xml:space="preserve"> will be on the United Kingdom</w:t>
      </w:r>
      <w:r w:rsidRPr="008502C3">
        <w:t xml:space="preserve">. </w:t>
      </w:r>
      <w:r w:rsidR="006E0A2F" w:rsidRPr="008502C3">
        <w:t xml:space="preserve">Recommendations for improvements </w:t>
      </w:r>
      <w:r>
        <w:t xml:space="preserve">for the future </w:t>
      </w:r>
      <w:r w:rsidR="006E0A2F" w:rsidRPr="008502C3">
        <w:t xml:space="preserve">shall </w:t>
      </w:r>
      <w:r>
        <w:t>be offered</w:t>
      </w:r>
      <w:r w:rsidR="00D7720D">
        <w:t>, following a summary</w:t>
      </w:r>
      <w:r w:rsidR="006E0A2F" w:rsidRPr="008502C3">
        <w:t xml:space="preserve"> </w:t>
      </w:r>
      <w:r w:rsidR="000F687E">
        <w:t>of the findings.</w:t>
      </w:r>
    </w:p>
    <w:p w14:paraId="6F49CC9A" w14:textId="667A6A91" w:rsidR="006E0A2F" w:rsidRPr="008502C3" w:rsidRDefault="006E0A2F" w:rsidP="006E0A2F">
      <w:pPr>
        <w:spacing w:line="360" w:lineRule="auto"/>
      </w:pPr>
      <w:r w:rsidRPr="008502C3">
        <w:t xml:space="preserve">Complementary and Alternative Medicine (CAM) has been defined in many ways; </w:t>
      </w:r>
      <w:r w:rsidR="009A29BA" w:rsidRPr="008502C3">
        <w:t>indeed,</w:t>
      </w:r>
      <w:r w:rsidRPr="008502C3">
        <w:t xml:space="preserve"> its definition has been the subject of much debate as CAM increasingly becomes to the fore of both the public’s and academic’s attention (Tabish, 2008). Perhaps one of the most agreed definitions is that CAM refers </w:t>
      </w:r>
      <w:r w:rsidR="009A29BA" w:rsidRPr="008502C3">
        <w:t>to a</w:t>
      </w:r>
      <w:r w:rsidRPr="008502C3">
        <w:t xml:space="preserve"> wide and diverse range of healthcare practices that are not conventionally used as part of the dominant healthcare service but are typically used in addition to (complementary) or in place of (alternative) conventional treatment (World Health Organisation, 2000).  Wieland et al (2011) agree with this definition; </w:t>
      </w:r>
      <w:r w:rsidR="009A29BA" w:rsidRPr="008502C3">
        <w:t>however,</w:t>
      </w:r>
      <w:r w:rsidRPr="008502C3">
        <w:t xml:space="preserve"> they emphasise the holistic nature of CAM and view the practices as healing therapies not just the treatment elements that are used to heal the body and mind. Integrative health care, as explained by the World Health Organisation (2002), incorporates both orthodox and complementary/alternative medicine together; integrative health care is considered to be most prevalent in the USA, UK and Canada (Hilbers &amp; Lewis, 2010).</w:t>
      </w:r>
    </w:p>
    <w:p w14:paraId="7D3B310B" w14:textId="193241DE" w:rsidR="006E0A2F" w:rsidRPr="008502C3" w:rsidRDefault="006E0A2F" w:rsidP="006E0A2F">
      <w:pPr>
        <w:spacing w:line="360" w:lineRule="auto"/>
      </w:pPr>
      <w:r w:rsidRPr="008502C3">
        <w:t>As CAM healing treatments and practices that have been proven to be effective and safe</w:t>
      </w:r>
      <w:r w:rsidR="00644F3F">
        <w:t xml:space="preserve">, they have also </w:t>
      </w:r>
      <w:r w:rsidRPr="008502C3">
        <w:t xml:space="preserve">become more accepted, so does the list of CAM treatments and practices continue to grow.  Tabish (2008) asserts that CAM practices can be classified into five distinct domains, namely, “alternative medical systems such as homeopathy and traditional Chinese medicine, mind-body interventions such as meditation and yoga, biologically-based treatments such as herbal remedies, dietary supplements and amino-acid therapy, manipulative and body-based methods such as osteopathy and therapeutic massage and energy therapies such as hyperbaric oxygen therapy”.  </w:t>
      </w:r>
    </w:p>
    <w:p w14:paraId="62D571FF" w14:textId="77777777" w:rsidR="006E0A2F" w:rsidRPr="008502C3" w:rsidRDefault="006E0A2F" w:rsidP="006E0A2F">
      <w:pPr>
        <w:spacing w:line="360" w:lineRule="auto"/>
      </w:pPr>
      <w:r w:rsidRPr="008502C3">
        <w:t>In recent decades there is widespread consensus that there has been a significant increase in the popularity and usage of CAMs (</w:t>
      </w:r>
      <w:proofErr w:type="spellStart"/>
      <w:r w:rsidRPr="008502C3">
        <w:t>MacArtney</w:t>
      </w:r>
      <w:proofErr w:type="spellEnd"/>
      <w:r w:rsidRPr="008502C3">
        <w:t xml:space="preserve"> &amp; Wahlberg, 2014) though population estimates are complicated </w:t>
      </w:r>
      <w:proofErr w:type="gramStart"/>
      <w:r w:rsidRPr="008502C3">
        <w:t>as a consequence of</w:t>
      </w:r>
      <w:proofErr w:type="gramEnd"/>
      <w:r w:rsidRPr="008502C3">
        <w:t xml:space="preserve"> the diversity of CAMs. For example, Barnes et al. (2008) estimated adult CAM usage in the United States to be 40% and child CAM usage to be in excess of 10%. More recently, the National Centre for Complementary and Integrated Health (NCCIH) (2016) reported that 33% of adults in America utilised CAMs compared to an earlier study conducted by Harris and Rees (2000) who found that only 20% of the population used CAMs in the US and comparably in the UK and Australia. As complementary therapies have become increasingly more popular world-wide </w:t>
      </w:r>
      <w:r w:rsidRPr="008502C3">
        <w:lastRenderedPageBreak/>
        <w:t xml:space="preserve">during the last two decades, Frenkel and Borkhan (2003) assert that so long as there is a continuing demand for this, they will undoubtedly continue to influence the health care delivery for the foreseeable future. </w:t>
      </w:r>
    </w:p>
    <w:p w14:paraId="5A5DE029" w14:textId="0C1B0EA5" w:rsidR="00E8626D" w:rsidRDefault="006E0A2F" w:rsidP="006E0A2F">
      <w:pPr>
        <w:spacing w:line="360" w:lineRule="auto"/>
      </w:pPr>
      <w:r w:rsidRPr="008502C3">
        <w:t xml:space="preserve">Of particular note however, is that patients’ usage of CAMs remains, in the main, unmonitored and unregulated and this is true for most countries (Wardle, 2016). In several countries, CAM practices are delivered outside of the traditional healthcare systems by personnel who are themselves not regulated (White et al., 2014). </w:t>
      </w:r>
      <w:r w:rsidR="00CC6D93">
        <w:t xml:space="preserve">According to The General Regulatory Council for Complementary Therapies (GRCCT), regulation and registration of CAM practitioners in the UK is </w:t>
      </w:r>
      <w:r w:rsidR="00CC1972">
        <w:t xml:space="preserve">still under </w:t>
      </w:r>
      <w:r w:rsidR="00CC6D93">
        <w:t xml:space="preserve">voluntary self-regulation however specialist associations within each therapy group have been working collectively and tirelessly </w:t>
      </w:r>
      <w:r w:rsidR="00CC1972">
        <w:t xml:space="preserve">for the last decade </w:t>
      </w:r>
      <w:r w:rsidR="00CC6D93">
        <w:t xml:space="preserve">to approve guidelines and requirements for each therapy </w:t>
      </w:r>
      <w:r w:rsidR="00A26BCA">
        <w:t>(GRCCT</w:t>
      </w:r>
      <w:r w:rsidR="0025704A">
        <w:t>, 2019).</w:t>
      </w:r>
      <w:r w:rsidR="00A26BCA">
        <w:t xml:space="preserve"> </w:t>
      </w:r>
      <w:r w:rsidR="00E8626D">
        <w:t xml:space="preserve"> Voluntary self-regulation means that</w:t>
      </w:r>
      <w:r w:rsidR="00DC7640">
        <w:t xml:space="preserve"> it is</w:t>
      </w:r>
      <w:r w:rsidR="003F5E52">
        <w:t xml:space="preserve"> the</w:t>
      </w:r>
      <w:r w:rsidR="00DC7640">
        <w:t xml:space="preserve"> therap</w:t>
      </w:r>
      <w:r w:rsidR="00C10A82">
        <w:t xml:space="preserve">ist or practitioner that is regulated </w:t>
      </w:r>
      <w:r w:rsidR="002C37A9">
        <w:t>as opposed to the therapy itself</w:t>
      </w:r>
      <w:r w:rsidR="008A7D01">
        <w:t xml:space="preserve">; </w:t>
      </w:r>
      <w:r w:rsidR="00C10A82">
        <w:t>this is not compulsory</w:t>
      </w:r>
      <w:r w:rsidR="008A7D01">
        <w:t xml:space="preserve"> and as such means that</w:t>
      </w:r>
      <w:r w:rsidR="00E8626D">
        <w:t xml:space="preserve"> there are no laws in place to protect the public from </w:t>
      </w:r>
      <w:r w:rsidR="003A3381">
        <w:t>unqualified or incompetent practitioners</w:t>
      </w:r>
      <w:r w:rsidR="008A7D01">
        <w:t>.</w:t>
      </w:r>
    </w:p>
    <w:p w14:paraId="31833F58" w14:textId="31991F98" w:rsidR="006E0A2F" w:rsidRPr="008502C3" w:rsidRDefault="006E0A2F" w:rsidP="006E0A2F">
      <w:pPr>
        <w:spacing w:line="360" w:lineRule="auto"/>
      </w:pPr>
      <w:r w:rsidRPr="008502C3">
        <w:t xml:space="preserve">In respect of CAM, this means that the safety processes and reporting mechanisms which are built in to conventional legislative and regulatory frameworks may not be monitored. Even in cases where CAM products and practices are regulated, very rarely do they have </w:t>
      </w:r>
      <w:r w:rsidR="0088770A" w:rsidRPr="008502C3">
        <w:t>enough</w:t>
      </w:r>
      <w:r w:rsidRPr="008502C3">
        <w:t xml:space="preserve"> processes in place to report, assess and act on adverse occurrences.  Indeed, as Robinson et al. (2011) highlighted, the scientific, legislative and regulatory foundation to deal with public health matters linked to CAM use, is frequently insufficient or altogether absent. Robinson et al (2011) go so far as arguing that CAM forms, what they term as “an informal black market” (p.77) with almost everyone using it but rarely doing so in mainstream clinical settings. The very nature of being the black market attracts individuals who choose to practice with little or no training/qualifications, inevitably leading on to unorthodox practices (Wardle, 2016). Moreover, when CAM is used, people rarely divulge its use to practitioners in traditional healthcare systems (World Health Organisation, 2009</w:t>
      </w:r>
      <w:r w:rsidR="00900B3E" w:rsidRPr="008502C3">
        <w:t xml:space="preserve">). </w:t>
      </w:r>
      <w:r w:rsidR="004C4335" w:rsidRPr="008502C3">
        <w:t>Because of</w:t>
      </w:r>
      <w:r w:rsidRPr="008502C3">
        <w:t xml:space="preserve"> this, the impact of CAM is under estimated and under recognised</w:t>
      </w:r>
      <w:r w:rsidR="0024051A">
        <w:t xml:space="preserve">, leaving more patients </w:t>
      </w:r>
      <w:r w:rsidR="00B67C07">
        <w:t xml:space="preserve">in a vulnerable position with little knowledge of contraindications, </w:t>
      </w:r>
      <w:r w:rsidR="004F56A5">
        <w:t xml:space="preserve">signs of </w:t>
      </w:r>
      <w:r w:rsidR="006635FE">
        <w:t>malpractice</w:t>
      </w:r>
      <w:r w:rsidR="004F56A5">
        <w:t xml:space="preserve"> and potentially</w:t>
      </w:r>
      <w:r w:rsidR="006635FE">
        <w:t xml:space="preserve"> post treatment complications.</w:t>
      </w:r>
    </w:p>
    <w:p w14:paraId="1321E88A" w14:textId="3444F146" w:rsidR="006E0A2F" w:rsidRPr="008502C3" w:rsidRDefault="00490EA0" w:rsidP="006E0A2F">
      <w:pPr>
        <w:spacing w:line="360" w:lineRule="auto"/>
      </w:pPr>
      <w:r w:rsidRPr="008502C3">
        <w:t xml:space="preserve">Both Mills (2001) and Valli and </w:t>
      </w:r>
      <w:proofErr w:type="spellStart"/>
      <w:r w:rsidRPr="008502C3">
        <w:t>Giardina</w:t>
      </w:r>
      <w:proofErr w:type="spellEnd"/>
      <w:r w:rsidRPr="008502C3">
        <w:t xml:space="preserve"> (2002) affirm that there is a great need to improve communication and cooperation between conventional health care and CAMs practitioners, as it apparent that many patients seek alternative therapies </w:t>
      </w:r>
      <w:r>
        <w:t xml:space="preserve">in the absence of </w:t>
      </w:r>
      <w:r w:rsidRPr="008502C3">
        <w:t xml:space="preserve">their doctor’s knowledge. </w:t>
      </w:r>
      <w:r w:rsidR="006E0A2F" w:rsidRPr="008502C3">
        <w:t xml:space="preserve">Moreover, as Valli et al. (2002) point out, conventional health care practitioners often possess little knowledge of CAM therapies and products which further contributes to overlaps in the delivery of health care and to less likelihood of interactions with drugs being identified and in turn reported </w:t>
      </w:r>
      <w:r w:rsidR="006E0A2F" w:rsidRPr="008502C3">
        <w:lastRenderedPageBreak/>
        <w:t>(White et al. (2014</w:t>
      </w:r>
      <w:r w:rsidR="00830009" w:rsidRPr="008502C3">
        <w:t>).</w:t>
      </w:r>
      <w:r w:rsidR="006E0A2F" w:rsidRPr="008502C3">
        <w:t xml:space="preserve"> That said, even though there are some adverse drug reactions registers in place, such as the UK Yellow Card System, very few patients or practitioners are aware of their existence (Garcia &amp; </w:t>
      </w:r>
      <w:proofErr w:type="spellStart"/>
      <w:r w:rsidR="006E0A2F" w:rsidRPr="008502C3">
        <w:t>Figueras</w:t>
      </w:r>
      <w:proofErr w:type="spellEnd"/>
      <w:r w:rsidR="006E0A2F" w:rsidRPr="008502C3">
        <w:t xml:space="preserve">, 2011). As White et al. (2014) point out this serves to cause further challenges for CAM. </w:t>
      </w:r>
    </w:p>
    <w:p w14:paraId="16E2BA3F" w14:textId="4C0DDBD1" w:rsidR="006E0A2F" w:rsidRPr="008502C3" w:rsidRDefault="006E0A2F" w:rsidP="006E0A2F">
      <w:pPr>
        <w:spacing w:line="360" w:lineRule="auto"/>
      </w:pPr>
      <w:r w:rsidRPr="008502C3">
        <w:t>A report conducted by Dixon (2008), for the World Health Organisation (WHO), recommended the need for governments to introduce legislation and regulate the practice of complementary therapies and to preserve the safety of the patients. Dixon (2008), explained that this recommendation evolved as a direct result of uncovering the large volume of therapists who practiced in the absence of adequate training or any formal qualifications. Abbott (2005), agreed stating that some practitioners were found to be ‘not doing enough for their patients’ and had not even considered that adverse reactions may occur as a result of the treatments provided by their practitioners.</w:t>
      </w:r>
      <w:r w:rsidR="002D695C">
        <w:t xml:space="preserve"> </w:t>
      </w:r>
      <w:r w:rsidR="00827D51">
        <w:t xml:space="preserve">It could be argued that despite </w:t>
      </w:r>
      <w:r w:rsidR="00EF5399">
        <w:t xml:space="preserve">the recommendations, the reason that there has not been significant </w:t>
      </w:r>
      <w:r w:rsidR="00925192">
        <w:t xml:space="preserve">move in legislation </w:t>
      </w:r>
      <w:r w:rsidR="0013038B">
        <w:t xml:space="preserve">could be </w:t>
      </w:r>
      <w:proofErr w:type="gramStart"/>
      <w:r w:rsidR="0013038B">
        <w:t>due to the fact that</w:t>
      </w:r>
      <w:proofErr w:type="gramEnd"/>
      <w:r w:rsidR="0013038B">
        <w:t xml:space="preserve"> the majority of CAM is still under voluntary self-regulation</w:t>
      </w:r>
      <w:r w:rsidR="00C80A19">
        <w:t>.</w:t>
      </w:r>
    </w:p>
    <w:p w14:paraId="130FBAA3" w14:textId="77777777" w:rsidR="006E0A2F" w:rsidRPr="008502C3" w:rsidRDefault="006E0A2F" w:rsidP="006E0A2F">
      <w:pPr>
        <w:spacing w:line="360" w:lineRule="auto"/>
      </w:pPr>
      <w:r w:rsidRPr="008502C3">
        <w:t>In 1999, the UK Government announced the introduction of the 1999 Health Act which prohibited the freedom to practice complementary therapies without regulation and this later led to the Science and Technology Committee of the House of Lords publishing a comprehensive report addressing concerns in training, education and regulations within the sector (The Federation of Nutritional Therapy Practitioners, 2019).</w:t>
      </w:r>
    </w:p>
    <w:p w14:paraId="5D77B815" w14:textId="7C464EA9" w:rsidR="006E0A2F" w:rsidRPr="008502C3" w:rsidRDefault="006E0A2F" w:rsidP="006E0A2F">
      <w:pPr>
        <w:spacing w:line="360" w:lineRule="auto"/>
      </w:pPr>
      <w:r w:rsidRPr="008502C3">
        <w:t xml:space="preserve">Regulating CAM is not without its challenges.  Walker and Budd (2002), for example, report that despite the UK Government’s recognition of a growing need for regulation within the industry, it was not possible to regulate all therapies under one act of legislation. It could be argued that one of the reasons for this is </w:t>
      </w:r>
      <w:r w:rsidR="00667F28">
        <w:t xml:space="preserve">due to the diverse range of </w:t>
      </w:r>
      <w:r w:rsidRPr="008502C3">
        <w:t xml:space="preserve">therapies that fall under the umbrella of CAMs and as mentioned above, the list is ever growing. </w:t>
      </w:r>
    </w:p>
    <w:p w14:paraId="54DDF8A9" w14:textId="77777777" w:rsidR="006E0A2F" w:rsidRPr="008502C3" w:rsidRDefault="006E0A2F" w:rsidP="006E0A2F">
      <w:pPr>
        <w:spacing w:line="360" w:lineRule="auto"/>
      </w:pPr>
      <w:r w:rsidRPr="008502C3">
        <w:t>Globally there are many differences in legislation and attitudes, for example, in South Africa therapists operate solely adhering to one act of legislation alone that covers all CAM therapies as a collective group (</w:t>
      </w:r>
      <w:r w:rsidRPr="008502C3">
        <w:rPr>
          <w:noProof/>
          <w:lang w:val="en-US"/>
        </w:rPr>
        <w:t>World Health Organisation, 2001)</w:t>
      </w:r>
      <w:r w:rsidRPr="008502C3">
        <w:t xml:space="preserve">. In the UK, regulation of CAM is not wholly absent. Walker and Budd (2002) acknowledged that the first two disciplines to become regulated, Chiropractors and Osteopaths had chosen the route of statutory self-regulation, each protected by acts of parliament to defend their titles and governed by a registered body. For example, the governing body appointed for Chiropractors in the UK is known as the General Chiropractic Council (GCC) and their responsibility is to maintain a UK Register of all qualified practitioners, establish the standards for all training and qualifications, set standards for practice and professional conduct, </w:t>
      </w:r>
      <w:r w:rsidRPr="008502C3">
        <w:lastRenderedPageBreak/>
        <w:t xml:space="preserve">investigate complaints against practitioners and also to remove any practitioner from the register if found unfit to practice (General Chiropractic Council, 2013). </w:t>
      </w:r>
    </w:p>
    <w:p w14:paraId="62994EF9" w14:textId="4744A9A7" w:rsidR="006E0A2F" w:rsidRPr="008502C3" w:rsidRDefault="006E0A2F" w:rsidP="006E0A2F">
      <w:pPr>
        <w:spacing w:line="360" w:lineRule="auto"/>
      </w:pPr>
      <w:r w:rsidRPr="008502C3">
        <w:t xml:space="preserve">Mills (1996) suggests that all CAM practitioners should at the very least evidence their awareness of all contraindications, possible side effects and to be able to refer patients onwards for acute medical treatment as and when required. Dixon (2008) agrees, detailing that as many therapists are multi therapeutic practitioners that whilst a practitioner could be registered and regulated in one </w:t>
      </w:r>
      <w:proofErr w:type="gramStart"/>
      <w:r w:rsidR="00B40EDA">
        <w:t xml:space="preserve">particular </w:t>
      </w:r>
      <w:r w:rsidRPr="008502C3">
        <w:t>therapy</w:t>
      </w:r>
      <w:proofErr w:type="gramEnd"/>
      <w:r w:rsidRPr="008502C3">
        <w:t xml:space="preserve"> area, this does not necessarily mean that they are registered and regulated in all therapy areas in which that they are practising.</w:t>
      </w:r>
    </w:p>
    <w:p w14:paraId="2E778FA8" w14:textId="1ACB44D3" w:rsidR="006E0A2F" w:rsidRDefault="006E0A2F" w:rsidP="00DA78C6">
      <w:pPr>
        <w:spacing w:line="360" w:lineRule="auto"/>
      </w:pPr>
      <w:r w:rsidRPr="008502C3">
        <w:t>Saydah and Eberhardt (2004) and Metcalfe et al (2010) both agree that regulations are much needed in areas where CAMs usage is more prevalent: for example, in populations of higher levels of chronic disease where patients are reported to turn to CAMs in favour of traditional medicines based purely on affordability. However, Seeff et al (2001) are cautious to note that this is in fact a cause of great concern, as these individuals with chronic diseases are more likely to be taking multiple medications, therefore increasing the chances of interactions between medications and alternative therapies. This further strengthens the need for stricter legalisations to protect the safety of the patients.</w:t>
      </w:r>
    </w:p>
    <w:p w14:paraId="07E637CB" w14:textId="29E47E84" w:rsidR="00F7503A" w:rsidRDefault="00EF7675" w:rsidP="00DA78C6">
      <w:pPr>
        <w:spacing w:line="360" w:lineRule="auto"/>
      </w:pPr>
      <w:r>
        <w:t>The World Health Organisation (WHO) (2002),</w:t>
      </w:r>
      <w:r w:rsidR="008707FA">
        <w:t xml:space="preserve"> published a</w:t>
      </w:r>
      <w:r w:rsidR="0009776A">
        <w:t xml:space="preserve"> ‘Strategy for Traditional Medicine’</w:t>
      </w:r>
      <w:r w:rsidR="00054B7E">
        <w:t xml:space="preserve"> which included </w:t>
      </w:r>
      <w:proofErr w:type="gramStart"/>
      <w:r w:rsidR="00054B7E">
        <w:t>a number of</w:t>
      </w:r>
      <w:proofErr w:type="gramEnd"/>
      <w:r w:rsidR="00054B7E">
        <w:t xml:space="preserve"> objectives, one of which</w:t>
      </w:r>
      <w:r>
        <w:t xml:space="preserve"> recommended that governments propose national guidelines to include the regulation of practice, education, training and licensing of CAMs to ensure the wellbeing </w:t>
      </w:r>
      <w:r w:rsidR="005357BE">
        <w:t xml:space="preserve">and protection </w:t>
      </w:r>
      <w:r>
        <w:t xml:space="preserve">of </w:t>
      </w:r>
      <w:r w:rsidR="00C80E81">
        <w:t xml:space="preserve">the </w:t>
      </w:r>
      <w:r>
        <w:t>patients</w:t>
      </w:r>
      <w:r w:rsidR="00F46C09">
        <w:t xml:space="preserve"> (from poorly or untrained practitioners</w:t>
      </w:r>
      <w:r w:rsidR="00531BE9">
        <w:t xml:space="preserve">. </w:t>
      </w:r>
      <w:r w:rsidR="007F6E7C">
        <w:t xml:space="preserve">In recent years, several countries have followed this recommendation in a bid to formalise </w:t>
      </w:r>
      <w:r w:rsidR="00B55286">
        <w:t xml:space="preserve">and professionalise </w:t>
      </w:r>
      <w:r w:rsidR="007F6E7C">
        <w:t>CAMs stance within the health care systems</w:t>
      </w:r>
      <w:r w:rsidR="00B55286">
        <w:t>.</w:t>
      </w:r>
      <w:r w:rsidR="006D218D">
        <w:t xml:space="preserve"> </w:t>
      </w:r>
      <w:r w:rsidR="00211B78">
        <w:t>As a result of</w:t>
      </w:r>
      <w:r w:rsidR="00BC77C5">
        <w:t xml:space="preserve"> </w:t>
      </w:r>
      <w:r w:rsidR="005E74B3">
        <w:t>issuing the</w:t>
      </w:r>
      <w:r w:rsidR="00BC77C5">
        <w:t xml:space="preserve"> </w:t>
      </w:r>
      <w:r w:rsidR="00E9644F">
        <w:t xml:space="preserve">recommendations </w:t>
      </w:r>
      <w:r w:rsidR="00F662FE">
        <w:t>that arose from</w:t>
      </w:r>
      <w:r w:rsidR="00E9644F">
        <w:t xml:space="preserve"> the afore mentioned report, </w:t>
      </w:r>
      <w:r w:rsidR="00833B4D">
        <w:t xml:space="preserve">the WHO </w:t>
      </w:r>
      <w:r w:rsidR="002A5F3F">
        <w:t>provided strategic guidance for national governments in order to develop</w:t>
      </w:r>
      <w:r w:rsidR="00F662FE">
        <w:t xml:space="preserve"> and facilitate</w:t>
      </w:r>
      <w:r w:rsidR="002A5F3F">
        <w:t xml:space="preserve"> </w:t>
      </w:r>
      <w:r w:rsidR="00C8436A">
        <w:t>policies for traditional/complementary medicines</w:t>
      </w:r>
      <w:r w:rsidR="00847066">
        <w:t xml:space="preserve"> (Dixon, 2008)</w:t>
      </w:r>
      <w:r w:rsidR="00C8436A">
        <w:t>.</w:t>
      </w:r>
    </w:p>
    <w:p w14:paraId="3DD65E5A" w14:textId="37CD8AE5" w:rsidR="003A5ACD" w:rsidRDefault="003A5ACD" w:rsidP="00DA78C6">
      <w:pPr>
        <w:spacing w:line="360" w:lineRule="auto"/>
      </w:pPr>
      <w:r>
        <w:rPr>
          <w:rFonts w:ascii="Calibri" w:hAnsi="Calibri" w:cs="Calibri"/>
          <w:color w:val="000000"/>
        </w:rPr>
        <w:t>Within this brief review it is clear that policy-makers in several countries have taken steps to introduce legislation to improve the regulation of practitioners of traditional/ complementary medicine. Much of the experience to date has been with establishing systems of statutory professional regulation. However, the approaches vary considerably between countries</w:t>
      </w:r>
      <w:r w:rsidR="00DA78C6">
        <w:rPr>
          <w:rFonts w:ascii="Calibri" w:hAnsi="Calibri" w:cs="Calibri"/>
          <w:color w:val="000000"/>
        </w:rPr>
        <w:t>.</w:t>
      </w:r>
      <w:r w:rsidR="002375B3">
        <w:rPr>
          <w:rFonts w:ascii="Calibri" w:hAnsi="Calibri" w:cs="Calibri"/>
          <w:color w:val="000000"/>
        </w:rPr>
        <w:t xml:space="preserve"> It could be argued that </w:t>
      </w:r>
      <w:r w:rsidR="00063462">
        <w:rPr>
          <w:rFonts w:ascii="Calibri" w:hAnsi="Calibri" w:cs="Calibri"/>
          <w:color w:val="000000"/>
        </w:rPr>
        <w:t xml:space="preserve">many professionals could follow in the </w:t>
      </w:r>
      <w:r w:rsidR="00362D6E">
        <w:rPr>
          <w:rFonts w:ascii="Calibri" w:hAnsi="Calibri" w:cs="Calibri"/>
          <w:color w:val="000000"/>
        </w:rPr>
        <w:t xml:space="preserve">footsteps of Osteopaths and Chiropractors to gain statutory self-regulation but </w:t>
      </w:r>
      <w:r w:rsidR="004653CB">
        <w:rPr>
          <w:rFonts w:ascii="Calibri" w:hAnsi="Calibri" w:cs="Calibri"/>
          <w:color w:val="000000"/>
        </w:rPr>
        <w:t xml:space="preserve">that in order to do that, regulatory bodies would need to be appointed </w:t>
      </w:r>
      <w:r w:rsidR="0040086D">
        <w:rPr>
          <w:rFonts w:ascii="Calibri" w:hAnsi="Calibri" w:cs="Calibri"/>
          <w:color w:val="000000"/>
        </w:rPr>
        <w:t xml:space="preserve">for each profession. </w:t>
      </w:r>
      <w:r w:rsidR="003B2A60">
        <w:rPr>
          <w:rFonts w:ascii="Calibri" w:hAnsi="Calibri" w:cs="Calibri"/>
          <w:color w:val="000000"/>
        </w:rPr>
        <w:t xml:space="preserve">Following on from the </w:t>
      </w:r>
      <w:proofErr w:type="spellStart"/>
      <w:r w:rsidR="003B2A60">
        <w:rPr>
          <w:rFonts w:ascii="Calibri" w:hAnsi="Calibri" w:cs="Calibri"/>
          <w:color w:val="000000"/>
        </w:rPr>
        <w:t>DoH’s</w:t>
      </w:r>
      <w:proofErr w:type="spellEnd"/>
      <w:r w:rsidR="003B2A60">
        <w:rPr>
          <w:rFonts w:ascii="Calibri" w:hAnsi="Calibri" w:cs="Calibri"/>
          <w:color w:val="000000"/>
        </w:rPr>
        <w:t xml:space="preserve"> opinion that </w:t>
      </w:r>
      <w:r w:rsidR="00F935FA">
        <w:rPr>
          <w:rFonts w:ascii="Calibri" w:hAnsi="Calibri" w:cs="Calibri"/>
          <w:color w:val="000000"/>
        </w:rPr>
        <w:t xml:space="preserve">Acupuncture and Herbal Medicine are both </w:t>
      </w:r>
      <w:r w:rsidR="00F72A51">
        <w:rPr>
          <w:rFonts w:ascii="Calibri" w:hAnsi="Calibri" w:cs="Calibri"/>
          <w:color w:val="000000"/>
        </w:rPr>
        <w:t xml:space="preserve">at a stage that they could work towards statutory regulation, </w:t>
      </w:r>
      <w:r w:rsidR="0013019C">
        <w:rPr>
          <w:rFonts w:ascii="Calibri" w:hAnsi="Calibri" w:cs="Calibri"/>
          <w:color w:val="000000"/>
        </w:rPr>
        <w:t>other professions could</w:t>
      </w:r>
      <w:r w:rsidR="007143CB">
        <w:rPr>
          <w:rFonts w:ascii="Calibri" w:hAnsi="Calibri" w:cs="Calibri"/>
          <w:color w:val="000000"/>
        </w:rPr>
        <w:t xml:space="preserve"> be motivated to follow suit.</w:t>
      </w:r>
    </w:p>
    <w:p w14:paraId="42CF1764" w14:textId="41EC28E7" w:rsidR="006E0A2F" w:rsidRDefault="006E0A2F" w:rsidP="0037015F">
      <w:pPr>
        <w:spacing w:line="360" w:lineRule="auto"/>
      </w:pPr>
    </w:p>
    <w:p w14:paraId="07DC30A7" w14:textId="77777777" w:rsidR="00B84E95" w:rsidRDefault="00B84E95" w:rsidP="007F4BD1">
      <w:pPr>
        <w:spacing w:line="360" w:lineRule="auto"/>
      </w:pPr>
    </w:p>
    <w:bookmarkEnd w:id="0"/>
    <w:p w14:paraId="4C68A5E1" w14:textId="1C7D1F02" w:rsidR="00C2581E" w:rsidRDefault="00C2581E" w:rsidP="007F4BD1">
      <w:pPr>
        <w:spacing w:line="360" w:lineRule="auto"/>
      </w:pPr>
    </w:p>
    <w:p w14:paraId="20169095" w14:textId="46C2244E" w:rsidR="005F6F9D" w:rsidRDefault="00A62BB0" w:rsidP="007F4BD1">
      <w:pPr>
        <w:tabs>
          <w:tab w:val="left" w:pos="1721"/>
        </w:tabs>
        <w:spacing w:line="360" w:lineRule="auto"/>
      </w:pPr>
      <w:r>
        <w:tab/>
      </w:r>
    </w:p>
    <w:sdt>
      <w:sdtPr>
        <w:rPr>
          <w:rFonts w:asciiTheme="minorHAnsi" w:eastAsiaTheme="minorHAnsi" w:hAnsiTheme="minorHAnsi" w:cstheme="minorBidi"/>
          <w:color w:val="auto"/>
          <w:sz w:val="22"/>
          <w:szCs w:val="22"/>
          <w:lang w:val="en-GB"/>
        </w:rPr>
        <w:id w:val="-607978970"/>
        <w:docPartObj>
          <w:docPartGallery w:val="Bibliographies"/>
          <w:docPartUnique/>
        </w:docPartObj>
      </w:sdtPr>
      <w:sdtEndPr/>
      <w:sdtContent>
        <w:p w14:paraId="446446C4" w14:textId="2A37D8AB" w:rsidR="00B84E95" w:rsidRPr="00B84E95" w:rsidRDefault="005F6F9D" w:rsidP="00B84E95">
          <w:pPr>
            <w:pStyle w:val="Heading1"/>
            <w:spacing w:line="360" w:lineRule="auto"/>
          </w:pPr>
          <w:r>
            <w:t>References</w:t>
          </w:r>
        </w:p>
        <w:sdt>
          <w:sdtPr>
            <w:id w:val="-573587230"/>
            <w:bibliography/>
          </w:sdtPr>
          <w:sdtEndPr/>
          <w:sdtContent>
            <w:p w14:paraId="1F281464" w14:textId="77777777" w:rsidR="0025704A" w:rsidRDefault="005F6F9D" w:rsidP="0025704A">
              <w:pPr>
                <w:pStyle w:val="Bibliography"/>
                <w:ind w:left="720" w:hanging="720"/>
                <w:rPr>
                  <w:noProof/>
                  <w:sz w:val="24"/>
                  <w:szCs w:val="24"/>
                  <w:lang w:val="en-US"/>
                </w:rPr>
              </w:pPr>
              <w:r w:rsidRPr="371EB2D9">
                <w:fldChar w:fldCharType="begin"/>
              </w:r>
              <w:r>
                <w:instrText xml:space="preserve"> BIBLIOGRAPHY </w:instrText>
              </w:r>
              <w:r w:rsidRPr="371EB2D9">
                <w:fldChar w:fldCharType="separate"/>
              </w:r>
              <w:r w:rsidR="0025704A">
                <w:rPr>
                  <w:noProof/>
                  <w:lang w:val="en-US"/>
                </w:rPr>
                <w:t xml:space="preserve">Abbott, A. (2005). Survey questions safety of alternative medicine. </w:t>
              </w:r>
              <w:r w:rsidR="0025704A">
                <w:rPr>
                  <w:i/>
                  <w:iCs/>
                  <w:noProof/>
                  <w:lang w:val="en-US"/>
                </w:rPr>
                <w:t>Nature, 436</w:t>
              </w:r>
              <w:r w:rsidR="0025704A">
                <w:rPr>
                  <w:noProof/>
                  <w:lang w:val="en-US"/>
                </w:rPr>
                <w:t>(18), 898.</w:t>
              </w:r>
            </w:p>
            <w:p w14:paraId="5FA2F4ED" w14:textId="77777777" w:rsidR="0025704A" w:rsidRDefault="0025704A" w:rsidP="0025704A">
              <w:pPr>
                <w:pStyle w:val="Bibliography"/>
                <w:ind w:left="720" w:hanging="720"/>
                <w:rPr>
                  <w:noProof/>
                  <w:lang w:val="en-US"/>
                </w:rPr>
              </w:pPr>
              <w:r>
                <w:rPr>
                  <w:noProof/>
                  <w:lang w:val="en-US"/>
                </w:rPr>
                <w:t xml:space="preserve">Barnes, P. M., Bloom, B., &amp; Nahin, R. L. (2008). Complementary and alternative medicine use among adults and children: United States, 2007. </w:t>
              </w:r>
              <w:r>
                <w:rPr>
                  <w:i/>
                  <w:iCs/>
                  <w:noProof/>
                  <w:lang w:val="en-US"/>
                </w:rPr>
                <w:t>National Health Statistics Report, 12</w:t>
              </w:r>
              <w:r>
                <w:rPr>
                  <w:noProof/>
                  <w:lang w:val="en-US"/>
                </w:rPr>
                <w:t>, 1-23.</w:t>
              </w:r>
            </w:p>
            <w:p w14:paraId="099B1592" w14:textId="77777777" w:rsidR="0025704A" w:rsidRDefault="0025704A" w:rsidP="0025704A">
              <w:pPr>
                <w:pStyle w:val="Bibliography"/>
                <w:ind w:left="720" w:hanging="720"/>
                <w:rPr>
                  <w:noProof/>
                  <w:lang w:val="en-US"/>
                </w:rPr>
              </w:pPr>
              <w:r>
                <w:rPr>
                  <w:noProof/>
                  <w:lang w:val="en-US"/>
                </w:rPr>
                <w:t xml:space="preserve">Dixon, A. (2008). </w:t>
              </w:r>
              <w:r>
                <w:rPr>
                  <w:i/>
                  <w:iCs/>
                  <w:noProof/>
                  <w:lang w:val="en-US"/>
                </w:rPr>
                <w:t>Regulating Complementary Medical Practitioners - An international review.</w:t>
              </w:r>
              <w:r>
                <w:rPr>
                  <w:noProof/>
                  <w:lang w:val="en-US"/>
                </w:rPr>
                <w:t xml:space="preserve"> London: Kings Fund .</w:t>
              </w:r>
            </w:p>
            <w:p w14:paraId="1D9743FA" w14:textId="77777777" w:rsidR="0025704A" w:rsidRDefault="0025704A" w:rsidP="0025704A">
              <w:pPr>
                <w:pStyle w:val="Bibliography"/>
                <w:ind w:left="720" w:hanging="720"/>
                <w:rPr>
                  <w:noProof/>
                  <w:lang w:val="en-US"/>
                </w:rPr>
              </w:pPr>
              <w:r>
                <w:rPr>
                  <w:noProof/>
                  <w:lang w:val="en-US"/>
                </w:rPr>
                <w:t xml:space="preserve">Frenkel, M. A., &amp; Borkan, J. M. (2003). An approach for integrating complementary– alternative medicine into primary care. </w:t>
              </w:r>
              <w:r>
                <w:rPr>
                  <w:i/>
                  <w:iCs/>
                  <w:noProof/>
                  <w:lang w:val="en-US"/>
                </w:rPr>
                <w:t>Family Practice, 20</w:t>
              </w:r>
              <w:r>
                <w:rPr>
                  <w:noProof/>
                  <w:lang w:val="en-US"/>
                </w:rPr>
                <w:t>(3), 324-332.</w:t>
              </w:r>
            </w:p>
            <w:p w14:paraId="4F17A1AA" w14:textId="77777777" w:rsidR="0025704A" w:rsidRDefault="0025704A" w:rsidP="0025704A">
              <w:pPr>
                <w:pStyle w:val="Bibliography"/>
                <w:ind w:left="720" w:hanging="720"/>
                <w:rPr>
                  <w:noProof/>
                  <w:lang w:val="en-US"/>
                </w:rPr>
              </w:pPr>
              <w:r>
                <w:rPr>
                  <w:noProof/>
                  <w:lang w:val="en-US"/>
                </w:rPr>
                <w:t xml:space="preserve">Garcia, P., &amp; Figueras, A. (2011). he lack of knowledge about the voluntary reporting system of adverse drug reactions as a major cause of underreporting: direct survey among health professionals. </w:t>
              </w:r>
              <w:r>
                <w:rPr>
                  <w:i/>
                  <w:iCs/>
                  <w:noProof/>
                  <w:lang w:val="en-US"/>
                </w:rPr>
                <w:t>Pharmacoepidemiol Drug Safety, 20</w:t>
              </w:r>
              <w:r>
                <w:rPr>
                  <w:noProof/>
                  <w:lang w:val="en-US"/>
                </w:rPr>
                <w:t>(12), 1295-1302.</w:t>
              </w:r>
            </w:p>
            <w:p w14:paraId="58A1DA69" w14:textId="77777777" w:rsidR="0025704A" w:rsidRDefault="0025704A" w:rsidP="0025704A">
              <w:pPr>
                <w:pStyle w:val="Bibliography"/>
                <w:ind w:left="720" w:hanging="720"/>
                <w:rPr>
                  <w:noProof/>
                  <w:lang w:val="en-US"/>
                </w:rPr>
              </w:pPr>
              <w:r>
                <w:rPr>
                  <w:noProof/>
                  <w:lang w:val="en-US"/>
                </w:rPr>
                <w:t xml:space="preserve">General Chiropractic Council. (2016). </w:t>
              </w:r>
              <w:r>
                <w:rPr>
                  <w:i/>
                  <w:iCs/>
                  <w:noProof/>
                  <w:lang w:val="en-US"/>
                </w:rPr>
                <w:t>The Code: Standards of conduct, performance and ethics for chiropractors .</w:t>
              </w:r>
              <w:r>
                <w:rPr>
                  <w:noProof/>
                  <w:lang w:val="en-US"/>
                </w:rPr>
                <w:t xml:space="preserve"> London: General Chiropractic Council.</w:t>
              </w:r>
            </w:p>
            <w:p w14:paraId="5444DE50" w14:textId="77777777" w:rsidR="0025704A" w:rsidRDefault="0025704A" w:rsidP="0025704A">
              <w:pPr>
                <w:pStyle w:val="Bibliography"/>
                <w:ind w:left="720" w:hanging="720"/>
                <w:rPr>
                  <w:noProof/>
                  <w:lang w:val="en-US"/>
                </w:rPr>
              </w:pPr>
              <w:r>
                <w:rPr>
                  <w:noProof/>
                  <w:lang w:val="en-US"/>
                </w:rPr>
                <w:t xml:space="preserve">GRCCT. (2019, Jan 01). </w:t>
              </w:r>
              <w:r>
                <w:rPr>
                  <w:i/>
                  <w:iCs/>
                  <w:noProof/>
                  <w:lang w:val="en-US"/>
                </w:rPr>
                <w:t>Welcome to the GRCCT - The UK Federal Regulator for Complementary Therapies</w:t>
              </w:r>
              <w:r>
                <w:rPr>
                  <w:noProof/>
                  <w:lang w:val="en-US"/>
                </w:rPr>
                <w:t>. Retrieved February 14, 2019, from The General Regulatory Council for Complementary Therapies: http://www.grcct.org/about-us/</w:t>
              </w:r>
            </w:p>
            <w:p w14:paraId="711179AD" w14:textId="77777777" w:rsidR="0025704A" w:rsidRDefault="0025704A" w:rsidP="0025704A">
              <w:pPr>
                <w:pStyle w:val="Bibliography"/>
                <w:ind w:left="720" w:hanging="720"/>
                <w:rPr>
                  <w:noProof/>
                  <w:lang w:val="en-US"/>
                </w:rPr>
              </w:pPr>
              <w:r>
                <w:rPr>
                  <w:noProof/>
                  <w:lang w:val="en-US"/>
                </w:rPr>
                <w:t xml:space="preserve">Harris, P., &amp; Rees, R. (200). The prevalence of complementary and alternative medicine use among the general population: A systemativ review of the literature. </w:t>
              </w:r>
              <w:r>
                <w:rPr>
                  <w:i/>
                  <w:iCs/>
                  <w:noProof/>
                  <w:lang w:val="en-US"/>
                </w:rPr>
                <w:t>Complementary Therapies in Medicine, 8</w:t>
              </w:r>
              <w:r>
                <w:rPr>
                  <w:noProof/>
                  <w:lang w:val="en-US"/>
                </w:rPr>
                <w:t>(2), 88-96.</w:t>
              </w:r>
            </w:p>
            <w:p w14:paraId="4675E127" w14:textId="77777777" w:rsidR="0025704A" w:rsidRDefault="0025704A" w:rsidP="0025704A">
              <w:pPr>
                <w:pStyle w:val="Bibliography"/>
                <w:ind w:left="720" w:hanging="720"/>
                <w:rPr>
                  <w:noProof/>
                  <w:lang w:val="en-US"/>
                </w:rPr>
              </w:pPr>
              <w:r>
                <w:rPr>
                  <w:noProof/>
                  <w:lang w:val="en-US"/>
                </w:rPr>
                <w:t xml:space="preserve">Hilbers, J., &amp; Lewis, C. (2013). Complementary health therapies: Moving towards an integrated health model. </w:t>
              </w:r>
              <w:r>
                <w:rPr>
                  <w:i/>
                  <w:iCs/>
                  <w:noProof/>
                  <w:lang w:val="en-US"/>
                </w:rPr>
                <w:t>Elsevier, 20</w:t>
              </w:r>
              <w:r>
                <w:rPr>
                  <w:noProof/>
                  <w:lang w:val="en-US"/>
                </w:rPr>
                <w:t>(1), 51-60.</w:t>
              </w:r>
            </w:p>
            <w:p w14:paraId="334B6006" w14:textId="77777777" w:rsidR="0025704A" w:rsidRDefault="0025704A" w:rsidP="0025704A">
              <w:pPr>
                <w:pStyle w:val="Bibliography"/>
                <w:ind w:left="720" w:hanging="720"/>
                <w:rPr>
                  <w:noProof/>
                  <w:lang w:val="en-US"/>
                </w:rPr>
              </w:pPr>
              <w:r>
                <w:rPr>
                  <w:noProof/>
                  <w:lang w:val="en-US"/>
                </w:rPr>
                <w:t xml:space="preserve">Lindquist, R., &amp; Snyder, M. (2010). </w:t>
              </w:r>
              <w:r>
                <w:rPr>
                  <w:i/>
                  <w:iCs/>
                  <w:noProof/>
                  <w:lang w:val="en-US"/>
                </w:rPr>
                <w:t>Complementary and Alternative Therapies in Nursing</w:t>
              </w:r>
              <w:r>
                <w:rPr>
                  <w:noProof/>
                  <w:lang w:val="en-US"/>
                </w:rPr>
                <w:t xml:space="preserve"> (8 ed.). New York: Springer.</w:t>
              </w:r>
            </w:p>
            <w:p w14:paraId="6DAF8B43" w14:textId="77777777" w:rsidR="0025704A" w:rsidRDefault="0025704A" w:rsidP="0025704A">
              <w:pPr>
                <w:pStyle w:val="Bibliography"/>
                <w:ind w:left="720" w:hanging="720"/>
                <w:rPr>
                  <w:noProof/>
                  <w:lang w:val="en-US"/>
                </w:rPr>
              </w:pPr>
              <w:r>
                <w:rPr>
                  <w:noProof/>
                  <w:lang w:val="en-US"/>
                </w:rPr>
                <w:t xml:space="preserve">MacArtney, J. I., &amp; Wahlberg, A. (2014). The problem of complementary and alternative medicine use today: Eyes half closed? </w:t>
              </w:r>
              <w:r>
                <w:rPr>
                  <w:i/>
                  <w:iCs/>
                  <w:noProof/>
                  <w:lang w:val="en-US"/>
                </w:rPr>
                <w:t>Qualitative Health Research, 1</w:t>
              </w:r>
              <w:r>
                <w:rPr>
                  <w:noProof/>
                  <w:lang w:val="en-US"/>
                </w:rPr>
                <w:t>, 114-123.</w:t>
              </w:r>
            </w:p>
            <w:p w14:paraId="027E7551" w14:textId="77777777" w:rsidR="0025704A" w:rsidRDefault="0025704A" w:rsidP="0025704A">
              <w:pPr>
                <w:pStyle w:val="Bibliography"/>
                <w:ind w:left="720" w:hanging="720"/>
                <w:rPr>
                  <w:noProof/>
                  <w:lang w:val="en-US"/>
                </w:rPr>
              </w:pPr>
              <w:r>
                <w:rPr>
                  <w:noProof/>
                  <w:lang w:val="en-US"/>
                </w:rPr>
                <w:t xml:space="preserve">Metcalfe, A., Williams, J., McChesney, J., Patten, S., &amp; Jette, N. (2010). Use of complementary and alternative medicine by those with a chronic disease and the general population - results of a national population based survey. </w:t>
              </w:r>
              <w:r>
                <w:rPr>
                  <w:i/>
                  <w:iCs/>
                  <w:noProof/>
                  <w:lang w:val="en-US"/>
                </w:rPr>
                <w:t>10</w:t>
              </w:r>
              <w:r>
                <w:rPr>
                  <w:noProof/>
                  <w:lang w:val="en-US"/>
                </w:rPr>
                <w:t>(1), 58.</w:t>
              </w:r>
            </w:p>
            <w:p w14:paraId="48674E29" w14:textId="77777777" w:rsidR="0025704A" w:rsidRDefault="0025704A" w:rsidP="0025704A">
              <w:pPr>
                <w:pStyle w:val="Bibliography"/>
                <w:ind w:left="720" w:hanging="720"/>
                <w:rPr>
                  <w:noProof/>
                  <w:lang w:val="en-US"/>
                </w:rPr>
              </w:pPr>
              <w:r>
                <w:rPr>
                  <w:noProof/>
                  <w:lang w:val="en-US"/>
                </w:rPr>
                <w:t xml:space="preserve">Mills, S. Y. (1996). Safety awareness in complementary medicine . </w:t>
              </w:r>
              <w:r>
                <w:rPr>
                  <w:i/>
                  <w:iCs/>
                  <w:noProof/>
                  <w:lang w:val="en-US"/>
                </w:rPr>
                <w:t>Complementary Therapies in Medicine, 4</w:t>
              </w:r>
              <w:r>
                <w:rPr>
                  <w:noProof/>
                  <w:lang w:val="en-US"/>
                </w:rPr>
                <w:t>(1), 48-51.</w:t>
              </w:r>
            </w:p>
            <w:p w14:paraId="3E2E5B68" w14:textId="77777777" w:rsidR="0025704A" w:rsidRDefault="0025704A" w:rsidP="0025704A">
              <w:pPr>
                <w:pStyle w:val="Bibliography"/>
                <w:ind w:left="720" w:hanging="720"/>
                <w:rPr>
                  <w:noProof/>
                  <w:lang w:val="en-US"/>
                </w:rPr>
              </w:pPr>
              <w:r>
                <w:rPr>
                  <w:noProof/>
                  <w:lang w:val="en-US"/>
                </w:rPr>
                <w:t xml:space="preserve">Mills, S. Y. (2001). Regulation in complementary and alternative medicine. </w:t>
              </w:r>
              <w:r>
                <w:rPr>
                  <w:i/>
                  <w:iCs/>
                  <w:noProof/>
                  <w:lang w:val="en-US"/>
                </w:rPr>
                <w:t>332</w:t>
              </w:r>
              <w:r>
                <w:rPr>
                  <w:noProof/>
                  <w:lang w:val="en-US"/>
                </w:rPr>
                <w:t>(7279), 158-160.</w:t>
              </w:r>
            </w:p>
            <w:p w14:paraId="13756D77" w14:textId="77777777" w:rsidR="0025704A" w:rsidRDefault="0025704A" w:rsidP="0025704A">
              <w:pPr>
                <w:pStyle w:val="Bibliography"/>
                <w:ind w:left="720" w:hanging="720"/>
                <w:rPr>
                  <w:noProof/>
                  <w:lang w:val="en-US"/>
                </w:rPr>
              </w:pPr>
              <w:r>
                <w:rPr>
                  <w:noProof/>
                  <w:lang w:val="en-US"/>
                </w:rPr>
                <w:lastRenderedPageBreak/>
                <w:t xml:space="preserve">Saydah, S. H., &amp; Eberhardt, M. S. (2004). Use of complementary and alternative medicine among adults with chronic diseases : United States, 2002. </w:t>
              </w:r>
              <w:r>
                <w:rPr>
                  <w:i/>
                  <w:iCs/>
                  <w:noProof/>
                  <w:lang w:val="en-US"/>
                </w:rPr>
                <w:t>Seminars in Integrative Medicine, 2</w:t>
              </w:r>
              <w:r>
                <w:rPr>
                  <w:noProof/>
                  <w:lang w:val="en-US"/>
                </w:rPr>
                <w:t>(2), 54-71.</w:t>
              </w:r>
            </w:p>
            <w:p w14:paraId="1AF5290D" w14:textId="77777777" w:rsidR="0025704A" w:rsidRDefault="0025704A" w:rsidP="0025704A">
              <w:pPr>
                <w:pStyle w:val="Bibliography"/>
                <w:ind w:left="720" w:hanging="720"/>
                <w:rPr>
                  <w:noProof/>
                  <w:lang w:val="en-US"/>
                </w:rPr>
              </w:pPr>
              <w:r>
                <w:rPr>
                  <w:noProof/>
                  <w:lang w:val="en-US"/>
                </w:rPr>
                <w:t xml:space="preserve">Seeff, L. B., Lindsay, K. L., Bacon, B. R., &amp; Kresina, T. F. (2001). Complementary and alternative medicine in chronic liver disease. </w:t>
              </w:r>
              <w:r>
                <w:rPr>
                  <w:i/>
                  <w:iCs/>
                  <w:noProof/>
                  <w:lang w:val="en-US"/>
                </w:rPr>
                <w:t>Special Article , 34</w:t>
              </w:r>
              <w:r>
                <w:rPr>
                  <w:noProof/>
                  <w:lang w:val="en-US"/>
                </w:rPr>
                <w:t>(3), 595-603.</w:t>
              </w:r>
            </w:p>
            <w:p w14:paraId="4A34A1C0" w14:textId="77777777" w:rsidR="0025704A" w:rsidRDefault="0025704A" w:rsidP="0025704A">
              <w:pPr>
                <w:pStyle w:val="Bibliography"/>
                <w:ind w:left="720" w:hanging="720"/>
                <w:rPr>
                  <w:noProof/>
                  <w:lang w:val="en-US"/>
                </w:rPr>
              </w:pPr>
              <w:r>
                <w:rPr>
                  <w:noProof/>
                  <w:lang w:val="en-US"/>
                </w:rPr>
                <w:t xml:space="preserve">Sibbritt, D., Millbank, J., Stuhmcke, A., Kaye, M., Karpin, I., &amp; Wardle, J. (2016). The failure of contemporary law and regulation to keep pace with growing complementary medicine (CM) use: The significance of examining ‘hidden’ gaps in Australia's current regulatory and legislative infrastructure. </w:t>
              </w:r>
              <w:r>
                <w:rPr>
                  <w:i/>
                  <w:iCs/>
                  <w:noProof/>
                  <w:lang w:val="en-US"/>
                </w:rPr>
                <w:t>Advances in Integrative Medicine, 3</w:t>
              </w:r>
              <w:r>
                <w:rPr>
                  <w:noProof/>
                  <w:lang w:val="en-US"/>
                </w:rPr>
                <w:t>(2), 43-44.</w:t>
              </w:r>
            </w:p>
            <w:p w14:paraId="602E2E45" w14:textId="77777777" w:rsidR="0025704A" w:rsidRDefault="0025704A" w:rsidP="0025704A">
              <w:pPr>
                <w:pStyle w:val="Bibliography"/>
                <w:ind w:left="720" w:hanging="720"/>
                <w:rPr>
                  <w:noProof/>
                  <w:lang w:val="en-US"/>
                </w:rPr>
              </w:pPr>
              <w:r>
                <w:rPr>
                  <w:noProof/>
                  <w:lang w:val="en-US"/>
                </w:rPr>
                <w:t xml:space="preserve">Tabisha , S. A. (2008). Complementary and Alternative Healthcare: Is it Evidenced-based? </w:t>
              </w:r>
              <w:r>
                <w:rPr>
                  <w:i/>
                  <w:iCs/>
                  <w:noProof/>
                  <w:lang w:val="en-US"/>
                </w:rPr>
                <w:t>International Journal of Health Sciences, 2</w:t>
              </w:r>
              <w:r>
                <w:rPr>
                  <w:noProof/>
                  <w:lang w:val="en-US"/>
                </w:rPr>
                <w:t>(1), 5-9.</w:t>
              </w:r>
            </w:p>
            <w:p w14:paraId="66B20001" w14:textId="77777777" w:rsidR="0025704A" w:rsidRDefault="0025704A" w:rsidP="0025704A">
              <w:pPr>
                <w:pStyle w:val="Bibliography"/>
                <w:ind w:left="720" w:hanging="720"/>
                <w:rPr>
                  <w:noProof/>
                  <w:lang w:val="en-US"/>
                </w:rPr>
              </w:pPr>
              <w:r>
                <w:rPr>
                  <w:noProof/>
                  <w:lang w:val="en-US"/>
                </w:rPr>
                <w:t xml:space="preserve">The Federation of Nutritional Therapy Practitioners. (2019, Jan 01). </w:t>
              </w:r>
              <w:r>
                <w:rPr>
                  <w:i/>
                  <w:iCs/>
                  <w:noProof/>
                  <w:lang w:val="en-US"/>
                </w:rPr>
                <w:t>History of the Regulation of Complementary and Alternative Medicine in the United Kingdom.</w:t>
              </w:r>
              <w:r>
                <w:rPr>
                  <w:noProof/>
                  <w:lang w:val="en-US"/>
                </w:rPr>
                <w:t xml:space="preserve"> Retrieved Jan 06, 2019, from http://www.fntp.org.uk/history-of-regulation/</w:t>
              </w:r>
            </w:p>
            <w:p w14:paraId="55B718A1" w14:textId="77777777" w:rsidR="0025704A" w:rsidRDefault="0025704A" w:rsidP="0025704A">
              <w:pPr>
                <w:pStyle w:val="Bibliography"/>
                <w:ind w:left="720" w:hanging="720"/>
                <w:rPr>
                  <w:noProof/>
                  <w:lang w:val="en-US"/>
                </w:rPr>
              </w:pPr>
              <w:r>
                <w:rPr>
                  <w:noProof/>
                  <w:lang w:val="en-US"/>
                </w:rPr>
                <w:t xml:space="preserve">Valli, G., &amp; Giardina, E. G. (2002). Benefits adverse effects and drug interactions of herbal therapies with cardiovascular effects. </w:t>
              </w:r>
              <w:r>
                <w:rPr>
                  <w:i/>
                  <w:iCs/>
                  <w:noProof/>
                  <w:lang w:val="en-US"/>
                </w:rPr>
                <w:t>Journal of the American College of Cardiology, 39</w:t>
              </w:r>
              <w:r>
                <w:rPr>
                  <w:noProof/>
                  <w:lang w:val="en-US"/>
                </w:rPr>
                <w:t>(7), 1083-1095.</w:t>
              </w:r>
            </w:p>
            <w:p w14:paraId="6C38B266" w14:textId="77777777" w:rsidR="0025704A" w:rsidRDefault="0025704A" w:rsidP="0025704A">
              <w:pPr>
                <w:pStyle w:val="Bibliography"/>
                <w:ind w:left="720" w:hanging="720"/>
                <w:rPr>
                  <w:noProof/>
                  <w:lang w:val="en-US"/>
                </w:rPr>
              </w:pPr>
              <w:r>
                <w:rPr>
                  <w:noProof/>
                  <w:lang w:val="en-US"/>
                </w:rPr>
                <w:t xml:space="preserve">Walker, L. A., &amp; Budd, S. (2002). UK: the current state of regulation of complementary and alternative medicine. </w:t>
              </w:r>
              <w:r>
                <w:rPr>
                  <w:i/>
                  <w:iCs/>
                  <w:noProof/>
                  <w:lang w:val="en-US"/>
                </w:rPr>
                <w:t>Complementary Therapies in Medicine, 10</w:t>
              </w:r>
              <w:r>
                <w:rPr>
                  <w:noProof/>
                  <w:lang w:val="en-US"/>
                </w:rPr>
                <w:t>(1), 8-13.</w:t>
              </w:r>
            </w:p>
            <w:p w14:paraId="5620F20F" w14:textId="77777777" w:rsidR="0025704A" w:rsidRDefault="0025704A" w:rsidP="0025704A">
              <w:pPr>
                <w:pStyle w:val="Bibliography"/>
                <w:ind w:left="720" w:hanging="720"/>
                <w:rPr>
                  <w:noProof/>
                  <w:lang w:val="en-US"/>
                </w:rPr>
              </w:pPr>
              <w:r>
                <w:rPr>
                  <w:noProof/>
                  <w:lang w:val="en-US"/>
                </w:rPr>
                <w:t xml:space="preserve">Wardle, J. (2014). Holding unregistered health practitioners to account: an analysis of current regulatory and legislative approaches. </w:t>
              </w:r>
              <w:r>
                <w:rPr>
                  <w:i/>
                  <w:iCs/>
                  <w:noProof/>
                  <w:lang w:val="en-US"/>
                </w:rPr>
                <w:t>J.Med Law, 22</w:t>
              </w:r>
              <w:r>
                <w:rPr>
                  <w:noProof/>
                  <w:lang w:val="en-US"/>
                </w:rPr>
                <w:t>(2), 350-375.</w:t>
              </w:r>
            </w:p>
            <w:p w14:paraId="48F2FECB" w14:textId="77777777" w:rsidR="0025704A" w:rsidRDefault="0025704A" w:rsidP="0025704A">
              <w:pPr>
                <w:pStyle w:val="Bibliography"/>
                <w:ind w:left="720" w:hanging="720"/>
                <w:rPr>
                  <w:noProof/>
                  <w:lang w:val="en-US"/>
                </w:rPr>
              </w:pPr>
              <w:r>
                <w:rPr>
                  <w:noProof/>
                  <w:lang w:val="en-US"/>
                </w:rPr>
                <w:t xml:space="preserve">Wieland, L. S., Manheimer, E., &amp; Berman, B. M. (2011). Development and Classification of an Operational Definition of Complementary and Alternative Medicine for the Cochrane Collaboration. </w:t>
              </w:r>
              <w:r>
                <w:rPr>
                  <w:i/>
                  <w:iCs/>
                  <w:noProof/>
                  <w:lang w:val="en-US"/>
                </w:rPr>
                <w:t>Alternative Therapies in Health and Medicine, 17</w:t>
              </w:r>
              <w:r>
                <w:rPr>
                  <w:noProof/>
                  <w:lang w:val="en-US"/>
                </w:rPr>
                <w:t>(2), 50-59.</w:t>
              </w:r>
            </w:p>
            <w:p w14:paraId="2D258751" w14:textId="77777777" w:rsidR="0025704A" w:rsidRDefault="0025704A" w:rsidP="0025704A">
              <w:pPr>
                <w:pStyle w:val="Bibliography"/>
                <w:ind w:left="720" w:hanging="720"/>
                <w:rPr>
                  <w:noProof/>
                  <w:lang w:val="en-US"/>
                </w:rPr>
              </w:pPr>
              <w:r>
                <w:rPr>
                  <w:noProof/>
                  <w:lang w:val="en-US"/>
                </w:rPr>
                <w:t xml:space="preserve">World Health Organisation. (2001). </w:t>
              </w:r>
              <w:r>
                <w:rPr>
                  <w:i/>
                  <w:iCs/>
                  <w:noProof/>
                  <w:lang w:val="en-US"/>
                </w:rPr>
                <w:t>Legal Status of Traditional Medicine and Complementary/Alternative Medicine: A Worldwide Review.</w:t>
              </w:r>
              <w:r>
                <w:rPr>
                  <w:noProof/>
                  <w:lang w:val="en-US"/>
                </w:rPr>
                <w:t xml:space="preserve"> Switzerland: World Health Organisation.</w:t>
              </w:r>
            </w:p>
            <w:p w14:paraId="13C4F28A" w14:textId="77777777" w:rsidR="0025704A" w:rsidRDefault="0025704A" w:rsidP="0025704A">
              <w:pPr>
                <w:pStyle w:val="Bibliography"/>
                <w:ind w:left="720" w:hanging="720"/>
                <w:rPr>
                  <w:noProof/>
                  <w:lang w:val="en-US"/>
                </w:rPr>
              </w:pPr>
              <w:r>
                <w:rPr>
                  <w:noProof/>
                  <w:lang w:val="en-US"/>
                </w:rPr>
                <w:t xml:space="preserve">World Health Organisation. (2002). </w:t>
              </w:r>
              <w:r>
                <w:rPr>
                  <w:i/>
                  <w:iCs/>
                  <w:noProof/>
                  <w:lang w:val="en-US"/>
                </w:rPr>
                <w:t>Traditional Medicine Stategy.</w:t>
              </w:r>
              <w:r>
                <w:rPr>
                  <w:noProof/>
                  <w:lang w:val="en-US"/>
                </w:rPr>
                <w:t xml:space="preserve"> Geneva: World Health Organisation.</w:t>
              </w:r>
            </w:p>
            <w:p w14:paraId="05994FE2" w14:textId="77777777" w:rsidR="0025704A" w:rsidRDefault="0025704A" w:rsidP="0025704A">
              <w:pPr>
                <w:pStyle w:val="Bibliography"/>
                <w:ind w:left="720" w:hanging="720"/>
                <w:rPr>
                  <w:noProof/>
                  <w:lang w:val="en-US"/>
                </w:rPr>
              </w:pPr>
              <w:r>
                <w:rPr>
                  <w:noProof/>
                  <w:lang w:val="en-US"/>
                </w:rPr>
                <w:t xml:space="preserve">World Health Organization. (2000). </w:t>
              </w:r>
              <w:r>
                <w:rPr>
                  <w:i/>
                  <w:iCs/>
                  <w:noProof/>
                  <w:lang w:val="en-US"/>
                </w:rPr>
                <w:t>General Guidelines for Methodologies on Research and Evaluation of Traditional Medicine.</w:t>
              </w:r>
              <w:r>
                <w:rPr>
                  <w:noProof/>
                  <w:lang w:val="en-US"/>
                </w:rPr>
                <w:t xml:space="preserve"> Geneva: World Health Organization.</w:t>
              </w:r>
            </w:p>
            <w:p w14:paraId="75F12FD4" w14:textId="67BFE21A" w:rsidR="005F6F9D" w:rsidRDefault="005F6F9D" w:rsidP="0025704A">
              <w:pPr>
                <w:spacing w:line="360" w:lineRule="auto"/>
              </w:pPr>
              <w:r w:rsidRPr="371EB2D9">
                <w:fldChar w:fldCharType="end"/>
              </w:r>
            </w:p>
          </w:sdtContent>
        </w:sdt>
      </w:sdtContent>
    </w:sdt>
    <w:p w14:paraId="061E6F1F" w14:textId="53ADCEC8" w:rsidR="371EB2D9" w:rsidRDefault="371EB2D9" w:rsidP="007F4BD1">
      <w:pPr>
        <w:spacing w:line="360" w:lineRule="auto"/>
      </w:pPr>
    </w:p>
    <w:sectPr w:rsidR="371EB2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273"/>
    <w:rsid w:val="00000E52"/>
    <w:rsid w:val="000012A7"/>
    <w:rsid w:val="000028C2"/>
    <w:rsid w:val="0000516B"/>
    <w:rsid w:val="00005A83"/>
    <w:rsid w:val="00011736"/>
    <w:rsid w:val="00017DEA"/>
    <w:rsid w:val="000227B1"/>
    <w:rsid w:val="000228F8"/>
    <w:rsid w:val="00040088"/>
    <w:rsid w:val="00044F70"/>
    <w:rsid w:val="00045593"/>
    <w:rsid w:val="00051B33"/>
    <w:rsid w:val="00054B7E"/>
    <w:rsid w:val="00063462"/>
    <w:rsid w:val="000733F2"/>
    <w:rsid w:val="00073442"/>
    <w:rsid w:val="00076BE3"/>
    <w:rsid w:val="00080ED9"/>
    <w:rsid w:val="00090683"/>
    <w:rsid w:val="00093799"/>
    <w:rsid w:val="0009776A"/>
    <w:rsid w:val="000A11D9"/>
    <w:rsid w:val="000B5BBF"/>
    <w:rsid w:val="000B7AF3"/>
    <w:rsid w:val="000C0E3E"/>
    <w:rsid w:val="000C5C4D"/>
    <w:rsid w:val="000D4C2E"/>
    <w:rsid w:val="000D743C"/>
    <w:rsid w:val="000E071C"/>
    <w:rsid w:val="000F1479"/>
    <w:rsid w:val="000F19BC"/>
    <w:rsid w:val="000F22B1"/>
    <w:rsid w:val="000F417A"/>
    <w:rsid w:val="000F687E"/>
    <w:rsid w:val="001007EA"/>
    <w:rsid w:val="00104692"/>
    <w:rsid w:val="0011570E"/>
    <w:rsid w:val="0013019C"/>
    <w:rsid w:val="0013038B"/>
    <w:rsid w:val="00143B24"/>
    <w:rsid w:val="00150371"/>
    <w:rsid w:val="00152265"/>
    <w:rsid w:val="00152A89"/>
    <w:rsid w:val="00156C84"/>
    <w:rsid w:val="0015786F"/>
    <w:rsid w:val="00160EF5"/>
    <w:rsid w:val="00167464"/>
    <w:rsid w:val="00167892"/>
    <w:rsid w:val="00171854"/>
    <w:rsid w:val="00176755"/>
    <w:rsid w:val="00192519"/>
    <w:rsid w:val="00197CF8"/>
    <w:rsid w:val="001A45BB"/>
    <w:rsid w:val="001B264F"/>
    <w:rsid w:val="001B6B62"/>
    <w:rsid w:val="001B7707"/>
    <w:rsid w:val="001D4246"/>
    <w:rsid w:val="001D7CFF"/>
    <w:rsid w:val="001E12DE"/>
    <w:rsid w:val="001F23FC"/>
    <w:rsid w:val="001F6237"/>
    <w:rsid w:val="00211198"/>
    <w:rsid w:val="00211B78"/>
    <w:rsid w:val="00216A60"/>
    <w:rsid w:val="00221797"/>
    <w:rsid w:val="002224DE"/>
    <w:rsid w:val="00223DFE"/>
    <w:rsid w:val="00227B20"/>
    <w:rsid w:val="00233828"/>
    <w:rsid w:val="002341D6"/>
    <w:rsid w:val="002375B3"/>
    <w:rsid w:val="0024051A"/>
    <w:rsid w:val="002513D7"/>
    <w:rsid w:val="0025704A"/>
    <w:rsid w:val="0026630D"/>
    <w:rsid w:val="002734A2"/>
    <w:rsid w:val="00274D25"/>
    <w:rsid w:val="00277401"/>
    <w:rsid w:val="00284295"/>
    <w:rsid w:val="002906DC"/>
    <w:rsid w:val="00291E1E"/>
    <w:rsid w:val="0029570D"/>
    <w:rsid w:val="002A0820"/>
    <w:rsid w:val="002A0CC5"/>
    <w:rsid w:val="002A1FFE"/>
    <w:rsid w:val="002A5F3F"/>
    <w:rsid w:val="002C26C6"/>
    <w:rsid w:val="002C37A9"/>
    <w:rsid w:val="002C403F"/>
    <w:rsid w:val="002D42D6"/>
    <w:rsid w:val="002D4BEC"/>
    <w:rsid w:val="002D695C"/>
    <w:rsid w:val="002E70D8"/>
    <w:rsid w:val="002F02B6"/>
    <w:rsid w:val="002F41EF"/>
    <w:rsid w:val="002F7DE1"/>
    <w:rsid w:val="003132DB"/>
    <w:rsid w:val="0031644D"/>
    <w:rsid w:val="00320767"/>
    <w:rsid w:val="00325034"/>
    <w:rsid w:val="003321AF"/>
    <w:rsid w:val="0033249D"/>
    <w:rsid w:val="00333D6E"/>
    <w:rsid w:val="00335679"/>
    <w:rsid w:val="003451BD"/>
    <w:rsid w:val="00362D6E"/>
    <w:rsid w:val="00362FF6"/>
    <w:rsid w:val="003632D7"/>
    <w:rsid w:val="00367344"/>
    <w:rsid w:val="0037015F"/>
    <w:rsid w:val="003712AB"/>
    <w:rsid w:val="0037343B"/>
    <w:rsid w:val="003769BD"/>
    <w:rsid w:val="00376AAF"/>
    <w:rsid w:val="00380172"/>
    <w:rsid w:val="003933B7"/>
    <w:rsid w:val="003A3381"/>
    <w:rsid w:val="003A5ACD"/>
    <w:rsid w:val="003B2A60"/>
    <w:rsid w:val="003B3979"/>
    <w:rsid w:val="003C4933"/>
    <w:rsid w:val="003C658E"/>
    <w:rsid w:val="003C6887"/>
    <w:rsid w:val="003D3FA5"/>
    <w:rsid w:val="003E0C78"/>
    <w:rsid w:val="003E181F"/>
    <w:rsid w:val="003E66E0"/>
    <w:rsid w:val="003F0002"/>
    <w:rsid w:val="003F05A8"/>
    <w:rsid w:val="003F2B37"/>
    <w:rsid w:val="003F5E52"/>
    <w:rsid w:val="003F6C55"/>
    <w:rsid w:val="0040086D"/>
    <w:rsid w:val="00405225"/>
    <w:rsid w:val="004062FF"/>
    <w:rsid w:val="00411DA8"/>
    <w:rsid w:val="004134F7"/>
    <w:rsid w:val="00417C33"/>
    <w:rsid w:val="00432B8F"/>
    <w:rsid w:val="00433D6F"/>
    <w:rsid w:val="004401B0"/>
    <w:rsid w:val="00450A26"/>
    <w:rsid w:val="00453A0D"/>
    <w:rsid w:val="00457684"/>
    <w:rsid w:val="00463B67"/>
    <w:rsid w:val="004653CB"/>
    <w:rsid w:val="0046746D"/>
    <w:rsid w:val="004677AD"/>
    <w:rsid w:val="00490EA0"/>
    <w:rsid w:val="004A5783"/>
    <w:rsid w:val="004B41AF"/>
    <w:rsid w:val="004B56DA"/>
    <w:rsid w:val="004C4335"/>
    <w:rsid w:val="004E74A9"/>
    <w:rsid w:val="004F0026"/>
    <w:rsid w:val="004F0D4F"/>
    <w:rsid w:val="004F463C"/>
    <w:rsid w:val="004F56A5"/>
    <w:rsid w:val="00501101"/>
    <w:rsid w:val="005079AE"/>
    <w:rsid w:val="00514718"/>
    <w:rsid w:val="00521A13"/>
    <w:rsid w:val="00524407"/>
    <w:rsid w:val="00527FA4"/>
    <w:rsid w:val="00531BE9"/>
    <w:rsid w:val="005357BE"/>
    <w:rsid w:val="005532DD"/>
    <w:rsid w:val="00553608"/>
    <w:rsid w:val="005557E5"/>
    <w:rsid w:val="00560C39"/>
    <w:rsid w:val="00560F01"/>
    <w:rsid w:val="00560F4A"/>
    <w:rsid w:val="0056643F"/>
    <w:rsid w:val="00570281"/>
    <w:rsid w:val="00571477"/>
    <w:rsid w:val="0057242E"/>
    <w:rsid w:val="00574046"/>
    <w:rsid w:val="005827BB"/>
    <w:rsid w:val="00584510"/>
    <w:rsid w:val="005A018D"/>
    <w:rsid w:val="005A081B"/>
    <w:rsid w:val="005A0B97"/>
    <w:rsid w:val="005A6446"/>
    <w:rsid w:val="005C6578"/>
    <w:rsid w:val="005C7EC4"/>
    <w:rsid w:val="005D53DE"/>
    <w:rsid w:val="005E0D1A"/>
    <w:rsid w:val="005E74B3"/>
    <w:rsid w:val="005F10B4"/>
    <w:rsid w:val="005F1C4B"/>
    <w:rsid w:val="005F2186"/>
    <w:rsid w:val="005F5889"/>
    <w:rsid w:val="005F6F9D"/>
    <w:rsid w:val="00603F0F"/>
    <w:rsid w:val="00612BBB"/>
    <w:rsid w:val="0063045B"/>
    <w:rsid w:val="00644F3F"/>
    <w:rsid w:val="0065289E"/>
    <w:rsid w:val="006635FE"/>
    <w:rsid w:val="00664574"/>
    <w:rsid w:val="006650BF"/>
    <w:rsid w:val="00665D78"/>
    <w:rsid w:val="00667F28"/>
    <w:rsid w:val="00673BE1"/>
    <w:rsid w:val="006773E4"/>
    <w:rsid w:val="00680C63"/>
    <w:rsid w:val="00680F93"/>
    <w:rsid w:val="00683F1B"/>
    <w:rsid w:val="006924B9"/>
    <w:rsid w:val="00693D59"/>
    <w:rsid w:val="006960CE"/>
    <w:rsid w:val="00696F52"/>
    <w:rsid w:val="00697AF0"/>
    <w:rsid w:val="006A1610"/>
    <w:rsid w:val="006B7943"/>
    <w:rsid w:val="006C18CA"/>
    <w:rsid w:val="006C5DF9"/>
    <w:rsid w:val="006C6B1C"/>
    <w:rsid w:val="006D218D"/>
    <w:rsid w:val="006D5338"/>
    <w:rsid w:val="006E0A2F"/>
    <w:rsid w:val="006F0F47"/>
    <w:rsid w:val="00702BFF"/>
    <w:rsid w:val="00711818"/>
    <w:rsid w:val="007143CB"/>
    <w:rsid w:val="00715CF0"/>
    <w:rsid w:val="00735F83"/>
    <w:rsid w:val="00740B65"/>
    <w:rsid w:val="00757E2F"/>
    <w:rsid w:val="00760497"/>
    <w:rsid w:val="00770AF4"/>
    <w:rsid w:val="00780208"/>
    <w:rsid w:val="00783AC1"/>
    <w:rsid w:val="00785677"/>
    <w:rsid w:val="007957B5"/>
    <w:rsid w:val="007974FA"/>
    <w:rsid w:val="007A2227"/>
    <w:rsid w:val="007B0451"/>
    <w:rsid w:val="007B07C6"/>
    <w:rsid w:val="007C1F17"/>
    <w:rsid w:val="007D1B72"/>
    <w:rsid w:val="007D38A0"/>
    <w:rsid w:val="007D70F7"/>
    <w:rsid w:val="007E0019"/>
    <w:rsid w:val="007E2265"/>
    <w:rsid w:val="007E56C1"/>
    <w:rsid w:val="007E6F02"/>
    <w:rsid w:val="007F00DD"/>
    <w:rsid w:val="007F11FB"/>
    <w:rsid w:val="007F4BD1"/>
    <w:rsid w:val="007F6E7C"/>
    <w:rsid w:val="007F70B6"/>
    <w:rsid w:val="00800253"/>
    <w:rsid w:val="008037B9"/>
    <w:rsid w:val="00803886"/>
    <w:rsid w:val="00803E6D"/>
    <w:rsid w:val="008176D8"/>
    <w:rsid w:val="00820121"/>
    <w:rsid w:val="00823B31"/>
    <w:rsid w:val="008264EE"/>
    <w:rsid w:val="00827A59"/>
    <w:rsid w:val="00827D51"/>
    <w:rsid w:val="00830009"/>
    <w:rsid w:val="00831A10"/>
    <w:rsid w:val="00832126"/>
    <w:rsid w:val="00833970"/>
    <w:rsid w:val="008339CB"/>
    <w:rsid w:val="00833B4D"/>
    <w:rsid w:val="00835691"/>
    <w:rsid w:val="00835BEF"/>
    <w:rsid w:val="00845D4B"/>
    <w:rsid w:val="00845F8B"/>
    <w:rsid w:val="00847066"/>
    <w:rsid w:val="008502C3"/>
    <w:rsid w:val="00851500"/>
    <w:rsid w:val="0085305D"/>
    <w:rsid w:val="00857022"/>
    <w:rsid w:val="008707FA"/>
    <w:rsid w:val="008735B2"/>
    <w:rsid w:val="0088770A"/>
    <w:rsid w:val="00891D83"/>
    <w:rsid w:val="008A3680"/>
    <w:rsid w:val="008A36FC"/>
    <w:rsid w:val="008A3DA9"/>
    <w:rsid w:val="008A461A"/>
    <w:rsid w:val="008A7D01"/>
    <w:rsid w:val="008B0537"/>
    <w:rsid w:val="008B7EA4"/>
    <w:rsid w:val="008C50B5"/>
    <w:rsid w:val="008D2546"/>
    <w:rsid w:val="008D4B22"/>
    <w:rsid w:val="008E0887"/>
    <w:rsid w:val="008E3BAD"/>
    <w:rsid w:val="008F0191"/>
    <w:rsid w:val="008F6534"/>
    <w:rsid w:val="008F6912"/>
    <w:rsid w:val="00900B3E"/>
    <w:rsid w:val="00902CA9"/>
    <w:rsid w:val="00915A23"/>
    <w:rsid w:val="00925192"/>
    <w:rsid w:val="009262F4"/>
    <w:rsid w:val="00933209"/>
    <w:rsid w:val="0096582E"/>
    <w:rsid w:val="00967A6A"/>
    <w:rsid w:val="0097118A"/>
    <w:rsid w:val="0097686E"/>
    <w:rsid w:val="00976972"/>
    <w:rsid w:val="009803E3"/>
    <w:rsid w:val="00980FAC"/>
    <w:rsid w:val="00982893"/>
    <w:rsid w:val="009828E2"/>
    <w:rsid w:val="00991EDE"/>
    <w:rsid w:val="00994323"/>
    <w:rsid w:val="00994D4E"/>
    <w:rsid w:val="009A18C4"/>
    <w:rsid w:val="009A29BA"/>
    <w:rsid w:val="009B3034"/>
    <w:rsid w:val="009D002A"/>
    <w:rsid w:val="009D0EC7"/>
    <w:rsid w:val="009D1BE9"/>
    <w:rsid w:val="00A128E5"/>
    <w:rsid w:val="00A14A2A"/>
    <w:rsid w:val="00A17BF1"/>
    <w:rsid w:val="00A209EE"/>
    <w:rsid w:val="00A26BCA"/>
    <w:rsid w:val="00A32C83"/>
    <w:rsid w:val="00A4379A"/>
    <w:rsid w:val="00A45A62"/>
    <w:rsid w:val="00A5258C"/>
    <w:rsid w:val="00A538B8"/>
    <w:rsid w:val="00A57AD9"/>
    <w:rsid w:val="00A57E84"/>
    <w:rsid w:val="00A62BB0"/>
    <w:rsid w:val="00A6312C"/>
    <w:rsid w:val="00A73152"/>
    <w:rsid w:val="00A80792"/>
    <w:rsid w:val="00A85688"/>
    <w:rsid w:val="00AA07DB"/>
    <w:rsid w:val="00AA1466"/>
    <w:rsid w:val="00AA2A06"/>
    <w:rsid w:val="00AA2F7F"/>
    <w:rsid w:val="00AA6266"/>
    <w:rsid w:val="00AB04AA"/>
    <w:rsid w:val="00AB0F46"/>
    <w:rsid w:val="00AB48AF"/>
    <w:rsid w:val="00AC63EF"/>
    <w:rsid w:val="00AC65D0"/>
    <w:rsid w:val="00AC6DEF"/>
    <w:rsid w:val="00AE318C"/>
    <w:rsid w:val="00AE78A8"/>
    <w:rsid w:val="00AF5DAF"/>
    <w:rsid w:val="00AF77F1"/>
    <w:rsid w:val="00B02276"/>
    <w:rsid w:val="00B06F38"/>
    <w:rsid w:val="00B13ABF"/>
    <w:rsid w:val="00B146D7"/>
    <w:rsid w:val="00B206BD"/>
    <w:rsid w:val="00B306E1"/>
    <w:rsid w:val="00B33930"/>
    <w:rsid w:val="00B3470D"/>
    <w:rsid w:val="00B37CDA"/>
    <w:rsid w:val="00B40EDA"/>
    <w:rsid w:val="00B42E63"/>
    <w:rsid w:val="00B5424B"/>
    <w:rsid w:val="00B55286"/>
    <w:rsid w:val="00B61530"/>
    <w:rsid w:val="00B67C07"/>
    <w:rsid w:val="00B71BDD"/>
    <w:rsid w:val="00B822E7"/>
    <w:rsid w:val="00B84E95"/>
    <w:rsid w:val="00B9797F"/>
    <w:rsid w:val="00BA4873"/>
    <w:rsid w:val="00BA687F"/>
    <w:rsid w:val="00BB0990"/>
    <w:rsid w:val="00BB6220"/>
    <w:rsid w:val="00BB753C"/>
    <w:rsid w:val="00BC0A43"/>
    <w:rsid w:val="00BC3345"/>
    <w:rsid w:val="00BC77C5"/>
    <w:rsid w:val="00BD3ABA"/>
    <w:rsid w:val="00BD6935"/>
    <w:rsid w:val="00BE50C5"/>
    <w:rsid w:val="00BF72FF"/>
    <w:rsid w:val="00BF731F"/>
    <w:rsid w:val="00BF7E59"/>
    <w:rsid w:val="00C00BB1"/>
    <w:rsid w:val="00C0227A"/>
    <w:rsid w:val="00C10A82"/>
    <w:rsid w:val="00C11278"/>
    <w:rsid w:val="00C2581E"/>
    <w:rsid w:val="00C30714"/>
    <w:rsid w:val="00C42640"/>
    <w:rsid w:val="00C44D85"/>
    <w:rsid w:val="00C5314E"/>
    <w:rsid w:val="00C670A5"/>
    <w:rsid w:val="00C80A19"/>
    <w:rsid w:val="00C80E81"/>
    <w:rsid w:val="00C81B19"/>
    <w:rsid w:val="00C8436A"/>
    <w:rsid w:val="00C92754"/>
    <w:rsid w:val="00C96BEA"/>
    <w:rsid w:val="00CA1F20"/>
    <w:rsid w:val="00CA5F30"/>
    <w:rsid w:val="00CB4882"/>
    <w:rsid w:val="00CC1972"/>
    <w:rsid w:val="00CC47B4"/>
    <w:rsid w:val="00CC6D93"/>
    <w:rsid w:val="00CD5180"/>
    <w:rsid w:val="00CD7256"/>
    <w:rsid w:val="00CF3812"/>
    <w:rsid w:val="00D019E1"/>
    <w:rsid w:val="00D033C7"/>
    <w:rsid w:val="00D05A91"/>
    <w:rsid w:val="00D12391"/>
    <w:rsid w:val="00D23589"/>
    <w:rsid w:val="00D25D93"/>
    <w:rsid w:val="00D3352A"/>
    <w:rsid w:val="00D4194A"/>
    <w:rsid w:val="00D42A9F"/>
    <w:rsid w:val="00D432B9"/>
    <w:rsid w:val="00D46625"/>
    <w:rsid w:val="00D50881"/>
    <w:rsid w:val="00D66D5E"/>
    <w:rsid w:val="00D709F3"/>
    <w:rsid w:val="00D7720D"/>
    <w:rsid w:val="00DA4BB6"/>
    <w:rsid w:val="00DA6128"/>
    <w:rsid w:val="00DA6B9C"/>
    <w:rsid w:val="00DA78C6"/>
    <w:rsid w:val="00DC7640"/>
    <w:rsid w:val="00DD02A8"/>
    <w:rsid w:val="00DE2A96"/>
    <w:rsid w:val="00DE3DC8"/>
    <w:rsid w:val="00DE6D7B"/>
    <w:rsid w:val="00DE77B7"/>
    <w:rsid w:val="00DF01EA"/>
    <w:rsid w:val="00DF3588"/>
    <w:rsid w:val="00DF4ED8"/>
    <w:rsid w:val="00E01D4A"/>
    <w:rsid w:val="00E03840"/>
    <w:rsid w:val="00E044BD"/>
    <w:rsid w:val="00E15B0F"/>
    <w:rsid w:val="00E210CE"/>
    <w:rsid w:val="00E22273"/>
    <w:rsid w:val="00E261D5"/>
    <w:rsid w:val="00E33183"/>
    <w:rsid w:val="00E45C4D"/>
    <w:rsid w:val="00E51D0D"/>
    <w:rsid w:val="00E57443"/>
    <w:rsid w:val="00E638D0"/>
    <w:rsid w:val="00E64281"/>
    <w:rsid w:val="00E651D5"/>
    <w:rsid w:val="00E72E39"/>
    <w:rsid w:val="00E7536C"/>
    <w:rsid w:val="00E76A45"/>
    <w:rsid w:val="00E80FCE"/>
    <w:rsid w:val="00E816D2"/>
    <w:rsid w:val="00E8626D"/>
    <w:rsid w:val="00E933F7"/>
    <w:rsid w:val="00E93DC3"/>
    <w:rsid w:val="00E94775"/>
    <w:rsid w:val="00E960A4"/>
    <w:rsid w:val="00E9644F"/>
    <w:rsid w:val="00EA0B85"/>
    <w:rsid w:val="00EB2D4C"/>
    <w:rsid w:val="00EC7DB5"/>
    <w:rsid w:val="00EE10D5"/>
    <w:rsid w:val="00EE4764"/>
    <w:rsid w:val="00EF2E35"/>
    <w:rsid w:val="00EF5399"/>
    <w:rsid w:val="00EF7675"/>
    <w:rsid w:val="00F009A8"/>
    <w:rsid w:val="00F037D9"/>
    <w:rsid w:val="00F1126C"/>
    <w:rsid w:val="00F11A66"/>
    <w:rsid w:val="00F21FA0"/>
    <w:rsid w:val="00F2419F"/>
    <w:rsid w:val="00F34C76"/>
    <w:rsid w:val="00F364B0"/>
    <w:rsid w:val="00F3735C"/>
    <w:rsid w:val="00F46C09"/>
    <w:rsid w:val="00F50B27"/>
    <w:rsid w:val="00F62B81"/>
    <w:rsid w:val="00F662FE"/>
    <w:rsid w:val="00F668C3"/>
    <w:rsid w:val="00F7190E"/>
    <w:rsid w:val="00F72A51"/>
    <w:rsid w:val="00F7503A"/>
    <w:rsid w:val="00F86573"/>
    <w:rsid w:val="00F933AA"/>
    <w:rsid w:val="00F935FA"/>
    <w:rsid w:val="00F97446"/>
    <w:rsid w:val="00FA4E72"/>
    <w:rsid w:val="00FA5507"/>
    <w:rsid w:val="00FA670B"/>
    <w:rsid w:val="00FB1D96"/>
    <w:rsid w:val="00FB5073"/>
    <w:rsid w:val="00FB7AE1"/>
    <w:rsid w:val="00FC3398"/>
    <w:rsid w:val="00FD2200"/>
    <w:rsid w:val="00FD3456"/>
    <w:rsid w:val="00FE29A7"/>
    <w:rsid w:val="00FE63B2"/>
    <w:rsid w:val="00FF1DFA"/>
    <w:rsid w:val="00FF3E63"/>
    <w:rsid w:val="172983E4"/>
    <w:rsid w:val="371EB2D9"/>
    <w:rsid w:val="43728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A3E17"/>
  <w15:chartTrackingRefBased/>
  <w15:docId w15:val="{20DCDDF8-9775-4710-A3FE-F213C215E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F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F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6F9D"/>
  </w:style>
  <w:style w:type="character" w:styleId="CommentReference">
    <w:name w:val="annotation reference"/>
    <w:basedOn w:val="DefaultParagraphFont"/>
    <w:uiPriority w:val="99"/>
    <w:semiHidden/>
    <w:unhideWhenUsed/>
    <w:rsid w:val="006E0A2F"/>
    <w:rPr>
      <w:sz w:val="16"/>
      <w:szCs w:val="16"/>
    </w:rPr>
  </w:style>
  <w:style w:type="paragraph" w:styleId="CommentText">
    <w:name w:val="annotation text"/>
    <w:basedOn w:val="Normal"/>
    <w:link w:val="CommentTextChar"/>
    <w:uiPriority w:val="99"/>
    <w:semiHidden/>
    <w:unhideWhenUsed/>
    <w:rsid w:val="006E0A2F"/>
    <w:pPr>
      <w:spacing w:line="240" w:lineRule="auto"/>
    </w:pPr>
    <w:rPr>
      <w:sz w:val="20"/>
      <w:szCs w:val="20"/>
    </w:rPr>
  </w:style>
  <w:style w:type="character" w:customStyle="1" w:styleId="CommentTextChar">
    <w:name w:val="Comment Text Char"/>
    <w:basedOn w:val="DefaultParagraphFont"/>
    <w:link w:val="CommentText"/>
    <w:uiPriority w:val="99"/>
    <w:semiHidden/>
    <w:rsid w:val="006E0A2F"/>
    <w:rPr>
      <w:sz w:val="20"/>
      <w:szCs w:val="20"/>
    </w:rPr>
  </w:style>
  <w:style w:type="paragraph" w:styleId="BalloonText">
    <w:name w:val="Balloon Text"/>
    <w:basedOn w:val="Normal"/>
    <w:link w:val="BalloonTextChar"/>
    <w:uiPriority w:val="99"/>
    <w:semiHidden/>
    <w:unhideWhenUsed/>
    <w:rsid w:val="006E0A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0A2F"/>
    <w:rPr>
      <w:rFonts w:ascii="Segoe UI" w:hAnsi="Segoe UI" w:cs="Segoe UI"/>
      <w:sz w:val="18"/>
      <w:szCs w:val="18"/>
    </w:rPr>
  </w:style>
  <w:style w:type="paragraph" w:styleId="NormalWeb">
    <w:name w:val="Normal (Web)"/>
    <w:basedOn w:val="Normal"/>
    <w:uiPriority w:val="99"/>
    <w:semiHidden/>
    <w:unhideWhenUsed/>
    <w:rsid w:val="007E6F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8617">
      <w:bodyDiv w:val="1"/>
      <w:marLeft w:val="0"/>
      <w:marRight w:val="0"/>
      <w:marTop w:val="0"/>
      <w:marBottom w:val="0"/>
      <w:divBdr>
        <w:top w:val="none" w:sz="0" w:space="0" w:color="auto"/>
        <w:left w:val="none" w:sz="0" w:space="0" w:color="auto"/>
        <w:bottom w:val="none" w:sz="0" w:space="0" w:color="auto"/>
        <w:right w:val="none" w:sz="0" w:space="0" w:color="auto"/>
      </w:divBdr>
    </w:div>
    <w:div w:id="10225860">
      <w:bodyDiv w:val="1"/>
      <w:marLeft w:val="0"/>
      <w:marRight w:val="0"/>
      <w:marTop w:val="0"/>
      <w:marBottom w:val="0"/>
      <w:divBdr>
        <w:top w:val="none" w:sz="0" w:space="0" w:color="auto"/>
        <w:left w:val="none" w:sz="0" w:space="0" w:color="auto"/>
        <w:bottom w:val="none" w:sz="0" w:space="0" w:color="auto"/>
        <w:right w:val="none" w:sz="0" w:space="0" w:color="auto"/>
      </w:divBdr>
    </w:div>
    <w:div w:id="28529171">
      <w:bodyDiv w:val="1"/>
      <w:marLeft w:val="0"/>
      <w:marRight w:val="0"/>
      <w:marTop w:val="0"/>
      <w:marBottom w:val="0"/>
      <w:divBdr>
        <w:top w:val="none" w:sz="0" w:space="0" w:color="auto"/>
        <w:left w:val="none" w:sz="0" w:space="0" w:color="auto"/>
        <w:bottom w:val="none" w:sz="0" w:space="0" w:color="auto"/>
        <w:right w:val="none" w:sz="0" w:space="0" w:color="auto"/>
      </w:divBdr>
    </w:div>
    <w:div w:id="58066773">
      <w:bodyDiv w:val="1"/>
      <w:marLeft w:val="0"/>
      <w:marRight w:val="0"/>
      <w:marTop w:val="0"/>
      <w:marBottom w:val="0"/>
      <w:divBdr>
        <w:top w:val="none" w:sz="0" w:space="0" w:color="auto"/>
        <w:left w:val="none" w:sz="0" w:space="0" w:color="auto"/>
        <w:bottom w:val="none" w:sz="0" w:space="0" w:color="auto"/>
        <w:right w:val="none" w:sz="0" w:space="0" w:color="auto"/>
      </w:divBdr>
    </w:div>
    <w:div w:id="163907944">
      <w:bodyDiv w:val="1"/>
      <w:marLeft w:val="0"/>
      <w:marRight w:val="0"/>
      <w:marTop w:val="0"/>
      <w:marBottom w:val="0"/>
      <w:divBdr>
        <w:top w:val="none" w:sz="0" w:space="0" w:color="auto"/>
        <w:left w:val="none" w:sz="0" w:space="0" w:color="auto"/>
        <w:bottom w:val="none" w:sz="0" w:space="0" w:color="auto"/>
        <w:right w:val="none" w:sz="0" w:space="0" w:color="auto"/>
      </w:divBdr>
    </w:div>
    <w:div w:id="177282410">
      <w:bodyDiv w:val="1"/>
      <w:marLeft w:val="0"/>
      <w:marRight w:val="0"/>
      <w:marTop w:val="0"/>
      <w:marBottom w:val="0"/>
      <w:divBdr>
        <w:top w:val="none" w:sz="0" w:space="0" w:color="auto"/>
        <w:left w:val="none" w:sz="0" w:space="0" w:color="auto"/>
        <w:bottom w:val="none" w:sz="0" w:space="0" w:color="auto"/>
        <w:right w:val="none" w:sz="0" w:space="0" w:color="auto"/>
      </w:divBdr>
    </w:div>
    <w:div w:id="222445502">
      <w:bodyDiv w:val="1"/>
      <w:marLeft w:val="0"/>
      <w:marRight w:val="0"/>
      <w:marTop w:val="0"/>
      <w:marBottom w:val="0"/>
      <w:divBdr>
        <w:top w:val="none" w:sz="0" w:space="0" w:color="auto"/>
        <w:left w:val="none" w:sz="0" w:space="0" w:color="auto"/>
        <w:bottom w:val="none" w:sz="0" w:space="0" w:color="auto"/>
        <w:right w:val="none" w:sz="0" w:space="0" w:color="auto"/>
      </w:divBdr>
    </w:div>
    <w:div w:id="300380484">
      <w:bodyDiv w:val="1"/>
      <w:marLeft w:val="0"/>
      <w:marRight w:val="0"/>
      <w:marTop w:val="0"/>
      <w:marBottom w:val="0"/>
      <w:divBdr>
        <w:top w:val="none" w:sz="0" w:space="0" w:color="auto"/>
        <w:left w:val="none" w:sz="0" w:space="0" w:color="auto"/>
        <w:bottom w:val="none" w:sz="0" w:space="0" w:color="auto"/>
        <w:right w:val="none" w:sz="0" w:space="0" w:color="auto"/>
      </w:divBdr>
    </w:div>
    <w:div w:id="348607359">
      <w:bodyDiv w:val="1"/>
      <w:marLeft w:val="0"/>
      <w:marRight w:val="0"/>
      <w:marTop w:val="0"/>
      <w:marBottom w:val="0"/>
      <w:divBdr>
        <w:top w:val="none" w:sz="0" w:space="0" w:color="auto"/>
        <w:left w:val="none" w:sz="0" w:space="0" w:color="auto"/>
        <w:bottom w:val="none" w:sz="0" w:space="0" w:color="auto"/>
        <w:right w:val="none" w:sz="0" w:space="0" w:color="auto"/>
      </w:divBdr>
    </w:div>
    <w:div w:id="444007370">
      <w:bodyDiv w:val="1"/>
      <w:marLeft w:val="0"/>
      <w:marRight w:val="0"/>
      <w:marTop w:val="0"/>
      <w:marBottom w:val="0"/>
      <w:divBdr>
        <w:top w:val="none" w:sz="0" w:space="0" w:color="auto"/>
        <w:left w:val="none" w:sz="0" w:space="0" w:color="auto"/>
        <w:bottom w:val="none" w:sz="0" w:space="0" w:color="auto"/>
        <w:right w:val="none" w:sz="0" w:space="0" w:color="auto"/>
      </w:divBdr>
    </w:div>
    <w:div w:id="581453810">
      <w:bodyDiv w:val="1"/>
      <w:marLeft w:val="0"/>
      <w:marRight w:val="0"/>
      <w:marTop w:val="0"/>
      <w:marBottom w:val="0"/>
      <w:divBdr>
        <w:top w:val="none" w:sz="0" w:space="0" w:color="auto"/>
        <w:left w:val="none" w:sz="0" w:space="0" w:color="auto"/>
        <w:bottom w:val="none" w:sz="0" w:space="0" w:color="auto"/>
        <w:right w:val="none" w:sz="0" w:space="0" w:color="auto"/>
      </w:divBdr>
    </w:div>
    <w:div w:id="611010215">
      <w:bodyDiv w:val="1"/>
      <w:marLeft w:val="0"/>
      <w:marRight w:val="0"/>
      <w:marTop w:val="0"/>
      <w:marBottom w:val="0"/>
      <w:divBdr>
        <w:top w:val="none" w:sz="0" w:space="0" w:color="auto"/>
        <w:left w:val="none" w:sz="0" w:space="0" w:color="auto"/>
        <w:bottom w:val="none" w:sz="0" w:space="0" w:color="auto"/>
        <w:right w:val="none" w:sz="0" w:space="0" w:color="auto"/>
      </w:divBdr>
    </w:div>
    <w:div w:id="941912761">
      <w:bodyDiv w:val="1"/>
      <w:marLeft w:val="0"/>
      <w:marRight w:val="0"/>
      <w:marTop w:val="0"/>
      <w:marBottom w:val="0"/>
      <w:divBdr>
        <w:top w:val="none" w:sz="0" w:space="0" w:color="auto"/>
        <w:left w:val="none" w:sz="0" w:space="0" w:color="auto"/>
        <w:bottom w:val="none" w:sz="0" w:space="0" w:color="auto"/>
        <w:right w:val="none" w:sz="0" w:space="0" w:color="auto"/>
      </w:divBdr>
    </w:div>
    <w:div w:id="1014571685">
      <w:bodyDiv w:val="1"/>
      <w:marLeft w:val="0"/>
      <w:marRight w:val="0"/>
      <w:marTop w:val="0"/>
      <w:marBottom w:val="0"/>
      <w:divBdr>
        <w:top w:val="none" w:sz="0" w:space="0" w:color="auto"/>
        <w:left w:val="none" w:sz="0" w:space="0" w:color="auto"/>
        <w:bottom w:val="none" w:sz="0" w:space="0" w:color="auto"/>
        <w:right w:val="none" w:sz="0" w:space="0" w:color="auto"/>
      </w:divBdr>
    </w:div>
    <w:div w:id="1035933877">
      <w:bodyDiv w:val="1"/>
      <w:marLeft w:val="0"/>
      <w:marRight w:val="0"/>
      <w:marTop w:val="0"/>
      <w:marBottom w:val="0"/>
      <w:divBdr>
        <w:top w:val="none" w:sz="0" w:space="0" w:color="auto"/>
        <w:left w:val="none" w:sz="0" w:space="0" w:color="auto"/>
        <w:bottom w:val="none" w:sz="0" w:space="0" w:color="auto"/>
        <w:right w:val="none" w:sz="0" w:space="0" w:color="auto"/>
      </w:divBdr>
    </w:div>
    <w:div w:id="1057389141">
      <w:bodyDiv w:val="1"/>
      <w:marLeft w:val="0"/>
      <w:marRight w:val="0"/>
      <w:marTop w:val="0"/>
      <w:marBottom w:val="0"/>
      <w:divBdr>
        <w:top w:val="none" w:sz="0" w:space="0" w:color="auto"/>
        <w:left w:val="none" w:sz="0" w:space="0" w:color="auto"/>
        <w:bottom w:val="none" w:sz="0" w:space="0" w:color="auto"/>
        <w:right w:val="none" w:sz="0" w:space="0" w:color="auto"/>
      </w:divBdr>
    </w:div>
    <w:div w:id="1086609734">
      <w:bodyDiv w:val="1"/>
      <w:marLeft w:val="0"/>
      <w:marRight w:val="0"/>
      <w:marTop w:val="0"/>
      <w:marBottom w:val="0"/>
      <w:divBdr>
        <w:top w:val="none" w:sz="0" w:space="0" w:color="auto"/>
        <w:left w:val="none" w:sz="0" w:space="0" w:color="auto"/>
        <w:bottom w:val="none" w:sz="0" w:space="0" w:color="auto"/>
        <w:right w:val="none" w:sz="0" w:space="0" w:color="auto"/>
      </w:divBdr>
    </w:div>
    <w:div w:id="1182864889">
      <w:bodyDiv w:val="1"/>
      <w:marLeft w:val="0"/>
      <w:marRight w:val="0"/>
      <w:marTop w:val="0"/>
      <w:marBottom w:val="0"/>
      <w:divBdr>
        <w:top w:val="none" w:sz="0" w:space="0" w:color="auto"/>
        <w:left w:val="none" w:sz="0" w:space="0" w:color="auto"/>
        <w:bottom w:val="none" w:sz="0" w:space="0" w:color="auto"/>
        <w:right w:val="none" w:sz="0" w:space="0" w:color="auto"/>
      </w:divBdr>
    </w:div>
    <w:div w:id="1342008572">
      <w:bodyDiv w:val="1"/>
      <w:marLeft w:val="0"/>
      <w:marRight w:val="0"/>
      <w:marTop w:val="0"/>
      <w:marBottom w:val="0"/>
      <w:divBdr>
        <w:top w:val="none" w:sz="0" w:space="0" w:color="auto"/>
        <w:left w:val="none" w:sz="0" w:space="0" w:color="auto"/>
        <w:bottom w:val="none" w:sz="0" w:space="0" w:color="auto"/>
        <w:right w:val="none" w:sz="0" w:space="0" w:color="auto"/>
      </w:divBdr>
    </w:div>
    <w:div w:id="1437210530">
      <w:bodyDiv w:val="1"/>
      <w:marLeft w:val="0"/>
      <w:marRight w:val="0"/>
      <w:marTop w:val="0"/>
      <w:marBottom w:val="0"/>
      <w:divBdr>
        <w:top w:val="none" w:sz="0" w:space="0" w:color="auto"/>
        <w:left w:val="none" w:sz="0" w:space="0" w:color="auto"/>
        <w:bottom w:val="none" w:sz="0" w:space="0" w:color="auto"/>
        <w:right w:val="none" w:sz="0" w:space="0" w:color="auto"/>
      </w:divBdr>
    </w:div>
    <w:div w:id="1506431132">
      <w:bodyDiv w:val="1"/>
      <w:marLeft w:val="0"/>
      <w:marRight w:val="0"/>
      <w:marTop w:val="0"/>
      <w:marBottom w:val="0"/>
      <w:divBdr>
        <w:top w:val="none" w:sz="0" w:space="0" w:color="auto"/>
        <w:left w:val="none" w:sz="0" w:space="0" w:color="auto"/>
        <w:bottom w:val="none" w:sz="0" w:space="0" w:color="auto"/>
        <w:right w:val="none" w:sz="0" w:space="0" w:color="auto"/>
      </w:divBdr>
    </w:div>
    <w:div w:id="1678921958">
      <w:bodyDiv w:val="1"/>
      <w:marLeft w:val="0"/>
      <w:marRight w:val="0"/>
      <w:marTop w:val="0"/>
      <w:marBottom w:val="0"/>
      <w:divBdr>
        <w:top w:val="none" w:sz="0" w:space="0" w:color="auto"/>
        <w:left w:val="none" w:sz="0" w:space="0" w:color="auto"/>
        <w:bottom w:val="none" w:sz="0" w:space="0" w:color="auto"/>
        <w:right w:val="none" w:sz="0" w:space="0" w:color="auto"/>
      </w:divBdr>
    </w:div>
    <w:div w:id="1893033929">
      <w:bodyDiv w:val="1"/>
      <w:marLeft w:val="0"/>
      <w:marRight w:val="0"/>
      <w:marTop w:val="0"/>
      <w:marBottom w:val="0"/>
      <w:divBdr>
        <w:top w:val="none" w:sz="0" w:space="0" w:color="auto"/>
        <w:left w:val="none" w:sz="0" w:space="0" w:color="auto"/>
        <w:bottom w:val="none" w:sz="0" w:space="0" w:color="auto"/>
        <w:right w:val="none" w:sz="0" w:space="0" w:color="auto"/>
      </w:divBdr>
    </w:div>
    <w:div w:id="1943032054">
      <w:bodyDiv w:val="1"/>
      <w:marLeft w:val="0"/>
      <w:marRight w:val="0"/>
      <w:marTop w:val="0"/>
      <w:marBottom w:val="0"/>
      <w:divBdr>
        <w:top w:val="none" w:sz="0" w:space="0" w:color="auto"/>
        <w:left w:val="none" w:sz="0" w:space="0" w:color="auto"/>
        <w:bottom w:val="none" w:sz="0" w:space="0" w:color="auto"/>
        <w:right w:val="none" w:sz="0" w:space="0" w:color="auto"/>
      </w:divBdr>
    </w:div>
    <w:div w:id="2114352361">
      <w:bodyDiv w:val="1"/>
      <w:marLeft w:val="0"/>
      <w:marRight w:val="0"/>
      <w:marTop w:val="0"/>
      <w:marBottom w:val="0"/>
      <w:divBdr>
        <w:top w:val="none" w:sz="0" w:space="0" w:color="auto"/>
        <w:left w:val="none" w:sz="0" w:space="0" w:color="auto"/>
        <w:bottom w:val="none" w:sz="0" w:space="0" w:color="auto"/>
        <w:right w:val="none" w:sz="0" w:space="0" w:color="auto"/>
      </w:divBdr>
    </w:div>
    <w:div w:id="2138525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Ann08</b:Tag>
    <b:SourceType>Report</b:SourceType>
    <b:Guid>{0D115D8D-1064-4C27-B06B-426EA5389929}</b:Guid>
    <b:Title>Regulating Complementary Medical Practitioners - An international review</b:Title>
    <b:Year>2008</b:Year>
    <b:Publisher>Kings Fund </b:Publisher>
    <b:City>London</b:City>
    <b:Author>
      <b:Author>
        <b:NameList>
          <b:Person>
            <b:Last>Dixon</b:Last>
            <b:First>Anna</b:First>
          </b:Person>
        </b:NameList>
      </b:Author>
    </b:Author>
    <b:RefOrder>1</b:RefOrder>
  </b:Source>
  <b:Source>
    <b:Tag>Fre03</b:Tag>
    <b:SourceType>JournalArticle</b:SourceType>
    <b:Guid>{74A58B63-DE80-4852-AB7A-42CC01C23052}</b:Guid>
    <b:Title>An approach for integrating complementary– alternative medicine into primary care</b:Title>
    <b:Year>2003</b:Year>
    <b:Pages>324-332</b:Pages>
    <b:Volume>20</b:Volume>
    <b:Issue>3</b:Issue>
    <b:Author>
      <b:Author>
        <b:NameList>
          <b:Person>
            <b:Last>Frenkel</b:Last>
            <b:Middle>A</b:Middle>
            <b:First>Moshe </b:First>
          </b:Person>
          <b:Person>
            <b:Last>Borkan</b:Last>
            <b:Middle>M</b:Middle>
            <b:First>Jeffrey</b:First>
          </b:Person>
        </b:NameList>
      </b:Author>
    </b:Author>
    <b:JournalName>Family Practice</b:JournalName>
    <b:RefOrder>2</b:RefOrder>
  </b:Source>
  <b:Source>
    <b:Tag>Wie11</b:Tag>
    <b:SourceType>JournalArticle</b:SourceType>
    <b:Guid>{BF1E6657-3458-4F25-B2BD-99DF42FA1D04}</b:Guid>
    <b:Title>Development and Classification of an Operational Definition of Complementary and Alternative Medicine for the Cochrane Collaboration</b:Title>
    <b:JournalName>Alternative Therapies in Health and Medicine</b:JournalName>
    <b:Year>2011</b:Year>
    <b:Pages>50-59</b:Pages>
    <b:Volume>17</b:Volume>
    <b:Issue>2</b:Issue>
    <b:Author>
      <b:Author>
        <b:NameList>
          <b:Person>
            <b:Last>Wieland</b:Last>
            <b:Middle>S</b:Middle>
            <b:First>L</b:First>
          </b:Person>
          <b:Person>
            <b:Last>Manheimer</b:Last>
            <b:First>E</b:First>
          </b:Person>
          <b:Person>
            <b:Last>Berman</b:Last>
            <b:Middle>M</b:Middle>
            <b:First>B</b:First>
          </b:Person>
        </b:NameList>
      </b:Author>
    </b:Author>
    <b:RefOrder>3</b:RefOrder>
  </b:Source>
  <b:Source>
    <b:Tag>Wor00</b:Tag>
    <b:SourceType>Report</b:SourceType>
    <b:Guid>{E4A55731-AB45-4EE1-8F97-71426EB9ACBC}</b:Guid>
    <b:Author>
      <b:Author>
        <b:Corporate>World Health Organization</b:Corporate>
      </b:Author>
    </b:Author>
    <b:Title>General Guidelines for Methodologies on Research and Evaluation of Traditional Medicine</b:Title>
    <b:Year>2000</b:Year>
    <b:City>Geneva</b:City>
    <b:Publisher>World Health Organization</b:Publisher>
    <b:RefOrder>4</b:RefOrder>
  </b:Source>
  <b:Source>
    <b:Tag>Lin10</b:Tag>
    <b:SourceType>Book</b:SourceType>
    <b:Guid>{19D8BE5D-8DF6-4114-9A0C-DC45D9CABD57}</b:Guid>
    <b:Title>Complementary and Alternative Therapies in Nursing</b:Title>
    <b:Year>2010</b:Year>
    <b:Publisher>Springer</b:Publisher>
    <b:City>New York</b:City>
    <b:Edition>8</b:Edition>
    <b:Author>
      <b:Author>
        <b:NameList>
          <b:Person>
            <b:Last>Lindquist</b:Last>
            <b:First>Ruth</b:First>
          </b:Person>
          <b:Person>
            <b:Last>Snyder</b:Last>
            <b:First>Mariah</b:First>
          </b:Person>
        </b:NameList>
      </b:Author>
    </b:Author>
    <b:RefOrder>5</b:RefOrder>
  </b:Source>
  <b:Source>
    <b:Tag>Har00</b:Tag>
    <b:SourceType>JournalArticle</b:SourceType>
    <b:Guid>{5A4AF5E3-427C-45FE-ADFB-F461697891A3}</b:Guid>
    <b:Title>The prevalence of complementary and alternative medicine use among the general population: A systemativ review of the literature</b:Title>
    <b:Year>200</b:Year>
    <b:JournalName>Complementary Therapies in Medicine</b:JournalName>
    <b:Pages>88-96</b:Pages>
    <b:Volume>8</b:Volume>
    <b:Issue>2</b:Issue>
    <b:Author>
      <b:Author>
        <b:NameList>
          <b:Person>
            <b:Last>Harris</b:Last>
            <b:First>P</b:First>
          </b:Person>
          <b:Person>
            <b:Last>Rees</b:Last>
            <b:First>R</b:First>
          </b:Person>
        </b:NameList>
      </b:Author>
    </b:Author>
    <b:RefOrder>6</b:RefOrder>
  </b:Source>
  <b:Source>
    <b:Tag>Abb05</b:Tag>
    <b:SourceType>JournalArticle</b:SourceType>
    <b:Guid>{D0C93C7E-4E16-4B86-8F15-45BE69C6DC23}</b:Guid>
    <b:Author>
      <b:Author>
        <b:NameList>
          <b:Person>
            <b:Last>Abbott</b:Last>
            <b:First>Alison</b:First>
          </b:Person>
        </b:NameList>
      </b:Author>
    </b:Author>
    <b:Title>Survey questions safety of alternative medicine</b:Title>
    <b:JournalName>Nature</b:JournalName>
    <b:Year>2005</b:Year>
    <b:Pages>898</b:Pages>
    <b:Volume>436</b:Volume>
    <b:Issue>18</b:Issue>
    <b:RefOrder>7</b:RefOrder>
  </b:Source>
  <b:Source>
    <b:Tag>Gen13</b:Tag>
    <b:SourceType>Report</b:SourceType>
    <b:Guid>{ED6403D7-7AD2-4337-82E8-7B11F398D1AA}</b:Guid>
    <b:Title>The Code: Standards of conduct, performance and ethics for chiropractors </b:Title>
    <b:Year>2016</b:Year>
    <b:Author>
      <b:Author>
        <b:Corporate>General Chiropractic Council</b:Corporate>
      </b:Author>
    </b:Author>
    <b:Publisher>General Chiropractic Council</b:Publisher>
    <b:City>London</b:City>
    <b:RefOrder>8</b:RefOrder>
  </b:Source>
  <b:Source>
    <b:Tag>Mil01</b:Tag>
    <b:SourceType>JournalArticle</b:SourceType>
    <b:Guid>{4D72234E-BCEC-4A16-9884-A352976C4BCD}</b:Guid>
    <b:Title>Regulation in complementary and alternative medicine</b:Title>
    <b:Year>2001</b:Year>
    <b:Pages>158-160</b:Pages>
    <b:Volume>332</b:Volume>
    <b:Issue>7279</b:Issue>
    <b:Author>
      <b:Author>
        <b:NameList>
          <b:Person>
            <b:Last>Mills</b:Last>
            <b:Middle>Y</b:Middle>
            <b:First>Simon</b:First>
          </b:Person>
        </b:NameList>
      </b:Author>
    </b:Author>
    <b:RefOrder>9</b:RefOrder>
  </b:Source>
  <b:Source>
    <b:Tag>The19</b:Tag>
    <b:SourceType>DocumentFromInternetSite</b:SourceType>
    <b:Guid>{73572C26-31DA-43D6-9569-2F8FC515135A}</b:Guid>
    <b:Title>History of the Regulation of Complementary and Alternative Medicine in the United Kingdom</b:Title>
    <b:Year>2019</b:Year>
    <b:Author>
      <b:Author>
        <b:Corporate>The Federation of Nutritional Therapy Practitioners</b:Corporate>
      </b:Author>
    </b:Author>
    <b:Month>Jan</b:Month>
    <b:Day>01</b:Day>
    <b:YearAccessed>2019</b:YearAccessed>
    <b:MonthAccessed>Jan</b:MonthAccessed>
    <b:DayAccessed>06</b:DayAccessed>
    <b:URL>http://www.fntp.org.uk/history-of-regulation/</b:URL>
    <b:RefOrder>10</b:RefOrder>
  </b:Source>
  <b:Source>
    <b:Tag>Wal02</b:Tag>
    <b:SourceType>JournalArticle</b:SourceType>
    <b:Guid>{83F5C235-6895-4E6E-9BA1-0D2128CAE3C1}</b:Guid>
    <b:Title>UK: the current state of regulation of complementary and alternative medicine</b:Title>
    <b:Year>2002</b:Year>
    <b:JournalName>Complementary Therapies in Medicine</b:JournalName>
    <b:Pages>8-13</b:Pages>
    <b:Volume>10</b:Volume>
    <b:Issue>1</b:Issue>
    <b:Author>
      <b:Author>
        <b:NameList>
          <b:Person>
            <b:Last>Walker</b:Last>
            <b:Middle>A</b:Middle>
            <b:First>L</b:First>
          </b:Person>
          <b:Person>
            <b:Last>Budd</b:Last>
            <b:First>S</b:First>
          </b:Person>
        </b:NameList>
      </b:Author>
    </b:Author>
    <b:RefOrder>11</b:RefOrder>
  </b:Source>
  <b:Source>
    <b:Tag>Mil96</b:Tag>
    <b:SourceType>JournalArticle</b:SourceType>
    <b:Guid>{32C1DB77-F3B7-4935-A65F-776C45771CB3}</b:Guid>
    <b:Title>Safety awareness in complementary medicine </b:Title>
    <b:JournalName>Complementary Therapies in Medicine</b:JournalName>
    <b:Year>1996</b:Year>
    <b:Pages>48-51</b:Pages>
    <b:Volume>4</b:Volume>
    <b:Issue>1</b:Issue>
    <b:Author>
      <b:Author>
        <b:NameList>
          <b:Person>
            <b:Last>Mills</b:Last>
            <b:Middle>Y</b:Middle>
            <b:First>S</b:First>
          </b:Person>
        </b:NameList>
      </b:Author>
    </b:Author>
    <b:RefOrder>12</b:RefOrder>
  </b:Source>
  <b:Source>
    <b:Tag>Wor01</b:Tag>
    <b:SourceType>Report</b:SourceType>
    <b:Guid>{AA49B0F2-656A-41F2-8E40-59A46F4802E0}</b:Guid>
    <b:Title>Legal Status of Traditional Medicine and Complementary/Alternative Medicine: A Worldwide Review</b:Title>
    <b:Year>2001</b:Year>
    <b:Author>
      <b:Author>
        <b:Corporate>World Health Organisation</b:Corporate>
      </b:Author>
    </b:Author>
    <b:City>Switzerland</b:City>
    <b:Publisher>World Health Organisation</b:Publisher>
    <b:RefOrder>13</b:RefOrder>
  </b:Source>
  <b:Source>
    <b:Tag>Met10</b:Tag>
    <b:SourceType>JournalArticle</b:SourceType>
    <b:Guid>{31D13966-B492-4ED2-8627-7C21178D15F6}</b:Guid>
    <b:Title>Use of complementary and alternative medicine by those with a chronic disease and the general population - results of a national population based survey.</b:Title>
    <b:Year>2010</b:Year>
    <b:Author>
      <b:Author>
        <b:NameList>
          <b:Person>
            <b:Last>Metcalfe</b:Last>
            <b:First>A</b:First>
          </b:Person>
          <b:Person>
            <b:Last>Williams</b:Last>
            <b:First>J</b:First>
          </b:Person>
          <b:Person>
            <b:Last>McChesney</b:Last>
            <b:First>J</b:First>
          </b:Person>
          <b:Person>
            <b:Last>Patten</b:Last>
            <b:First>S</b:First>
          </b:Person>
          <b:Person>
            <b:Last>Jette</b:Last>
            <b:First>N</b:First>
          </b:Person>
        </b:NameList>
      </b:Author>
    </b:Author>
    <b:Pages>58</b:Pages>
    <b:Volume>10</b:Volume>
    <b:Issue>1</b:Issue>
    <b:RefOrder>14</b:RefOrder>
  </b:Source>
  <b:Source>
    <b:Tag>Say04</b:Tag>
    <b:SourceType>JournalArticle</b:SourceType>
    <b:Guid>{67ECD488-0CE4-45B1-8D89-3BC53000EFAE}</b:Guid>
    <b:Title>Use of complementary and alternative medicine among adults with chronic diseases : United States, 2002</b:Title>
    <b:JournalName>Seminars in Integrative Medicine</b:JournalName>
    <b:Year>2004</b:Year>
    <b:Pages>54-71</b:Pages>
    <b:Volume>2</b:Volume>
    <b:Issue>2</b:Issue>
    <b:Author>
      <b:Author>
        <b:NameList>
          <b:Person>
            <b:Last>Saydah</b:Last>
            <b:Middle>H</b:Middle>
            <b:First>S</b:First>
          </b:Person>
          <b:Person>
            <b:Last>Eberhardt</b:Last>
            <b:Middle>S</b:Middle>
            <b:First>M</b:First>
          </b:Person>
        </b:NameList>
      </b:Author>
    </b:Author>
    <b:RefOrder>15</b:RefOrder>
  </b:Source>
  <b:Source>
    <b:Tag>See01</b:Tag>
    <b:SourceType>JournalArticle</b:SourceType>
    <b:Guid>{BBE5988B-3232-4F8C-8126-B70C3F3032A5}</b:Guid>
    <b:Title>Complementary and alternative medicine in chronic liver disease</b:Title>
    <b:JournalName>Special Article </b:JournalName>
    <b:Year>2001</b:Year>
    <b:Pages>595-603</b:Pages>
    <b:Volume>34</b:Volume>
    <b:Issue>3</b:Issue>
    <b:Author>
      <b:Author>
        <b:NameList>
          <b:Person>
            <b:Last>Seeff</b:Last>
            <b:Middle>B</b:Middle>
            <b:First>Leonard</b:First>
          </b:Person>
          <b:Person>
            <b:Last>Lindsay</b:Last>
            <b:Middle>L</b:Middle>
            <b:First>Karen</b:First>
          </b:Person>
          <b:Person>
            <b:Last>Bacon</b:Last>
            <b:Middle>R</b:Middle>
            <b:First>Bruce</b:First>
          </b:Person>
          <b:Person>
            <b:Last>Kresina</b:Last>
            <b:Middle>F</b:Middle>
            <b:First>Thomas </b:First>
          </b:Person>
        </b:NameList>
      </b:Author>
    </b:Author>
    <b:RefOrder>16</b:RefOrder>
  </b:Source>
  <b:Source>
    <b:Tag>Wor02</b:Tag>
    <b:SourceType>Report</b:SourceType>
    <b:Guid>{FBDF267C-4350-4FAF-AC81-E476CCEB01AA}</b:Guid>
    <b:Title>Traditional Medicine Stategy</b:Title>
    <b:Year>2002</b:Year>
    <b:City>Geneva</b:City>
    <b:Publisher>World Health Organisation</b:Publisher>
    <b:Author>
      <b:Author>
        <b:Corporate>World Health Organisation</b:Corporate>
      </b:Author>
    </b:Author>
    <b:RefOrder>17</b:RefOrder>
  </b:Source>
  <b:Source>
    <b:Tag>Hil13</b:Tag>
    <b:SourceType>JournalArticle</b:SourceType>
    <b:Guid>{BA184283-20C7-4CD9-AD8E-5FD763FB10B5}</b:Guid>
    <b:Title>Complementary health therapies: Moving towards an integrated health model</b:Title>
    <b:Year>2013</b:Year>
    <b:JournalName>Elsevier</b:JournalName>
    <b:Pages>51-60</b:Pages>
    <b:Volume>20</b:Volume>
    <b:Issue>1</b:Issue>
    <b:Author>
      <b:Author>
        <b:NameList>
          <b:Person>
            <b:Last>Hilbers</b:Last>
            <b:First>Julieanne</b:First>
          </b:Person>
          <b:Person>
            <b:Last>Lewis</b:Last>
            <b:First>Craig</b:First>
          </b:Person>
        </b:NameList>
      </b:Author>
    </b:Author>
    <b:RefOrder>18</b:RefOrder>
  </b:Source>
  <b:Source>
    <b:Tag>Gar11</b:Tag>
    <b:SourceType>JournalArticle</b:SourceType>
    <b:Guid>{552B8E1A-1019-42E4-BAB8-A3AAA3629F71}</b:Guid>
    <b:Title>he lack of knowledge about the voluntary reporting system of adverse drug reactions as a major cause of underreporting: direct survey among health professionals</b:Title>
    <b:JournalName>Pharmacoepidemiol Drug Safety</b:JournalName>
    <b:Year>2011</b:Year>
    <b:Pages>1295-1302</b:Pages>
    <b:Volume>20</b:Volume>
    <b:Issue>12</b:Issue>
    <b:Author>
      <b:Author>
        <b:NameList>
          <b:Person>
            <b:Last>Garcia</b:Last>
            <b:First>Perez</b:First>
          </b:Person>
          <b:Person>
            <b:Last>Figueras</b:Last>
            <b:First>A</b:First>
          </b:Person>
        </b:NameList>
      </b:Author>
    </b:Author>
    <b:RefOrder>19</b:RefOrder>
  </b:Source>
  <b:Source>
    <b:Tag>Val02</b:Tag>
    <b:SourceType>JournalArticle</b:SourceType>
    <b:Guid>{08A05219-7C7D-45E8-9C14-A7ACDF7D2F5E}</b:Guid>
    <b:Title>Benefits adverse effects and drug interactions of herbal therapies with cardiovascular effects</b:Title>
    <b:JournalName>Journal of the American College of Cardiology</b:JournalName>
    <b:Year>2002</b:Year>
    <b:Pages>1083-1095</b:Pages>
    <b:Volume>39</b:Volume>
    <b:Issue>7</b:Issue>
    <b:Author>
      <b:Author>
        <b:NameList>
          <b:Person>
            <b:Last>Valli</b:Last>
            <b:First>G</b:First>
          </b:Person>
          <b:Person>
            <b:Last>Giardina</b:Last>
            <b:Middle>G</b:Middle>
            <b:First>E</b:First>
          </b:Person>
        </b:NameList>
      </b:Author>
    </b:Author>
    <b:RefOrder>20</b:RefOrder>
  </b:Source>
  <b:Source>
    <b:Tag>Sib16</b:Tag>
    <b:SourceType>JournalArticle</b:SourceType>
    <b:Guid>{17F1CB3F-DF32-4132-B832-296064837121}</b:Guid>
    <b:Title>The failure of contemporary law and regulation to keep pace with growing complementary medicine (CM) use: The significance of examining ‘hidden’ gaps in Australia's current regulatory and legislative infrastructure</b:Title>
    <b:JournalName>Advances in Integrative Medicine</b:JournalName>
    <b:Year>2016</b:Year>
    <b:Pages>43-44</b:Pages>
    <b:Volume>3</b:Volume>
    <b:Issue>2</b:Issue>
    <b:Author>
      <b:Author>
        <b:NameList>
          <b:Person>
            <b:Last>Sibbritt</b:Last>
            <b:First>David</b:First>
          </b:Person>
          <b:Person>
            <b:Last>Millbank</b:Last>
            <b:First>Jenni</b:First>
          </b:Person>
          <b:Person>
            <b:Last>Stuhmcke</b:Last>
            <b:First>Anita</b:First>
          </b:Person>
          <b:Person>
            <b:Last>Kaye</b:Last>
            <b:First>Miranda</b:First>
          </b:Person>
          <b:Person>
            <b:Last>Karpin</b:Last>
            <b:First>Isabel</b:First>
          </b:Person>
          <b:Person>
            <b:Last>Wardle</b:Last>
            <b:First>Jon</b:First>
          </b:Person>
        </b:NameList>
      </b:Author>
    </b:Author>
    <b:RefOrder>21</b:RefOrder>
  </b:Source>
  <b:Source>
    <b:Tag>War14</b:Tag>
    <b:SourceType>JournalArticle</b:SourceType>
    <b:Guid>{B17C88AE-1AE0-48C2-81F9-D26407C30E14}</b:Guid>
    <b:Title>Holding unregistered health practitioners to account: an analysis of current regulatory and legislative approaches</b:Title>
    <b:JournalName>J.Med Law</b:JournalName>
    <b:Year>2014</b:Year>
    <b:Pages>350-375</b:Pages>
    <b:Volume>22</b:Volume>
    <b:Issue>2</b:Issue>
    <b:Author>
      <b:Author>
        <b:NameList>
          <b:Person>
            <b:Last>Wardle</b:Last>
            <b:First>J</b:First>
          </b:Person>
        </b:NameList>
      </b:Author>
    </b:Author>
    <b:RefOrder>22</b:RefOrder>
  </b:Source>
  <b:Source>
    <b:Tag>Tab08</b:Tag>
    <b:SourceType>JournalArticle</b:SourceType>
    <b:Guid>{F3B902B3-9548-418C-B186-AE1CBE8EDE09}</b:Guid>
    <b:Title>Complementary and Alternative Healthcare: Is it Evidenced-based?</b:Title>
    <b:Year>2008</b:Year>
    <b:Author>
      <b:Author>
        <b:NameList>
          <b:Person>
            <b:Last>Tabisha </b:Last>
            <b:Middle>A</b:Middle>
            <b:First>S</b:First>
          </b:Person>
        </b:NameList>
      </b:Author>
    </b:Author>
    <b:JournalName>International Journal of Health Sciences</b:JournalName>
    <b:Pages>5-9</b:Pages>
    <b:Volume>2</b:Volume>
    <b:Issue>1</b:Issue>
    <b:RefOrder>23</b:RefOrder>
  </b:Source>
  <b:Source>
    <b:Tag>Mac14</b:Tag>
    <b:SourceType>JournalArticle</b:SourceType>
    <b:Guid>{C31422BD-BF33-4662-8734-099E953FD729}</b:Guid>
    <b:Title>The problem of complementary and alternative medicine use today: Eyes half closed?</b:Title>
    <b:JournalName> Qualitative Health Research</b:JournalName>
    <b:Year>2014</b:Year>
    <b:Pages>114-123</b:Pages>
    <b:Volume>1</b:Volume>
    <b:Author>
      <b:Author>
        <b:NameList>
          <b:Person>
            <b:Last>MacArtney</b:Last>
            <b:Middle>I</b:Middle>
            <b:First>J</b:First>
          </b:Person>
          <b:Person>
            <b:Last>Wahlberg</b:Last>
            <b:First>A</b:First>
          </b:Person>
        </b:NameList>
      </b:Author>
    </b:Author>
    <b:RefOrder>24</b:RefOrder>
  </b:Source>
  <b:Source>
    <b:Tag>Bar08</b:Tag>
    <b:SourceType>JournalArticle</b:SourceType>
    <b:Guid>{896CE7CE-A91F-49D5-A78D-35DFD1221D9F}</b:Guid>
    <b:Title>Complementary and alternative medicine use among adults and children: United States, 2007</b:Title>
    <b:JournalName>National Health Statistics Report</b:JournalName>
    <b:Year>2008</b:Year>
    <b:Pages>1-23</b:Pages>
    <b:Volume>12</b:Volume>
    <b:Author>
      <b:Author>
        <b:NameList>
          <b:Person>
            <b:Last>Barnes</b:Last>
            <b:Middle>M</b:Middle>
            <b:First>P</b:First>
          </b:Person>
          <b:Person>
            <b:Last>Bloom</b:Last>
            <b:First>B</b:First>
          </b:Person>
          <b:Person>
            <b:Last>Nahin</b:Last>
            <b:Middle>L</b:Middle>
            <b:First>R</b:First>
          </b:Person>
        </b:NameList>
      </b:Author>
    </b:Author>
    <b:RefOrder>25</b:RefOrder>
  </b:Source>
  <b:Source>
    <b:Tag>GRC19</b:Tag>
    <b:SourceType>InternetSite</b:SourceType>
    <b:Guid>{42C03CA9-6252-4742-857B-8EF44DDF9C28}</b:Guid>
    <b:Title>Welcome to the GRCCT - The UK Federal Regulator for Complementary Therapies</b:Title>
    <b:Year>2019</b:Year>
    <b:InternetSiteTitle>The General Regulatory Council for Complementary Therapies</b:InternetSiteTitle>
    <b:Month>Jan</b:Month>
    <b:Day>01</b:Day>
    <b:URL>http://www.grcct.org/about-us/</b:URL>
    <b:Author>
      <b:Author>
        <b:Corporate>GRCCT</b:Corporate>
      </b:Author>
    </b:Author>
    <b:YearAccessed>2019</b:YearAccessed>
    <b:MonthAccessed>February</b:MonthAccessed>
    <b:DayAccessed>14</b:DayAccessed>
    <b:RefOrder>26</b:RefOrder>
  </b:Source>
</b:Sources>
</file>

<file path=customXml/itemProps1.xml><?xml version="1.0" encoding="utf-8"?>
<ds:datastoreItem xmlns:ds="http://schemas.openxmlformats.org/officeDocument/2006/customXml" ds:itemID="{F8063EE8-6AC6-4453-B01B-73DC71C84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6</Pages>
  <Words>2445</Words>
  <Characters>13941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Evans (1706137)</dc:creator>
  <cp:keywords/>
  <dc:description/>
  <cp:lastModifiedBy>Diana Evans (1706137)</cp:lastModifiedBy>
  <cp:revision>503</cp:revision>
  <dcterms:created xsi:type="dcterms:W3CDTF">2019-01-03T18:49:00Z</dcterms:created>
  <dcterms:modified xsi:type="dcterms:W3CDTF">2019-02-14T12:21:00Z</dcterms:modified>
</cp:coreProperties>
</file>