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15572D" w14:textId="1F605A0B" w:rsidR="00A14052" w:rsidRPr="00877955" w:rsidRDefault="008E66D4" w:rsidP="00EB6065">
      <w:pPr>
        <w:rPr>
          <w:rFonts w:ascii="Calibri" w:hAnsi="Calibri" w:cs="Calibri"/>
        </w:rPr>
      </w:pPr>
      <w:r w:rsidRPr="00877955">
        <w:rPr>
          <w:rFonts w:ascii="Calibri" w:hAnsi="Calibri" w:cs="Calibri"/>
        </w:rPr>
        <w:t>Neve Pule 2219959</w:t>
      </w:r>
      <w:r w:rsidRPr="00877955">
        <w:rPr>
          <w:rFonts w:ascii="Calibri" w:hAnsi="Calibri" w:cs="Calibri"/>
        </w:rPr>
        <w:br/>
      </w:r>
      <w:r w:rsidR="00A14052" w:rsidRPr="00877955">
        <w:rPr>
          <w:rFonts w:ascii="Calibri" w:hAnsi="Calibri" w:cs="Calibri"/>
        </w:rPr>
        <w:t>Word count excl. footnotes</w:t>
      </w:r>
      <w:r w:rsidRPr="00877955">
        <w:rPr>
          <w:rFonts w:ascii="Calibri" w:hAnsi="Calibri" w:cs="Calibri"/>
        </w:rPr>
        <w:t xml:space="preserve"> and bibliography</w:t>
      </w:r>
      <w:r w:rsidR="00A14052" w:rsidRPr="00877955">
        <w:rPr>
          <w:rFonts w:ascii="Calibri" w:hAnsi="Calibri" w:cs="Calibri"/>
        </w:rPr>
        <w:t>: 3</w:t>
      </w:r>
      <w:r w:rsidR="00BC61DA" w:rsidRPr="00877955">
        <w:rPr>
          <w:rFonts w:ascii="Calibri" w:hAnsi="Calibri" w:cs="Calibri"/>
        </w:rPr>
        <w:t>661</w:t>
      </w:r>
    </w:p>
    <w:p w14:paraId="7CD10AF8" w14:textId="3816C711" w:rsidR="00857A13" w:rsidRPr="00877955" w:rsidRDefault="007D41E7" w:rsidP="00EB6065">
      <w:pPr>
        <w:rPr>
          <w:rFonts w:ascii="Calibri" w:hAnsi="Calibri" w:cs="Calibri"/>
          <w:b/>
          <w:bCs/>
          <w:sz w:val="24"/>
          <w:szCs w:val="24"/>
          <w:u w:val="single"/>
        </w:rPr>
      </w:pPr>
      <w:r w:rsidRPr="00877955">
        <w:rPr>
          <w:rFonts w:ascii="Calibri" w:hAnsi="Calibri" w:cs="Calibri"/>
          <w:b/>
          <w:bCs/>
          <w:sz w:val="24"/>
          <w:szCs w:val="24"/>
          <w:u w:val="single"/>
        </w:rPr>
        <w:t>“Most Dreaded Offspring”</w:t>
      </w:r>
      <w:r w:rsidR="00281C9C" w:rsidRPr="00877955">
        <w:rPr>
          <w:rFonts w:ascii="Calibri" w:hAnsi="Calibri" w:cs="Calibri"/>
          <w:b/>
          <w:bCs/>
          <w:sz w:val="24"/>
          <w:szCs w:val="24"/>
          <w:u w:val="single"/>
        </w:rPr>
        <w:t>: Male Control of Female Reproductive Power in Hesiod’s Theogony</w:t>
      </w:r>
    </w:p>
    <w:p w14:paraId="377B03AB" w14:textId="36EFBF5C" w:rsidR="00857A13" w:rsidRPr="00121376" w:rsidRDefault="00857A13" w:rsidP="00EB6065">
      <w:pPr>
        <w:rPr>
          <w:rFonts w:ascii="Calibri" w:hAnsi="Calibri" w:cs="Calibri"/>
        </w:rPr>
      </w:pPr>
      <w:r w:rsidRPr="00121376">
        <w:rPr>
          <w:rFonts w:ascii="Calibri" w:hAnsi="Calibri" w:cs="Calibri"/>
        </w:rPr>
        <w:t>Hesiod’s Theogony, written in</w:t>
      </w:r>
      <w:r w:rsidR="00101FC5" w:rsidRPr="00121376">
        <w:rPr>
          <w:rFonts w:ascii="Calibri" w:hAnsi="Calibri" w:cs="Calibri"/>
        </w:rPr>
        <w:t xml:space="preserve"> the </w:t>
      </w:r>
      <w:r w:rsidR="007D27AF" w:rsidRPr="00121376">
        <w:rPr>
          <w:rFonts w:ascii="Calibri" w:hAnsi="Calibri" w:cs="Calibri"/>
        </w:rPr>
        <w:t>eighth</w:t>
      </w:r>
      <w:r w:rsidR="00101FC5" w:rsidRPr="00121376">
        <w:rPr>
          <w:rFonts w:ascii="Calibri" w:hAnsi="Calibri" w:cs="Calibri"/>
        </w:rPr>
        <w:t xml:space="preserve"> century BCE, sets out the author’s genealogy of the major Greek gods and describes the structure of </w:t>
      </w:r>
      <w:r w:rsidR="007D27AF" w:rsidRPr="00121376">
        <w:rPr>
          <w:rFonts w:ascii="Calibri" w:hAnsi="Calibri" w:cs="Calibri"/>
        </w:rPr>
        <w:t xml:space="preserve">the cosmos. Aligning with the prevailing view from social anthropology </w:t>
      </w:r>
      <w:r w:rsidR="000252AE" w:rsidRPr="00121376">
        <w:rPr>
          <w:rFonts w:ascii="Calibri" w:hAnsi="Calibri" w:cs="Calibri"/>
        </w:rPr>
        <w:t>that mythology often serves to justify cultural customs and attitudes,</w:t>
      </w:r>
      <w:r w:rsidR="000252AE" w:rsidRPr="00121376">
        <w:rPr>
          <w:rStyle w:val="FootnoteReference"/>
          <w:rFonts w:ascii="Calibri" w:hAnsi="Calibri" w:cs="Calibri"/>
        </w:rPr>
        <w:footnoteReference w:id="1"/>
      </w:r>
      <w:r w:rsidR="000252AE" w:rsidRPr="00121376">
        <w:rPr>
          <w:rFonts w:ascii="Calibri" w:hAnsi="Calibri" w:cs="Calibri"/>
        </w:rPr>
        <w:t xml:space="preserve"> this essay will examine Hesiod’s portrayal of women and argue that the text justifies the ancient Greek patriarchal view on the dangers of uncontrolled female reproductive power. In response to this, the actions of the god Zeus in particular highlight the need for men to guard their own authority by controlling women’s sexuality. This essay will explore the narrative of transition between female control over reproduction to its restriction under male authority in the Theogony, examining early examples of female </w:t>
      </w:r>
      <w:r w:rsidR="0037404D" w:rsidRPr="00121376">
        <w:rPr>
          <w:rFonts w:ascii="Calibri" w:hAnsi="Calibri" w:cs="Calibri"/>
        </w:rPr>
        <w:t xml:space="preserve">parthenogenesis, the role of the womb in the succession narratives, Zeus’ establishment of control over birth through his consumption of Metis and concluding with the institution of patriarchal control in the Catalogue of Women (970-1030). </w:t>
      </w:r>
    </w:p>
    <w:p w14:paraId="5C44B4EA" w14:textId="4FC05427" w:rsidR="00DE0938" w:rsidRPr="00121376" w:rsidRDefault="00485461" w:rsidP="00EB6065">
      <w:pPr>
        <w:rPr>
          <w:rFonts w:ascii="Calibri" w:hAnsi="Calibri" w:cs="Calibri"/>
        </w:rPr>
      </w:pPr>
      <w:r w:rsidRPr="00121376">
        <w:rPr>
          <w:rFonts w:ascii="Calibri" w:hAnsi="Calibri" w:cs="Calibri"/>
        </w:rPr>
        <w:t>In order to trace th</w:t>
      </w:r>
      <w:r w:rsidR="00482B65" w:rsidRPr="00121376">
        <w:rPr>
          <w:rFonts w:ascii="Calibri" w:hAnsi="Calibri" w:cs="Calibri"/>
        </w:rPr>
        <w:t xml:space="preserve">e </w:t>
      </w:r>
      <w:r w:rsidRPr="00121376">
        <w:rPr>
          <w:rFonts w:ascii="Calibri" w:hAnsi="Calibri" w:cs="Calibri"/>
        </w:rPr>
        <w:t xml:space="preserve">transition from female </w:t>
      </w:r>
      <w:r w:rsidR="00C02DB3" w:rsidRPr="00121376">
        <w:rPr>
          <w:rFonts w:ascii="Calibri" w:hAnsi="Calibri" w:cs="Calibri"/>
        </w:rPr>
        <w:t xml:space="preserve">domination over reproduction </w:t>
      </w:r>
      <w:r w:rsidRPr="00121376">
        <w:rPr>
          <w:rFonts w:ascii="Calibri" w:hAnsi="Calibri" w:cs="Calibri"/>
        </w:rPr>
        <w:t xml:space="preserve">to male </w:t>
      </w:r>
      <w:r w:rsidR="00C02DB3" w:rsidRPr="00121376">
        <w:rPr>
          <w:rFonts w:ascii="Calibri" w:hAnsi="Calibri" w:cs="Calibri"/>
        </w:rPr>
        <w:t xml:space="preserve">domination </w:t>
      </w:r>
      <w:r w:rsidRPr="00121376">
        <w:rPr>
          <w:rFonts w:ascii="Calibri" w:hAnsi="Calibri" w:cs="Calibri"/>
        </w:rPr>
        <w:t xml:space="preserve">in the Theogony, discussion must begin with the initial acts of creation instigated by the primordial deities Gaia and Nyx. Parthenogenesis is the foundational model for creation in the </w:t>
      </w:r>
      <w:r w:rsidR="00C02DB3" w:rsidRPr="00121376">
        <w:rPr>
          <w:rFonts w:ascii="Calibri" w:hAnsi="Calibri" w:cs="Calibri"/>
        </w:rPr>
        <w:t xml:space="preserve">early </w:t>
      </w:r>
      <w:r w:rsidRPr="00121376">
        <w:rPr>
          <w:rFonts w:ascii="Calibri" w:hAnsi="Calibri" w:cs="Calibri"/>
        </w:rPr>
        <w:t xml:space="preserve">Hesiodic cosmology, with </w:t>
      </w:r>
      <w:r w:rsidR="00E55EF7" w:rsidRPr="00121376">
        <w:rPr>
          <w:rFonts w:ascii="Calibri" w:hAnsi="Calibri" w:cs="Calibri"/>
        </w:rPr>
        <w:t xml:space="preserve">the female goddesses’ </w:t>
      </w:r>
      <w:r w:rsidRPr="00121376">
        <w:rPr>
          <w:rFonts w:ascii="Calibri" w:hAnsi="Calibri" w:cs="Calibri"/>
        </w:rPr>
        <w:t>asexual reproduction resulting in children who represent the fundamental shape of the cosmos</w:t>
      </w:r>
      <w:r w:rsidR="00C53CC6" w:rsidRPr="00121376">
        <w:rPr>
          <w:rFonts w:ascii="Calibri" w:hAnsi="Calibri" w:cs="Calibri"/>
        </w:rPr>
        <w:t>.</w:t>
      </w:r>
      <w:r w:rsidRPr="00121376">
        <w:rPr>
          <w:rStyle w:val="FootnoteReference"/>
          <w:rFonts w:ascii="Calibri" w:hAnsi="Calibri" w:cs="Calibri"/>
        </w:rPr>
        <w:footnoteReference w:id="2"/>
      </w:r>
      <w:r w:rsidRPr="00121376">
        <w:rPr>
          <w:rFonts w:ascii="Calibri" w:hAnsi="Calibri" w:cs="Calibri"/>
        </w:rPr>
        <w:t xml:space="preserve"> </w:t>
      </w:r>
      <w:r w:rsidR="00C53CC6" w:rsidRPr="00121376">
        <w:rPr>
          <w:rFonts w:ascii="Calibri" w:hAnsi="Calibri" w:cs="Calibri"/>
        </w:rPr>
        <w:t xml:space="preserve">For example </w:t>
      </w:r>
      <w:r w:rsidRPr="00121376">
        <w:rPr>
          <w:rFonts w:ascii="Calibri" w:hAnsi="Calibri" w:cs="Calibri"/>
        </w:rPr>
        <w:t>Gaia produc</w:t>
      </w:r>
      <w:r w:rsidR="00C53CC6" w:rsidRPr="00121376">
        <w:rPr>
          <w:rFonts w:ascii="Calibri" w:hAnsi="Calibri" w:cs="Calibri"/>
        </w:rPr>
        <w:t>es</w:t>
      </w:r>
      <w:r w:rsidRPr="00121376">
        <w:rPr>
          <w:rFonts w:ascii="Calibri" w:hAnsi="Calibri" w:cs="Calibri"/>
        </w:rPr>
        <w:t xml:space="preserve"> the Sea “without any sexual love” (132)</w:t>
      </w:r>
      <w:r w:rsidR="00DE0938" w:rsidRPr="00121376">
        <w:rPr>
          <w:rFonts w:ascii="Calibri" w:hAnsi="Calibri" w:cs="Calibri"/>
        </w:rPr>
        <w:t>, whose watery lineage is later associated with the birth of a race of monsters to Phorcys and Ceto, child</w:t>
      </w:r>
      <w:r w:rsidR="008C62EC" w:rsidRPr="00121376">
        <w:rPr>
          <w:rFonts w:ascii="Calibri" w:hAnsi="Calibri" w:cs="Calibri"/>
        </w:rPr>
        <w:t>ren</w:t>
      </w:r>
      <w:r w:rsidR="00DE0938" w:rsidRPr="00121376">
        <w:rPr>
          <w:rFonts w:ascii="Calibri" w:hAnsi="Calibri" w:cs="Calibri"/>
        </w:rPr>
        <w:t xml:space="preserve"> of Pontos the Sea (271-79)</w:t>
      </w:r>
      <w:r w:rsidRPr="00121376">
        <w:rPr>
          <w:rFonts w:ascii="Calibri" w:hAnsi="Calibri" w:cs="Calibri"/>
        </w:rPr>
        <w:t xml:space="preserve">. </w:t>
      </w:r>
      <w:r w:rsidR="00E55EF7" w:rsidRPr="00121376">
        <w:rPr>
          <w:rFonts w:ascii="Calibri" w:hAnsi="Calibri" w:cs="Calibri"/>
        </w:rPr>
        <w:t>Hesiod presents the ability of parthenogenesis as a fundamental difference between the male and female gods, with male deities being incapable of self-sufficient asexual reproduction and requiring appropriation of or control over female reproductive abilities in order to procreate.</w:t>
      </w:r>
      <w:r w:rsidR="00E55EF7" w:rsidRPr="00121376">
        <w:rPr>
          <w:rStyle w:val="FootnoteReference"/>
          <w:rFonts w:ascii="Calibri" w:hAnsi="Calibri" w:cs="Calibri"/>
        </w:rPr>
        <w:footnoteReference w:id="3"/>
      </w:r>
    </w:p>
    <w:p w14:paraId="4E4D8310" w14:textId="1F293F37" w:rsidR="00EB6065" w:rsidRPr="00121376" w:rsidRDefault="00E0176F" w:rsidP="007B0B75">
      <w:pPr>
        <w:rPr>
          <w:rFonts w:ascii="Calibri" w:hAnsi="Calibri" w:cs="Calibri"/>
        </w:rPr>
      </w:pPr>
      <w:r w:rsidRPr="00121376">
        <w:rPr>
          <w:rFonts w:ascii="Calibri" w:hAnsi="Calibri" w:cs="Calibri"/>
        </w:rPr>
        <w:t xml:space="preserve">Hesiod’s sexual politics and purpose of the consolidation of patriarchal systems are </w:t>
      </w:r>
      <w:proofErr w:type="gramStart"/>
      <w:r w:rsidRPr="00121376">
        <w:rPr>
          <w:rFonts w:ascii="Calibri" w:hAnsi="Calibri" w:cs="Calibri"/>
        </w:rPr>
        <w:t>perhaps most</w:t>
      </w:r>
      <w:proofErr w:type="gramEnd"/>
      <w:r w:rsidRPr="00121376">
        <w:rPr>
          <w:rFonts w:ascii="Calibri" w:hAnsi="Calibri" w:cs="Calibri"/>
        </w:rPr>
        <w:t xml:space="preserve"> evident in his characterisation of the goddess of Nyx,</w:t>
      </w:r>
      <w:r w:rsidRPr="00121376">
        <w:rPr>
          <w:rStyle w:val="FootnoteReference"/>
          <w:rFonts w:ascii="Calibri" w:hAnsi="Calibri" w:cs="Calibri"/>
        </w:rPr>
        <w:footnoteReference w:id="4"/>
      </w:r>
      <w:r w:rsidRPr="00121376">
        <w:rPr>
          <w:rFonts w:ascii="Calibri" w:hAnsi="Calibri" w:cs="Calibri"/>
        </w:rPr>
        <w:t xml:space="preserve"> </w:t>
      </w:r>
      <w:r w:rsidR="00485461" w:rsidRPr="00121376">
        <w:rPr>
          <w:rFonts w:ascii="Calibri" w:hAnsi="Calibri" w:cs="Calibri"/>
        </w:rPr>
        <w:t xml:space="preserve">who </w:t>
      </w:r>
      <w:r w:rsidR="008C62EC" w:rsidRPr="00121376">
        <w:rPr>
          <w:rFonts w:ascii="Calibri" w:hAnsi="Calibri" w:cs="Calibri"/>
        </w:rPr>
        <w:t>births a long list of children</w:t>
      </w:r>
      <w:r w:rsidR="00485461" w:rsidRPr="00121376">
        <w:rPr>
          <w:rFonts w:ascii="Calibri" w:hAnsi="Calibri" w:cs="Calibri"/>
        </w:rPr>
        <w:t xml:space="preserve"> “sleeping with no one” (213). Hesiod lists her </w:t>
      </w:r>
      <w:r w:rsidR="008C62EC" w:rsidRPr="00121376">
        <w:rPr>
          <w:rFonts w:ascii="Calibri" w:hAnsi="Calibri" w:cs="Calibri"/>
        </w:rPr>
        <w:t xml:space="preserve">asexual </w:t>
      </w:r>
      <w:r w:rsidR="00485461" w:rsidRPr="00121376">
        <w:rPr>
          <w:rFonts w:ascii="Calibri" w:hAnsi="Calibri" w:cs="Calibri"/>
        </w:rPr>
        <w:t xml:space="preserve">offspring </w:t>
      </w:r>
      <w:r w:rsidR="007E7408" w:rsidRPr="00121376">
        <w:rPr>
          <w:rFonts w:ascii="Calibri" w:hAnsi="Calibri" w:cs="Calibri"/>
        </w:rPr>
        <w:t xml:space="preserve">including </w:t>
      </w:r>
      <w:r w:rsidR="00485461" w:rsidRPr="00121376">
        <w:rPr>
          <w:rFonts w:ascii="Calibri" w:hAnsi="Calibri" w:cs="Calibri"/>
        </w:rPr>
        <w:t xml:space="preserve">Fate, Doom, Death, Blame, Misery, Resentment, Deceit, Old Age and Strife (211-25). </w:t>
      </w:r>
      <w:r w:rsidR="00DE0938" w:rsidRPr="00121376">
        <w:rPr>
          <w:rFonts w:ascii="Calibri" w:hAnsi="Calibri" w:cs="Calibri"/>
        </w:rPr>
        <w:t xml:space="preserve">Following her mother, Strife produces, </w:t>
      </w:r>
      <w:proofErr w:type="gramStart"/>
      <w:r w:rsidR="00DE0938" w:rsidRPr="00121376">
        <w:rPr>
          <w:rFonts w:ascii="Calibri" w:hAnsi="Calibri" w:cs="Calibri"/>
        </w:rPr>
        <w:t>presumably asexually</w:t>
      </w:r>
      <w:proofErr w:type="gramEnd"/>
      <w:r w:rsidR="00DE0938" w:rsidRPr="00121376">
        <w:rPr>
          <w:rFonts w:ascii="Calibri" w:hAnsi="Calibri" w:cs="Calibri"/>
        </w:rPr>
        <w:t>,</w:t>
      </w:r>
      <w:r w:rsidR="00DE0938" w:rsidRPr="00121376">
        <w:rPr>
          <w:rStyle w:val="FootnoteReference"/>
          <w:rFonts w:ascii="Calibri" w:hAnsi="Calibri" w:cs="Calibri"/>
        </w:rPr>
        <w:footnoteReference w:id="5"/>
      </w:r>
      <w:r w:rsidR="00DE0938" w:rsidRPr="00121376">
        <w:rPr>
          <w:rFonts w:ascii="Calibri" w:hAnsi="Calibri" w:cs="Calibri"/>
        </w:rPr>
        <w:t xml:space="preserve"> </w:t>
      </w:r>
      <w:r w:rsidR="000C0444" w:rsidRPr="00121376">
        <w:rPr>
          <w:rFonts w:ascii="Calibri" w:hAnsi="Calibri" w:cs="Calibri"/>
        </w:rPr>
        <w:t>an extensive line</w:t>
      </w:r>
      <w:r w:rsidR="00DE0938" w:rsidRPr="00121376">
        <w:rPr>
          <w:rFonts w:ascii="Calibri" w:hAnsi="Calibri" w:cs="Calibri"/>
        </w:rPr>
        <w:t xml:space="preserve"> of descendants who represent the enduring harsh realities of life, including Toil, Neglect, Starvation, Pain, Bloodshed, Slaughter, Lies, Arguments, Disorder and Disaster (226-32). As embodiments of the discord associated with their mothers, these children and their negative attributes highlight the dangers associated with female reproduction ungoverned by male control, leading to chaotic and dangerous children</w:t>
      </w:r>
      <w:r w:rsidR="007B0B75" w:rsidRPr="00121376">
        <w:rPr>
          <w:rFonts w:ascii="Calibri" w:hAnsi="Calibri" w:cs="Calibri"/>
        </w:rPr>
        <w:t xml:space="preserve"> who embody the worst of their mothers’ traits</w:t>
      </w:r>
      <w:r w:rsidR="00DE0938" w:rsidRPr="00121376">
        <w:rPr>
          <w:rFonts w:ascii="Calibri" w:hAnsi="Calibri" w:cs="Calibri"/>
        </w:rPr>
        <w:t xml:space="preserve">. </w:t>
      </w:r>
      <w:r w:rsidR="005E5F08" w:rsidRPr="00121376">
        <w:rPr>
          <w:rFonts w:ascii="Calibri" w:hAnsi="Calibri" w:cs="Calibri"/>
        </w:rPr>
        <w:t xml:space="preserve">Concerns in the text around women passing their negative traits onto their children likely </w:t>
      </w:r>
      <w:r w:rsidR="008A1A9F" w:rsidRPr="00121376">
        <w:rPr>
          <w:rFonts w:ascii="Calibri" w:hAnsi="Calibri" w:cs="Calibri"/>
        </w:rPr>
        <w:t xml:space="preserve">has roots in the Greek understanding of maternal influence during gestation, which was that the mother’s emotions, sensations and disorders left </w:t>
      </w:r>
      <w:r w:rsidR="007179DC" w:rsidRPr="00121376">
        <w:rPr>
          <w:rFonts w:ascii="Calibri" w:hAnsi="Calibri" w:cs="Calibri"/>
        </w:rPr>
        <w:t xml:space="preserve">impressions </w:t>
      </w:r>
      <w:r w:rsidR="008A1A9F" w:rsidRPr="00121376">
        <w:rPr>
          <w:rFonts w:ascii="Calibri" w:hAnsi="Calibri" w:cs="Calibri"/>
        </w:rPr>
        <w:t>on their children while in utero</w:t>
      </w:r>
      <w:r w:rsidR="007179DC" w:rsidRPr="00121376">
        <w:rPr>
          <w:rFonts w:ascii="Calibri" w:hAnsi="Calibri" w:cs="Calibri"/>
        </w:rPr>
        <w:t xml:space="preserve">, described by Aristotle in </w:t>
      </w:r>
      <w:r w:rsidR="007179DC" w:rsidRPr="00121376">
        <w:rPr>
          <w:rFonts w:ascii="Calibri" w:hAnsi="Calibri" w:cs="Calibri"/>
          <w:i/>
          <w:iCs/>
        </w:rPr>
        <w:t xml:space="preserve">Politics </w:t>
      </w:r>
      <w:r w:rsidR="007179DC" w:rsidRPr="00121376">
        <w:rPr>
          <w:rFonts w:ascii="Calibri" w:hAnsi="Calibri" w:cs="Calibri"/>
        </w:rPr>
        <w:t>as working in the same way as how the quality of soil contributes to the growth of vegetables.</w:t>
      </w:r>
      <w:r w:rsidR="007179DC" w:rsidRPr="00121376">
        <w:rPr>
          <w:rStyle w:val="FootnoteReference"/>
          <w:rFonts w:ascii="Calibri" w:hAnsi="Calibri" w:cs="Calibri"/>
        </w:rPr>
        <w:footnoteReference w:id="6"/>
      </w:r>
      <w:r w:rsidR="007179DC" w:rsidRPr="00121376">
        <w:rPr>
          <w:rFonts w:ascii="Calibri" w:hAnsi="Calibri" w:cs="Calibri"/>
        </w:rPr>
        <w:t xml:space="preserve"> </w:t>
      </w:r>
      <w:r w:rsidR="00DE0938" w:rsidRPr="00121376">
        <w:rPr>
          <w:rFonts w:ascii="Calibri" w:hAnsi="Calibri" w:cs="Calibri"/>
        </w:rPr>
        <w:t>In comparison with the beautiful daughters of the male Nereus and female Doris, the early examples of</w:t>
      </w:r>
      <w:r w:rsidR="00CB1CAD" w:rsidRPr="00121376">
        <w:rPr>
          <w:rFonts w:ascii="Calibri" w:hAnsi="Calibri" w:cs="Calibri"/>
        </w:rPr>
        <w:t xml:space="preserve"> dangerous offspring </w:t>
      </w:r>
      <w:r w:rsidR="00DE0938" w:rsidRPr="00121376">
        <w:rPr>
          <w:rFonts w:ascii="Calibri" w:hAnsi="Calibri" w:cs="Calibri"/>
        </w:rPr>
        <w:t>derived from female parthenogenesis</w:t>
      </w:r>
      <w:r w:rsidR="00CB1CAD" w:rsidRPr="00121376">
        <w:rPr>
          <w:rFonts w:ascii="Calibri" w:hAnsi="Calibri" w:cs="Calibri"/>
        </w:rPr>
        <w:t xml:space="preserve"> are expressed as a feature of early chaotic creation before the order of male-female dual roles in reproduction was instituted and female-only reproduction became rare, used only as a form of revenge or defiance of male authority as Hera does later in the narrative (932-34). </w:t>
      </w:r>
      <w:r w:rsidR="00484AC1" w:rsidRPr="00121376">
        <w:rPr>
          <w:rFonts w:ascii="Calibri" w:hAnsi="Calibri" w:cs="Calibri"/>
        </w:rPr>
        <w:t xml:space="preserve">The account of Nyx’s children </w:t>
      </w:r>
      <w:r w:rsidR="007E7408" w:rsidRPr="00121376">
        <w:rPr>
          <w:rFonts w:ascii="Calibri" w:hAnsi="Calibri" w:cs="Calibri"/>
        </w:rPr>
        <w:t xml:space="preserve">also introduces </w:t>
      </w:r>
      <w:r w:rsidR="00484AC1" w:rsidRPr="00121376">
        <w:rPr>
          <w:rFonts w:ascii="Calibri" w:hAnsi="Calibri" w:cs="Calibri"/>
        </w:rPr>
        <w:t>Hesiod’s personal tendency to view and present universal human ills like suffering or death in a feminine context</w:t>
      </w:r>
      <w:r w:rsidR="007E7408" w:rsidRPr="00121376">
        <w:rPr>
          <w:rFonts w:ascii="Calibri" w:hAnsi="Calibri" w:cs="Calibri"/>
        </w:rPr>
        <w:t>, a recurring theme throughout the Theogony</w:t>
      </w:r>
      <w:r w:rsidR="00484AC1" w:rsidRPr="00121376">
        <w:rPr>
          <w:rFonts w:ascii="Calibri" w:hAnsi="Calibri" w:cs="Calibri"/>
        </w:rPr>
        <w:t>.</w:t>
      </w:r>
      <w:r w:rsidR="00484AC1" w:rsidRPr="00121376">
        <w:rPr>
          <w:rStyle w:val="FootnoteReference"/>
          <w:rFonts w:ascii="Calibri" w:hAnsi="Calibri" w:cs="Calibri"/>
        </w:rPr>
        <w:footnoteReference w:id="7"/>
      </w:r>
    </w:p>
    <w:p w14:paraId="0D29FDD0" w14:textId="30AF333B" w:rsidR="008724F4" w:rsidRPr="00121376" w:rsidRDefault="007E7408" w:rsidP="00281C9C">
      <w:pPr>
        <w:rPr>
          <w:rFonts w:ascii="Calibri" w:hAnsi="Calibri" w:cs="Calibri"/>
        </w:rPr>
      </w:pPr>
      <w:r w:rsidRPr="00121376">
        <w:rPr>
          <w:rFonts w:ascii="Calibri" w:hAnsi="Calibri" w:cs="Calibri"/>
        </w:rPr>
        <w:t>Following the initial</w:t>
      </w:r>
      <w:r w:rsidR="003A64E2" w:rsidRPr="00121376">
        <w:rPr>
          <w:rFonts w:ascii="Calibri" w:hAnsi="Calibri" w:cs="Calibri"/>
        </w:rPr>
        <w:t xml:space="preserve"> creative acts of the goddesses Gaia and Nyx, the Theogony traces the movement from Ouranos to Kronos, and then to Zeus, who establishes his supreme rule and right to order the cosmos. Instrumental to this exchange of power are the goddesses Gaia and Rhea, who instigate and play primary roles in their son’s violent overthrowing of their fathers by using their power to reproduce. </w:t>
      </w:r>
      <w:r w:rsidR="00A534C7" w:rsidRPr="00121376">
        <w:rPr>
          <w:rFonts w:ascii="Calibri" w:hAnsi="Calibri" w:cs="Calibri"/>
        </w:rPr>
        <w:t xml:space="preserve">In particular, the womb </w:t>
      </w:r>
      <w:proofErr w:type="gramStart"/>
      <w:r w:rsidR="00A534C7" w:rsidRPr="00121376">
        <w:rPr>
          <w:rFonts w:ascii="Calibri" w:hAnsi="Calibri" w:cs="Calibri"/>
        </w:rPr>
        <w:t>is used</w:t>
      </w:r>
      <w:proofErr w:type="gramEnd"/>
      <w:r w:rsidR="00A534C7" w:rsidRPr="00121376">
        <w:rPr>
          <w:rFonts w:ascii="Calibri" w:hAnsi="Calibri" w:cs="Calibri"/>
        </w:rPr>
        <w:t xml:space="preserve"> as a place of secrecy and trickery to aid the sons in their revolts.</w:t>
      </w:r>
      <w:r w:rsidR="00281C9C">
        <w:rPr>
          <w:rFonts w:ascii="Calibri" w:hAnsi="Calibri" w:cs="Calibri"/>
        </w:rPr>
        <w:t xml:space="preserve"> </w:t>
      </w:r>
      <w:r w:rsidR="00CB1CAD" w:rsidRPr="00121376">
        <w:rPr>
          <w:rFonts w:ascii="Calibri" w:hAnsi="Calibri" w:cs="Calibri"/>
        </w:rPr>
        <w:t xml:space="preserve">Each succession story begins with the fathers’ discomfort with the birth of their children, with both Ouranos and Kronos </w:t>
      </w:r>
      <w:r w:rsidR="00A534C7" w:rsidRPr="00121376">
        <w:rPr>
          <w:rFonts w:ascii="Calibri" w:hAnsi="Calibri" w:cs="Calibri"/>
        </w:rPr>
        <w:t xml:space="preserve">instinctively hostile towards their children who could challenge their current power. </w:t>
      </w:r>
      <w:r w:rsidR="00EE6320" w:rsidRPr="00121376">
        <w:rPr>
          <w:rFonts w:ascii="Calibri" w:hAnsi="Calibri" w:cs="Calibri"/>
        </w:rPr>
        <w:t>B</w:t>
      </w:r>
      <w:r w:rsidR="00CB1CAD" w:rsidRPr="00121376">
        <w:rPr>
          <w:rFonts w:ascii="Calibri" w:hAnsi="Calibri" w:cs="Calibri"/>
        </w:rPr>
        <w:t>oth react suppressively: Ouranos tries to hide his children after their birth</w:t>
      </w:r>
      <w:r w:rsidR="004259A4" w:rsidRPr="00121376">
        <w:rPr>
          <w:rFonts w:ascii="Calibri" w:hAnsi="Calibri" w:cs="Calibri"/>
        </w:rPr>
        <w:t xml:space="preserve"> by concealing them in the earth, sending them back inside their mother’s womb</w:t>
      </w:r>
      <w:r w:rsidR="00EE6320" w:rsidRPr="00121376">
        <w:rPr>
          <w:rFonts w:ascii="Calibri" w:hAnsi="Calibri" w:cs="Calibri"/>
        </w:rPr>
        <w:t>,</w:t>
      </w:r>
      <w:r w:rsidR="004259A4" w:rsidRPr="00121376">
        <w:rPr>
          <w:rStyle w:val="FootnoteReference"/>
          <w:rFonts w:ascii="Calibri" w:hAnsi="Calibri" w:cs="Calibri"/>
        </w:rPr>
        <w:footnoteReference w:id="8"/>
      </w:r>
      <w:r w:rsidR="004259A4" w:rsidRPr="00121376">
        <w:rPr>
          <w:rFonts w:ascii="Calibri" w:hAnsi="Calibri" w:cs="Calibri"/>
        </w:rPr>
        <w:t xml:space="preserve"> and Kronos goes further with his own children </w:t>
      </w:r>
      <w:r w:rsidR="00EE6320" w:rsidRPr="00121376">
        <w:rPr>
          <w:rFonts w:ascii="Calibri" w:hAnsi="Calibri" w:cs="Calibri"/>
        </w:rPr>
        <w:t xml:space="preserve">by </w:t>
      </w:r>
      <w:r w:rsidR="004259A4" w:rsidRPr="00121376">
        <w:rPr>
          <w:rFonts w:ascii="Calibri" w:hAnsi="Calibri" w:cs="Calibri"/>
        </w:rPr>
        <w:t>swallow</w:t>
      </w:r>
      <w:r w:rsidR="00EE6320" w:rsidRPr="00121376">
        <w:rPr>
          <w:rFonts w:ascii="Calibri" w:hAnsi="Calibri" w:cs="Calibri"/>
        </w:rPr>
        <w:t>ing</w:t>
      </w:r>
      <w:r w:rsidR="004259A4" w:rsidRPr="00121376">
        <w:rPr>
          <w:rFonts w:ascii="Calibri" w:hAnsi="Calibri" w:cs="Calibri"/>
        </w:rPr>
        <w:t xml:space="preserve"> them, putting them in his own stomach to better supervise them and prevent them from threatening his power. Both </w:t>
      </w:r>
      <w:r w:rsidR="00EE6320" w:rsidRPr="00121376">
        <w:rPr>
          <w:rFonts w:ascii="Calibri" w:hAnsi="Calibri" w:cs="Calibri"/>
        </w:rPr>
        <w:t xml:space="preserve">attempts are </w:t>
      </w:r>
      <w:r w:rsidR="004259A4" w:rsidRPr="00121376">
        <w:rPr>
          <w:rFonts w:ascii="Calibri" w:hAnsi="Calibri" w:cs="Calibri"/>
        </w:rPr>
        <w:t xml:space="preserve">unsuccessful; Ouranos </w:t>
      </w:r>
      <w:proofErr w:type="gramStart"/>
      <w:r w:rsidR="004259A4" w:rsidRPr="00121376">
        <w:rPr>
          <w:rFonts w:ascii="Calibri" w:hAnsi="Calibri" w:cs="Calibri"/>
        </w:rPr>
        <w:t>is castrated</w:t>
      </w:r>
      <w:proofErr w:type="gramEnd"/>
      <w:r w:rsidR="004259A4" w:rsidRPr="00121376">
        <w:rPr>
          <w:rFonts w:ascii="Calibri" w:hAnsi="Calibri" w:cs="Calibri"/>
        </w:rPr>
        <w:t xml:space="preserve"> by Kronos at the urgings of his mother (178-182), and </w:t>
      </w:r>
      <w:r w:rsidR="008724F4" w:rsidRPr="00121376">
        <w:rPr>
          <w:rFonts w:ascii="Calibri" w:hAnsi="Calibri" w:cs="Calibri"/>
        </w:rPr>
        <w:t xml:space="preserve">Kronos and the Titans are defeated by Zeus after Rhea conceals him from Kronos until he matures (493-506). </w:t>
      </w:r>
    </w:p>
    <w:p w14:paraId="3DE90379" w14:textId="532BA5A7" w:rsidR="004761A5" w:rsidRPr="00121376" w:rsidRDefault="004259A4" w:rsidP="004C04D2">
      <w:pPr>
        <w:rPr>
          <w:rFonts w:ascii="Calibri" w:hAnsi="Calibri" w:cs="Calibri"/>
        </w:rPr>
      </w:pPr>
      <w:r w:rsidRPr="00121376">
        <w:rPr>
          <w:rFonts w:ascii="Calibri" w:hAnsi="Calibri" w:cs="Calibri"/>
        </w:rPr>
        <w:t xml:space="preserve">By sending the children back to their mothers’ womb, as Ouranos does, or directly imitating the pregnant mother by swallowing the children to place them inside himself as Kronos does, both </w:t>
      </w:r>
      <w:r w:rsidR="008724F4" w:rsidRPr="00121376">
        <w:rPr>
          <w:rFonts w:ascii="Calibri" w:hAnsi="Calibri" w:cs="Calibri"/>
        </w:rPr>
        <w:t xml:space="preserve">gods attempt </w:t>
      </w:r>
      <w:r w:rsidRPr="00121376">
        <w:rPr>
          <w:rFonts w:ascii="Calibri" w:hAnsi="Calibri" w:cs="Calibri"/>
        </w:rPr>
        <w:t xml:space="preserve">to appropriate reproductive control, </w:t>
      </w:r>
      <w:r w:rsidR="001D713C" w:rsidRPr="00121376">
        <w:rPr>
          <w:rFonts w:ascii="Calibri" w:hAnsi="Calibri" w:cs="Calibri"/>
        </w:rPr>
        <w:t xml:space="preserve">but are </w:t>
      </w:r>
      <w:r w:rsidRPr="00121376">
        <w:rPr>
          <w:rFonts w:ascii="Calibri" w:hAnsi="Calibri" w:cs="Calibri"/>
        </w:rPr>
        <w:t>ultimately undermined by their wives’ cunning.</w:t>
      </w:r>
      <w:r w:rsidRPr="00121376">
        <w:rPr>
          <w:rStyle w:val="FootnoteReference"/>
          <w:rFonts w:ascii="Calibri" w:hAnsi="Calibri" w:cs="Calibri"/>
        </w:rPr>
        <w:footnoteReference w:id="9"/>
      </w:r>
      <w:r w:rsidRPr="00121376">
        <w:rPr>
          <w:rFonts w:ascii="Calibri" w:hAnsi="Calibri" w:cs="Calibri"/>
        </w:rPr>
        <w:t xml:space="preserve"> Di argues that their fatal mistake was fundamentally misunderstanding the power of their wives in their sexual relationship; while taking measures against their children, Kronos and Ouranos believed the mothers of their children would naturally be their allies and followers, and so failed to realise that their partners were independent ‘Others’ who could stand in opposition to them.</w:t>
      </w:r>
      <w:r w:rsidRPr="00121376">
        <w:rPr>
          <w:rStyle w:val="FootnoteReference"/>
          <w:rFonts w:ascii="Calibri" w:hAnsi="Calibri" w:cs="Calibri"/>
        </w:rPr>
        <w:footnoteReference w:id="10"/>
      </w:r>
      <w:r w:rsidRPr="00121376">
        <w:rPr>
          <w:rFonts w:ascii="Calibri" w:hAnsi="Calibri" w:cs="Calibri"/>
        </w:rPr>
        <w:t xml:space="preserve"> </w:t>
      </w:r>
      <w:r w:rsidR="001D713C" w:rsidRPr="00121376">
        <w:rPr>
          <w:rFonts w:ascii="Calibri" w:hAnsi="Calibri" w:cs="Calibri"/>
        </w:rPr>
        <w:t xml:space="preserve">While they avoid violent confrontation, Gaia and Rhea are instrumental in devising </w:t>
      </w:r>
      <w:r w:rsidR="004C04D2" w:rsidRPr="00121376">
        <w:rPr>
          <w:rFonts w:ascii="Calibri" w:hAnsi="Calibri" w:cs="Calibri"/>
        </w:rPr>
        <w:t xml:space="preserve">the plots against their consorts. In the face of Ouranos and Kronos’ failed attempts to control or limit the women’s power to reproduce, Gaia and Rhea use their wombs as places unknown and inaccessible to the male gods, </w:t>
      </w:r>
      <w:r w:rsidRPr="00121376">
        <w:rPr>
          <w:rFonts w:ascii="Calibri" w:hAnsi="Calibri" w:cs="Calibri"/>
        </w:rPr>
        <w:t xml:space="preserve">with Gaia hiding Kronos within her and telling him how to take revenge on his father, even providing the sickle for his defeat (159, 453), and Rhea playing a trick of </w:t>
      </w:r>
      <w:r w:rsidRPr="00121376">
        <w:rPr>
          <w:rFonts w:ascii="Calibri" w:hAnsi="Calibri" w:cs="Calibri"/>
        </w:rPr>
        <w:lastRenderedPageBreak/>
        <w:t xml:space="preserve">concealing a stone in the belly of Kronos to replace Zeus then hiding Zeus inside Gaia’s womb until he grew strong enough to fight back against his father’s tyranny (477-500). </w:t>
      </w:r>
    </w:p>
    <w:p w14:paraId="7E3262FD" w14:textId="16F0CC27" w:rsidR="00046AE5" w:rsidRPr="00121376" w:rsidRDefault="004761A5" w:rsidP="005B18FA">
      <w:pPr>
        <w:rPr>
          <w:rFonts w:ascii="Calibri" w:hAnsi="Calibri" w:cs="Calibri"/>
        </w:rPr>
      </w:pPr>
      <w:r w:rsidRPr="00121376">
        <w:rPr>
          <w:rFonts w:ascii="Calibri" w:hAnsi="Calibri" w:cs="Calibri"/>
        </w:rPr>
        <w:t>Di points to the inherently mysterious nature of the womb as a place beyond male control being used by Rhea and Gaia to fool the fathers, removing the male’s violent control over the female.</w:t>
      </w:r>
      <w:r w:rsidR="00A2180A" w:rsidRPr="00121376">
        <w:rPr>
          <w:rStyle w:val="FootnoteReference"/>
          <w:rFonts w:ascii="Calibri" w:hAnsi="Calibri" w:cs="Calibri"/>
        </w:rPr>
        <w:footnoteReference w:id="11"/>
      </w:r>
      <w:r w:rsidRPr="00121376">
        <w:rPr>
          <w:rFonts w:ascii="Calibri" w:hAnsi="Calibri" w:cs="Calibri"/>
        </w:rPr>
        <w:t xml:space="preserve"> Within the pattern of sexual reproduction, the nature of the womb being independent from male control allows for female gods, and more broadly women, to “play her tricks independently.”</w:t>
      </w:r>
      <w:r w:rsidR="004C04D2" w:rsidRPr="00121376">
        <w:rPr>
          <w:rStyle w:val="FootnoteReference"/>
          <w:rFonts w:ascii="Calibri" w:hAnsi="Calibri" w:cs="Calibri"/>
        </w:rPr>
        <w:footnoteReference w:id="12"/>
      </w:r>
      <w:r w:rsidR="00E52DC8" w:rsidRPr="00121376">
        <w:rPr>
          <w:rFonts w:ascii="Calibri" w:hAnsi="Calibri" w:cs="Calibri"/>
        </w:rPr>
        <w:t xml:space="preserve"> </w:t>
      </w:r>
      <w:r w:rsidR="00E52DC8" w:rsidRPr="00121376">
        <w:rPr>
          <w:rFonts w:ascii="Calibri" w:hAnsi="Calibri" w:cs="Calibri"/>
        </w:rPr>
        <w:t>Therefore as long as sexual reproduction takes place and the womb functions, women are able to scheme to change the natural order</w:t>
      </w:r>
      <w:r w:rsidR="00E33B54" w:rsidRPr="00121376">
        <w:rPr>
          <w:rFonts w:ascii="Calibri" w:hAnsi="Calibri" w:cs="Calibri"/>
        </w:rPr>
        <w:t xml:space="preserve">, </w:t>
      </w:r>
      <w:r w:rsidR="00E52DC8" w:rsidRPr="00121376">
        <w:rPr>
          <w:rFonts w:ascii="Calibri" w:hAnsi="Calibri" w:cs="Calibri"/>
        </w:rPr>
        <w:t>unseen and uncontrolled by the male authority:</w:t>
      </w:r>
      <w:r w:rsidRPr="00121376">
        <w:rPr>
          <w:rStyle w:val="FootnoteReference"/>
          <w:rFonts w:ascii="Calibri" w:hAnsi="Calibri" w:cs="Calibri"/>
        </w:rPr>
        <w:footnoteReference w:id="13"/>
      </w:r>
      <w:r w:rsidRPr="00121376">
        <w:rPr>
          <w:rFonts w:ascii="Calibri" w:hAnsi="Calibri" w:cs="Calibri"/>
        </w:rPr>
        <w:t xml:space="preserve"> within sexual relationships, “it is very hard for the father to act to stop procreation, stop growth, and stop change, and potential social disorder can never be removed.”</w:t>
      </w:r>
      <w:r w:rsidRPr="00121376">
        <w:rPr>
          <w:rStyle w:val="FootnoteReference"/>
          <w:rFonts w:ascii="Calibri" w:hAnsi="Calibri" w:cs="Calibri"/>
        </w:rPr>
        <w:footnoteReference w:id="14"/>
      </w:r>
      <w:r w:rsidRPr="00121376">
        <w:rPr>
          <w:rFonts w:ascii="Calibri" w:hAnsi="Calibri" w:cs="Calibri"/>
        </w:rPr>
        <w:t xml:space="preserve"> From this perspective, the dangers of uncontrolled female reproductive power become </w:t>
      </w:r>
      <w:r w:rsidR="00E33B54" w:rsidRPr="00121376">
        <w:rPr>
          <w:rFonts w:ascii="Calibri" w:hAnsi="Calibri" w:cs="Calibri"/>
        </w:rPr>
        <w:t xml:space="preserve">very </w:t>
      </w:r>
      <w:r w:rsidRPr="00121376">
        <w:rPr>
          <w:rFonts w:ascii="Calibri" w:hAnsi="Calibri" w:cs="Calibri"/>
        </w:rPr>
        <w:t xml:space="preserve">evident within the Theogony. As a way for women to disrupt or shape the natural order by producing children, reproduction allows for female influence over the natural order of the world, which is portrayed as dangerously facilitating the overthrowing of male authority. After the dangerous parthenogenetic offspring of the primordial goddesses and the utilisation of Rhea and Gaia’s reproductive power to overthrow male control, </w:t>
      </w:r>
      <w:r w:rsidR="00244064" w:rsidRPr="00121376">
        <w:rPr>
          <w:rFonts w:ascii="Calibri" w:hAnsi="Calibri" w:cs="Calibri"/>
        </w:rPr>
        <w:t xml:space="preserve">female reproduction is </w:t>
      </w:r>
      <w:r w:rsidRPr="00121376">
        <w:rPr>
          <w:rFonts w:ascii="Calibri" w:hAnsi="Calibri" w:cs="Calibri"/>
        </w:rPr>
        <w:t xml:space="preserve">portrayed as the real problem for </w:t>
      </w:r>
      <w:r w:rsidR="00244064" w:rsidRPr="00121376">
        <w:rPr>
          <w:rFonts w:ascii="Calibri" w:hAnsi="Calibri" w:cs="Calibri"/>
        </w:rPr>
        <w:t xml:space="preserve">male establishment </w:t>
      </w:r>
      <w:r w:rsidR="00121652" w:rsidRPr="00121376">
        <w:rPr>
          <w:rFonts w:ascii="Calibri" w:hAnsi="Calibri" w:cs="Calibri"/>
        </w:rPr>
        <w:t>of</w:t>
      </w:r>
      <w:r w:rsidRPr="00121376">
        <w:rPr>
          <w:rFonts w:ascii="Calibri" w:hAnsi="Calibri" w:cs="Calibri"/>
        </w:rPr>
        <w:t xml:space="preserve"> social order.</w:t>
      </w:r>
      <w:r w:rsidRPr="00121376">
        <w:rPr>
          <w:rStyle w:val="FootnoteReference"/>
          <w:rFonts w:ascii="Calibri" w:hAnsi="Calibri" w:cs="Calibri"/>
        </w:rPr>
        <w:footnoteReference w:id="15"/>
      </w:r>
      <w:r w:rsidRPr="00121376">
        <w:rPr>
          <w:rFonts w:ascii="Calibri" w:hAnsi="Calibri" w:cs="Calibri"/>
        </w:rPr>
        <w:t xml:space="preserve"> This supports the hypothesis that Hesiod’s Theogony argues for</w:t>
      </w:r>
      <w:r w:rsidR="00965538" w:rsidRPr="00121376">
        <w:rPr>
          <w:rFonts w:ascii="Calibri" w:hAnsi="Calibri" w:cs="Calibri"/>
        </w:rPr>
        <w:t xml:space="preserve"> t</w:t>
      </w:r>
      <w:r w:rsidRPr="00121376">
        <w:rPr>
          <w:rFonts w:ascii="Calibri" w:hAnsi="Calibri" w:cs="Calibri"/>
        </w:rPr>
        <w:t>he control of female reproductive power due to the dangerous consequences of female power over their children</w:t>
      </w:r>
      <w:r w:rsidR="00121652" w:rsidRPr="00121376">
        <w:rPr>
          <w:rFonts w:ascii="Calibri" w:hAnsi="Calibri" w:cs="Calibri"/>
        </w:rPr>
        <w:t xml:space="preserve"> as giving women an avenue to subvert or challenge male power within the family.</w:t>
      </w:r>
    </w:p>
    <w:p w14:paraId="34374DF1" w14:textId="4F13C0A9" w:rsidR="00814442" w:rsidRPr="00121376" w:rsidRDefault="00121652" w:rsidP="00CA54FC">
      <w:pPr>
        <w:rPr>
          <w:rFonts w:ascii="Calibri" w:hAnsi="Calibri" w:cs="Calibri"/>
        </w:rPr>
      </w:pPr>
      <w:r w:rsidRPr="00121376">
        <w:rPr>
          <w:rFonts w:ascii="Calibri" w:hAnsi="Calibri" w:cs="Calibri"/>
        </w:rPr>
        <w:t xml:space="preserve">After the successful deceptions by Rhea and Gaia, the Theogony moves to justifying the patriarchal rule of Zeus, and so the power of the mother must </w:t>
      </w:r>
      <w:proofErr w:type="gramStart"/>
      <w:r w:rsidRPr="00121376">
        <w:rPr>
          <w:rFonts w:ascii="Calibri" w:hAnsi="Calibri" w:cs="Calibri"/>
        </w:rPr>
        <w:t>be reduced</w:t>
      </w:r>
      <w:proofErr w:type="gramEnd"/>
      <w:r w:rsidRPr="00121376">
        <w:rPr>
          <w:rFonts w:ascii="Calibri" w:hAnsi="Calibri" w:cs="Calibri"/>
        </w:rPr>
        <w:t xml:space="preserve"> and the threat from female reproduction and the womb neutralised. Concluding the succession narrative is Zeus’ defeat of Gaia’s last child, Typhoeus, which leads to the melting of Gaia as collateral damage (873) and ends Gaia’s birthing of gods and monsters. </w:t>
      </w:r>
      <w:r w:rsidR="00CA54FC" w:rsidRPr="00121376">
        <w:rPr>
          <w:rFonts w:ascii="Calibri" w:hAnsi="Calibri" w:cs="Calibri"/>
        </w:rPr>
        <w:t>The reduction of Gaia’s power is necessary in this new order because the threat poses to Zeus’ establishment of his patriarchal reign; as long as she has reproductive power, she could eternally produce and nurture challengers to Zeus’ reign and so she must be brought under control.</w:t>
      </w:r>
      <w:r w:rsidR="00CA54FC" w:rsidRPr="00121376">
        <w:rPr>
          <w:rStyle w:val="FootnoteReference"/>
          <w:rFonts w:ascii="Calibri" w:hAnsi="Calibri" w:cs="Calibri"/>
        </w:rPr>
        <w:footnoteReference w:id="16"/>
      </w:r>
      <w:r w:rsidR="00CA54FC" w:rsidRPr="00121376">
        <w:rPr>
          <w:rFonts w:ascii="Calibri" w:hAnsi="Calibri" w:cs="Calibri"/>
        </w:rPr>
        <w:t xml:space="preserve"> Overall</w:t>
      </w:r>
      <w:r w:rsidR="00D32F5C" w:rsidRPr="00121376">
        <w:rPr>
          <w:rFonts w:ascii="Calibri" w:hAnsi="Calibri" w:cs="Calibri"/>
        </w:rPr>
        <w:t>, t</w:t>
      </w:r>
      <w:r w:rsidR="001F2497" w:rsidRPr="00121376">
        <w:rPr>
          <w:rFonts w:ascii="Calibri" w:hAnsi="Calibri" w:cs="Calibri"/>
        </w:rPr>
        <w:t>hrough the succession narratives, t</w:t>
      </w:r>
      <w:r w:rsidR="004761A5" w:rsidRPr="00121376">
        <w:rPr>
          <w:rFonts w:ascii="Calibri" w:hAnsi="Calibri" w:cs="Calibri"/>
        </w:rPr>
        <w:t xml:space="preserve">he futility of </w:t>
      </w:r>
      <w:r w:rsidR="00E0176F" w:rsidRPr="00121376">
        <w:rPr>
          <w:rFonts w:ascii="Calibri" w:hAnsi="Calibri" w:cs="Calibri"/>
        </w:rPr>
        <w:t xml:space="preserve">trying to limit or control children after they are born </w:t>
      </w:r>
      <w:r w:rsidR="00CA54FC" w:rsidRPr="00121376">
        <w:rPr>
          <w:rFonts w:ascii="Calibri" w:hAnsi="Calibri" w:cs="Calibri"/>
        </w:rPr>
        <w:t xml:space="preserve">and influenced by their mother </w:t>
      </w:r>
      <w:r w:rsidR="00E0176F" w:rsidRPr="00121376">
        <w:rPr>
          <w:rFonts w:ascii="Calibri" w:hAnsi="Calibri" w:cs="Calibri"/>
        </w:rPr>
        <w:t xml:space="preserve">is proved by the failures of Ouranos and Kronos in their attempts to prevent their own downfalls by mimicking the mother’s womb. Following them, to avoid his own subversion, Zeus </w:t>
      </w:r>
      <w:r w:rsidR="002D154A" w:rsidRPr="00121376">
        <w:rPr>
          <w:rFonts w:ascii="Calibri" w:hAnsi="Calibri" w:cs="Calibri"/>
        </w:rPr>
        <w:t xml:space="preserve">adopts </w:t>
      </w:r>
      <w:r w:rsidR="00E0176F" w:rsidRPr="00121376">
        <w:rPr>
          <w:rFonts w:ascii="Calibri" w:hAnsi="Calibri" w:cs="Calibri"/>
        </w:rPr>
        <w:t>a more effective and direct form of controlling reproduction: co-opting the birth process itself.</w:t>
      </w:r>
    </w:p>
    <w:p w14:paraId="766A0D26" w14:textId="761558CE" w:rsidR="00814442" w:rsidRPr="00121376" w:rsidRDefault="00E72280" w:rsidP="00227B3C">
      <w:pPr>
        <w:rPr>
          <w:rFonts w:ascii="Calibri" w:hAnsi="Calibri" w:cs="Calibri"/>
        </w:rPr>
      </w:pPr>
      <w:r w:rsidRPr="00121376">
        <w:rPr>
          <w:rFonts w:ascii="Calibri" w:hAnsi="Calibri" w:cs="Calibri"/>
        </w:rPr>
        <w:t>T</w:t>
      </w:r>
      <w:r w:rsidR="003D2B15" w:rsidRPr="00121376">
        <w:rPr>
          <w:rFonts w:ascii="Calibri" w:hAnsi="Calibri" w:cs="Calibri"/>
        </w:rPr>
        <w:t xml:space="preserve">o understand the </w:t>
      </w:r>
      <w:r w:rsidR="00DF22E9" w:rsidRPr="00121376">
        <w:rPr>
          <w:rFonts w:ascii="Calibri" w:hAnsi="Calibri" w:cs="Calibri"/>
        </w:rPr>
        <w:t xml:space="preserve">Hesiodic motivations behind emphasising Zeus’ </w:t>
      </w:r>
      <w:r w:rsidR="00A46F77" w:rsidRPr="00121376">
        <w:rPr>
          <w:rFonts w:ascii="Calibri" w:hAnsi="Calibri" w:cs="Calibri"/>
        </w:rPr>
        <w:t xml:space="preserve">control over </w:t>
      </w:r>
      <w:r w:rsidR="00DF22E9" w:rsidRPr="00121376">
        <w:rPr>
          <w:rFonts w:ascii="Calibri" w:hAnsi="Calibri" w:cs="Calibri"/>
        </w:rPr>
        <w:t xml:space="preserve">restrict female reproductive power, historical evidence can shed light on </w:t>
      </w:r>
      <w:r w:rsidR="00DF489C" w:rsidRPr="00121376">
        <w:rPr>
          <w:rFonts w:ascii="Calibri" w:hAnsi="Calibri" w:cs="Calibri"/>
        </w:rPr>
        <w:t xml:space="preserve">archaic Greece’s fears around women’s sexuality and the root </w:t>
      </w:r>
      <w:r w:rsidR="00E43C0C" w:rsidRPr="00121376">
        <w:rPr>
          <w:rFonts w:ascii="Calibri" w:hAnsi="Calibri" w:cs="Calibri"/>
        </w:rPr>
        <w:t xml:space="preserve">of </w:t>
      </w:r>
      <w:r w:rsidR="006F175A" w:rsidRPr="00121376">
        <w:rPr>
          <w:rFonts w:ascii="Calibri" w:hAnsi="Calibri" w:cs="Calibri"/>
        </w:rPr>
        <w:t xml:space="preserve">the Theogony’s institution of universal male dominance. </w:t>
      </w:r>
      <w:r w:rsidR="00F90FA3" w:rsidRPr="00121376">
        <w:rPr>
          <w:rFonts w:ascii="Calibri" w:hAnsi="Calibri" w:cs="Calibri"/>
        </w:rPr>
        <w:t xml:space="preserve">In a systematic breakdown of the mythological evidence of ancient Greek attitudes to women, Walcot </w:t>
      </w:r>
      <w:r w:rsidR="00DB1904" w:rsidRPr="00121376">
        <w:rPr>
          <w:rFonts w:ascii="Calibri" w:hAnsi="Calibri" w:cs="Calibri"/>
        </w:rPr>
        <w:t xml:space="preserve">argues overall that “Greek attitudes </w:t>
      </w:r>
      <w:r w:rsidR="00DB1904" w:rsidRPr="00121376">
        <w:rPr>
          <w:rFonts w:ascii="Calibri" w:hAnsi="Calibri" w:cs="Calibri"/>
        </w:rPr>
        <w:lastRenderedPageBreak/>
        <w:t>towards women were conditioned by man’s fear of woman’s sexuality”</w:t>
      </w:r>
      <w:r w:rsidR="00FF2420" w:rsidRPr="00121376">
        <w:rPr>
          <w:rFonts w:ascii="Calibri" w:hAnsi="Calibri" w:cs="Calibri"/>
        </w:rPr>
        <w:t>.</w:t>
      </w:r>
      <w:r w:rsidR="00DB1904" w:rsidRPr="00121376">
        <w:rPr>
          <w:rStyle w:val="FootnoteReference"/>
          <w:rFonts w:ascii="Calibri" w:hAnsi="Calibri" w:cs="Calibri"/>
        </w:rPr>
        <w:footnoteReference w:id="17"/>
      </w:r>
      <w:r w:rsidR="003B38E0" w:rsidRPr="00121376">
        <w:rPr>
          <w:rFonts w:ascii="Calibri" w:hAnsi="Calibri" w:cs="Calibri"/>
        </w:rPr>
        <w:t xml:space="preserve"> </w:t>
      </w:r>
      <w:r w:rsidR="00FF2420" w:rsidRPr="00121376">
        <w:rPr>
          <w:rFonts w:ascii="Calibri" w:hAnsi="Calibri" w:cs="Calibri"/>
        </w:rPr>
        <w:t>Following this, i</w:t>
      </w:r>
      <w:r w:rsidR="00DB1904" w:rsidRPr="00121376">
        <w:rPr>
          <w:rFonts w:ascii="Calibri" w:hAnsi="Calibri" w:cs="Calibri"/>
        </w:rPr>
        <w:t xml:space="preserve">n the framework of this essay’s focus on female reproductive power, this hypothesis can be </w:t>
      </w:r>
      <w:r w:rsidR="009E2C54" w:rsidRPr="00121376">
        <w:rPr>
          <w:rFonts w:ascii="Calibri" w:hAnsi="Calibri" w:cs="Calibri"/>
        </w:rPr>
        <w:t xml:space="preserve">applied to this text specifically </w:t>
      </w:r>
      <w:r w:rsidR="00DB1904" w:rsidRPr="00121376">
        <w:rPr>
          <w:rFonts w:ascii="Calibri" w:hAnsi="Calibri" w:cs="Calibri"/>
        </w:rPr>
        <w:t xml:space="preserve">to </w:t>
      </w:r>
      <w:r w:rsidR="007F4C86" w:rsidRPr="00121376">
        <w:rPr>
          <w:rFonts w:ascii="Calibri" w:hAnsi="Calibri" w:cs="Calibri"/>
        </w:rPr>
        <w:t>argue that the Theogony’s attitude towards women is rooted in the importance of male control over female sexuality due to the threat</w:t>
      </w:r>
      <w:r w:rsidR="00227B3C" w:rsidRPr="00121376">
        <w:rPr>
          <w:rFonts w:ascii="Calibri" w:hAnsi="Calibri" w:cs="Calibri"/>
        </w:rPr>
        <w:t xml:space="preserve"> posed by children who could challenge the authority of the father and </w:t>
      </w:r>
      <w:r w:rsidR="009E2C54" w:rsidRPr="00121376">
        <w:rPr>
          <w:rFonts w:ascii="Calibri" w:hAnsi="Calibri" w:cs="Calibri"/>
        </w:rPr>
        <w:t xml:space="preserve">be weaponised by women to gain control over men. </w:t>
      </w:r>
    </w:p>
    <w:p w14:paraId="56EF2D43" w14:textId="02D26703" w:rsidR="00814442" w:rsidRPr="00121376" w:rsidRDefault="00EF79C9" w:rsidP="005B18FA">
      <w:pPr>
        <w:rPr>
          <w:rFonts w:ascii="Calibri" w:hAnsi="Calibri" w:cs="Calibri"/>
        </w:rPr>
      </w:pPr>
      <w:r w:rsidRPr="00121376">
        <w:rPr>
          <w:rFonts w:ascii="Calibri" w:hAnsi="Calibri" w:cs="Calibri"/>
        </w:rPr>
        <w:t>Among the Greek poets, sexuality in women is portrayed as a source of fear and instability, perceived to threaten the very masculinity of men and undermine their control over the family group</w:t>
      </w:r>
      <w:r w:rsidR="00197F36" w:rsidRPr="00121376">
        <w:rPr>
          <w:rFonts w:ascii="Calibri" w:hAnsi="Calibri" w:cs="Calibri"/>
        </w:rPr>
        <w:t>, and this attitude had its roots in the contemporaneous social structure</w:t>
      </w:r>
      <w:r w:rsidRPr="00121376">
        <w:rPr>
          <w:rFonts w:ascii="Calibri" w:hAnsi="Calibri" w:cs="Calibri"/>
        </w:rPr>
        <w:t>.</w:t>
      </w:r>
      <w:r w:rsidRPr="00121376">
        <w:rPr>
          <w:rStyle w:val="FootnoteReference"/>
          <w:rFonts w:ascii="Calibri" w:hAnsi="Calibri" w:cs="Calibri"/>
        </w:rPr>
        <w:footnoteReference w:id="18"/>
      </w:r>
      <w:r w:rsidR="00197F36" w:rsidRPr="00121376">
        <w:rPr>
          <w:rFonts w:ascii="Calibri" w:hAnsi="Calibri" w:cs="Calibri"/>
        </w:rPr>
        <w:t xml:space="preserve"> </w:t>
      </w:r>
      <w:r w:rsidR="003A40B0" w:rsidRPr="00121376">
        <w:rPr>
          <w:rFonts w:ascii="Calibri" w:hAnsi="Calibri" w:cs="Calibri"/>
        </w:rPr>
        <w:t xml:space="preserve">Within the </w:t>
      </w:r>
      <w:r w:rsidR="001555A9" w:rsidRPr="00121376">
        <w:rPr>
          <w:rFonts w:ascii="Calibri" w:hAnsi="Calibri" w:cs="Calibri"/>
        </w:rPr>
        <w:t>household (‘oikos’), women were considered the weakest link as they were outsiders brought into the family in order to continue the male line, leaving their motivations and alliances in a perpetual state of questioning.</w:t>
      </w:r>
      <w:r w:rsidR="001555A9" w:rsidRPr="00121376">
        <w:rPr>
          <w:rStyle w:val="FootnoteReference"/>
          <w:rFonts w:ascii="Calibri" w:hAnsi="Calibri" w:cs="Calibri"/>
        </w:rPr>
        <w:footnoteReference w:id="19"/>
      </w:r>
      <w:r w:rsidR="001555A9" w:rsidRPr="00121376">
        <w:rPr>
          <w:rFonts w:ascii="Calibri" w:hAnsi="Calibri" w:cs="Calibri"/>
        </w:rPr>
        <w:t xml:space="preserve"> </w:t>
      </w:r>
      <w:r w:rsidR="005852A7" w:rsidRPr="00121376">
        <w:rPr>
          <w:rFonts w:ascii="Calibri" w:hAnsi="Calibri" w:cs="Calibri"/>
        </w:rPr>
        <w:t>Living with this suspicion of the female members of the household</w:t>
      </w:r>
      <w:r w:rsidR="00744C66" w:rsidRPr="00121376">
        <w:rPr>
          <w:rFonts w:ascii="Calibri" w:hAnsi="Calibri" w:cs="Calibri"/>
        </w:rPr>
        <w:t xml:space="preserve"> and the belief that women were unable to control their rampant sexuality</w:t>
      </w:r>
      <w:r w:rsidR="005852A7" w:rsidRPr="00121376">
        <w:rPr>
          <w:rFonts w:ascii="Calibri" w:hAnsi="Calibri" w:cs="Calibri"/>
        </w:rPr>
        <w:t>,</w:t>
      </w:r>
      <w:r w:rsidR="00744C66" w:rsidRPr="00121376">
        <w:rPr>
          <w:rStyle w:val="FootnoteReference"/>
          <w:rFonts w:ascii="Calibri" w:hAnsi="Calibri" w:cs="Calibri"/>
        </w:rPr>
        <w:footnoteReference w:id="20"/>
      </w:r>
      <w:r w:rsidR="005852A7" w:rsidRPr="00121376">
        <w:rPr>
          <w:rFonts w:ascii="Calibri" w:hAnsi="Calibri" w:cs="Calibri"/>
        </w:rPr>
        <w:t xml:space="preserve"> male control </w:t>
      </w:r>
      <w:r w:rsidR="00D96FCD" w:rsidRPr="00121376">
        <w:rPr>
          <w:rFonts w:ascii="Calibri" w:hAnsi="Calibri" w:cs="Calibri"/>
        </w:rPr>
        <w:t xml:space="preserve">over female sexuality and reproductivity was crucial to ensure his heirs were legitimate and to avoid any suggestion of female impropriety that could </w:t>
      </w:r>
      <w:r w:rsidR="008F0377" w:rsidRPr="00121376">
        <w:rPr>
          <w:rFonts w:ascii="Calibri" w:hAnsi="Calibri" w:cs="Calibri"/>
        </w:rPr>
        <w:t>be detrimental to the household.</w:t>
      </w:r>
      <w:r w:rsidR="008F0377" w:rsidRPr="00121376">
        <w:rPr>
          <w:rStyle w:val="FootnoteReference"/>
          <w:rFonts w:ascii="Calibri" w:hAnsi="Calibri" w:cs="Calibri"/>
        </w:rPr>
        <w:footnoteReference w:id="21"/>
      </w:r>
      <w:r w:rsidR="003B149A" w:rsidRPr="00121376">
        <w:rPr>
          <w:rFonts w:ascii="Calibri" w:hAnsi="Calibri" w:cs="Calibri"/>
        </w:rPr>
        <w:t xml:space="preserve"> </w:t>
      </w:r>
      <w:r w:rsidR="00862D0D" w:rsidRPr="00121376">
        <w:rPr>
          <w:rFonts w:ascii="Calibri" w:hAnsi="Calibri" w:cs="Calibri"/>
        </w:rPr>
        <w:t xml:space="preserve">In </w:t>
      </w:r>
      <w:r w:rsidR="009941CA" w:rsidRPr="00121376">
        <w:rPr>
          <w:rFonts w:ascii="Calibri" w:hAnsi="Calibri" w:cs="Calibri"/>
        </w:rPr>
        <w:t>an example</w:t>
      </w:r>
      <w:r w:rsidR="008901C0" w:rsidRPr="00121376">
        <w:rPr>
          <w:rFonts w:ascii="Calibri" w:hAnsi="Calibri" w:cs="Calibri"/>
        </w:rPr>
        <w:t xml:space="preserve"> reminiscent of Rhea’s trickery to</w:t>
      </w:r>
      <w:r w:rsidR="00862D0D" w:rsidRPr="00121376">
        <w:rPr>
          <w:rFonts w:ascii="Calibri" w:hAnsi="Calibri" w:cs="Calibri"/>
        </w:rPr>
        <w:t xml:space="preserve"> withhold Zeus from Kronos, </w:t>
      </w:r>
      <w:r w:rsidR="008901C0" w:rsidRPr="00121376">
        <w:rPr>
          <w:rFonts w:ascii="Calibri" w:hAnsi="Calibri" w:cs="Calibri"/>
        </w:rPr>
        <w:t>a narrative motif of husband’s suspicious of wives exchange female infants for male substitutes or feigning pregnancy to introduce a supposititious child into the household is a common conflict between spouses referred to in ancient Greek literature.</w:t>
      </w:r>
      <w:r w:rsidR="00054A95" w:rsidRPr="00121376">
        <w:rPr>
          <w:rStyle w:val="FootnoteReference"/>
          <w:rFonts w:ascii="Calibri" w:hAnsi="Calibri" w:cs="Calibri"/>
        </w:rPr>
        <w:footnoteReference w:id="22"/>
      </w:r>
      <w:r w:rsidR="00054A95" w:rsidRPr="00121376">
        <w:rPr>
          <w:rFonts w:ascii="Calibri" w:hAnsi="Calibri" w:cs="Calibri"/>
        </w:rPr>
        <w:t xml:space="preserve"> In light of this, suspicions around women deceiving or concealing aspects of their reproductive lives can be observed</w:t>
      </w:r>
      <w:r w:rsidR="00FD107C" w:rsidRPr="00121376">
        <w:rPr>
          <w:rFonts w:ascii="Calibri" w:hAnsi="Calibri" w:cs="Calibri"/>
        </w:rPr>
        <w:t xml:space="preserve"> </w:t>
      </w:r>
      <w:r w:rsidR="00862D0D" w:rsidRPr="00121376">
        <w:rPr>
          <w:rFonts w:ascii="Calibri" w:hAnsi="Calibri" w:cs="Calibri"/>
        </w:rPr>
        <w:t xml:space="preserve">impacting </w:t>
      </w:r>
      <w:r w:rsidR="00FD107C" w:rsidRPr="00121376">
        <w:rPr>
          <w:rFonts w:ascii="Calibri" w:hAnsi="Calibri" w:cs="Calibri"/>
        </w:rPr>
        <w:t>the importance placed by Hesiod on Zeus’ supreme authority being established over women’s sexuality</w:t>
      </w:r>
      <w:r w:rsidR="00972141" w:rsidRPr="00121376">
        <w:rPr>
          <w:rFonts w:ascii="Calibri" w:hAnsi="Calibri" w:cs="Calibri"/>
        </w:rPr>
        <w:t xml:space="preserve"> in the Theogony. </w:t>
      </w:r>
    </w:p>
    <w:p w14:paraId="11BD4E18" w14:textId="0E55A532" w:rsidR="00814442" w:rsidRPr="00121376" w:rsidRDefault="00B02C36" w:rsidP="005B18FA">
      <w:pPr>
        <w:rPr>
          <w:rFonts w:ascii="Calibri" w:hAnsi="Calibri" w:cs="Calibri"/>
        </w:rPr>
      </w:pPr>
      <w:r w:rsidRPr="00121376">
        <w:rPr>
          <w:rFonts w:ascii="Calibri" w:hAnsi="Calibri" w:cs="Calibri"/>
        </w:rPr>
        <w:t xml:space="preserve">To </w:t>
      </w:r>
      <w:r w:rsidR="006125B6" w:rsidRPr="00121376">
        <w:rPr>
          <w:rFonts w:ascii="Calibri" w:hAnsi="Calibri" w:cs="Calibri"/>
        </w:rPr>
        <w:t>seize control of the female power to reproduce, Zeu</w:t>
      </w:r>
      <w:r w:rsidR="009015E5" w:rsidRPr="00121376">
        <w:rPr>
          <w:rFonts w:ascii="Calibri" w:hAnsi="Calibri" w:cs="Calibri"/>
        </w:rPr>
        <w:t xml:space="preserve">s </w:t>
      </w:r>
      <w:r w:rsidR="00862D0D" w:rsidRPr="00121376">
        <w:rPr>
          <w:rFonts w:ascii="Calibri" w:hAnsi="Calibri" w:cs="Calibri"/>
        </w:rPr>
        <w:t xml:space="preserve">makes </w:t>
      </w:r>
      <w:r w:rsidR="009015E5" w:rsidRPr="00121376">
        <w:rPr>
          <w:rFonts w:ascii="Calibri" w:hAnsi="Calibri" w:cs="Calibri"/>
        </w:rPr>
        <w:t>the goddess of cunning intelligence,</w:t>
      </w:r>
      <w:r w:rsidR="006C73B7" w:rsidRPr="00121376">
        <w:rPr>
          <w:rFonts w:ascii="Calibri" w:hAnsi="Calibri" w:cs="Calibri"/>
        </w:rPr>
        <w:t xml:space="preserve"> Metis</w:t>
      </w:r>
      <w:r w:rsidR="009015E5" w:rsidRPr="00121376">
        <w:rPr>
          <w:rFonts w:ascii="Calibri" w:hAnsi="Calibri" w:cs="Calibri"/>
        </w:rPr>
        <w:t>,</w:t>
      </w:r>
      <w:r w:rsidR="006C73B7" w:rsidRPr="00121376">
        <w:rPr>
          <w:rFonts w:ascii="Calibri" w:hAnsi="Calibri" w:cs="Calibri"/>
        </w:rPr>
        <w:t xml:space="preserve"> his first wife, </w:t>
      </w:r>
      <w:r w:rsidR="005C45B4" w:rsidRPr="00121376">
        <w:rPr>
          <w:rFonts w:ascii="Calibri" w:hAnsi="Calibri" w:cs="Calibri"/>
        </w:rPr>
        <w:t xml:space="preserve">then </w:t>
      </w:r>
      <w:r w:rsidR="006C73B7" w:rsidRPr="00121376">
        <w:rPr>
          <w:rFonts w:ascii="Calibri" w:hAnsi="Calibri" w:cs="Calibri"/>
        </w:rPr>
        <w:t xml:space="preserve">“tricked her, gulled her with crafty words, and stuffed her in his stomach” </w:t>
      </w:r>
      <w:r w:rsidR="00D50C14" w:rsidRPr="00121376">
        <w:rPr>
          <w:rFonts w:ascii="Calibri" w:hAnsi="Calibri" w:cs="Calibri"/>
        </w:rPr>
        <w:t xml:space="preserve">under the advice of Gaia (894-96) </w:t>
      </w:r>
      <w:r w:rsidR="009015E5" w:rsidRPr="00121376">
        <w:rPr>
          <w:rFonts w:ascii="Calibri" w:hAnsi="Calibri" w:cs="Calibri"/>
        </w:rPr>
        <w:t xml:space="preserve">to prevent </w:t>
      </w:r>
      <w:r w:rsidR="00B73172" w:rsidRPr="00121376">
        <w:rPr>
          <w:rFonts w:ascii="Calibri" w:hAnsi="Calibri" w:cs="Calibri"/>
        </w:rPr>
        <w:t xml:space="preserve">the birth of a son who could </w:t>
      </w:r>
      <w:r w:rsidR="00F1783C" w:rsidRPr="00121376">
        <w:rPr>
          <w:rFonts w:ascii="Calibri" w:hAnsi="Calibri" w:cs="Calibri"/>
        </w:rPr>
        <w:t>overthrow him (903-4)</w:t>
      </w:r>
      <w:r w:rsidR="0018628C" w:rsidRPr="00121376">
        <w:rPr>
          <w:rFonts w:ascii="Calibri" w:hAnsi="Calibri" w:cs="Calibri"/>
        </w:rPr>
        <w:t>.</w:t>
      </w:r>
      <w:r w:rsidRPr="00121376">
        <w:rPr>
          <w:rFonts w:ascii="Calibri" w:hAnsi="Calibri" w:cs="Calibri"/>
        </w:rPr>
        <w:t xml:space="preserve"> In a p</w:t>
      </w:r>
      <w:r w:rsidR="004A4B5A" w:rsidRPr="00121376">
        <w:rPr>
          <w:rFonts w:ascii="Calibri" w:hAnsi="Calibri" w:cs="Calibri"/>
        </w:rPr>
        <w:t>arallel to Rhea and Gaia’s deception involving the stomach/womb as a place of secrecy,</w:t>
      </w:r>
      <w:r w:rsidR="00EE3ED5" w:rsidRPr="00121376">
        <w:rPr>
          <w:rStyle w:val="FootnoteReference"/>
          <w:rFonts w:ascii="Calibri" w:hAnsi="Calibri" w:cs="Calibri"/>
        </w:rPr>
        <w:footnoteReference w:id="23"/>
      </w:r>
      <w:r w:rsidR="00EE3ED5" w:rsidRPr="00121376">
        <w:rPr>
          <w:rFonts w:ascii="Calibri" w:hAnsi="Calibri" w:cs="Calibri"/>
        </w:rPr>
        <w:t xml:space="preserve"> Zeus </w:t>
      </w:r>
      <w:r w:rsidR="006641EE" w:rsidRPr="00121376">
        <w:rPr>
          <w:rFonts w:ascii="Calibri" w:hAnsi="Calibri" w:cs="Calibri"/>
        </w:rPr>
        <w:t>combines the strategies of Ouranos and Kronos by both preventing birth and eating his children in the consumption of Metis.</w:t>
      </w:r>
      <w:r w:rsidR="006641EE" w:rsidRPr="00121376">
        <w:rPr>
          <w:rStyle w:val="FootnoteReference"/>
          <w:rFonts w:ascii="Calibri" w:hAnsi="Calibri" w:cs="Calibri"/>
        </w:rPr>
        <w:footnoteReference w:id="24"/>
      </w:r>
      <w:r w:rsidR="00C637B6" w:rsidRPr="00121376">
        <w:rPr>
          <w:rFonts w:ascii="Calibri" w:hAnsi="Calibri" w:cs="Calibri"/>
        </w:rPr>
        <w:t xml:space="preserve"> He</w:t>
      </w:r>
      <w:r w:rsidR="00CD1353" w:rsidRPr="00121376">
        <w:rPr>
          <w:rFonts w:ascii="Calibri" w:hAnsi="Calibri" w:cs="Calibri"/>
        </w:rPr>
        <w:t xml:space="preserve"> then gives birth to Athena “from his own head”</w:t>
      </w:r>
      <w:r w:rsidR="00C637B6" w:rsidRPr="00121376">
        <w:rPr>
          <w:rFonts w:ascii="Calibri" w:hAnsi="Calibri" w:cs="Calibri"/>
        </w:rPr>
        <w:t>,</w:t>
      </w:r>
      <w:r w:rsidR="00690C42" w:rsidRPr="00121376">
        <w:rPr>
          <w:rFonts w:ascii="Calibri" w:hAnsi="Calibri" w:cs="Calibri"/>
        </w:rPr>
        <w:t xml:space="preserve"> (929)</w:t>
      </w:r>
      <w:r w:rsidR="00C637B6" w:rsidRPr="00121376">
        <w:rPr>
          <w:rFonts w:ascii="Calibri" w:hAnsi="Calibri" w:cs="Calibri"/>
        </w:rPr>
        <w:t xml:space="preserve"> producing </w:t>
      </w:r>
      <w:r w:rsidR="00D66CC1" w:rsidRPr="00121376">
        <w:rPr>
          <w:rFonts w:ascii="Calibri" w:hAnsi="Calibri" w:cs="Calibri"/>
        </w:rPr>
        <w:t xml:space="preserve">a goddess of war with a martial appearance, </w:t>
      </w:r>
      <w:r w:rsidR="00657E71" w:rsidRPr="00121376">
        <w:rPr>
          <w:rFonts w:ascii="Calibri" w:hAnsi="Calibri" w:cs="Calibri"/>
        </w:rPr>
        <w:t>de-sexed and masculine.</w:t>
      </w:r>
      <w:r w:rsidR="00657E71" w:rsidRPr="00121376">
        <w:rPr>
          <w:rStyle w:val="FootnoteReference"/>
          <w:rFonts w:ascii="Calibri" w:hAnsi="Calibri" w:cs="Calibri"/>
        </w:rPr>
        <w:footnoteReference w:id="25"/>
      </w:r>
      <w:r w:rsidR="00657E71" w:rsidRPr="00121376">
        <w:rPr>
          <w:rFonts w:ascii="Calibri" w:hAnsi="Calibri" w:cs="Calibri"/>
        </w:rPr>
        <w:t xml:space="preserve"> </w:t>
      </w:r>
      <w:r w:rsidR="008C6498" w:rsidRPr="00121376">
        <w:rPr>
          <w:rFonts w:ascii="Calibri" w:hAnsi="Calibri" w:cs="Calibri"/>
        </w:rPr>
        <w:t xml:space="preserve">Female reproductive power is </w:t>
      </w:r>
      <w:r w:rsidR="00A50AB9" w:rsidRPr="00121376">
        <w:rPr>
          <w:rFonts w:ascii="Calibri" w:hAnsi="Calibri" w:cs="Calibri"/>
        </w:rPr>
        <w:t xml:space="preserve">thus  </w:t>
      </w:r>
      <w:r w:rsidR="008C6498" w:rsidRPr="00121376">
        <w:rPr>
          <w:rFonts w:ascii="Calibri" w:hAnsi="Calibri" w:cs="Calibri"/>
        </w:rPr>
        <w:t>appropriated by Zeus</w:t>
      </w:r>
      <w:r w:rsidR="00862241" w:rsidRPr="00121376">
        <w:rPr>
          <w:rFonts w:ascii="Calibri" w:hAnsi="Calibri" w:cs="Calibri"/>
        </w:rPr>
        <w:t xml:space="preserve">, </w:t>
      </w:r>
      <w:r w:rsidR="00CF058A" w:rsidRPr="00121376">
        <w:rPr>
          <w:rFonts w:ascii="Calibri" w:hAnsi="Calibri" w:cs="Calibri"/>
        </w:rPr>
        <w:t>with female born from male in a complete transformation of the cosmos’ order</w:t>
      </w:r>
      <w:r w:rsidR="00CF058A" w:rsidRPr="00121376">
        <w:rPr>
          <w:rStyle w:val="FootnoteReference"/>
          <w:rFonts w:ascii="Calibri" w:hAnsi="Calibri" w:cs="Calibri"/>
        </w:rPr>
        <w:footnoteReference w:id="26"/>
      </w:r>
      <w:r w:rsidR="00A50AB9" w:rsidRPr="00121376">
        <w:rPr>
          <w:rFonts w:ascii="Calibri" w:hAnsi="Calibri" w:cs="Calibri"/>
        </w:rPr>
        <w:t xml:space="preserve"> that reverses the pattern of female creation </w:t>
      </w:r>
      <w:r w:rsidR="00862D0D" w:rsidRPr="00121376">
        <w:rPr>
          <w:rFonts w:ascii="Calibri" w:hAnsi="Calibri" w:cs="Calibri"/>
        </w:rPr>
        <w:t xml:space="preserve">established </w:t>
      </w:r>
      <w:r w:rsidR="00A50AB9" w:rsidRPr="00121376">
        <w:rPr>
          <w:rFonts w:ascii="Calibri" w:hAnsi="Calibri" w:cs="Calibri"/>
        </w:rPr>
        <w:t xml:space="preserve">in the earliest births of the Theogony. </w:t>
      </w:r>
      <w:r w:rsidR="00FC476B" w:rsidRPr="00121376">
        <w:rPr>
          <w:rFonts w:ascii="Calibri" w:hAnsi="Calibri" w:cs="Calibri"/>
        </w:rPr>
        <w:t xml:space="preserve">However by swallowing Metis, Zeus does not just co-opt the female power of birth, but also </w:t>
      </w:r>
      <w:r w:rsidR="00E2496A" w:rsidRPr="00121376">
        <w:rPr>
          <w:rFonts w:ascii="Calibri" w:hAnsi="Calibri" w:cs="Calibri"/>
        </w:rPr>
        <w:t>removes female autonomy</w:t>
      </w:r>
      <w:r w:rsidR="00A70F54" w:rsidRPr="00121376">
        <w:rPr>
          <w:rFonts w:ascii="Calibri" w:hAnsi="Calibri" w:cs="Calibri"/>
        </w:rPr>
        <w:t xml:space="preserve"> and negates </w:t>
      </w:r>
      <w:r w:rsidR="00A70F54" w:rsidRPr="00121376">
        <w:rPr>
          <w:rFonts w:ascii="Calibri" w:hAnsi="Calibri" w:cs="Calibri"/>
        </w:rPr>
        <w:t xml:space="preserve">the potential for dangerous maternal influence over </w:t>
      </w:r>
      <w:r w:rsidR="00A70F54" w:rsidRPr="00121376">
        <w:rPr>
          <w:rFonts w:ascii="Calibri" w:hAnsi="Calibri" w:cs="Calibri"/>
        </w:rPr>
        <w:t>his offspring</w:t>
      </w:r>
      <w:r w:rsidR="0020563D" w:rsidRPr="00121376">
        <w:rPr>
          <w:rFonts w:ascii="Calibri" w:hAnsi="Calibri" w:cs="Calibri"/>
        </w:rPr>
        <w:t xml:space="preserve">; Arthyr points to the birth of Athena as </w:t>
      </w:r>
      <w:r w:rsidR="0020563D" w:rsidRPr="00121376">
        <w:rPr>
          <w:rFonts w:ascii="Calibri" w:hAnsi="Calibri" w:cs="Calibri"/>
        </w:rPr>
        <w:lastRenderedPageBreak/>
        <w:t>representing “an ideal paradigm of a social system in which the children are born from the mother but belong to the father”</w:t>
      </w:r>
      <w:r w:rsidR="00A70F54" w:rsidRPr="00121376">
        <w:rPr>
          <w:rFonts w:ascii="Calibri" w:hAnsi="Calibri" w:cs="Calibri"/>
        </w:rPr>
        <w:t>,</w:t>
      </w:r>
      <w:r w:rsidR="0020563D" w:rsidRPr="00121376">
        <w:rPr>
          <w:rStyle w:val="FootnoteReference"/>
          <w:rFonts w:ascii="Calibri" w:hAnsi="Calibri" w:cs="Calibri"/>
        </w:rPr>
        <w:footnoteReference w:id="27"/>
      </w:r>
      <w:r w:rsidR="00A70F54" w:rsidRPr="00121376">
        <w:rPr>
          <w:rFonts w:ascii="Calibri" w:hAnsi="Calibri" w:cs="Calibri"/>
        </w:rPr>
        <w:t xml:space="preserve"> representative of the patriarchal family structure in archaic Greece. </w:t>
      </w:r>
    </w:p>
    <w:p w14:paraId="519AB262" w14:textId="77777777" w:rsidR="00814442" w:rsidRPr="00121376" w:rsidRDefault="001D4BBB" w:rsidP="005B18FA">
      <w:pPr>
        <w:rPr>
          <w:rFonts w:ascii="Calibri" w:hAnsi="Calibri" w:cs="Calibri"/>
        </w:rPr>
      </w:pPr>
      <w:r w:rsidRPr="00121376">
        <w:rPr>
          <w:rFonts w:ascii="Calibri" w:hAnsi="Calibri" w:cs="Calibri"/>
        </w:rPr>
        <w:t xml:space="preserve">By destroying Metis and absorbing her daughter, Zeus removes </w:t>
      </w:r>
      <w:r w:rsidR="00863DB2" w:rsidRPr="00121376">
        <w:rPr>
          <w:rFonts w:ascii="Calibri" w:hAnsi="Calibri" w:cs="Calibri"/>
        </w:rPr>
        <w:t xml:space="preserve">Metis’ </w:t>
      </w:r>
      <w:r w:rsidRPr="00121376">
        <w:rPr>
          <w:rFonts w:ascii="Calibri" w:hAnsi="Calibri" w:cs="Calibri"/>
        </w:rPr>
        <w:t>autonomy and the power of her womb, which was a threat as a place of concealment beyond male control with potential as a setting for female deception and trickery.</w:t>
      </w:r>
      <w:r w:rsidR="00CB3516" w:rsidRPr="00121376">
        <w:rPr>
          <w:rStyle w:val="FootnoteReference"/>
          <w:rFonts w:ascii="Calibri" w:hAnsi="Calibri" w:cs="Calibri"/>
        </w:rPr>
        <w:footnoteReference w:id="28"/>
      </w:r>
      <w:r w:rsidR="00CB3516" w:rsidRPr="00121376">
        <w:rPr>
          <w:rFonts w:ascii="Calibri" w:hAnsi="Calibri" w:cs="Calibri"/>
        </w:rPr>
        <w:t xml:space="preserve"> </w:t>
      </w:r>
      <w:r w:rsidR="00F14AD6" w:rsidRPr="00121376">
        <w:rPr>
          <w:rFonts w:ascii="Calibri" w:hAnsi="Calibri" w:cs="Calibri"/>
        </w:rPr>
        <w:t>Metis as goddess of cunning intelligence arguably pose</w:t>
      </w:r>
      <w:r w:rsidR="002425C9" w:rsidRPr="00121376">
        <w:rPr>
          <w:rFonts w:ascii="Calibri" w:hAnsi="Calibri" w:cs="Calibri"/>
        </w:rPr>
        <w:t>d</w:t>
      </w:r>
      <w:r w:rsidR="00F14AD6" w:rsidRPr="00121376">
        <w:rPr>
          <w:rFonts w:ascii="Calibri" w:hAnsi="Calibri" w:cs="Calibri"/>
        </w:rPr>
        <w:t xml:space="preserve"> another threat to Zeus, as her power of cunning means she could scheme to </w:t>
      </w:r>
      <w:r w:rsidR="002425C9" w:rsidRPr="00121376">
        <w:rPr>
          <w:rFonts w:ascii="Calibri" w:hAnsi="Calibri" w:cs="Calibri"/>
        </w:rPr>
        <w:t xml:space="preserve">overthrow Zeus using her children just as Rhea and Gaia had deceived and helped defeat their consorts. </w:t>
      </w:r>
      <w:r w:rsidR="005A3FDF" w:rsidRPr="00121376">
        <w:rPr>
          <w:rFonts w:ascii="Calibri" w:hAnsi="Calibri" w:cs="Calibri"/>
        </w:rPr>
        <w:t xml:space="preserve">Zeus’ successful strategy shows the underlying ideology around the avoiding challenges to the patriarch’s authority – by maintaining control over the mother figure, Zeus demonstrates </w:t>
      </w:r>
      <w:r w:rsidR="00331EB4" w:rsidRPr="00121376">
        <w:rPr>
          <w:rFonts w:ascii="Calibri" w:hAnsi="Calibri" w:cs="Calibri"/>
        </w:rPr>
        <w:t xml:space="preserve">how the children of a family could </w:t>
      </w:r>
      <w:proofErr w:type="gramStart"/>
      <w:r w:rsidR="00331EB4" w:rsidRPr="00121376">
        <w:rPr>
          <w:rFonts w:ascii="Calibri" w:hAnsi="Calibri" w:cs="Calibri"/>
        </w:rPr>
        <w:t>be used</w:t>
      </w:r>
      <w:proofErr w:type="gramEnd"/>
      <w:r w:rsidR="00331EB4" w:rsidRPr="00121376">
        <w:rPr>
          <w:rFonts w:ascii="Calibri" w:hAnsi="Calibri" w:cs="Calibri"/>
        </w:rPr>
        <w:t xml:space="preserve"> to support the family’s patriarchal structure. </w:t>
      </w:r>
      <w:r w:rsidR="00086BE4" w:rsidRPr="00121376">
        <w:rPr>
          <w:rFonts w:ascii="Calibri" w:hAnsi="Calibri" w:cs="Calibri"/>
        </w:rPr>
        <w:t xml:space="preserve">The relationship between Zeus and Athena shows the hierarchy of female subordination in a favourable light, expressing it benignly as merely filial devotion of </w:t>
      </w:r>
      <w:r w:rsidR="00086BE4" w:rsidRPr="00121376">
        <w:rPr>
          <w:rFonts w:ascii="Calibri" w:hAnsi="Calibri" w:cs="Calibri"/>
        </w:rPr>
        <w:t xml:space="preserve">his </w:t>
      </w:r>
      <w:r w:rsidR="00086BE4" w:rsidRPr="00121376">
        <w:rPr>
          <w:rFonts w:ascii="Calibri" w:hAnsi="Calibri" w:cs="Calibri"/>
        </w:rPr>
        <w:t>daughter.</w:t>
      </w:r>
      <w:r w:rsidR="00086BE4" w:rsidRPr="00121376">
        <w:rPr>
          <w:rStyle w:val="FootnoteReference"/>
          <w:rFonts w:ascii="Calibri" w:hAnsi="Calibri" w:cs="Calibri"/>
        </w:rPr>
        <w:footnoteReference w:id="29"/>
      </w:r>
      <w:r w:rsidR="00086BE4" w:rsidRPr="00121376">
        <w:rPr>
          <w:rFonts w:ascii="Calibri" w:hAnsi="Calibri" w:cs="Calibri"/>
        </w:rPr>
        <w:t xml:space="preserve"> However, </w:t>
      </w:r>
      <w:r w:rsidR="00331EB4" w:rsidRPr="00121376">
        <w:rPr>
          <w:rFonts w:ascii="Calibri" w:hAnsi="Calibri" w:cs="Calibri"/>
        </w:rPr>
        <w:t xml:space="preserve">removal of the influence of her mother Metis allows for Zeus to </w:t>
      </w:r>
      <w:r w:rsidR="00792017" w:rsidRPr="00121376">
        <w:rPr>
          <w:rFonts w:ascii="Calibri" w:hAnsi="Calibri" w:cs="Calibri"/>
        </w:rPr>
        <w:t xml:space="preserve">meld </w:t>
      </w:r>
      <w:r w:rsidR="00331EB4" w:rsidRPr="00121376">
        <w:rPr>
          <w:rFonts w:ascii="Calibri" w:hAnsi="Calibri" w:cs="Calibri"/>
        </w:rPr>
        <w:t xml:space="preserve">Athena </w:t>
      </w:r>
      <w:r w:rsidR="00792017" w:rsidRPr="00121376">
        <w:rPr>
          <w:rFonts w:ascii="Calibri" w:hAnsi="Calibri" w:cs="Calibri"/>
        </w:rPr>
        <w:t xml:space="preserve">into </w:t>
      </w:r>
      <w:r w:rsidR="00331EB4" w:rsidRPr="00121376">
        <w:rPr>
          <w:rFonts w:ascii="Calibri" w:hAnsi="Calibri" w:cs="Calibri"/>
        </w:rPr>
        <w:t xml:space="preserve">a virginal goddess who defends his rule, </w:t>
      </w:r>
      <w:r w:rsidR="00386BE7" w:rsidRPr="00121376">
        <w:rPr>
          <w:rFonts w:ascii="Calibri" w:hAnsi="Calibri" w:cs="Calibri"/>
        </w:rPr>
        <w:t xml:space="preserve">turning her into a manifestation of </w:t>
      </w:r>
      <w:r w:rsidR="005E12C7" w:rsidRPr="00121376">
        <w:rPr>
          <w:rFonts w:ascii="Calibri" w:hAnsi="Calibri" w:cs="Calibri"/>
        </w:rPr>
        <w:t xml:space="preserve">his </w:t>
      </w:r>
      <w:r w:rsidR="00386BE7" w:rsidRPr="00121376">
        <w:rPr>
          <w:rFonts w:ascii="Calibri" w:hAnsi="Calibri" w:cs="Calibri"/>
        </w:rPr>
        <w:t>new order and control over women.</w:t>
      </w:r>
      <w:r w:rsidR="00386BE7" w:rsidRPr="00121376">
        <w:rPr>
          <w:rStyle w:val="FootnoteReference"/>
          <w:rFonts w:ascii="Calibri" w:hAnsi="Calibri" w:cs="Calibri"/>
        </w:rPr>
        <w:footnoteReference w:id="30"/>
      </w:r>
      <w:r w:rsidR="0044714C" w:rsidRPr="00121376">
        <w:rPr>
          <w:rFonts w:ascii="Calibri" w:hAnsi="Calibri" w:cs="Calibri"/>
        </w:rPr>
        <w:t xml:space="preserve"> </w:t>
      </w:r>
    </w:p>
    <w:p w14:paraId="483B56CA" w14:textId="5DD26D3C" w:rsidR="00F62AE3" w:rsidRPr="00121376" w:rsidRDefault="00E14296" w:rsidP="005B18FA">
      <w:pPr>
        <w:rPr>
          <w:rFonts w:ascii="Calibri" w:hAnsi="Calibri" w:cs="Calibri"/>
        </w:rPr>
      </w:pPr>
      <w:r w:rsidRPr="00121376">
        <w:rPr>
          <w:rFonts w:ascii="Calibri" w:hAnsi="Calibri" w:cs="Calibri"/>
        </w:rPr>
        <w:t xml:space="preserve">In </w:t>
      </w:r>
      <w:r w:rsidR="006A08EE" w:rsidRPr="00121376">
        <w:rPr>
          <w:rFonts w:ascii="Calibri" w:hAnsi="Calibri" w:cs="Calibri"/>
        </w:rPr>
        <w:t>contrast</w:t>
      </w:r>
      <w:r w:rsidRPr="00121376">
        <w:rPr>
          <w:rFonts w:ascii="Calibri" w:hAnsi="Calibri" w:cs="Calibri"/>
        </w:rPr>
        <w:t xml:space="preserve"> with the portrayal of Athena, Hesiod’s</w:t>
      </w:r>
      <w:r w:rsidR="00AD57DB" w:rsidRPr="00121376">
        <w:rPr>
          <w:rFonts w:ascii="Calibri" w:hAnsi="Calibri" w:cs="Calibri"/>
        </w:rPr>
        <w:t xml:space="preserve"> anxiety-fraught</w:t>
      </w:r>
      <w:r w:rsidRPr="00121376">
        <w:rPr>
          <w:rFonts w:ascii="Calibri" w:hAnsi="Calibri" w:cs="Calibri"/>
        </w:rPr>
        <w:t xml:space="preserve"> </w:t>
      </w:r>
      <w:r w:rsidR="00AD57DB" w:rsidRPr="00121376">
        <w:rPr>
          <w:rFonts w:ascii="Calibri" w:hAnsi="Calibri" w:cs="Calibri"/>
        </w:rPr>
        <w:t xml:space="preserve">view of sex and love </w:t>
      </w:r>
      <w:r w:rsidR="00837037" w:rsidRPr="00121376">
        <w:rPr>
          <w:rFonts w:ascii="Calibri" w:hAnsi="Calibri" w:cs="Calibri"/>
        </w:rPr>
        <w:t xml:space="preserve">is </w:t>
      </w:r>
      <w:r w:rsidR="008833B4" w:rsidRPr="00121376">
        <w:rPr>
          <w:rFonts w:ascii="Calibri" w:hAnsi="Calibri" w:cs="Calibri"/>
        </w:rPr>
        <w:t xml:space="preserve">concentrated </w:t>
      </w:r>
      <w:r w:rsidR="0099089E" w:rsidRPr="00121376">
        <w:rPr>
          <w:rFonts w:ascii="Calibri" w:hAnsi="Calibri" w:cs="Calibri"/>
        </w:rPr>
        <w:t xml:space="preserve">in </w:t>
      </w:r>
      <w:r w:rsidR="00345F69" w:rsidRPr="00121376">
        <w:rPr>
          <w:rFonts w:ascii="Calibri" w:hAnsi="Calibri" w:cs="Calibri"/>
        </w:rPr>
        <w:t xml:space="preserve">the goddess Aphrodite, whose framing as an antithesis of Athena’s virtuous connection to her father Zeus </w:t>
      </w:r>
      <w:r w:rsidR="006A08EE" w:rsidRPr="00121376">
        <w:rPr>
          <w:rFonts w:ascii="Calibri" w:hAnsi="Calibri" w:cs="Calibri"/>
        </w:rPr>
        <w:t>highlights both the author</w:t>
      </w:r>
      <w:r w:rsidR="00992410" w:rsidRPr="00121376">
        <w:rPr>
          <w:rFonts w:ascii="Calibri" w:hAnsi="Calibri" w:cs="Calibri"/>
        </w:rPr>
        <w:t>’s</w:t>
      </w:r>
      <w:r w:rsidR="006A08EE" w:rsidRPr="00121376">
        <w:rPr>
          <w:rFonts w:ascii="Calibri" w:hAnsi="Calibri" w:cs="Calibri"/>
        </w:rPr>
        <w:t xml:space="preserve"> and his society’s fears around the power of female sexuality.</w:t>
      </w:r>
      <w:r w:rsidR="00992410" w:rsidRPr="00121376">
        <w:rPr>
          <w:rStyle w:val="FootnoteReference"/>
          <w:rFonts w:ascii="Calibri" w:hAnsi="Calibri" w:cs="Calibri"/>
        </w:rPr>
        <w:footnoteReference w:id="31"/>
      </w:r>
      <w:r w:rsidR="0099089E" w:rsidRPr="00121376">
        <w:rPr>
          <w:rFonts w:ascii="Calibri" w:hAnsi="Calibri" w:cs="Calibri"/>
        </w:rPr>
        <w:t xml:space="preserve"> Scholarship </w:t>
      </w:r>
      <w:r w:rsidR="00C74C7A" w:rsidRPr="00121376">
        <w:rPr>
          <w:rFonts w:ascii="Calibri" w:hAnsi="Calibri" w:cs="Calibri"/>
        </w:rPr>
        <w:t xml:space="preserve">on Hesiod’s potential reworking of </w:t>
      </w:r>
      <w:r w:rsidR="00900F15" w:rsidRPr="00121376">
        <w:rPr>
          <w:rFonts w:ascii="Calibri" w:hAnsi="Calibri" w:cs="Calibri"/>
        </w:rPr>
        <w:t xml:space="preserve">traditional </w:t>
      </w:r>
      <w:r w:rsidR="00C74C7A" w:rsidRPr="00121376">
        <w:rPr>
          <w:rFonts w:ascii="Calibri" w:hAnsi="Calibri" w:cs="Calibri"/>
        </w:rPr>
        <w:t xml:space="preserve">mythical </w:t>
      </w:r>
      <w:r w:rsidR="00900F15" w:rsidRPr="00121376">
        <w:rPr>
          <w:rFonts w:ascii="Calibri" w:hAnsi="Calibri" w:cs="Calibri"/>
        </w:rPr>
        <w:t xml:space="preserve">accounts </w:t>
      </w:r>
      <w:r w:rsidR="00741AE0" w:rsidRPr="00121376">
        <w:rPr>
          <w:rFonts w:ascii="Calibri" w:hAnsi="Calibri" w:cs="Calibri"/>
        </w:rPr>
        <w:t xml:space="preserve">has </w:t>
      </w:r>
      <w:r w:rsidR="00336AD4" w:rsidRPr="00121376">
        <w:rPr>
          <w:rFonts w:ascii="Calibri" w:hAnsi="Calibri" w:cs="Calibri"/>
        </w:rPr>
        <w:t xml:space="preserve">uncovered </w:t>
      </w:r>
      <w:r w:rsidR="00741AE0" w:rsidRPr="00121376">
        <w:rPr>
          <w:rFonts w:ascii="Calibri" w:hAnsi="Calibri" w:cs="Calibri"/>
        </w:rPr>
        <w:t>the likely suppression of Dione,</w:t>
      </w:r>
      <w:r w:rsidR="00B413E7" w:rsidRPr="00121376">
        <w:rPr>
          <w:rStyle w:val="FootnoteReference"/>
          <w:rFonts w:ascii="Calibri" w:hAnsi="Calibri" w:cs="Calibri"/>
        </w:rPr>
        <w:footnoteReference w:id="32"/>
      </w:r>
      <w:r w:rsidR="00741AE0" w:rsidRPr="00121376">
        <w:rPr>
          <w:rFonts w:ascii="Calibri" w:hAnsi="Calibri" w:cs="Calibri"/>
        </w:rPr>
        <w:t xml:space="preserve"> </w:t>
      </w:r>
      <w:r w:rsidR="007454AA" w:rsidRPr="00121376">
        <w:rPr>
          <w:rFonts w:ascii="Calibri" w:hAnsi="Calibri" w:cs="Calibri"/>
        </w:rPr>
        <w:t>the goddess</w:t>
      </w:r>
      <w:r w:rsidR="00741AE0" w:rsidRPr="00121376">
        <w:rPr>
          <w:rFonts w:ascii="Calibri" w:hAnsi="Calibri" w:cs="Calibri"/>
        </w:rPr>
        <w:t xml:space="preserve"> Homer credited as the mother of Aphrodite, </w:t>
      </w:r>
      <w:r w:rsidR="00900F15" w:rsidRPr="00121376">
        <w:rPr>
          <w:rFonts w:ascii="Calibri" w:hAnsi="Calibri" w:cs="Calibri"/>
        </w:rPr>
        <w:t xml:space="preserve">in favour of </w:t>
      </w:r>
      <w:r w:rsidR="00B413E7" w:rsidRPr="00121376">
        <w:rPr>
          <w:rFonts w:ascii="Calibri" w:hAnsi="Calibri" w:cs="Calibri"/>
        </w:rPr>
        <w:t>his own narrative of Aphrodite being born from Ouranos’ severed genitals.</w:t>
      </w:r>
      <w:r w:rsidR="00140586" w:rsidRPr="00121376">
        <w:rPr>
          <w:rStyle w:val="FootnoteReference"/>
          <w:rFonts w:ascii="Calibri" w:hAnsi="Calibri" w:cs="Calibri"/>
        </w:rPr>
        <w:footnoteReference w:id="33"/>
      </w:r>
      <w:r w:rsidR="00A422F5" w:rsidRPr="00121376">
        <w:rPr>
          <w:rFonts w:ascii="Calibri" w:hAnsi="Calibri" w:cs="Calibri"/>
        </w:rPr>
        <w:t xml:space="preserve"> </w:t>
      </w:r>
      <w:r w:rsidR="00AE4556" w:rsidRPr="00121376">
        <w:rPr>
          <w:rFonts w:ascii="Calibri" w:hAnsi="Calibri" w:cs="Calibri"/>
        </w:rPr>
        <w:t>Though Hesiod introduces Eros as the primordial god of lust, his role is eclipsed by Aphrodite as soon as she is born and he is relegated to an attendant role</w:t>
      </w:r>
      <w:r w:rsidR="00746C8B" w:rsidRPr="00121376">
        <w:rPr>
          <w:rFonts w:ascii="Calibri" w:hAnsi="Calibri" w:cs="Calibri"/>
        </w:rPr>
        <w:t xml:space="preserve"> (201)</w:t>
      </w:r>
      <w:r w:rsidR="00EF0A04" w:rsidRPr="00121376">
        <w:rPr>
          <w:rFonts w:ascii="Calibri" w:hAnsi="Calibri" w:cs="Calibri"/>
        </w:rPr>
        <w:t xml:space="preserve">. In the form of the feminine Aphrodite, Hesiod </w:t>
      </w:r>
      <w:r w:rsidR="00D80953" w:rsidRPr="00121376">
        <w:rPr>
          <w:rFonts w:ascii="Calibri" w:hAnsi="Calibri" w:cs="Calibri"/>
        </w:rPr>
        <w:t xml:space="preserve">then explicitly connects the fundamental sexual urge with the dangers of seduction and deception, </w:t>
      </w:r>
      <w:r w:rsidR="00A70F54" w:rsidRPr="00121376">
        <w:rPr>
          <w:rFonts w:ascii="Calibri" w:hAnsi="Calibri" w:cs="Calibri"/>
        </w:rPr>
        <w:t xml:space="preserve">making Aphrodite </w:t>
      </w:r>
      <w:r w:rsidR="00D80953" w:rsidRPr="00121376">
        <w:rPr>
          <w:rFonts w:ascii="Calibri" w:hAnsi="Calibri" w:cs="Calibri"/>
        </w:rPr>
        <w:t>distinctly threatening</w:t>
      </w:r>
      <w:r w:rsidR="00F70543" w:rsidRPr="00121376">
        <w:rPr>
          <w:rFonts w:ascii="Calibri" w:hAnsi="Calibri" w:cs="Calibri"/>
        </w:rPr>
        <w:t>.</w:t>
      </w:r>
      <w:r w:rsidR="00D80953" w:rsidRPr="00121376">
        <w:rPr>
          <w:rStyle w:val="FootnoteReference"/>
          <w:rFonts w:ascii="Calibri" w:hAnsi="Calibri" w:cs="Calibri"/>
        </w:rPr>
        <w:footnoteReference w:id="34"/>
      </w:r>
      <w:r w:rsidR="0083591B" w:rsidRPr="00121376">
        <w:rPr>
          <w:rFonts w:ascii="Calibri" w:hAnsi="Calibri" w:cs="Calibri"/>
        </w:rPr>
        <w:t xml:space="preserve"> </w:t>
      </w:r>
      <w:r w:rsidR="008833B4" w:rsidRPr="00121376">
        <w:rPr>
          <w:rFonts w:ascii="Calibri" w:hAnsi="Calibri" w:cs="Calibri"/>
        </w:rPr>
        <w:t>E</w:t>
      </w:r>
      <w:r w:rsidR="0083591B" w:rsidRPr="00121376">
        <w:rPr>
          <w:rFonts w:ascii="Calibri" w:hAnsi="Calibri" w:cs="Calibri"/>
        </w:rPr>
        <w:t xml:space="preserve">ven in its appropriate </w:t>
      </w:r>
      <w:r w:rsidR="00A70F54" w:rsidRPr="00121376">
        <w:rPr>
          <w:rFonts w:ascii="Calibri" w:hAnsi="Calibri" w:cs="Calibri"/>
        </w:rPr>
        <w:t>use for procreation,</w:t>
      </w:r>
      <w:r w:rsidR="00D80953" w:rsidRPr="00121376">
        <w:rPr>
          <w:rFonts w:ascii="Calibri" w:hAnsi="Calibri" w:cs="Calibri"/>
        </w:rPr>
        <w:t xml:space="preserve"> </w:t>
      </w:r>
      <w:r w:rsidR="0083591B" w:rsidRPr="00121376">
        <w:rPr>
          <w:rFonts w:ascii="Calibri" w:hAnsi="Calibri" w:cs="Calibri"/>
        </w:rPr>
        <w:t>sexuality retains a destructive potential.</w:t>
      </w:r>
      <w:r w:rsidR="0083591B" w:rsidRPr="00121376">
        <w:rPr>
          <w:rStyle w:val="FootnoteReference"/>
          <w:rFonts w:ascii="Calibri" w:hAnsi="Calibri" w:cs="Calibri"/>
        </w:rPr>
        <w:footnoteReference w:id="35"/>
      </w:r>
      <w:r w:rsidR="00D80953" w:rsidRPr="00121376">
        <w:rPr>
          <w:rFonts w:ascii="Calibri" w:hAnsi="Calibri" w:cs="Calibri"/>
        </w:rPr>
        <w:t xml:space="preserve"> </w:t>
      </w:r>
      <w:r w:rsidR="00C51327" w:rsidRPr="00121376">
        <w:rPr>
          <w:rFonts w:ascii="Calibri" w:hAnsi="Calibri" w:cs="Calibri"/>
        </w:rPr>
        <w:t>The chaotic and dangerous consequences of sexuality embodied in Aphrodite stands in stark comparison to the</w:t>
      </w:r>
      <w:r w:rsidR="00814442" w:rsidRPr="00121376">
        <w:rPr>
          <w:rFonts w:ascii="Calibri" w:hAnsi="Calibri" w:cs="Calibri"/>
        </w:rPr>
        <w:t xml:space="preserve"> </w:t>
      </w:r>
      <w:r w:rsidR="00C51327" w:rsidRPr="00121376">
        <w:rPr>
          <w:rFonts w:ascii="Calibri" w:hAnsi="Calibri" w:cs="Calibri"/>
        </w:rPr>
        <w:t>virginal Athena, and Arthyr</w:t>
      </w:r>
      <w:r w:rsidR="001C2A09" w:rsidRPr="00121376">
        <w:rPr>
          <w:rFonts w:ascii="Calibri" w:hAnsi="Calibri" w:cs="Calibri"/>
        </w:rPr>
        <w:t xml:space="preserve"> draws further parallels:</w:t>
      </w:r>
    </w:p>
    <w:p w14:paraId="20A17BC6" w14:textId="7B0AC6E5" w:rsidR="001C2A09" w:rsidRPr="00121376" w:rsidRDefault="00F62AE3" w:rsidP="001C2A09">
      <w:pPr>
        <w:ind w:left="720"/>
        <w:rPr>
          <w:rFonts w:ascii="Calibri" w:hAnsi="Calibri" w:cs="Calibri"/>
        </w:rPr>
      </w:pPr>
      <w:r w:rsidRPr="00121376">
        <w:rPr>
          <w:rFonts w:ascii="Calibri" w:hAnsi="Calibri" w:cs="Calibri"/>
        </w:rPr>
        <w:t>A</w:t>
      </w:r>
      <w:r w:rsidR="001C2A09" w:rsidRPr="00121376">
        <w:rPr>
          <w:rFonts w:ascii="Calibri" w:hAnsi="Calibri" w:cs="Calibri"/>
        </w:rPr>
        <w:t>phrodite, primal daughter of the primal father, is the negative counterpart to Athena</w:t>
      </w:r>
      <w:r w:rsidR="00C13775" w:rsidRPr="00121376">
        <w:rPr>
          <w:rFonts w:ascii="Calibri" w:hAnsi="Calibri" w:cs="Calibri"/>
        </w:rPr>
        <w:t xml:space="preserve"> […] Like Athena, </w:t>
      </w:r>
      <w:r w:rsidR="0083163E" w:rsidRPr="00121376">
        <w:rPr>
          <w:rFonts w:ascii="Calibri" w:hAnsi="Calibri" w:cs="Calibri"/>
        </w:rPr>
        <w:t>Aphrodite</w:t>
      </w:r>
      <w:r w:rsidR="00C13775" w:rsidRPr="00121376">
        <w:rPr>
          <w:rFonts w:ascii="Calibri" w:hAnsi="Calibri" w:cs="Calibri"/>
        </w:rPr>
        <w:t xml:space="preserve"> is born from the male alone – but she is born from below rather than from above, a token of the father’s defeat rather than his victory […] the embodiment of the sexual attraction </w:t>
      </w:r>
      <w:r w:rsidR="00AE4F47" w:rsidRPr="00121376">
        <w:rPr>
          <w:rFonts w:ascii="Calibri" w:hAnsi="Calibri" w:cs="Calibri"/>
        </w:rPr>
        <w:t xml:space="preserve">which overwhelms the male </w:t>
      </w:r>
      <w:r w:rsidR="00AE4F47" w:rsidRPr="00121376">
        <w:rPr>
          <w:rFonts w:ascii="Calibri" w:hAnsi="Calibri" w:cs="Calibri"/>
        </w:rPr>
        <w:lastRenderedPageBreak/>
        <w:t>rather than of the authority and martial skill through which he asserts his prowess.</w:t>
      </w:r>
      <w:r w:rsidR="000469CD" w:rsidRPr="00121376">
        <w:rPr>
          <w:rStyle w:val="FootnoteReference"/>
          <w:rFonts w:ascii="Calibri" w:hAnsi="Calibri" w:cs="Calibri"/>
        </w:rPr>
        <w:footnoteReference w:id="36"/>
      </w:r>
    </w:p>
    <w:p w14:paraId="178715EC" w14:textId="174865E2" w:rsidR="00452B8C" w:rsidRPr="00121376" w:rsidRDefault="00DF0F5C" w:rsidP="00452B8C">
      <w:pPr>
        <w:rPr>
          <w:rFonts w:ascii="Calibri" w:hAnsi="Calibri" w:cs="Calibri"/>
        </w:rPr>
      </w:pPr>
      <w:r w:rsidRPr="00121376">
        <w:rPr>
          <w:rFonts w:ascii="Calibri" w:hAnsi="Calibri" w:cs="Calibri"/>
        </w:rPr>
        <w:t>While both Athena and Aphrodite are born from the male alone, Aphrodite</w:t>
      </w:r>
      <w:r w:rsidR="00A70F54" w:rsidRPr="00121376">
        <w:rPr>
          <w:rFonts w:ascii="Calibri" w:hAnsi="Calibri" w:cs="Calibri"/>
        </w:rPr>
        <w:t xml:space="preserve"> is</w:t>
      </w:r>
      <w:r w:rsidRPr="00121376">
        <w:rPr>
          <w:rFonts w:ascii="Calibri" w:hAnsi="Calibri" w:cs="Calibri"/>
        </w:rPr>
        <w:t xml:space="preserve"> unconstrained by male authority</w:t>
      </w:r>
      <w:r w:rsidR="00A70F54" w:rsidRPr="00121376">
        <w:rPr>
          <w:rFonts w:ascii="Calibri" w:hAnsi="Calibri" w:cs="Calibri"/>
        </w:rPr>
        <w:t xml:space="preserve"> and </w:t>
      </w:r>
      <w:r w:rsidRPr="00121376">
        <w:rPr>
          <w:rFonts w:ascii="Calibri" w:hAnsi="Calibri" w:cs="Calibri"/>
        </w:rPr>
        <w:t xml:space="preserve">embodies sexual desire and its power to overwhelm the male, </w:t>
      </w:r>
      <w:r w:rsidR="00A70F54" w:rsidRPr="00121376">
        <w:rPr>
          <w:rFonts w:ascii="Calibri" w:hAnsi="Calibri" w:cs="Calibri"/>
        </w:rPr>
        <w:t xml:space="preserve">becoming </w:t>
      </w:r>
      <w:r w:rsidRPr="00121376">
        <w:rPr>
          <w:rFonts w:ascii="Calibri" w:hAnsi="Calibri" w:cs="Calibri"/>
        </w:rPr>
        <w:t>Athena’s polar opposite.</w:t>
      </w:r>
      <w:r w:rsidRPr="00121376">
        <w:rPr>
          <w:rStyle w:val="FootnoteReference"/>
          <w:rFonts w:ascii="Calibri" w:hAnsi="Calibri" w:cs="Calibri"/>
        </w:rPr>
        <w:footnoteReference w:id="37"/>
      </w:r>
      <w:r w:rsidRPr="00121376">
        <w:rPr>
          <w:rFonts w:ascii="Calibri" w:hAnsi="Calibri" w:cs="Calibri"/>
        </w:rPr>
        <w:t xml:space="preserve"> </w:t>
      </w:r>
      <w:r w:rsidR="00C73617" w:rsidRPr="00121376">
        <w:rPr>
          <w:rFonts w:ascii="Calibri" w:hAnsi="Calibri" w:cs="Calibri"/>
        </w:rPr>
        <w:t xml:space="preserve">Furthermore, the removal of Ouranos’ genitals </w:t>
      </w:r>
      <w:r w:rsidRPr="00121376">
        <w:rPr>
          <w:rFonts w:ascii="Calibri" w:hAnsi="Calibri" w:cs="Calibri"/>
        </w:rPr>
        <w:t xml:space="preserve">leading to the </w:t>
      </w:r>
      <w:r w:rsidR="00C73617" w:rsidRPr="00121376">
        <w:rPr>
          <w:rFonts w:ascii="Calibri" w:hAnsi="Calibri" w:cs="Calibri"/>
        </w:rPr>
        <w:t xml:space="preserve">unwilled birth of Aphrodite </w:t>
      </w:r>
      <w:r w:rsidR="000469CD" w:rsidRPr="00121376">
        <w:rPr>
          <w:rFonts w:ascii="Calibri" w:hAnsi="Calibri" w:cs="Calibri"/>
        </w:rPr>
        <w:t>highlights</w:t>
      </w:r>
      <w:r w:rsidR="00C73617" w:rsidRPr="00121376">
        <w:rPr>
          <w:rFonts w:ascii="Calibri" w:hAnsi="Calibri" w:cs="Calibri"/>
        </w:rPr>
        <w:t xml:space="preserve"> the danger of men losing control over reproduction using their seed early in the Theogony</w:t>
      </w:r>
      <w:r w:rsidRPr="00121376">
        <w:rPr>
          <w:rFonts w:ascii="Calibri" w:hAnsi="Calibri" w:cs="Calibri"/>
        </w:rPr>
        <w:t>, as the consequ</w:t>
      </w:r>
      <w:r w:rsidR="00115CD7" w:rsidRPr="00121376">
        <w:rPr>
          <w:rFonts w:ascii="Calibri" w:hAnsi="Calibri" w:cs="Calibri"/>
        </w:rPr>
        <w:t xml:space="preserve">ences are damaging to male control. </w:t>
      </w:r>
      <w:r w:rsidR="00597C3E" w:rsidRPr="00121376">
        <w:rPr>
          <w:rFonts w:ascii="Calibri" w:hAnsi="Calibri" w:cs="Calibri"/>
        </w:rPr>
        <w:t xml:space="preserve">The threat from Aphrodite </w:t>
      </w:r>
      <w:proofErr w:type="gramStart"/>
      <w:r w:rsidR="00597C3E" w:rsidRPr="00121376">
        <w:rPr>
          <w:rFonts w:ascii="Calibri" w:hAnsi="Calibri" w:cs="Calibri"/>
        </w:rPr>
        <w:t xml:space="preserve">is </w:t>
      </w:r>
      <w:r w:rsidR="00F53C91" w:rsidRPr="00121376">
        <w:rPr>
          <w:rFonts w:ascii="Calibri" w:hAnsi="Calibri" w:cs="Calibri"/>
        </w:rPr>
        <w:t xml:space="preserve">carefully </w:t>
      </w:r>
      <w:r w:rsidR="00597C3E" w:rsidRPr="00121376">
        <w:rPr>
          <w:rFonts w:ascii="Calibri" w:hAnsi="Calibri" w:cs="Calibri"/>
        </w:rPr>
        <w:t>reduced</w:t>
      </w:r>
      <w:proofErr w:type="gramEnd"/>
      <w:r w:rsidR="00597C3E" w:rsidRPr="00121376">
        <w:rPr>
          <w:rFonts w:ascii="Calibri" w:hAnsi="Calibri" w:cs="Calibri"/>
        </w:rPr>
        <w:t xml:space="preserve"> in the narrative after Zeus takes power</w:t>
      </w:r>
      <w:r w:rsidR="00014042" w:rsidRPr="00121376">
        <w:rPr>
          <w:rFonts w:ascii="Calibri" w:hAnsi="Calibri" w:cs="Calibri"/>
        </w:rPr>
        <w:t>,</w:t>
      </w:r>
      <w:r w:rsidR="00597C3E" w:rsidRPr="00121376">
        <w:rPr>
          <w:rFonts w:ascii="Calibri" w:hAnsi="Calibri" w:cs="Calibri"/>
        </w:rPr>
        <w:t xml:space="preserve"> be</w:t>
      </w:r>
      <w:r w:rsidR="00014042" w:rsidRPr="00121376">
        <w:rPr>
          <w:rFonts w:ascii="Calibri" w:hAnsi="Calibri" w:cs="Calibri"/>
        </w:rPr>
        <w:t>coming</w:t>
      </w:r>
      <w:r w:rsidR="00597C3E" w:rsidRPr="00121376">
        <w:rPr>
          <w:rFonts w:ascii="Calibri" w:hAnsi="Calibri" w:cs="Calibri"/>
        </w:rPr>
        <w:t xml:space="preserve"> only tangentially part of the Olympian orde</w:t>
      </w:r>
      <w:r w:rsidR="00024FAA" w:rsidRPr="00121376">
        <w:rPr>
          <w:rFonts w:ascii="Calibri" w:hAnsi="Calibri" w:cs="Calibri"/>
        </w:rPr>
        <w:t xml:space="preserve">r and being </w:t>
      </w:r>
      <w:r w:rsidR="005A4830" w:rsidRPr="00121376">
        <w:rPr>
          <w:rFonts w:ascii="Calibri" w:hAnsi="Calibri" w:cs="Calibri"/>
        </w:rPr>
        <w:t xml:space="preserve">relegated to the mother of other gods who form part of Zeus’ order </w:t>
      </w:r>
      <w:r w:rsidR="00974EFF" w:rsidRPr="00121376">
        <w:rPr>
          <w:rFonts w:ascii="Calibri" w:hAnsi="Calibri" w:cs="Calibri"/>
        </w:rPr>
        <w:t xml:space="preserve">such as Phobos, Deimos and Harmonia (940-943). </w:t>
      </w:r>
      <w:r w:rsidR="008E6298" w:rsidRPr="00121376">
        <w:rPr>
          <w:rFonts w:ascii="Calibri" w:hAnsi="Calibri" w:cs="Calibri"/>
        </w:rPr>
        <w:t xml:space="preserve">Zeus’ control over female reproductive power is thus multi-faceted, </w:t>
      </w:r>
      <w:r w:rsidR="00AF2FC9" w:rsidRPr="00121376">
        <w:rPr>
          <w:rFonts w:ascii="Calibri" w:hAnsi="Calibri" w:cs="Calibri"/>
        </w:rPr>
        <w:t xml:space="preserve">culminating in </w:t>
      </w:r>
      <w:r w:rsidR="008E6298" w:rsidRPr="00121376">
        <w:rPr>
          <w:rFonts w:ascii="Calibri" w:hAnsi="Calibri" w:cs="Calibri"/>
        </w:rPr>
        <w:t xml:space="preserve">his consumption of Metis to appropriate the female ability to give birth and </w:t>
      </w:r>
      <w:r w:rsidR="003D7C26" w:rsidRPr="00121376">
        <w:rPr>
          <w:rFonts w:ascii="Calibri" w:hAnsi="Calibri" w:cs="Calibri"/>
        </w:rPr>
        <w:t xml:space="preserve">his daughter’s perpetual virginity, preventing the birth of any </w:t>
      </w:r>
      <w:r w:rsidR="008B0CE7" w:rsidRPr="00121376">
        <w:rPr>
          <w:rFonts w:ascii="Calibri" w:hAnsi="Calibri" w:cs="Calibri"/>
        </w:rPr>
        <w:t>challengers</w:t>
      </w:r>
      <w:r w:rsidR="003D7C26" w:rsidRPr="00121376">
        <w:rPr>
          <w:rFonts w:ascii="Calibri" w:hAnsi="Calibri" w:cs="Calibri"/>
        </w:rPr>
        <w:t xml:space="preserve"> to his supreme rule</w:t>
      </w:r>
      <w:r w:rsidR="00863E74" w:rsidRPr="00121376">
        <w:rPr>
          <w:rFonts w:ascii="Calibri" w:hAnsi="Calibri" w:cs="Calibri"/>
        </w:rPr>
        <w:t>, and so Di argues that Zeus’ domination over procreation is his final triumph.</w:t>
      </w:r>
      <w:r w:rsidR="00AD2CAC" w:rsidRPr="00121376">
        <w:rPr>
          <w:rStyle w:val="FootnoteReference"/>
          <w:rFonts w:ascii="Calibri" w:hAnsi="Calibri" w:cs="Calibri"/>
        </w:rPr>
        <w:footnoteReference w:id="38"/>
      </w:r>
      <w:r w:rsidR="00452B8C" w:rsidRPr="00121376">
        <w:rPr>
          <w:rFonts w:ascii="Calibri" w:hAnsi="Calibri" w:cs="Calibri"/>
        </w:rPr>
        <w:t xml:space="preserve"> </w:t>
      </w:r>
      <w:r w:rsidR="00F53C91" w:rsidRPr="00121376">
        <w:rPr>
          <w:rFonts w:ascii="Calibri" w:hAnsi="Calibri" w:cs="Calibri"/>
        </w:rPr>
        <w:t xml:space="preserve">In the final </w:t>
      </w:r>
      <w:r w:rsidR="00452B8C" w:rsidRPr="00121376">
        <w:rPr>
          <w:rFonts w:ascii="Calibri" w:hAnsi="Calibri" w:cs="Calibri"/>
        </w:rPr>
        <w:t xml:space="preserve">sections of the Theogony, Zeus then uses to his new control over </w:t>
      </w:r>
      <w:r w:rsidR="00452B8C" w:rsidRPr="00121376">
        <w:rPr>
          <w:rFonts w:ascii="Calibri" w:hAnsi="Calibri" w:cs="Calibri"/>
        </w:rPr>
        <w:t>female power of reproduction as a tool to reinforce his new order.</w:t>
      </w:r>
    </w:p>
    <w:p w14:paraId="73E416EA" w14:textId="205A72C3" w:rsidR="00E97647" w:rsidRPr="00121376" w:rsidRDefault="00452B8C" w:rsidP="00452B8C">
      <w:pPr>
        <w:rPr>
          <w:rFonts w:ascii="Calibri" w:hAnsi="Calibri" w:cs="Calibri"/>
        </w:rPr>
      </w:pPr>
      <w:r w:rsidRPr="00121376">
        <w:rPr>
          <w:rFonts w:ascii="Calibri" w:hAnsi="Calibri" w:cs="Calibri"/>
        </w:rPr>
        <w:t xml:space="preserve">After successfully establishing his control over both female sexuality and the cosmos as a whole, </w:t>
      </w:r>
      <w:r w:rsidR="00E97647" w:rsidRPr="00121376">
        <w:rPr>
          <w:rFonts w:ascii="Calibri" w:hAnsi="Calibri" w:cs="Calibri"/>
        </w:rPr>
        <w:t>Zeus marries many goddesses, and these unions make them</w:t>
      </w:r>
      <w:r w:rsidR="00750F38" w:rsidRPr="00121376">
        <w:rPr>
          <w:rFonts w:ascii="Calibri" w:hAnsi="Calibri" w:cs="Calibri"/>
        </w:rPr>
        <w:t xml:space="preserve"> a part of new arriving patriarchal system</w:t>
      </w:r>
      <w:r w:rsidRPr="00121376">
        <w:rPr>
          <w:rFonts w:ascii="Calibri" w:hAnsi="Calibri" w:cs="Calibri"/>
        </w:rPr>
        <w:t xml:space="preserve"> and so </w:t>
      </w:r>
      <w:r w:rsidR="00750F38" w:rsidRPr="00121376">
        <w:rPr>
          <w:rFonts w:ascii="Calibri" w:hAnsi="Calibri" w:cs="Calibri"/>
        </w:rPr>
        <w:t>acceptable under his rule.</w:t>
      </w:r>
      <w:r w:rsidR="005A544D" w:rsidRPr="00121376">
        <w:rPr>
          <w:rStyle w:val="FootnoteReference"/>
          <w:rFonts w:ascii="Calibri" w:hAnsi="Calibri" w:cs="Calibri"/>
        </w:rPr>
        <w:footnoteReference w:id="39"/>
      </w:r>
      <w:r w:rsidR="005A544D" w:rsidRPr="00121376">
        <w:rPr>
          <w:rFonts w:ascii="Calibri" w:hAnsi="Calibri" w:cs="Calibri"/>
        </w:rPr>
        <w:t xml:space="preserve"> It can be assumed that after the defeat of Metis, his new wives were aware of Zeus’ previous brutality and the lengths he would go to in order to maintain his control over women and his cosmos</w:t>
      </w:r>
      <w:r w:rsidR="00CF1F7F" w:rsidRPr="00121376">
        <w:rPr>
          <w:rFonts w:ascii="Calibri" w:hAnsi="Calibri" w:cs="Calibri"/>
        </w:rPr>
        <w:t>. This movement towards marriage unions and Zeus reproducing with the Olympian goddesses can be interpreted through the lens of the changes in Greek society following the invasions of Greece that began in the twelfth centur</w:t>
      </w:r>
      <w:r w:rsidR="00945250" w:rsidRPr="00121376">
        <w:rPr>
          <w:rFonts w:ascii="Calibri" w:hAnsi="Calibri" w:cs="Calibri"/>
        </w:rPr>
        <w:t>y.</w:t>
      </w:r>
      <w:r w:rsidR="00CF1F7F" w:rsidRPr="00121376">
        <w:rPr>
          <w:rStyle w:val="FootnoteReference"/>
          <w:rFonts w:ascii="Calibri" w:hAnsi="Calibri" w:cs="Calibri"/>
        </w:rPr>
        <w:footnoteReference w:id="40"/>
      </w:r>
      <w:r w:rsidR="00945250" w:rsidRPr="00121376">
        <w:rPr>
          <w:rFonts w:ascii="Calibri" w:hAnsi="Calibri" w:cs="Calibri"/>
        </w:rPr>
        <w:t xml:space="preserve"> These invasions led to a shift towards a more patriarchal social structure, resulting in moral and legal restrictions that made </w:t>
      </w:r>
      <w:r w:rsidR="00A879BE" w:rsidRPr="00121376">
        <w:rPr>
          <w:rFonts w:ascii="Calibri" w:hAnsi="Calibri" w:cs="Calibri"/>
        </w:rPr>
        <w:t>women more secluded from social life, defining their primary duties as household chores and giving birth.</w:t>
      </w:r>
      <w:r w:rsidR="00A879BE" w:rsidRPr="00121376">
        <w:rPr>
          <w:rStyle w:val="FootnoteReference"/>
          <w:rFonts w:ascii="Calibri" w:hAnsi="Calibri" w:cs="Calibri"/>
        </w:rPr>
        <w:footnoteReference w:id="41"/>
      </w:r>
      <w:r w:rsidR="00A879BE" w:rsidRPr="00121376">
        <w:rPr>
          <w:rFonts w:ascii="Calibri" w:hAnsi="Calibri" w:cs="Calibri"/>
        </w:rPr>
        <w:t xml:space="preserve"> The new patriarchal </w:t>
      </w:r>
      <w:r w:rsidR="00731A1A" w:rsidRPr="00121376">
        <w:rPr>
          <w:rFonts w:ascii="Calibri" w:hAnsi="Calibri" w:cs="Calibri"/>
        </w:rPr>
        <w:t>reign in Greece, paralleled by Zeus’ newly established order, had no tolerance for powerful independent women, goddess or mortal.</w:t>
      </w:r>
      <w:r w:rsidR="00731A1A" w:rsidRPr="00121376">
        <w:rPr>
          <w:rStyle w:val="FootnoteReference"/>
          <w:rFonts w:ascii="Calibri" w:hAnsi="Calibri" w:cs="Calibri"/>
        </w:rPr>
        <w:footnoteReference w:id="42"/>
      </w:r>
      <w:r w:rsidR="00731A1A" w:rsidRPr="00121376">
        <w:rPr>
          <w:rFonts w:ascii="Calibri" w:hAnsi="Calibri" w:cs="Calibri"/>
        </w:rPr>
        <w:t xml:space="preserve"> They would have to be marr</w:t>
      </w:r>
      <w:r w:rsidR="001E0F76" w:rsidRPr="00121376">
        <w:rPr>
          <w:rFonts w:ascii="Calibri" w:hAnsi="Calibri" w:cs="Calibri"/>
        </w:rPr>
        <w:t xml:space="preserve">ied. </w:t>
      </w:r>
    </w:p>
    <w:p w14:paraId="6531EDDF" w14:textId="5A5CBC12" w:rsidR="00730FE3" w:rsidRPr="00121376" w:rsidRDefault="00883729" w:rsidP="007D5D7F">
      <w:pPr>
        <w:rPr>
          <w:rFonts w:ascii="Calibri" w:hAnsi="Calibri" w:cs="Calibri"/>
        </w:rPr>
      </w:pPr>
      <w:r w:rsidRPr="00121376">
        <w:rPr>
          <w:rFonts w:ascii="Calibri" w:hAnsi="Calibri" w:cs="Calibri"/>
        </w:rPr>
        <w:t>The urgent need for women to be married</w:t>
      </w:r>
      <w:r w:rsidR="005A1A06" w:rsidRPr="00121376">
        <w:rPr>
          <w:rFonts w:ascii="Calibri" w:hAnsi="Calibri" w:cs="Calibri"/>
        </w:rPr>
        <w:t xml:space="preserve"> </w:t>
      </w:r>
      <w:r w:rsidRPr="00121376">
        <w:rPr>
          <w:rFonts w:ascii="Calibri" w:hAnsi="Calibri" w:cs="Calibri"/>
        </w:rPr>
        <w:t xml:space="preserve">in ancient Greece </w:t>
      </w:r>
      <w:r w:rsidR="005A1A06" w:rsidRPr="00121376">
        <w:rPr>
          <w:rFonts w:ascii="Calibri" w:hAnsi="Calibri" w:cs="Calibri"/>
        </w:rPr>
        <w:t xml:space="preserve">was </w:t>
      </w:r>
      <w:r w:rsidRPr="00121376">
        <w:rPr>
          <w:rFonts w:ascii="Calibri" w:hAnsi="Calibri" w:cs="Calibri"/>
        </w:rPr>
        <w:t xml:space="preserve">grounded </w:t>
      </w:r>
      <w:r w:rsidR="008061D1" w:rsidRPr="00121376">
        <w:rPr>
          <w:rFonts w:ascii="Calibri" w:hAnsi="Calibri" w:cs="Calibri"/>
        </w:rPr>
        <w:t xml:space="preserve">in </w:t>
      </w:r>
      <w:r w:rsidR="001E0F76" w:rsidRPr="00121376">
        <w:rPr>
          <w:rFonts w:ascii="Calibri" w:hAnsi="Calibri" w:cs="Calibri"/>
        </w:rPr>
        <w:t xml:space="preserve">belief of </w:t>
      </w:r>
      <w:r w:rsidR="008061D1" w:rsidRPr="00121376">
        <w:rPr>
          <w:rFonts w:ascii="Calibri" w:hAnsi="Calibri" w:cs="Calibri"/>
        </w:rPr>
        <w:t xml:space="preserve">marriage being the means by which men could control the wild sexuality </w:t>
      </w:r>
      <w:r w:rsidR="004046FA" w:rsidRPr="00121376">
        <w:rPr>
          <w:rFonts w:ascii="Calibri" w:hAnsi="Calibri" w:cs="Calibri"/>
        </w:rPr>
        <w:t>of women and impose civilised order</w:t>
      </w:r>
      <w:r w:rsidR="00481223" w:rsidRPr="00121376">
        <w:rPr>
          <w:rFonts w:ascii="Calibri" w:hAnsi="Calibri" w:cs="Calibri"/>
        </w:rPr>
        <w:t>.</w:t>
      </w:r>
      <w:r w:rsidR="004046FA" w:rsidRPr="00121376">
        <w:rPr>
          <w:rStyle w:val="FootnoteReference"/>
          <w:rFonts w:ascii="Calibri" w:hAnsi="Calibri" w:cs="Calibri"/>
        </w:rPr>
        <w:footnoteReference w:id="43"/>
      </w:r>
      <w:r w:rsidR="00481223" w:rsidRPr="00121376">
        <w:rPr>
          <w:rFonts w:ascii="Calibri" w:hAnsi="Calibri" w:cs="Calibri"/>
        </w:rPr>
        <w:t xml:space="preserve"> </w:t>
      </w:r>
      <w:r w:rsidR="00205E6D" w:rsidRPr="00121376">
        <w:rPr>
          <w:rFonts w:ascii="Calibri" w:hAnsi="Calibri" w:cs="Calibri"/>
        </w:rPr>
        <w:t>Carson describ</w:t>
      </w:r>
      <w:r w:rsidR="00481223" w:rsidRPr="00121376">
        <w:rPr>
          <w:rFonts w:ascii="Calibri" w:hAnsi="Calibri" w:cs="Calibri"/>
        </w:rPr>
        <w:t>es</w:t>
      </w:r>
      <w:r w:rsidR="00205E6D" w:rsidRPr="00121376">
        <w:rPr>
          <w:rFonts w:ascii="Calibri" w:hAnsi="Calibri" w:cs="Calibri"/>
        </w:rPr>
        <w:t xml:space="preserve"> that a woman’s sexual porousness </w:t>
      </w:r>
      <w:r w:rsidR="00452B8C" w:rsidRPr="00121376">
        <w:rPr>
          <w:rFonts w:ascii="Calibri" w:hAnsi="Calibri" w:cs="Calibri"/>
        </w:rPr>
        <w:t xml:space="preserve">was believed to </w:t>
      </w:r>
      <w:r w:rsidR="00205E6D" w:rsidRPr="00121376">
        <w:rPr>
          <w:rFonts w:ascii="Calibri" w:hAnsi="Calibri" w:cs="Calibri"/>
        </w:rPr>
        <w:t>posed a threat to the integrity of the household</w:t>
      </w:r>
      <w:r w:rsidR="00246334" w:rsidRPr="00121376">
        <w:rPr>
          <w:rStyle w:val="FootnoteReference"/>
          <w:rFonts w:ascii="Calibri" w:hAnsi="Calibri" w:cs="Calibri"/>
        </w:rPr>
        <w:footnoteReference w:id="44"/>
      </w:r>
      <w:r w:rsidR="008D2E80" w:rsidRPr="00121376">
        <w:rPr>
          <w:rFonts w:ascii="Calibri" w:hAnsi="Calibri" w:cs="Calibri"/>
        </w:rPr>
        <w:t xml:space="preserve"> and so men</w:t>
      </w:r>
      <w:r w:rsidR="00FC1B0E" w:rsidRPr="00121376">
        <w:rPr>
          <w:rFonts w:ascii="Calibri" w:hAnsi="Calibri" w:cs="Calibri"/>
        </w:rPr>
        <w:t xml:space="preserve">, believed to have sufficient self-control to maintain their desires, were given the role of </w:t>
      </w:r>
      <w:r w:rsidR="00D31FD6" w:rsidRPr="00121376">
        <w:rPr>
          <w:rFonts w:ascii="Calibri" w:hAnsi="Calibri" w:cs="Calibri"/>
        </w:rPr>
        <w:t>maintaining the women’s boundaries.</w:t>
      </w:r>
      <w:r w:rsidR="00D31FD6" w:rsidRPr="00121376">
        <w:rPr>
          <w:rStyle w:val="FootnoteReference"/>
          <w:rFonts w:ascii="Calibri" w:hAnsi="Calibri" w:cs="Calibri"/>
        </w:rPr>
        <w:footnoteReference w:id="45"/>
      </w:r>
      <w:r w:rsidR="00246334" w:rsidRPr="00121376">
        <w:rPr>
          <w:rFonts w:ascii="Calibri" w:hAnsi="Calibri" w:cs="Calibri"/>
        </w:rPr>
        <w:t xml:space="preserve"> Ancient weddings thus worked systematically to restrict women’s inherent chaotic nature by means of specific ceremonies aimed </w:t>
      </w:r>
      <w:r w:rsidR="00A7392A" w:rsidRPr="00121376">
        <w:rPr>
          <w:rFonts w:ascii="Calibri" w:hAnsi="Calibri" w:cs="Calibri"/>
        </w:rPr>
        <w:t>to reinforce female boundaries.</w:t>
      </w:r>
      <w:r w:rsidR="00A7392A" w:rsidRPr="00121376">
        <w:rPr>
          <w:rStyle w:val="FootnoteReference"/>
          <w:rFonts w:ascii="Calibri" w:hAnsi="Calibri" w:cs="Calibri"/>
        </w:rPr>
        <w:footnoteReference w:id="46"/>
      </w:r>
      <w:r w:rsidR="003D09FE" w:rsidRPr="00121376">
        <w:rPr>
          <w:rFonts w:ascii="Calibri" w:hAnsi="Calibri" w:cs="Calibri"/>
        </w:rPr>
        <w:t xml:space="preserve"> For example, civic rituals such as the festival of Thesmophoria</w:t>
      </w:r>
      <w:r w:rsidR="00907DD0" w:rsidRPr="00121376">
        <w:rPr>
          <w:rFonts w:ascii="Calibri" w:hAnsi="Calibri" w:cs="Calibri"/>
        </w:rPr>
        <w:t xml:space="preserve"> that reenacted the story of Demeter and Persephone, sending Greek women an annual message underlining the </w:t>
      </w:r>
      <w:r w:rsidR="00907DD0" w:rsidRPr="00121376">
        <w:rPr>
          <w:rFonts w:ascii="Calibri" w:hAnsi="Calibri" w:cs="Calibri"/>
        </w:rPr>
        <w:lastRenderedPageBreak/>
        <w:t>importance of their compliance in male-mandated early marriage of their daughters.</w:t>
      </w:r>
      <w:r w:rsidR="00907DD0" w:rsidRPr="00121376">
        <w:rPr>
          <w:rStyle w:val="FootnoteReference"/>
          <w:rFonts w:ascii="Calibri" w:hAnsi="Calibri" w:cs="Calibri"/>
        </w:rPr>
        <w:footnoteReference w:id="47"/>
      </w:r>
      <w:r w:rsidR="0047242F" w:rsidRPr="00121376">
        <w:rPr>
          <w:rFonts w:ascii="Calibri" w:hAnsi="Calibri" w:cs="Calibri"/>
        </w:rPr>
        <w:t xml:space="preserve"> </w:t>
      </w:r>
      <w:r w:rsidR="00D66172" w:rsidRPr="00121376">
        <w:rPr>
          <w:rFonts w:ascii="Calibri" w:hAnsi="Calibri" w:cs="Calibri"/>
        </w:rPr>
        <w:t xml:space="preserve">Male control of female </w:t>
      </w:r>
      <w:r w:rsidR="00A676BF" w:rsidRPr="00121376">
        <w:rPr>
          <w:rFonts w:ascii="Calibri" w:hAnsi="Calibri" w:cs="Calibri"/>
        </w:rPr>
        <w:t>re</w:t>
      </w:r>
      <w:r w:rsidR="00D66172" w:rsidRPr="00121376">
        <w:rPr>
          <w:rFonts w:ascii="Calibri" w:hAnsi="Calibri" w:cs="Calibri"/>
        </w:rPr>
        <w:t>productivity</w:t>
      </w:r>
      <w:r w:rsidR="002253EE" w:rsidRPr="00121376">
        <w:rPr>
          <w:rFonts w:ascii="Calibri" w:hAnsi="Calibri" w:cs="Calibri"/>
        </w:rPr>
        <w:t xml:space="preserve"> through marriage</w:t>
      </w:r>
      <w:r w:rsidR="00D66172" w:rsidRPr="00121376">
        <w:rPr>
          <w:rFonts w:ascii="Calibri" w:hAnsi="Calibri" w:cs="Calibri"/>
        </w:rPr>
        <w:t xml:space="preserve"> was thus woven into the institutions of Greek society itself</w:t>
      </w:r>
      <w:r w:rsidR="00310ACB" w:rsidRPr="00121376">
        <w:rPr>
          <w:rFonts w:ascii="Calibri" w:hAnsi="Calibri" w:cs="Calibri"/>
        </w:rPr>
        <w:t>,</w:t>
      </w:r>
      <w:r w:rsidR="001D1857" w:rsidRPr="00121376">
        <w:rPr>
          <w:rStyle w:val="FootnoteReference"/>
          <w:rFonts w:ascii="Calibri" w:hAnsi="Calibri" w:cs="Calibri"/>
        </w:rPr>
        <w:footnoteReference w:id="48"/>
      </w:r>
      <w:r w:rsidR="00310ACB" w:rsidRPr="00121376">
        <w:rPr>
          <w:rFonts w:ascii="Calibri" w:hAnsi="Calibri" w:cs="Calibri"/>
        </w:rPr>
        <w:t xml:space="preserve"> and Castro notes that the allusions to marriage </w:t>
      </w:r>
      <w:r w:rsidR="007D5D7F" w:rsidRPr="00121376">
        <w:rPr>
          <w:rFonts w:ascii="Calibri" w:hAnsi="Calibri" w:cs="Calibri"/>
        </w:rPr>
        <w:t>in the language used to describe the unions of Olympian gods show a narrative justification of patriarchal institution of marriage, describing it as part of Zeus’ new order.</w:t>
      </w:r>
      <w:r w:rsidR="00730FE3" w:rsidRPr="00121376">
        <w:rPr>
          <w:rStyle w:val="FootnoteReference"/>
          <w:rFonts w:ascii="Calibri" w:hAnsi="Calibri" w:cs="Calibri"/>
        </w:rPr>
        <w:footnoteReference w:id="49"/>
      </w:r>
    </w:p>
    <w:p w14:paraId="723A9C94" w14:textId="28AB3470" w:rsidR="005A3BE3" w:rsidRPr="00121376" w:rsidRDefault="002253EE" w:rsidP="007D5D7F">
      <w:pPr>
        <w:rPr>
          <w:rFonts w:ascii="Calibri" w:hAnsi="Calibri" w:cs="Calibri"/>
        </w:rPr>
      </w:pPr>
      <w:r w:rsidRPr="00121376">
        <w:rPr>
          <w:rFonts w:ascii="Calibri" w:hAnsi="Calibri" w:cs="Calibri"/>
        </w:rPr>
        <w:t xml:space="preserve">In parallel, as Zeus establishes his new order over the universe, he marries and has children with several goddesses, </w:t>
      </w:r>
      <w:r w:rsidR="00466123" w:rsidRPr="00121376">
        <w:rPr>
          <w:rFonts w:ascii="Calibri" w:hAnsi="Calibri" w:cs="Calibri"/>
        </w:rPr>
        <w:t>using</w:t>
      </w:r>
      <w:r w:rsidR="00223993" w:rsidRPr="00121376">
        <w:rPr>
          <w:rFonts w:ascii="Calibri" w:hAnsi="Calibri" w:cs="Calibri"/>
        </w:rPr>
        <w:t xml:space="preserve"> their reproductive abilities to order his universe. </w:t>
      </w:r>
      <w:r w:rsidR="00466123" w:rsidRPr="00121376">
        <w:rPr>
          <w:rFonts w:ascii="Calibri" w:hAnsi="Calibri" w:cs="Calibri"/>
        </w:rPr>
        <w:t xml:space="preserve">For example, </w:t>
      </w:r>
      <w:r w:rsidR="00545F96" w:rsidRPr="00121376">
        <w:rPr>
          <w:rFonts w:ascii="Calibri" w:hAnsi="Calibri" w:cs="Calibri"/>
        </w:rPr>
        <w:t xml:space="preserve">after Metis, Zeus married Themis the goddess of justice and divine order, a significant </w:t>
      </w:r>
      <w:r w:rsidR="00881E0A" w:rsidRPr="00121376">
        <w:rPr>
          <w:rFonts w:ascii="Calibri" w:hAnsi="Calibri" w:cs="Calibri"/>
        </w:rPr>
        <w:t>moment of female submission to the masculine rule and order.</w:t>
      </w:r>
      <w:r w:rsidR="0059728F" w:rsidRPr="00121376">
        <w:rPr>
          <w:rStyle w:val="FootnoteReference"/>
          <w:rFonts w:ascii="Calibri" w:hAnsi="Calibri" w:cs="Calibri"/>
        </w:rPr>
        <w:footnoteReference w:id="50"/>
      </w:r>
      <w:r w:rsidR="00881E0A" w:rsidRPr="00121376">
        <w:rPr>
          <w:rFonts w:ascii="Calibri" w:hAnsi="Calibri" w:cs="Calibri"/>
        </w:rPr>
        <w:t xml:space="preserve"> She bears Zeus five children: Hours, Order, Justice, Peace, and Fate </w:t>
      </w:r>
      <w:r w:rsidR="001C4938" w:rsidRPr="00121376">
        <w:rPr>
          <w:rFonts w:ascii="Calibri" w:hAnsi="Calibri" w:cs="Calibri"/>
        </w:rPr>
        <w:t xml:space="preserve">(906-7), </w:t>
      </w:r>
      <w:r w:rsidR="00881E0A" w:rsidRPr="00121376">
        <w:rPr>
          <w:rFonts w:ascii="Calibri" w:hAnsi="Calibri" w:cs="Calibri"/>
        </w:rPr>
        <w:t>all of whom strengthen the rule of their father god by justifying his order as universally good and bringing stability and regularity to the cosmos.</w:t>
      </w:r>
      <w:r w:rsidR="0059728F" w:rsidRPr="00121376">
        <w:rPr>
          <w:rStyle w:val="FootnoteReference"/>
          <w:rFonts w:ascii="Calibri" w:hAnsi="Calibri" w:cs="Calibri"/>
        </w:rPr>
        <w:footnoteReference w:id="51"/>
      </w:r>
      <w:r w:rsidR="00010F31" w:rsidRPr="00121376">
        <w:rPr>
          <w:rFonts w:ascii="Calibri" w:hAnsi="Calibri" w:cs="Calibri"/>
        </w:rPr>
        <w:t xml:space="preserve"> </w:t>
      </w:r>
      <w:r w:rsidR="00062897" w:rsidRPr="00121376">
        <w:rPr>
          <w:rFonts w:ascii="Calibri" w:hAnsi="Calibri" w:cs="Calibri"/>
        </w:rPr>
        <w:t>This institutes a new place for women in Zeus’ rule, where if the female goddesses self-consciously restrict their own power and yield willingly to the patriarchal system, then they gain the respect of the male and are honoured as proper members of Zeus’ order</w:t>
      </w:r>
      <w:r w:rsidR="004F3C09" w:rsidRPr="00121376">
        <w:rPr>
          <w:rFonts w:ascii="Calibri" w:hAnsi="Calibri" w:cs="Calibri"/>
        </w:rPr>
        <w:t>.</w:t>
      </w:r>
      <w:r w:rsidR="00062897" w:rsidRPr="00121376">
        <w:rPr>
          <w:rStyle w:val="FootnoteReference"/>
          <w:rFonts w:ascii="Calibri" w:hAnsi="Calibri" w:cs="Calibri"/>
        </w:rPr>
        <w:footnoteReference w:id="52"/>
      </w:r>
      <w:r w:rsidR="00062897" w:rsidRPr="00121376">
        <w:rPr>
          <w:rFonts w:ascii="Calibri" w:hAnsi="Calibri" w:cs="Calibri"/>
        </w:rPr>
        <w:t xml:space="preserve"> </w:t>
      </w:r>
      <w:r w:rsidR="00F01208" w:rsidRPr="00121376">
        <w:rPr>
          <w:rFonts w:ascii="Calibri" w:hAnsi="Calibri" w:cs="Calibri"/>
        </w:rPr>
        <w:t xml:space="preserve">Zeus goes on to father children with </w:t>
      </w:r>
      <w:r w:rsidR="00C770A7" w:rsidRPr="00121376">
        <w:rPr>
          <w:rFonts w:ascii="Calibri" w:hAnsi="Calibri" w:cs="Calibri"/>
        </w:rPr>
        <w:t xml:space="preserve">the goddesses Demeter, Eurynome, Mnemosyne, Leto </w:t>
      </w:r>
      <w:r w:rsidR="00E14184" w:rsidRPr="00121376">
        <w:rPr>
          <w:rFonts w:ascii="Calibri" w:hAnsi="Calibri" w:cs="Calibri"/>
        </w:rPr>
        <w:t xml:space="preserve">and finally </w:t>
      </w:r>
      <w:r w:rsidR="00643649" w:rsidRPr="00121376">
        <w:rPr>
          <w:rFonts w:ascii="Calibri" w:hAnsi="Calibri" w:cs="Calibri"/>
        </w:rPr>
        <w:t xml:space="preserve">marries </w:t>
      </w:r>
      <w:r w:rsidR="00E14184" w:rsidRPr="00121376">
        <w:rPr>
          <w:rFonts w:ascii="Calibri" w:hAnsi="Calibri" w:cs="Calibri"/>
        </w:rPr>
        <w:t>his eternal wife</w:t>
      </w:r>
      <w:r w:rsidR="00C770A7" w:rsidRPr="00121376">
        <w:rPr>
          <w:rFonts w:ascii="Calibri" w:hAnsi="Calibri" w:cs="Calibri"/>
        </w:rPr>
        <w:t xml:space="preserve"> Hera</w:t>
      </w:r>
      <w:r w:rsidR="00E14184" w:rsidRPr="00121376">
        <w:rPr>
          <w:rFonts w:ascii="Calibri" w:hAnsi="Calibri" w:cs="Calibri"/>
        </w:rPr>
        <w:t xml:space="preserve"> (</w:t>
      </w:r>
      <w:r w:rsidR="00643649" w:rsidRPr="00121376">
        <w:rPr>
          <w:rFonts w:ascii="Calibri" w:hAnsi="Calibri" w:cs="Calibri"/>
        </w:rPr>
        <w:t>906-38).</w:t>
      </w:r>
      <w:r w:rsidR="007D5D7F" w:rsidRPr="00121376">
        <w:rPr>
          <w:rFonts w:ascii="Calibri" w:hAnsi="Calibri" w:cs="Calibri"/>
        </w:rPr>
        <w:t xml:space="preserve"> Reminiscent of the parthenogenetic reproduction of Nyx and Gaia, f</w:t>
      </w:r>
      <w:r w:rsidR="009E11CC" w:rsidRPr="00121376">
        <w:rPr>
          <w:rFonts w:ascii="Calibri" w:hAnsi="Calibri" w:cs="Calibri"/>
        </w:rPr>
        <w:t xml:space="preserve">urious at Zeus’ birthing of Athena, Hera </w:t>
      </w:r>
      <w:r w:rsidR="001F5906" w:rsidRPr="00121376">
        <w:rPr>
          <w:rFonts w:ascii="Calibri" w:hAnsi="Calibri" w:cs="Calibri"/>
        </w:rPr>
        <w:t>“bore a child without making love</w:t>
      </w:r>
      <w:r w:rsidR="0050624B" w:rsidRPr="00121376">
        <w:rPr>
          <w:rFonts w:ascii="Calibri" w:hAnsi="Calibri" w:cs="Calibri"/>
        </w:rPr>
        <w:t>,”</w:t>
      </w:r>
      <w:r w:rsidR="001F5906" w:rsidRPr="00121376">
        <w:rPr>
          <w:rFonts w:ascii="Calibri" w:hAnsi="Calibri" w:cs="Calibri"/>
        </w:rPr>
        <w:t xml:space="preserve"> the god Hephaistos, but even her parthenogenetic offspring serves Zeus’ established order </w:t>
      </w:r>
      <w:r w:rsidR="006B7A1A" w:rsidRPr="00121376">
        <w:rPr>
          <w:rFonts w:ascii="Calibri" w:hAnsi="Calibri" w:cs="Calibri"/>
        </w:rPr>
        <w:t>as an expert craftsman (932-</w:t>
      </w:r>
      <w:r w:rsidR="00062897" w:rsidRPr="00121376">
        <w:rPr>
          <w:rFonts w:ascii="Calibri" w:hAnsi="Calibri" w:cs="Calibri"/>
        </w:rPr>
        <w:t xml:space="preserve">34). </w:t>
      </w:r>
      <w:r w:rsidR="00BB093E" w:rsidRPr="00121376">
        <w:rPr>
          <w:rFonts w:ascii="Calibri" w:hAnsi="Calibri" w:cs="Calibri"/>
        </w:rPr>
        <w:t>Even t</w:t>
      </w:r>
      <w:r w:rsidR="00062897" w:rsidRPr="00121376">
        <w:rPr>
          <w:rFonts w:ascii="Calibri" w:hAnsi="Calibri" w:cs="Calibri"/>
        </w:rPr>
        <w:t>he power of the goddess t</w:t>
      </w:r>
      <w:r w:rsidR="007D6D19" w:rsidRPr="00121376">
        <w:rPr>
          <w:rFonts w:ascii="Calibri" w:hAnsi="Calibri" w:cs="Calibri"/>
        </w:rPr>
        <w:t xml:space="preserve">o generate </w:t>
      </w:r>
      <w:r w:rsidR="00BB093E" w:rsidRPr="00121376">
        <w:rPr>
          <w:rFonts w:ascii="Calibri" w:hAnsi="Calibri" w:cs="Calibri"/>
        </w:rPr>
        <w:t xml:space="preserve">asexually </w:t>
      </w:r>
      <w:r w:rsidR="00082F50" w:rsidRPr="00121376">
        <w:rPr>
          <w:rFonts w:ascii="Calibri" w:hAnsi="Calibri" w:cs="Calibri"/>
        </w:rPr>
        <w:t>result</w:t>
      </w:r>
      <w:r w:rsidR="00361626" w:rsidRPr="00121376">
        <w:rPr>
          <w:rFonts w:ascii="Calibri" w:hAnsi="Calibri" w:cs="Calibri"/>
        </w:rPr>
        <w:t xml:space="preserve">s in offspring who serve Zeus’ patriarchal order, and so the power of the goddess </w:t>
      </w:r>
      <w:r w:rsidR="007D5D7F" w:rsidRPr="00121376">
        <w:rPr>
          <w:rFonts w:ascii="Calibri" w:hAnsi="Calibri" w:cs="Calibri"/>
        </w:rPr>
        <w:t>has been</w:t>
      </w:r>
      <w:r w:rsidR="00361626" w:rsidRPr="00121376">
        <w:rPr>
          <w:rFonts w:ascii="Calibri" w:hAnsi="Calibri" w:cs="Calibri"/>
        </w:rPr>
        <w:t xml:space="preserve"> </w:t>
      </w:r>
      <w:r w:rsidR="00CE1FD0" w:rsidRPr="00121376">
        <w:rPr>
          <w:rFonts w:ascii="Calibri" w:hAnsi="Calibri" w:cs="Calibri"/>
        </w:rPr>
        <w:t xml:space="preserve">forever diminished. </w:t>
      </w:r>
    </w:p>
    <w:p w14:paraId="3D7B348D" w14:textId="66BB8FF4" w:rsidR="00E40B17" w:rsidRPr="00121376" w:rsidRDefault="00F76334" w:rsidP="00481062">
      <w:pPr>
        <w:rPr>
          <w:rFonts w:ascii="Calibri" w:hAnsi="Calibri" w:cs="Calibri"/>
        </w:rPr>
      </w:pPr>
      <w:r w:rsidRPr="00121376">
        <w:rPr>
          <w:rFonts w:ascii="Calibri" w:hAnsi="Calibri" w:cs="Calibri"/>
        </w:rPr>
        <w:t>The Theogony concludes with the Catalogue of Women</w:t>
      </w:r>
      <w:r w:rsidR="00F120FB" w:rsidRPr="00121376">
        <w:rPr>
          <w:rFonts w:ascii="Calibri" w:hAnsi="Calibri" w:cs="Calibri"/>
        </w:rPr>
        <w:t xml:space="preserve"> (970-1030)</w:t>
      </w:r>
      <w:r w:rsidR="00E40B17" w:rsidRPr="00121376">
        <w:rPr>
          <w:rFonts w:ascii="Calibri" w:hAnsi="Calibri" w:cs="Calibri"/>
        </w:rPr>
        <w:t xml:space="preserve">, which details </w:t>
      </w:r>
      <w:r w:rsidR="00044B95" w:rsidRPr="00121376">
        <w:rPr>
          <w:rFonts w:ascii="Calibri" w:hAnsi="Calibri" w:cs="Calibri"/>
        </w:rPr>
        <w:t>the various unions between goddesses and mortal men and the children that resulted</w:t>
      </w:r>
      <w:r w:rsidR="00414FFF" w:rsidRPr="00121376">
        <w:rPr>
          <w:rFonts w:ascii="Calibri" w:hAnsi="Calibri" w:cs="Calibri"/>
        </w:rPr>
        <w:t xml:space="preserve">, both consensual and non-consensual. For example, Medea is described as </w:t>
      </w:r>
      <w:r w:rsidR="000630A4" w:rsidRPr="00121376">
        <w:rPr>
          <w:rFonts w:ascii="Calibri" w:hAnsi="Calibri" w:cs="Calibri"/>
        </w:rPr>
        <w:t>being ‘mastered’ by Jason</w:t>
      </w:r>
      <w:r w:rsidR="005E06C8" w:rsidRPr="00121376">
        <w:rPr>
          <w:rFonts w:ascii="Calibri" w:hAnsi="Calibri" w:cs="Calibri"/>
        </w:rPr>
        <w:t xml:space="preserve"> and made his wife,</w:t>
      </w:r>
      <w:r w:rsidR="000630A4" w:rsidRPr="00121376">
        <w:rPr>
          <w:rFonts w:ascii="Calibri" w:hAnsi="Calibri" w:cs="Calibri"/>
        </w:rPr>
        <w:t xml:space="preserve"> with whom she bears a child, Medeios, who </w:t>
      </w:r>
      <w:proofErr w:type="gramStart"/>
      <w:r w:rsidR="000630A4" w:rsidRPr="00121376">
        <w:rPr>
          <w:rFonts w:ascii="Calibri" w:hAnsi="Calibri" w:cs="Calibri"/>
        </w:rPr>
        <w:t>is removed</w:t>
      </w:r>
      <w:proofErr w:type="gramEnd"/>
      <w:r w:rsidR="000630A4" w:rsidRPr="00121376">
        <w:rPr>
          <w:rFonts w:ascii="Calibri" w:hAnsi="Calibri" w:cs="Calibri"/>
        </w:rPr>
        <w:t xml:space="preserve"> from her and raised by the centaur Cheiron</w:t>
      </w:r>
      <w:r w:rsidR="005E06C8" w:rsidRPr="00121376">
        <w:rPr>
          <w:rFonts w:ascii="Calibri" w:hAnsi="Calibri" w:cs="Calibri"/>
        </w:rPr>
        <w:t>, away from her influence</w:t>
      </w:r>
      <w:r w:rsidR="004F0BAA" w:rsidRPr="00121376">
        <w:rPr>
          <w:rFonts w:ascii="Calibri" w:hAnsi="Calibri" w:cs="Calibri"/>
        </w:rPr>
        <w:t xml:space="preserve">; this is described as doing Zeus’ will </w:t>
      </w:r>
      <w:r w:rsidR="004F0BAA" w:rsidRPr="00121376">
        <w:rPr>
          <w:rFonts w:ascii="Calibri" w:hAnsi="Calibri" w:cs="Calibri"/>
        </w:rPr>
        <w:t>(1000-1010)</w:t>
      </w:r>
      <w:r w:rsidR="004F0BAA" w:rsidRPr="00121376">
        <w:rPr>
          <w:rFonts w:ascii="Calibri" w:hAnsi="Calibri" w:cs="Calibri"/>
        </w:rPr>
        <w:t xml:space="preserve">. </w:t>
      </w:r>
      <w:r w:rsidR="00C92DEC" w:rsidRPr="00121376">
        <w:rPr>
          <w:rFonts w:ascii="Calibri" w:hAnsi="Calibri" w:cs="Calibri"/>
        </w:rPr>
        <w:t>Furthermore, the goddess Thetis is “mastered by Peleus</w:t>
      </w:r>
      <w:proofErr w:type="gramStart"/>
      <w:r w:rsidR="00C92DEC" w:rsidRPr="00121376">
        <w:rPr>
          <w:rFonts w:ascii="Calibri" w:hAnsi="Calibri" w:cs="Calibri"/>
        </w:rPr>
        <w:t>”,</w:t>
      </w:r>
      <w:proofErr w:type="gramEnd"/>
      <w:r w:rsidR="00C92DEC" w:rsidRPr="00121376">
        <w:rPr>
          <w:rFonts w:ascii="Calibri" w:hAnsi="Calibri" w:cs="Calibri"/>
        </w:rPr>
        <w:t xml:space="preserve"> bearing Achilles who becomes “the lion-hearted killer of men” (1014-15). </w:t>
      </w:r>
      <w:r w:rsidR="00D754AE" w:rsidRPr="00121376">
        <w:rPr>
          <w:rFonts w:ascii="Calibri" w:hAnsi="Calibri" w:cs="Calibri"/>
        </w:rPr>
        <w:t>The inclusion of sexual violence in the example of Thetis and</w:t>
      </w:r>
      <w:r w:rsidR="00040F16" w:rsidRPr="00121376">
        <w:rPr>
          <w:rFonts w:ascii="Calibri" w:hAnsi="Calibri" w:cs="Calibri"/>
        </w:rPr>
        <w:t xml:space="preserve"> potentially</w:t>
      </w:r>
      <w:r w:rsidR="00D754AE" w:rsidRPr="00121376">
        <w:rPr>
          <w:rFonts w:ascii="Calibri" w:hAnsi="Calibri" w:cs="Calibri"/>
        </w:rPr>
        <w:t xml:space="preserve"> </w:t>
      </w:r>
      <w:r w:rsidR="00040F16" w:rsidRPr="00121376">
        <w:rPr>
          <w:rFonts w:ascii="Calibri" w:hAnsi="Calibri" w:cs="Calibri"/>
        </w:rPr>
        <w:t>Medea</w:t>
      </w:r>
      <w:r w:rsidR="00D754AE" w:rsidRPr="00121376">
        <w:rPr>
          <w:rFonts w:ascii="Calibri" w:hAnsi="Calibri" w:cs="Calibri"/>
        </w:rPr>
        <w:t xml:space="preserve"> </w:t>
      </w:r>
      <w:r w:rsidR="003123A3" w:rsidRPr="00121376">
        <w:rPr>
          <w:rFonts w:ascii="Calibri" w:hAnsi="Calibri" w:cs="Calibri"/>
        </w:rPr>
        <w:t xml:space="preserve">underlines starkly how the goddesses’ power to reproduce is </w:t>
      </w:r>
      <w:r w:rsidR="007D5D7F" w:rsidRPr="00121376">
        <w:rPr>
          <w:rFonts w:ascii="Calibri" w:hAnsi="Calibri" w:cs="Calibri"/>
        </w:rPr>
        <w:t xml:space="preserve">now </w:t>
      </w:r>
      <w:r w:rsidR="003123A3" w:rsidRPr="00121376">
        <w:rPr>
          <w:rFonts w:ascii="Calibri" w:hAnsi="Calibri" w:cs="Calibri"/>
        </w:rPr>
        <w:t xml:space="preserve">violently controlled by mortal men, limiting their autonomy over their own sexuality. </w:t>
      </w:r>
      <w:r w:rsidR="00040F16" w:rsidRPr="00121376">
        <w:rPr>
          <w:rFonts w:ascii="Calibri" w:hAnsi="Calibri" w:cs="Calibri"/>
        </w:rPr>
        <w:t xml:space="preserve">Crucial to highlight here is that the joining of these goddesses with mortal men in marriage </w:t>
      </w:r>
      <w:proofErr w:type="gramStart"/>
      <w:r w:rsidR="00040F16" w:rsidRPr="00121376">
        <w:rPr>
          <w:rFonts w:ascii="Calibri" w:hAnsi="Calibri" w:cs="Calibri"/>
        </w:rPr>
        <w:t>is called</w:t>
      </w:r>
      <w:proofErr w:type="gramEnd"/>
      <w:r w:rsidR="00040F16" w:rsidRPr="00121376">
        <w:rPr>
          <w:rFonts w:ascii="Calibri" w:hAnsi="Calibri" w:cs="Calibri"/>
        </w:rPr>
        <w:t xml:space="preserve"> Zeus’ will (1010), reinforcing his control over the cosmos and his established order of patriarchal dominance over female reproductivity. </w:t>
      </w:r>
      <w:r w:rsidR="00E40B17" w:rsidRPr="00121376">
        <w:rPr>
          <w:rFonts w:ascii="Calibri" w:hAnsi="Calibri" w:cs="Calibri"/>
        </w:rPr>
        <w:t xml:space="preserve">The powerful female goddesses from </w:t>
      </w:r>
      <w:r w:rsidR="00870AC8" w:rsidRPr="00121376">
        <w:rPr>
          <w:rFonts w:ascii="Calibri" w:hAnsi="Calibri" w:cs="Calibri"/>
        </w:rPr>
        <w:t xml:space="preserve">earlier in the Theogony </w:t>
      </w:r>
      <w:r w:rsidR="005A3BE3" w:rsidRPr="00121376">
        <w:rPr>
          <w:rFonts w:ascii="Calibri" w:hAnsi="Calibri" w:cs="Calibri"/>
        </w:rPr>
        <w:t xml:space="preserve">are displaced </w:t>
      </w:r>
      <w:r w:rsidR="00917B8B" w:rsidRPr="00121376">
        <w:rPr>
          <w:rFonts w:ascii="Calibri" w:hAnsi="Calibri" w:cs="Calibri"/>
        </w:rPr>
        <w:t xml:space="preserve">from the positions of dominance </w:t>
      </w:r>
      <w:r w:rsidR="00870AC8" w:rsidRPr="00121376">
        <w:rPr>
          <w:rFonts w:ascii="Calibri" w:hAnsi="Calibri" w:cs="Calibri"/>
        </w:rPr>
        <w:t xml:space="preserve">until </w:t>
      </w:r>
      <w:r w:rsidR="00917B8B" w:rsidRPr="00121376">
        <w:rPr>
          <w:rFonts w:ascii="Calibri" w:hAnsi="Calibri" w:cs="Calibri"/>
        </w:rPr>
        <w:t xml:space="preserve">their powers </w:t>
      </w:r>
      <w:r w:rsidR="005A3BE3" w:rsidRPr="00121376">
        <w:rPr>
          <w:rFonts w:ascii="Calibri" w:hAnsi="Calibri" w:cs="Calibri"/>
        </w:rPr>
        <w:t xml:space="preserve">are </w:t>
      </w:r>
      <w:r w:rsidR="00917B8B" w:rsidRPr="00121376">
        <w:rPr>
          <w:rFonts w:ascii="Calibri" w:hAnsi="Calibri" w:cs="Calibri"/>
        </w:rPr>
        <w:t xml:space="preserve">reduced to </w:t>
      </w:r>
      <w:r w:rsidR="00870AC8" w:rsidRPr="00121376">
        <w:rPr>
          <w:rFonts w:ascii="Calibri" w:hAnsi="Calibri" w:cs="Calibri"/>
        </w:rPr>
        <w:t>reproduction strictly</w:t>
      </w:r>
      <w:r w:rsidR="00917B8B" w:rsidRPr="00121376">
        <w:rPr>
          <w:rFonts w:ascii="Calibri" w:hAnsi="Calibri" w:cs="Calibri"/>
        </w:rPr>
        <w:t xml:space="preserve"> under male control.</w:t>
      </w:r>
      <w:r w:rsidR="00D26208" w:rsidRPr="00121376">
        <w:rPr>
          <w:rStyle w:val="FootnoteReference"/>
          <w:rFonts w:ascii="Calibri" w:hAnsi="Calibri" w:cs="Calibri"/>
        </w:rPr>
        <w:footnoteReference w:id="53"/>
      </w:r>
      <w:r w:rsidR="00917B8B" w:rsidRPr="00121376">
        <w:rPr>
          <w:rFonts w:ascii="Calibri" w:hAnsi="Calibri" w:cs="Calibri"/>
        </w:rPr>
        <w:t xml:space="preserve"> This </w:t>
      </w:r>
      <w:r w:rsidR="00311FE5" w:rsidRPr="00121376">
        <w:rPr>
          <w:rFonts w:ascii="Calibri" w:hAnsi="Calibri" w:cs="Calibri"/>
        </w:rPr>
        <w:t xml:space="preserve">removal of female autonomy and power </w:t>
      </w:r>
      <w:r w:rsidR="00917B8B" w:rsidRPr="00121376">
        <w:rPr>
          <w:rFonts w:ascii="Calibri" w:hAnsi="Calibri" w:cs="Calibri"/>
        </w:rPr>
        <w:t>culminates in</w:t>
      </w:r>
      <w:r w:rsidR="00311FE5" w:rsidRPr="00121376">
        <w:rPr>
          <w:rFonts w:ascii="Calibri" w:hAnsi="Calibri" w:cs="Calibri"/>
        </w:rPr>
        <w:t xml:space="preserve"> </w:t>
      </w:r>
      <w:r w:rsidR="00917B8B" w:rsidRPr="00121376">
        <w:rPr>
          <w:rFonts w:ascii="Calibri" w:hAnsi="Calibri" w:cs="Calibri"/>
        </w:rPr>
        <w:t xml:space="preserve">the Catalogue of Women, where the </w:t>
      </w:r>
      <w:r w:rsidR="007C416D" w:rsidRPr="00121376">
        <w:rPr>
          <w:rFonts w:ascii="Calibri" w:hAnsi="Calibri" w:cs="Calibri"/>
        </w:rPr>
        <w:t xml:space="preserve">divine </w:t>
      </w:r>
      <w:r w:rsidR="00917B8B" w:rsidRPr="00121376">
        <w:rPr>
          <w:rFonts w:ascii="Calibri" w:hAnsi="Calibri" w:cs="Calibri"/>
        </w:rPr>
        <w:t xml:space="preserve">female power </w:t>
      </w:r>
      <w:r w:rsidR="007C416D" w:rsidRPr="00121376">
        <w:rPr>
          <w:rFonts w:ascii="Calibri" w:hAnsi="Calibri" w:cs="Calibri"/>
        </w:rPr>
        <w:t xml:space="preserve">of reproduction becomes </w:t>
      </w:r>
      <w:r w:rsidR="00917B8B" w:rsidRPr="00121376">
        <w:rPr>
          <w:rFonts w:ascii="Calibri" w:hAnsi="Calibri" w:cs="Calibri"/>
        </w:rPr>
        <w:t>limited to the human sphere with the cessation of godly births, confining even goddesses within the institution of marriage</w:t>
      </w:r>
      <w:r w:rsidR="007C416D" w:rsidRPr="00121376">
        <w:rPr>
          <w:rFonts w:ascii="Calibri" w:hAnsi="Calibri" w:cs="Calibri"/>
        </w:rPr>
        <w:t xml:space="preserve">. The Theogony therefore concludes with the peaceful and harmonious rule of Zeus, a reign originally facilitated by the cunning use of reproductive power of mother goddesses, that has led to </w:t>
      </w:r>
      <w:r w:rsidR="000F30ED" w:rsidRPr="00121376">
        <w:rPr>
          <w:rFonts w:ascii="Calibri" w:hAnsi="Calibri" w:cs="Calibri"/>
        </w:rPr>
        <w:t xml:space="preserve">the strict control over female sexuality by male authority in a narrative highly reminiscent of and thus justifying the restrictions over women’s freedom and sexuality instituted in archaic Greece. </w:t>
      </w:r>
    </w:p>
    <w:p w14:paraId="608DE6BA" w14:textId="63FAFCB4" w:rsidR="0088222F" w:rsidRPr="00121376" w:rsidRDefault="00F4222D" w:rsidP="00884A3F">
      <w:pPr>
        <w:rPr>
          <w:rFonts w:ascii="Calibri" w:hAnsi="Calibri" w:cs="Calibri"/>
        </w:rPr>
      </w:pPr>
      <w:r w:rsidRPr="00121376">
        <w:rPr>
          <w:rFonts w:ascii="Calibri" w:hAnsi="Calibri" w:cs="Calibri"/>
        </w:rPr>
        <w:lastRenderedPageBreak/>
        <w:t xml:space="preserve">This essay set out to explore the theme of control over female reproductive power in Hesiod’s Theogony, </w:t>
      </w:r>
      <w:r w:rsidR="0088222F" w:rsidRPr="00121376">
        <w:rPr>
          <w:rFonts w:ascii="Calibri" w:hAnsi="Calibri" w:cs="Calibri"/>
        </w:rPr>
        <w:t xml:space="preserve">examining the transition from </w:t>
      </w:r>
      <w:r w:rsidR="00884A3F" w:rsidRPr="00121376">
        <w:rPr>
          <w:rFonts w:ascii="Calibri" w:hAnsi="Calibri" w:cs="Calibri"/>
        </w:rPr>
        <w:t xml:space="preserve">the female power over reproduction early in Hesiod’s version of creation to the establishment of Zeus’ patriarchal rule and the reduction of goddesses’ power. </w:t>
      </w:r>
      <w:r w:rsidR="0088222F" w:rsidRPr="00121376">
        <w:rPr>
          <w:rFonts w:ascii="Calibri" w:hAnsi="Calibri" w:cs="Calibri"/>
        </w:rPr>
        <w:t xml:space="preserve">Taken together, this </w:t>
      </w:r>
      <w:r w:rsidR="00884A3F" w:rsidRPr="00121376">
        <w:rPr>
          <w:rFonts w:ascii="Calibri" w:hAnsi="Calibri" w:cs="Calibri"/>
        </w:rPr>
        <w:t xml:space="preserve">evidence </w:t>
      </w:r>
      <w:r w:rsidR="0088222F" w:rsidRPr="00121376">
        <w:rPr>
          <w:rFonts w:ascii="Calibri" w:hAnsi="Calibri" w:cs="Calibri"/>
        </w:rPr>
        <w:t>highlights the role of patriarchal ideology within the text</w:t>
      </w:r>
      <w:r w:rsidR="00884A3F" w:rsidRPr="00121376">
        <w:rPr>
          <w:rFonts w:ascii="Calibri" w:hAnsi="Calibri" w:cs="Calibri"/>
        </w:rPr>
        <w:t xml:space="preserve"> and so this piece complements earlier studies on the rise of patriarchy in Hesiod’s Theogony</w:t>
      </w:r>
      <w:r w:rsidR="00884A3F" w:rsidRPr="00121376">
        <w:rPr>
          <w:rStyle w:val="FootnoteReference"/>
          <w:rFonts w:ascii="Calibri" w:hAnsi="Calibri" w:cs="Calibri"/>
        </w:rPr>
        <w:footnoteReference w:id="54"/>
      </w:r>
      <w:r w:rsidR="00884A3F" w:rsidRPr="00121376">
        <w:rPr>
          <w:rFonts w:ascii="Calibri" w:hAnsi="Calibri" w:cs="Calibri"/>
        </w:rPr>
        <w:t xml:space="preserve"> as well a</w:t>
      </w:r>
      <w:r w:rsidR="00C949B3" w:rsidRPr="00121376">
        <w:rPr>
          <w:rFonts w:ascii="Calibri" w:hAnsi="Calibri" w:cs="Calibri"/>
        </w:rPr>
        <w:t xml:space="preserve">s its potential historical influences. </w:t>
      </w:r>
      <w:r w:rsidR="0027212E" w:rsidRPr="00121376">
        <w:rPr>
          <w:rFonts w:ascii="Calibri" w:hAnsi="Calibri" w:cs="Calibri"/>
        </w:rPr>
        <w:t>Being limited to the subject of female reproductive power,</w:t>
      </w:r>
      <w:r w:rsidR="008738F5" w:rsidRPr="00121376">
        <w:rPr>
          <w:rFonts w:ascii="Calibri" w:hAnsi="Calibri" w:cs="Calibri"/>
        </w:rPr>
        <w:t xml:space="preserve"> this essay’s reach cannot extend to </w:t>
      </w:r>
      <w:r w:rsidR="000F30ED" w:rsidRPr="00121376">
        <w:rPr>
          <w:rFonts w:ascii="Calibri" w:hAnsi="Calibri" w:cs="Calibri"/>
        </w:rPr>
        <w:t xml:space="preserve">other aspects of feminist </w:t>
      </w:r>
      <w:r w:rsidR="008738F5" w:rsidRPr="00121376">
        <w:rPr>
          <w:rFonts w:ascii="Calibri" w:hAnsi="Calibri" w:cs="Calibri"/>
        </w:rPr>
        <w:t>analysis, but as th</w:t>
      </w:r>
      <w:r w:rsidR="002D6E66" w:rsidRPr="00121376">
        <w:rPr>
          <w:rFonts w:ascii="Calibri" w:hAnsi="Calibri" w:cs="Calibri"/>
        </w:rPr>
        <w:t xml:space="preserve">e Theogony is one of the earliest documents from archaic Greek society that records such a shift in the power held by </w:t>
      </w:r>
      <w:r w:rsidR="004D2446" w:rsidRPr="00121376">
        <w:rPr>
          <w:rFonts w:ascii="Calibri" w:hAnsi="Calibri" w:cs="Calibri"/>
        </w:rPr>
        <w:t>women,</w:t>
      </w:r>
      <w:r w:rsidR="0022674C" w:rsidRPr="00121376">
        <w:rPr>
          <w:rStyle w:val="FootnoteReference"/>
          <w:rFonts w:ascii="Calibri" w:hAnsi="Calibri" w:cs="Calibri"/>
        </w:rPr>
        <w:footnoteReference w:id="55"/>
      </w:r>
      <w:r w:rsidR="004D2446" w:rsidRPr="00121376">
        <w:rPr>
          <w:rFonts w:ascii="Calibri" w:hAnsi="Calibri" w:cs="Calibri"/>
        </w:rPr>
        <w:t xml:space="preserve"> this </w:t>
      </w:r>
      <w:r w:rsidR="00231F30" w:rsidRPr="00121376">
        <w:rPr>
          <w:rFonts w:ascii="Calibri" w:hAnsi="Calibri" w:cs="Calibri"/>
        </w:rPr>
        <w:t xml:space="preserve">prompts further study into the relation into how </w:t>
      </w:r>
      <w:r w:rsidR="004D2446" w:rsidRPr="00121376">
        <w:rPr>
          <w:rFonts w:ascii="Calibri" w:hAnsi="Calibri" w:cs="Calibri"/>
        </w:rPr>
        <w:t xml:space="preserve">contemporary </w:t>
      </w:r>
      <w:r w:rsidR="00231F30" w:rsidRPr="00121376">
        <w:rPr>
          <w:rFonts w:ascii="Calibri" w:hAnsi="Calibri" w:cs="Calibri"/>
        </w:rPr>
        <w:t xml:space="preserve">ideologies permeate </w:t>
      </w:r>
      <w:r w:rsidR="004D2446" w:rsidRPr="00121376">
        <w:rPr>
          <w:rFonts w:ascii="Calibri" w:hAnsi="Calibri" w:cs="Calibri"/>
        </w:rPr>
        <w:t xml:space="preserve">written literature </w:t>
      </w:r>
      <w:r w:rsidR="00231F30" w:rsidRPr="00121376">
        <w:rPr>
          <w:rFonts w:ascii="Calibri" w:hAnsi="Calibri" w:cs="Calibri"/>
        </w:rPr>
        <w:t xml:space="preserve">while also </w:t>
      </w:r>
      <w:r w:rsidR="004D2446" w:rsidRPr="00121376">
        <w:rPr>
          <w:rFonts w:ascii="Calibri" w:hAnsi="Calibri" w:cs="Calibri"/>
        </w:rPr>
        <w:t>immortalising those contextual viewpoints</w:t>
      </w:r>
      <w:r w:rsidR="00F2566A" w:rsidRPr="00121376">
        <w:rPr>
          <w:rFonts w:ascii="Calibri" w:hAnsi="Calibri" w:cs="Calibri"/>
        </w:rPr>
        <w:t xml:space="preserve">. </w:t>
      </w:r>
      <w:r w:rsidR="000F30ED" w:rsidRPr="00121376">
        <w:rPr>
          <w:rFonts w:ascii="Calibri" w:hAnsi="Calibri" w:cs="Calibri"/>
        </w:rPr>
        <w:t xml:space="preserve">In the case of Hesiod’s Theogony, the text describes and justifies male control over female reproductive power, </w:t>
      </w:r>
      <w:r w:rsidR="000A71B4" w:rsidRPr="00121376">
        <w:rPr>
          <w:rFonts w:ascii="Calibri" w:hAnsi="Calibri" w:cs="Calibri"/>
        </w:rPr>
        <w:t xml:space="preserve">immortalising the patriarchal fears around female sexuality in archaic Greece. </w:t>
      </w:r>
    </w:p>
    <w:p w14:paraId="5C9B63EF" w14:textId="77777777" w:rsidR="0098317E" w:rsidRDefault="0098317E" w:rsidP="00481062">
      <w:pPr>
        <w:rPr>
          <w:rFonts w:ascii="Calibri" w:hAnsi="Calibri" w:cs="Calibri"/>
        </w:rPr>
      </w:pPr>
    </w:p>
    <w:p w14:paraId="30014886" w14:textId="77777777" w:rsidR="00AF75F1" w:rsidRDefault="00AF75F1" w:rsidP="00481062">
      <w:pPr>
        <w:rPr>
          <w:rFonts w:ascii="Calibri" w:hAnsi="Calibri" w:cs="Calibri"/>
        </w:rPr>
      </w:pPr>
    </w:p>
    <w:p w14:paraId="0B08E79D" w14:textId="77777777" w:rsidR="00EA7917" w:rsidRDefault="00EA7917" w:rsidP="00481062">
      <w:pPr>
        <w:rPr>
          <w:rFonts w:ascii="Calibri" w:hAnsi="Calibri" w:cs="Calibri"/>
        </w:rPr>
      </w:pPr>
    </w:p>
    <w:p w14:paraId="6F25B079" w14:textId="77777777" w:rsidR="00EA7917" w:rsidRDefault="00EA7917" w:rsidP="00481062">
      <w:pPr>
        <w:rPr>
          <w:rFonts w:ascii="Calibri" w:hAnsi="Calibri" w:cs="Calibri"/>
        </w:rPr>
      </w:pPr>
    </w:p>
    <w:p w14:paraId="79661E20" w14:textId="77777777" w:rsidR="00EA7917" w:rsidRDefault="00EA7917" w:rsidP="00481062">
      <w:pPr>
        <w:rPr>
          <w:rFonts w:ascii="Calibri" w:hAnsi="Calibri" w:cs="Calibri"/>
        </w:rPr>
      </w:pPr>
    </w:p>
    <w:p w14:paraId="2A279A36" w14:textId="77777777" w:rsidR="00EA7917" w:rsidRDefault="00EA7917" w:rsidP="00481062">
      <w:pPr>
        <w:rPr>
          <w:rFonts w:ascii="Calibri" w:hAnsi="Calibri" w:cs="Calibri"/>
        </w:rPr>
      </w:pPr>
    </w:p>
    <w:p w14:paraId="48EAF571" w14:textId="77777777" w:rsidR="00EA7917" w:rsidRDefault="00EA7917" w:rsidP="00481062">
      <w:pPr>
        <w:rPr>
          <w:rFonts w:ascii="Calibri" w:hAnsi="Calibri" w:cs="Calibri"/>
        </w:rPr>
      </w:pPr>
    </w:p>
    <w:p w14:paraId="661CBE31" w14:textId="77777777" w:rsidR="00EA7917" w:rsidRDefault="00EA7917" w:rsidP="00481062">
      <w:pPr>
        <w:rPr>
          <w:rFonts w:ascii="Calibri" w:hAnsi="Calibri" w:cs="Calibri"/>
        </w:rPr>
      </w:pPr>
    </w:p>
    <w:p w14:paraId="1B69B448" w14:textId="77777777" w:rsidR="00EA7917" w:rsidRDefault="00EA7917" w:rsidP="00481062">
      <w:pPr>
        <w:rPr>
          <w:rFonts w:ascii="Calibri" w:hAnsi="Calibri" w:cs="Calibri"/>
        </w:rPr>
      </w:pPr>
    </w:p>
    <w:p w14:paraId="4DCFB67C" w14:textId="77777777" w:rsidR="00EA7917" w:rsidRDefault="00EA7917" w:rsidP="00481062">
      <w:pPr>
        <w:rPr>
          <w:rFonts w:ascii="Calibri" w:hAnsi="Calibri" w:cs="Calibri"/>
        </w:rPr>
      </w:pPr>
    </w:p>
    <w:p w14:paraId="5C92646D" w14:textId="77777777" w:rsidR="00EA7917" w:rsidRDefault="00EA7917" w:rsidP="00481062">
      <w:pPr>
        <w:rPr>
          <w:rFonts w:ascii="Calibri" w:hAnsi="Calibri" w:cs="Calibri"/>
        </w:rPr>
      </w:pPr>
    </w:p>
    <w:p w14:paraId="2BEB8987" w14:textId="77777777" w:rsidR="00EA7917" w:rsidRDefault="00EA7917" w:rsidP="00481062">
      <w:pPr>
        <w:rPr>
          <w:rFonts w:ascii="Calibri" w:hAnsi="Calibri" w:cs="Calibri"/>
        </w:rPr>
      </w:pPr>
    </w:p>
    <w:p w14:paraId="75B48AFA" w14:textId="77777777" w:rsidR="00EA7917" w:rsidRDefault="00EA7917" w:rsidP="00481062">
      <w:pPr>
        <w:rPr>
          <w:rFonts w:ascii="Calibri" w:hAnsi="Calibri" w:cs="Calibri"/>
        </w:rPr>
      </w:pPr>
    </w:p>
    <w:p w14:paraId="2584035C" w14:textId="77777777" w:rsidR="00EA7917" w:rsidRDefault="00EA7917" w:rsidP="00481062">
      <w:pPr>
        <w:rPr>
          <w:rFonts w:ascii="Calibri" w:hAnsi="Calibri" w:cs="Calibri"/>
        </w:rPr>
      </w:pPr>
    </w:p>
    <w:p w14:paraId="0B58819E" w14:textId="77777777" w:rsidR="00EA7917" w:rsidRDefault="00EA7917" w:rsidP="00481062">
      <w:pPr>
        <w:rPr>
          <w:rFonts w:ascii="Calibri" w:hAnsi="Calibri" w:cs="Calibri"/>
        </w:rPr>
      </w:pPr>
    </w:p>
    <w:p w14:paraId="5B823601" w14:textId="77777777" w:rsidR="00EA7917" w:rsidRDefault="00EA7917" w:rsidP="00481062">
      <w:pPr>
        <w:rPr>
          <w:rFonts w:ascii="Calibri" w:hAnsi="Calibri" w:cs="Calibri"/>
        </w:rPr>
      </w:pPr>
    </w:p>
    <w:p w14:paraId="2366515D" w14:textId="77777777" w:rsidR="00EA7917" w:rsidRDefault="00EA7917" w:rsidP="00481062">
      <w:pPr>
        <w:rPr>
          <w:rFonts w:ascii="Calibri" w:hAnsi="Calibri" w:cs="Calibri"/>
        </w:rPr>
      </w:pPr>
    </w:p>
    <w:p w14:paraId="30209D96" w14:textId="77777777" w:rsidR="00EA7917" w:rsidRDefault="00EA7917" w:rsidP="00481062">
      <w:pPr>
        <w:rPr>
          <w:rFonts w:ascii="Calibri" w:hAnsi="Calibri" w:cs="Calibri"/>
        </w:rPr>
      </w:pPr>
    </w:p>
    <w:p w14:paraId="329B5DB4" w14:textId="77777777" w:rsidR="00EA7917" w:rsidRDefault="00EA7917" w:rsidP="00481062">
      <w:pPr>
        <w:rPr>
          <w:rFonts w:ascii="Calibri" w:hAnsi="Calibri" w:cs="Calibri"/>
        </w:rPr>
      </w:pPr>
    </w:p>
    <w:p w14:paraId="32ACEA51" w14:textId="77777777" w:rsidR="00EA7917" w:rsidRDefault="00EA7917" w:rsidP="00481062">
      <w:pPr>
        <w:rPr>
          <w:rFonts w:ascii="Calibri" w:hAnsi="Calibri" w:cs="Calibri"/>
        </w:rPr>
      </w:pPr>
    </w:p>
    <w:p w14:paraId="2EF9FF80" w14:textId="77777777" w:rsidR="00EA7917" w:rsidRDefault="00EA7917" w:rsidP="00481062">
      <w:pPr>
        <w:rPr>
          <w:rFonts w:ascii="Calibri" w:hAnsi="Calibri" w:cs="Calibri"/>
        </w:rPr>
      </w:pPr>
    </w:p>
    <w:p w14:paraId="69AD0EF8" w14:textId="77777777" w:rsidR="00EA7917" w:rsidRDefault="00EA7917" w:rsidP="00481062">
      <w:pPr>
        <w:rPr>
          <w:rFonts w:ascii="Calibri" w:hAnsi="Calibri" w:cs="Calibri"/>
        </w:rPr>
      </w:pPr>
    </w:p>
    <w:p w14:paraId="18066BDC" w14:textId="77777777" w:rsidR="00EA7917" w:rsidRDefault="00EA7917" w:rsidP="00481062">
      <w:pPr>
        <w:rPr>
          <w:rFonts w:ascii="Calibri" w:hAnsi="Calibri" w:cs="Calibri"/>
        </w:rPr>
      </w:pPr>
    </w:p>
    <w:p w14:paraId="32F5A785" w14:textId="77777777" w:rsidR="00EA7917" w:rsidRDefault="00EA7917" w:rsidP="00481062">
      <w:pPr>
        <w:rPr>
          <w:rFonts w:ascii="Calibri" w:hAnsi="Calibri" w:cs="Calibri"/>
        </w:rPr>
      </w:pPr>
    </w:p>
    <w:p w14:paraId="483900D9" w14:textId="77777777" w:rsidR="00EA7917" w:rsidRDefault="00EA7917" w:rsidP="00481062">
      <w:pPr>
        <w:rPr>
          <w:rFonts w:ascii="Calibri" w:hAnsi="Calibri" w:cs="Calibri"/>
        </w:rPr>
      </w:pPr>
    </w:p>
    <w:p w14:paraId="7DE9DA16" w14:textId="77777777" w:rsidR="00EA7917" w:rsidRDefault="00EA7917" w:rsidP="00481062">
      <w:pPr>
        <w:rPr>
          <w:rFonts w:ascii="Calibri" w:hAnsi="Calibri" w:cs="Calibri"/>
        </w:rPr>
      </w:pPr>
    </w:p>
    <w:p w14:paraId="04EFC93E" w14:textId="77777777" w:rsidR="00EA7917" w:rsidRDefault="00EA7917" w:rsidP="00481062">
      <w:pPr>
        <w:rPr>
          <w:rFonts w:ascii="Calibri" w:hAnsi="Calibri" w:cs="Calibri"/>
        </w:rPr>
      </w:pPr>
    </w:p>
    <w:p w14:paraId="1259E057" w14:textId="77777777" w:rsidR="00EA7917" w:rsidRDefault="00EA7917" w:rsidP="00481062">
      <w:pPr>
        <w:rPr>
          <w:rFonts w:ascii="Calibri" w:hAnsi="Calibri" w:cs="Calibri"/>
        </w:rPr>
      </w:pPr>
    </w:p>
    <w:p w14:paraId="6C8CC427" w14:textId="77777777" w:rsidR="00EA7917" w:rsidRPr="00EA7917" w:rsidRDefault="00EA7917" w:rsidP="00EA7917">
      <w:pPr>
        <w:spacing w:after="240" w:line="360" w:lineRule="auto"/>
        <w:jc w:val="both"/>
        <w:outlineLvl w:val="0"/>
        <w:rPr>
          <w:rFonts w:ascii="Calibri" w:eastAsia="Times New Roman" w:hAnsi="Calibri" w:cs="Calibri"/>
          <w:b/>
          <w:bCs/>
          <w:kern w:val="36"/>
          <w:sz w:val="33"/>
          <w:szCs w:val="33"/>
          <w:lang w:eastAsia="en-GB" w:bidi="he-IL"/>
          <w14:ligatures w14:val="none"/>
        </w:rPr>
      </w:pPr>
      <w:r w:rsidRPr="00EA7917">
        <w:rPr>
          <w:rFonts w:ascii="Calibri" w:eastAsia="Times New Roman" w:hAnsi="Calibri" w:cs="Calibri"/>
          <w:b/>
          <w:bCs/>
          <w:kern w:val="36"/>
          <w:sz w:val="33"/>
          <w:szCs w:val="33"/>
          <w:lang w:eastAsia="en-GB" w:bidi="he-IL"/>
          <w14:ligatures w14:val="none"/>
        </w:rPr>
        <w:t>Bibliography</w:t>
      </w:r>
    </w:p>
    <w:p w14:paraId="6F4DEB19" w14:textId="77777777" w:rsidR="00EA7917" w:rsidRPr="00EA7917" w:rsidRDefault="00EA7917" w:rsidP="00EA7917">
      <w:pPr>
        <w:spacing w:after="240" w:line="360" w:lineRule="auto"/>
        <w:ind w:hanging="720"/>
        <w:jc w:val="both"/>
        <w:rPr>
          <w:rFonts w:ascii="Calibri" w:eastAsia="Times New Roman" w:hAnsi="Calibri" w:cs="Calibri"/>
          <w:kern w:val="0"/>
          <w:lang w:eastAsia="en-GB" w:bidi="he-IL"/>
          <w14:ligatures w14:val="none"/>
        </w:rPr>
      </w:pPr>
      <w:r w:rsidRPr="00EA7917">
        <w:rPr>
          <w:rFonts w:ascii="Calibri" w:eastAsia="Times New Roman" w:hAnsi="Calibri" w:cs="Calibri"/>
          <w:kern w:val="0"/>
          <w:lang w:eastAsia="en-GB" w:bidi="he-IL"/>
          <w14:ligatures w14:val="none"/>
        </w:rPr>
        <w:t xml:space="preserve">Ann Ellis, Hanson, and Halperin David M., </w:t>
      </w:r>
      <w:r w:rsidRPr="00EA7917">
        <w:rPr>
          <w:rFonts w:ascii="Calibri" w:eastAsia="Times New Roman" w:hAnsi="Calibri" w:cs="Calibri"/>
          <w:i/>
          <w:iCs/>
          <w:kern w:val="0"/>
          <w:lang w:eastAsia="en-GB" w:bidi="he-IL"/>
          <w14:ligatures w14:val="none"/>
        </w:rPr>
        <w:t xml:space="preserve">Before </w:t>
      </w:r>
      <w:proofErr w:type="gramStart"/>
      <w:r w:rsidRPr="00EA7917">
        <w:rPr>
          <w:rFonts w:ascii="Calibri" w:eastAsia="Times New Roman" w:hAnsi="Calibri" w:cs="Calibri"/>
          <w:i/>
          <w:iCs/>
          <w:kern w:val="0"/>
          <w:lang w:eastAsia="en-GB" w:bidi="he-IL"/>
          <w14:ligatures w14:val="none"/>
        </w:rPr>
        <w:t>Sexuality :</w:t>
      </w:r>
      <w:proofErr w:type="gramEnd"/>
      <w:r w:rsidRPr="00EA7917">
        <w:rPr>
          <w:rFonts w:ascii="Calibri" w:eastAsia="Times New Roman" w:hAnsi="Calibri" w:cs="Calibri"/>
          <w:i/>
          <w:iCs/>
          <w:kern w:val="0"/>
          <w:lang w:eastAsia="en-GB" w:bidi="he-IL"/>
          <w14:ligatures w14:val="none"/>
        </w:rPr>
        <w:t xml:space="preserve"> The Construction of Erotic Experience in the Ancient Greek World</w:t>
      </w:r>
      <w:r w:rsidRPr="00EA7917">
        <w:rPr>
          <w:rFonts w:ascii="Calibri" w:eastAsia="Times New Roman" w:hAnsi="Calibri" w:cs="Calibri"/>
          <w:kern w:val="0"/>
          <w:lang w:eastAsia="en-GB" w:bidi="he-IL"/>
          <w14:ligatures w14:val="none"/>
        </w:rPr>
        <w:t xml:space="preserve"> (Princeton, NJ: Princeton University Press, 2020)</w:t>
      </w:r>
    </w:p>
    <w:p w14:paraId="1B4123AF" w14:textId="77777777" w:rsidR="00EA7917" w:rsidRPr="00EA7917" w:rsidRDefault="00EA7917" w:rsidP="00EA7917">
      <w:pPr>
        <w:spacing w:after="240" w:line="360" w:lineRule="auto"/>
        <w:ind w:hanging="720"/>
        <w:jc w:val="both"/>
        <w:rPr>
          <w:rFonts w:ascii="Calibri" w:eastAsia="Times New Roman" w:hAnsi="Calibri" w:cs="Calibri"/>
          <w:kern w:val="0"/>
          <w:lang w:eastAsia="en-GB" w:bidi="he-IL"/>
          <w14:ligatures w14:val="none"/>
        </w:rPr>
      </w:pPr>
      <w:r w:rsidRPr="00EA7917">
        <w:rPr>
          <w:rFonts w:ascii="Calibri" w:eastAsia="Times New Roman" w:hAnsi="Calibri" w:cs="Calibri"/>
          <w:kern w:val="0"/>
          <w:lang w:eastAsia="en-GB" w:bidi="he-IL"/>
          <w14:ligatures w14:val="none"/>
        </w:rPr>
        <w:t xml:space="preserve">Arthyr, Marylin </w:t>
      </w:r>
      <w:proofErr w:type="gramStart"/>
      <w:r w:rsidRPr="00EA7917">
        <w:rPr>
          <w:rFonts w:ascii="Calibri" w:eastAsia="Times New Roman" w:hAnsi="Calibri" w:cs="Calibri"/>
          <w:kern w:val="0"/>
          <w:lang w:eastAsia="en-GB" w:bidi="he-IL"/>
          <w14:ligatures w14:val="none"/>
        </w:rPr>
        <w:t>B. ,</w:t>
      </w:r>
      <w:proofErr w:type="gramEnd"/>
      <w:r w:rsidRPr="00EA7917">
        <w:rPr>
          <w:rFonts w:ascii="Calibri" w:eastAsia="Times New Roman" w:hAnsi="Calibri" w:cs="Calibri"/>
          <w:kern w:val="0"/>
          <w:lang w:eastAsia="en-GB" w:bidi="he-IL"/>
          <w14:ligatures w14:val="none"/>
        </w:rPr>
        <w:t xml:space="preserve"> ‘Cultural Strategies in Hesiod’s Theogony: Law, Family, Society’, </w:t>
      </w:r>
      <w:r w:rsidRPr="00EA7917">
        <w:rPr>
          <w:rFonts w:ascii="Calibri" w:eastAsia="Times New Roman" w:hAnsi="Calibri" w:cs="Calibri"/>
          <w:i/>
          <w:iCs/>
          <w:kern w:val="0"/>
          <w:lang w:eastAsia="en-GB" w:bidi="he-IL"/>
          <w14:ligatures w14:val="none"/>
        </w:rPr>
        <w:t>Arethusa</w:t>
      </w:r>
      <w:r w:rsidRPr="00EA7917">
        <w:rPr>
          <w:rFonts w:ascii="Calibri" w:eastAsia="Times New Roman" w:hAnsi="Calibri" w:cs="Calibri"/>
          <w:kern w:val="0"/>
          <w:lang w:eastAsia="en-GB" w:bidi="he-IL"/>
          <w14:ligatures w14:val="none"/>
        </w:rPr>
        <w:t>, 15.1/2 (1982), 63–82</w:t>
      </w:r>
    </w:p>
    <w:p w14:paraId="2D029EF5" w14:textId="77777777" w:rsidR="00EA7917" w:rsidRPr="00EA7917" w:rsidRDefault="00EA7917" w:rsidP="00EA7917">
      <w:pPr>
        <w:spacing w:after="240" w:line="360" w:lineRule="auto"/>
        <w:ind w:hanging="720"/>
        <w:jc w:val="both"/>
        <w:rPr>
          <w:rFonts w:ascii="Calibri" w:eastAsia="Times New Roman" w:hAnsi="Calibri" w:cs="Calibri"/>
          <w:kern w:val="0"/>
          <w:lang w:eastAsia="en-GB" w:bidi="he-IL"/>
          <w14:ligatures w14:val="none"/>
        </w:rPr>
      </w:pPr>
      <w:r w:rsidRPr="00EA7917">
        <w:rPr>
          <w:rFonts w:ascii="Calibri" w:eastAsia="Times New Roman" w:hAnsi="Calibri" w:cs="Calibri"/>
          <w:kern w:val="0"/>
          <w:lang w:eastAsia="en-GB" w:bidi="he-IL"/>
          <w14:ligatures w14:val="none"/>
        </w:rPr>
        <w:t xml:space="preserve">Carson, Anne, ‘Putting Her in Her Place: Woman, Dirt and Desire’, in </w:t>
      </w:r>
      <w:r w:rsidRPr="00EA7917">
        <w:rPr>
          <w:rFonts w:ascii="Calibri" w:eastAsia="Times New Roman" w:hAnsi="Calibri" w:cs="Calibri"/>
          <w:i/>
          <w:iCs/>
          <w:kern w:val="0"/>
          <w:lang w:eastAsia="en-GB" w:bidi="he-IL"/>
          <w14:ligatures w14:val="none"/>
        </w:rPr>
        <w:t>Before Sexuality: The Construction of Erotic Experience in the Ancient Greek World</w:t>
      </w:r>
      <w:r w:rsidRPr="00EA7917">
        <w:rPr>
          <w:rFonts w:ascii="Calibri" w:eastAsia="Times New Roman" w:hAnsi="Calibri" w:cs="Calibri"/>
          <w:kern w:val="0"/>
          <w:lang w:eastAsia="en-GB" w:bidi="he-IL"/>
          <w14:ligatures w14:val="none"/>
        </w:rPr>
        <w:t xml:space="preserve"> (Princeton, NJ: Princeton University Press, 2020), pp. 135–</w:t>
      </w:r>
      <w:proofErr w:type="gramStart"/>
      <w:r w:rsidRPr="00EA7917">
        <w:rPr>
          <w:rFonts w:ascii="Calibri" w:eastAsia="Times New Roman" w:hAnsi="Calibri" w:cs="Calibri"/>
          <w:kern w:val="0"/>
          <w:lang w:eastAsia="en-GB" w:bidi="he-IL"/>
          <w14:ligatures w14:val="none"/>
        </w:rPr>
        <w:t>70</w:t>
      </w:r>
      <w:proofErr w:type="gramEnd"/>
    </w:p>
    <w:p w14:paraId="5898E130" w14:textId="77777777" w:rsidR="00EA7917" w:rsidRPr="00EA7917" w:rsidRDefault="00EA7917" w:rsidP="00EA7917">
      <w:pPr>
        <w:spacing w:after="240" w:line="360" w:lineRule="auto"/>
        <w:ind w:hanging="720"/>
        <w:jc w:val="both"/>
        <w:rPr>
          <w:rFonts w:ascii="Calibri" w:eastAsia="Times New Roman" w:hAnsi="Calibri" w:cs="Calibri"/>
          <w:kern w:val="0"/>
          <w:lang w:eastAsia="en-GB" w:bidi="he-IL"/>
          <w14:ligatures w14:val="none"/>
        </w:rPr>
      </w:pPr>
      <w:r w:rsidRPr="00EA7917">
        <w:rPr>
          <w:rFonts w:ascii="Calibri" w:eastAsia="Times New Roman" w:hAnsi="Calibri" w:cs="Calibri"/>
          <w:kern w:val="0"/>
          <w:lang w:eastAsia="en-GB" w:bidi="he-IL"/>
          <w14:ligatures w14:val="none"/>
        </w:rPr>
        <w:t>Castro, Mercedes Aguirre, ‘Expressions of Love and Sexual Union in Hesiod’s Catalogue of Women</w:t>
      </w:r>
      <w:proofErr w:type="gramStart"/>
      <w:r w:rsidRPr="00EA7917">
        <w:rPr>
          <w:rFonts w:ascii="Calibri" w:eastAsia="Times New Roman" w:hAnsi="Calibri" w:cs="Calibri"/>
          <w:kern w:val="0"/>
          <w:lang w:eastAsia="en-GB" w:bidi="he-IL"/>
          <w14:ligatures w14:val="none"/>
        </w:rPr>
        <w:t>’,</w:t>
      </w:r>
      <w:proofErr w:type="gramEnd"/>
      <w:r w:rsidRPr="00EA7917">
        <w:rPr>
          <w:rFonts w:ascii="Calibri" w:eastAsia="Times New Roman" w:hAnsi="Calibri" w:cs="Calibri"/>
          <w:kern w:val="0"/>
          <w:lang w:eastAsia="en-GB" w:bidi="he-IL"/>
          <w14:ligatures w14:val="none"/>
        </w:rPr>
        <w:t xml:space="preserve"> </w:t>
      </w:r>
      <w:r w:rsidRPr="00EA7917">
        <w:rPr>
          <w:rFonts w:ascii="Calibri" w:eastAsia="Times New Roman" w:hAnsi="Calibri" w:cs="Calibri"/>
          <w:i/>
          <w:iCs/>
          <w:kern w:val="0"/>
          <w:lang w:eastAsia="en-GB" w:bidi="he-IL"/>
          <w14:ligatures w14:val="none"/>
        </w:rPr>
        <w:t xml:space="preserve">CFC (G): </w:t>
      </w:r>
      <w:proofErr w:type="spellStart"/>
      <w:r w:rsidRPr="00EA7917">
        <w:rPr>
          <w:rFonts w:ascii="Calibri" w:eastAsia="Times New Roman" w:hAnsi="Calibri" w:cs="Calibri"/>
          <w:i/>
          <w:iCs/>
          <w:kern w:val="0"/>
          <w:lang w:eastAsia="en-GB" w:bidi="he-IL"/>
          <w14:ligatures w14:val="none"/>
        </w:rPr>
        <w:t>Estudios</w:t>
      </w:r>
      <w:proofErr w:type="spellEnd"/>
      <w:r w:rsidRPr="00EA7917">
        <w:rPr>
          <w:rFonts w:ascii="Calibri" w:eastAsia="Times New Roman" w:hAnsi="Calibri" w:cs="Calibri"/>
          <w:i/>
          <w:iCs/>
          <w:kern w:val="0"/>
          <w:lang w:eastAsia="en-GB" w:bidi="he-IL"/>
          <w14:ligatures w14:val="none"/>
        </w:rPr>
        <w:t xml:space="preserve"> </w:t>
      </w:r>
      <w:proofErr w:type="spellStart"/>
      <w:r w:rsidRPr="00EA7917">
        <w:rPr>
          <w:rFonts w:ascii="Calibri" w:eastAsia="Times New Roman" w:hAnsi="Calibri" w:cs="Calibri"/>
          <w:i/>
          <w:iCs/>
          <w:kern w:val="0"/>
          <w:lang w:eastAsia="en-GB" w:bidi="he-IL"/>
          <w14:ligatures w14:val="none"/>
        </w:rPr>
        <w:t>Griegos</w:t>
      </w:r>
      <w:proofErr w:type="spellEnd"/>
      <w:r w:rsidRPr="00EA7917">
        <w:rPr>
          <w:rFonts w:ascii="Calibri" w:eastAsia="Times New Roman" w:hAnsi="Calibri" w:cs="Calibri"/>
          <w:i/>
          <w:iCs/>
          <w:kern w:val="0"/>
          <w:lang w:eastAsia="en-GB" w:bidi="he-IL"/>
          <w14:ligatures w14:val="none"/>
        </w:rPr>
        <w:t xml:space="preserve"> E </w:t>
      </w:r>
      <w:proofErr w:type="spellStart"/>
      <w:r w:rsidRPr="00EA7917">
        <w:rPr>
          <w:rFonts w:ascii="Calibri" w:eastAsia="Times New Roman" w:hAnsi="Calibri" w:cs="Calibri"/>
          <w:i/>
          <w:iCs/>
          <w:kern w:val="0"/>
          <w:lang w:eastAsia="en-GB" w:bidi="he-IL"/>
          <w14:ligatures w14:val="none"/>
        </w:rPr>
        <w:t>Indoeuropeos</w:t>
      </w:r>
      <w:proofErr w:type="spellEnd"/>
      <w:r w:rsidRPr="00EA7917">
        <w:rPr>
          <w:rFonts w:ascii="Calibri" w:eastAsia="Times New Roman" w:hAnsi="Calibri" w:cs="Calibri"/>
          <w:kern w:val="0"/>
          <w:lang w:eastAsia="en-GB" w:bidi="he-IL"/>
          <w14:ligatures w14:val="none"/>
        </w:rPr>
        <w:t>, 2005.15 (2005), 19–25</w:t>
      </w:r>
    </w:p>
    <w:p w14:paraId="7C03D383" w14:textId="77777777" w:rsidR="00EA7917" w:rsidRPr="00EA7917" w:rsidRDefault="00EA7917" w:rsidP="00EA7917">
      <w:pPr>
        <w:spacing w:after="240" w:line="360" w:lineRule="auto"/>
        <w:ind w:hanging="720"/>
        <w:jc w:val="both"/>
        <w:rPr>
          <w:rFonts w:ascii="Calibri" w:eastAsia="Times New Roman" w:hAnsi="Calibri" w:cs="Calibri"/>
          <w:kern w:val="0"/>
          <w:lang w:eastAsia="en-GB" w:bidi="he-IL"/>
          <w14:ligatures w14:val="none"/>
        </w:rPr>
      </w:pPr>
      <w:r w:rsidRPr="00EA7917">
        <w:rPr>
          <w:rFonts w:ascii="Calibri" w:eastAsia="Times New Roman" w:hAnsi="Calibri" w:cs="Calibri"/>
          <w:kern w:val="0"/>
          <w:lang w:eastAsia="en-GB" w:bidi="he-IL"/>
          <w14:ligatures w14:val="none"/>
        </w:rPr>
        <w:t xml:space="preserve">Demand, Nancy H, </w:t>
      </w:r>
      <w:r w:rsidRPr="00EA7917">
        <w:rPr>
          <w:rFonts w:ascii="Calibri" w:eastAsia="Times New Roman" w:hAnsi="Calibri" w:cs="Calibri"/>
          <w:i/>
          <w:iCs/>
          <w:kern w:val="0"/>
          <w:lang w:eastAsia="en-GB" w:bidi="he-IL"/>
          <w14:ligatures w14:val="none"/>
        </w:rPr>
        <w:t>Birth, Death, and Motherhood in Classical Greece</w:t>
      </w:r>
      <w:r w:rsidRPr="00EA7917">
        <w:rPr>
          <w:rFonts w:ascii="Calibri" w:eastAsia="Times New Roman" w:hAnsi="Calibri" w:cs="Calibri"/>
          <w:kern w:val="0"/>
          <w:lang w:eastAsia="en-GB" w:bidi="he-IL"/>
          <w14:ligatures w14:val="none"/>
        </w:rPr>
        <w:t xml:space="preserve"> (Baltimore: Johns Hopkins University Press, 1994)</w:t>
      </w:r>
    </w:p>
    <w:p w14:paraId="39D64A11" w14:textId="77777777" w:rsidR="00EA7917" w:rsidRPr="00EA7917" w:rsidRDefault="00EA7917" w:rsidP="00EA7917">
      <w:pPr>
        <w:spacing w:after="240" w:line="360" w:lineRule="auto"/>
        <w:ind w:hanging="720"/>
        <w:jc w:val="both"/>
        <w:rPr>
          <w:rFonts w:ascii="Calibri" w:eastAsia="Times New Roman" w:hAnsi="Calibri" w:cs="Calibri"/>
          <w:kern w:val="0"/>
          <w:lang w:eastAsia="en-GB" w:bidi="he-IL"/>
          <w14:ligatures w14:val="none"/>
        </w:rPr>
      </w:pPr>
      <w:r w:rsidRPr="00EA7917">
        <w:rPr>
          <w:rFonts w:ascii="Calibri" w:eastAsia="Times New Roman" w:hAnsi="Calibri" w:cs="Calibri"/>
          <w:kern w:val="0"/>
          <w:lang w:eastAsia="en-GB" w:bidi="he-IL"/>
          <w14:ligatures w14:val="none"/>
        </w:rPr>
        <w:t>Di, Yan, ‘Dark Womb and Gender War: Rethinking Social Formation and Social Order in Hesiod’s Cosmogony</w:t>
      </w:r>
      <w:proofErr w:type="gramStart"/>
      <w:r w:rsidRPr="00EA7917">
        <w:rPr>
          <w:rFonts w:ascii="Calibri" w:eastAsia="Times New Roman" w:hAnsi="Calibri" w:cs="Calibri"/>
          <w:kern w:val="0"/>
          <w:lang w:eastAsia="en-GB" w:bidi="he-IL"/>
          <w14:ligatures w14:val="none"/>
        </w:rPr>
        <w:t>’,</w:t>
      </w:r>
      <w:proofErr w:type="gramEnd"/>
      <w:r w:rsidRPr="00EA7917">
        <w:rPr>
          <w:rFonts w:ascii="Calibri" w:eastAsia="Times New Roman" w:hAnsi="Calibri" w:cs="Calibri"/>
          <w:kern w:val="0"/>
          <w:lang w:eastAsia="en-GB" w:bidi="he-IL"/>
          <w14:ligatures w14:val="none"/>
        </w:rPr>
        <w:t xml:space="preserve"> </w:t>
      </w:r>
      <w:r w:rsidRPr="00EA7917">
        <w:rPr>
          <w:rFonts w:ascii="Calibri" w:eastAsia="Times New Roman" w:hAnsi="Calibri" w:cs="Calibri"/>
          <w:i/>
          <w:iCs/>
          <w:kern w:val="0"/>
          <w:lang w:eastAsia="en-GB" w:bidi="he-IL"/>
          <w14:ligatures w14:val="none"/>
        </w:rPr>
        <w:t>Journal of Literature and Art Studies</w:t>
      </w:r>
      <w:r w:rsidRPr="00EA7917">
        <w:rPr>
          <w:rFonts w:ascii="Calibri" w:eastAsia="Times New Roman" w:hAnsi="Calibri" w:cs="Calibri"/>
          <w:kern w:val="0"/>
          <w:lang w:eastAsia="en-GB" w:bidi="he-IL"/>
          <w14:ligatures w14:val="none"/>
        </w:rPr>
        <w:t>, 13.11 (2023)</w:t>
      </w:r>
    </w:p>
    <w:p w14:paraId="6CE44338" w14:textId="77777777" w:rsidR="00EA7917" w:rsidRPr="00EA7917" w:rsidRDefault="00EA7917" w:rsidP="00EA7917">
      <w:pPr>
        <w:spacing w:after="240" w:line="360" w:lineRule="auto"/>
        <w:ind w:hanging="720"/>
        <w:jc w:val="both"/>
        <w:rPr>
          <w:rFonts w:ascii="Calibri" w:eastAsia="Times New Roman" w:hAnsi="Calibri" w:cs="Calibri"/>
          <w:kern w:val="0"/>
          <w:lang w:eastAsia="en-GB" w:bidi="he-IL"/>
          <w14:ligatures w14:val="none"/>
        </w:rPr>
      </w:pPr>
      <w:r w:rsidRPr="00EA7917">
        <w:rPr>
          <w:rFonts w:ascii="Calibri" w:eastAsia="Times New Roman" w:hAnsi="Calibri" w:cs="Calibri"/>
          <w:kern w:val="0"/>
          <w:lang w:eastAsia="en-GB" w:bidi="he-IL"/>
          <w14:ligatures w14:val="none"/>
        </w:rPr>
        <w:t xml:space="preserve">Dillon, Sheila, and Sharon L James, </w:t>
      </w:r>
      <w:r w:rsidRPr="00EA7917">
        <w:rPr>
          <w:rFonts w:ascii="Calibri" w:eastAsia="Times New Roman" w:hAnsi="Calibri" w:cs="Calibri"/>
          <w:i/>
          <w:iCs/>
          <w:kern w:val="0"/>
          <w:lang w:eastAsia="en-GB" w:bidi="he-IL"/>
          <w14:ligatures w14:val="none"/>
        </w:rPr>
        <w:t xml:space="preserve">Women in the Classical World Volume </w:t>
      </w:r>
      <w:r w:rsidRPr="00EA7917">
        <w:rPr>
          <w:rFonts w:ascii="Calibri" w:eastAsia="Times New Roman" w:hAnsi="Calibri" w:cs="Calibri"/>
          <w:kern w:val="0"/>
          <w:lang w:eastAsia="en-GB" w:bidi="he-IL"/>
          <w14:ligatures w14:val="none"/>
        </w:rPr>
        <w:t>(London New York Routledge, 2017), pp. 10–40</w:t>
      </w:r>
    </w:p>
    <w:p w14:paraId="0BF39B68" w14:textId="77777777" w:rsidR="00EA7917" w:rsidRPr="00EA7917" w:rsidRDefault="00EA7917" w:rsidP="00EA7917">
      <w:pPr>
        <w:spacing w:after="240" w:line="360" w:lineRule="auto"/>
        <w:ind w:hanging="720"/>
        <w:jc w:val="both"/>
        <w:rPr>
          <w:rFonts w:ascii="Calibri" w:eastAsia="Times New Roman" w:hAnsi="Calibri" w:cs="Calibri"/>
          <w:kern w:val="0"/>
          <w:lang w:eastAsia="en-GB" w:bidi="he-IL"/>
          <w14:ligatures w14:val="none"/>
        </w:rPr>
      </w:pPr>
      <w:r w:rsidRPr="00EA7917">
        <w:rPr>
          <w:rFonts w:ascii="Calibri" w:eastAsia="Times New Roman" w:hAnsi="Calibri" w:cs="Calibri"/>
          <w:kern w:val="0"/>
          <w:lang w:eastAsia="en-GB" w:bidi="he-IL"/>
          <w14:ligatures w14:val="none"/>
        </w:rPr>
        <w:t xml:space="preserve">Erten, Meltem </w:t>
      </w:r>
      <w:proofErr w:type="spellStart"/>
      <w:proofErr w:type="gramStart"/>
      <w:r w:rsidRPr="00EA7917">
        <w:rPr>
          <w:rFonts w:ascii="Calibri" w:eastAsia="Times New Roman" w:hAnsi="Calibri" w:cs="Calibri"/>
          <w:kern w:val="0"/>
          <w:lang w:eastAsia="en-GB" w:bidi="he-IL"/>
          <w14:ligatures w14:val="none"/>
        </w:rPr>
        <w:t>Uzunoglu</w:t>
      </w:r>
      <w:proofErr w:type="spellEnd"/>
      <w:r w:rsidRPr="00EA7917">
        <w:rPr>
          <w:rFonts w:ascii="Calibri" w:eastAsia="Times New Roman" w:hAnsi="Calibri" w:cs="Calibri"/>
          <w:kern w:val="0"/>
          <w:lang w:eastAsia="en-GB" w:bidi="he-IL"/>
          <w14:ligatures w14:val="none"/>
        </w:rPr>
        <w:t xml:space="preserve"> ,</w:t>
      </w:r>
      <w:proofErr w:type="gramEnd"/>
      <w:r w:rsidRPr="00EA7917">
        <w:rPr>
          <w:rFonts w:ascii="Calibri" w:eastAsia="Times New Roman" w:hAnsi="Calibri" w:cs="Calibri"/>
          <w:kern w:val="0"/>
          <w:lang w:eastAsia="en-GB" w:bidi="he-IL"/>
          <w14:ligatures w14:val="none"/>
        </w:rPr>
        <w:t xml:space="preserve"> ‘Hesiod’s Theogony: Rise of Rational Mind and Patriarchy in Ancient Greece’, </w:t>
      </w:r>
      <w:proofErr w:type="spellStart"/>
      <w:r w:rsidRPr="00EA7917">
        <w:rPr>
          <w:rFonts w:ascii="Calibri" w:eastAsia="Times New Roman" w:hAnsi="Calibri" w:cs="Calibri"/>
          <w:i/>
          <w:iCs/>
          <w:kern w:val="0"/>
          <w:lang w:eastAsia="en-GB" w:bidi="he-IL"/>
          <w14:ligatures w14:val="none"/>
        </w:rPr>
        <w:t>Pamukkale</w:t>
      </w:r>
      <w:proofErr w:type="spellEnd"/>
      <w:r w:rsidRPr="00EA7917">
        <w:rPr>
          <w:rFonts w:ascii="Calibri" w:eastAsia="Times New Roman" w:hAnsi="Calibri" w:cs="Calibri"/>
          <w:i/>
          <w:iCs/>
          <w:kern w:val="0"/>
          <w:lang w:eastAsia="en-GB" w:bidi="he-IL"/>
          <w14:ligatures w14:val="none"/>
        </w:rPr>
        <w:t xml:space="preserve"> University Journal of Social Sciences Institute</w:t>
      </w:r>
      <w:r w:rsidRPr="00EA7917">
        <w:rPr>
          <w:rFonts w:ascii="Calibri" w:eastAsia="Times New Roman" w:hAnsi="Calibri" w:cs="Calibri"/>
          <w:kern w:val="0"/>
          <w:lang w:eastAsia="en-GB" w:bidi="he-IL"/>
          <w14:ligatures w14:val="none"/>
        </w:rPr>
        <w:t>, 40 (2020), 417–25</w:t>
      </w:r>
    </w:p>
    <w:p w14:paraId="1B9D932A" w14:textId="77777777" w:rsidR="00EA7917" w:rsidRPr="00EA7917" w:rsidRDefault="00EA7917" w:rsidP="00EA7917">
      <w:pPr>
        <w:spacing w:after="240" w:line="360" w:lineRule="auto"/>
        <w:ind w:hanging="720"/>
        <w:jc w:val="both"/>
        <w:rPr>
          <w:rFonts w:ascii="Calibri" w:eastAsia="Times New Roman" w:hAnsi="Calibri" w:cs="Calibri"/>
          <w:kern w:val="0"/>
          <w:lang w:eastAsia="en-GB" w:bidi="he-IL"/>
          <w14:ligatures w14:val="none"/>
        </w:rPr>
      </w:pPr>
      <w:r w:rsidRPr="00EA7917">
        <w:rPr>
          <w:rFonts w:ascii="Calibri" w:eastAsia="Times New Roman" w:hAnsi="Calibri" w:cs="Calibri"/>
          <w:kern w:val="0"/>
          <w:lang w:eastAsia="en-GB" w:bidi="he-IL"/>
          <w14:ligatures w14:val="none"/>
        </w:rPr>
        <w:t>Foxhall, Lin, ‘Gender</w:t>
      </w:r>
      <w:proofErr w:type="gramStart"/>
      <w:r w:rsidRPr="00EA7917">
        <w:rPr>
          <w:rFonts w:ascii="Calibri" w:eastAsia="Times New Roman" w:hAnsi="Calibri" w:cs="Calibri"/>
          <w:kern w:val="0"/>
          <w:lang w:eastAsia="en-GB" w:bidi="he-IL"/>
          <w14:ligatures w14:val="none"/>
        </w:rPr>
        <w:t>’,</w:t>
      </w:r>
      <w:proofErr w:type="gramEnd"/>
      <w:r w:rsidRPr="00EA7917">
        <w:rPr>
          <w:rFonts w:ascii="Calibri" w:eastAsia="Times New Roman" w:hAnsi="Calibri" w:cs="Calibri"/>
          <w:kern w:val="0"/>
          <w:lang w:eastAsia="en-GB" w:bidi="he-IL"/>
          <w14:ligatures w14:val="none"/>
        </w:rPr>
        <w:t xml:space="preserve"> in </w:t>
      </w:r>
      <w:r w:rsidRPr="00EA7917">
        <w:rPr>
          <w:rFonts w:ascii="Calibri" w:eastAsia="Times New Roman" w:hAnsi="Calibri" w:cs="Calibri"/>
          <w:i/>
          <w:iCs/>
          <w:kern w:val="0"/>
          <w:lang w:eastAsia="en-GB" w:bidi="he-IL"/>
          <w14:ligatures w14:val="none"/>
        </w:rPr>
        <w:t>A Companion to Archaic Greece</w:t>
      </w:r>
      <w:r w:rsidRPr="00EA7917">
        <w:rPr>
          <w:rFonts w:ascii="Calibri" w:eastAsia="Times New Roman" w:hAnsi="Calibri" w:cs="Calibri"/>
          <w:kern w:val="0"/>
          <w:lang w:eastAsia="en-GB" w:bidi="he-IL"/>
          <w14:ligatures w14:val="none"/>
        </w:rPr>
        <w:t xml:space="preserve"> (Blackwell Publishing Ltd, 2009), pp. 483–507</w:t>
      </w:r>
    </w:p>
    <w:p w14:paraId="07237672" w14:textId="77777777" w:rsidR="00EA7917" w:rsidRPr="00EA7917" w:rsidRDefault="00EA7917" w:rsidP="00EA7917">
      <w:pPr>
        <w:spacing w:after="240" w:line="360" w:lineRule="auto"/>
        <w:ind w:hanging="720"/>
        <w:jc w:val="both"/>
        <w:rPr>
          <w:rFonts w:ascii="Calibri" w:eastAsia="Times New Roman" w:hAnsi="Calibri" w:cs="Calibri"/>
          <w:kern w:val="0"/>
          <w:lang w:eastAsia="en-GB" w:bidi="he-IL"/>
          <w14:ligatures w14:val="none"/>
        </w:rPr>
      </w:pPr>
      <w:proofErr w:type="spellStart"/>
      <w:r w:rsidRPr="00EA7917">
        <w:rPr>
          <w:rFonts w:ascii="Calibri" w:eastAsia="Times New Roman" w:hAnsi="Calibri" w:cs="Calibri"/>
          <w:kern w:val="0"/>
          <w:lang w:eastAsia="en-GB" w:bidi="he-IL"/>
          <w14:ligatures w14:val="none"/>
        </w:rPr>
        <w:t>Ghercanoc</w:t>
      </w:r>
      <w:proofErr w:type="spellEnd"/>
      <w:r w:rsidRPr="00EA7917">
        <w:rPr>
          <w:rFonts w:ascii="Calibri" w:eastAsia="Times New Roman" w:hAnsi="Calibri" w:cs="Calibri"/>
          <w:kern w:val="0"/>
          <w:lang w:eastAsia="en-GB" w:bidi="he-IL"/>
          <w14:ligatures w14:val="none"/>
        </w:rPr>
        <w:t>, Florence, ‘From Body to Behaviour: Maternal Transmission in the Ancient Greek World</w:t>
      </w:r>
      <w:proofErr w:type="gramStart"/>
      <w:r w:rsidRPr="00EA7917">
        <w:rPr>
          <w:rFonts w:ascii="Calibri" w:eastAsia="Times New Roman" w:hAnsi="Calibri" w:cs="Calibri"/>
          <w:kern w:val="0"/>
          <w:lang w:eastAsia="en-GB" w:bidi="he-IL"/>
          <w14:ligatures w14:val="none"/>
        </w:rPr>
        <w:t>’,</w:t>
      </w:r>
      <w:proofErr w:type="gramEnd"/>
      <w:r w:rsidRPr="00EA7917">
        <w:rPr>
          <w:rFonts w:ascii="Calibri" w:eastAsia="Times New Roman" w:hAnsi="Calibri" w:cs="Calibri"/>
          <w:kern w:val="0"/>
          <w:lang w:eastAsia="en-GB" w:bidi="he-IL"/>
          <w14:ligatures w14:val="none"/>
        </w:rPr>
        <w:t xml:space="preserve"> in </w:t>
      </w:r>
      <w:r w:rsidRPr="00EA7917">
        <w:rPr>
          <w:rFonts w:ascii="Calibri" w:eastAsia="Times New Roman" w:hAnsi="Calibri" w:cs="Calibri"/>
          <w:i/>
          <w:iCs/>
          <w:kern w:val="0"/>
          <w:lang w:eastAsia="en-GB" w:bidi="he-IL"/>
          <w14:ligatures w14:val="none"/>
        </w:rPr>
        <w:t>Maternal Conceptions in Classical Literature and Philosophy</w:t>
      </w:r>
      <w:r w:rsidRPr="00EA7917">
        <w:rPr>
          <w:rFonts w:ascii="Calibri" w:eastAsia="Times New Roman" w:hAnsi="Calibri" w:cs="Calibri"/>
          <w:kern w:val="0"/>
          <w:lang w:eastAsia="en-GB" w:bidi="he-IL"/>
          <w14:ligatures w14:val="none"/>
        </w:rPr>
        <w:t xml:space="preserve"> (Toronto: University of Toronto Press, 2020), pp. 49–62</w:t>
      </w:r>
    </w:p>
    <w:p w14:paraId="7683B220" w14:textId="77777777" w:rsidR="00EA7917" w:rsidRPr="00EA7917" w:rsidRDefault="00EA7917" w:rsidP="00EA7917">
      <w:pPr>
        <w:spacing w:after="240" w:line="360" w:lineRule="auto"/>
        <w:ind w:hanging="720"/>
        <w:jc w:val="both"/>
        <w:rPr>
          <w:rFonts w:ascii="Calibri" w:eastAsia="Times New Roman" w:hAnsi="Calibri" w:cs="Calibri"/>
          <w:kern w:val="0"/>
          <w:lang w:eastAsia="en-GB" w:bidi="he-IL"/>
          <w14:ligatures w14:val="none"/>
        </w:rPr>
      </w:pPr>
      <w:proofErr w:type="spellStart"/>
      <w:r w:rsidRPr="00EA7917">
        <w:rPr>
          <w:rFonts w:ascii="Calibri" w:eastAsia="Times New Roman" w:hAnsi="Calibri" w:cs="Calibri"/>
          <w:kern w:val="0"/>
          <w:lang w:eastAsia="en-GB" w:bidi="he-IL"/>
          <w14:ligatures w14:val="none"/>
        </w:rPr>
        <w:t>Grazioisi</w:t>
      </w:r>
      <w:proofErr w:type="spellEnd"/>
      <w:r w:rsidRPr="00EA7917">
        <w:rPr>
          <w:rFonts w:ascii="Calibri" w:eastAsia="Times New Roman" w:hAnsi="Calibri" w:cs="Calibri"/>
          <w:kern w:val="0"/>
          <w:lang w:eastAsia="en-GB" w:bidi="he-IL"/>
          <w14:ligatures w14:val="none"/>
        </w:rPr>
        <w:t>, Barbara, ‘Theologies of the Family in Homer and Hesiod</w:t>
      </w:r>
      <w:proofErr w:type="gramStart"/>
      <w:r w:rsidRPr="00EA7917">
        <w:rPr>
          <w:rFonts w:ascii="Calibri" w:eastAsia="Times New Roman" w:hAnsi="Calibri" w:cs="Calibri"/>
          <w:kern w:val="0"/>
          <w:lang w:eastAsia="en-GB" w:bidi="he-IL"/>
          <w14:ligatures w14:val="none"/>
        </w:rPr>
        <w:t>’,</w:t>
      </w:r>
      <w:proofErr w:type="gramEnd"/>
      <w:r w:rsidRPr="00EA7917">
        <w:rPr>
          <w:rFonts w:ascii="Calibri" w:eastAsia="Times New Roman" w:hAnsi="Calibri" w:cs="Calibri"/>
          <w:kern w:val="0"/>
          <w:lang w:eastAsia="en-GB" w:bidi="he-IL"/>
          <w14:ligatures w14:val="none"/>
        </w:rPr>
        <w:t xml:space="preserve"> in </w:t>
      </w:r>
      <w:r w:rsidRPr="00EA7917">
        <w:rPr>
          <w:rFonts w:ascii="Calibri" w:eastAsia="Times New Roman" w:hAnsi="Calibri" w:cs="Calibri"/>
          <w:i/>
          <w:iCs/>
          <w:kern w:val="0"/>
          <w:lang w:eastAsia="en-GB" w:bidi="he-IL"/>
          <w14:ligatures w14:val="none"/>
        </w:rPr>
        <w:t>Theologies of Ancient Greek Religion</w:t>
      </w:r>
      <w:r w:rsidRPr="00EA7917">
        <w:rPr>
          <w:rFonts w:ascii="Calibri" w:eastAsia="Times New Roman" w:hAnsi="Calibri" w:cs="Calibri"/>
          <w:kern w:val="0"/>
          <w:lang w:eastAsia="en-GB" w:bidi="he-IL"/>
          <w14:ligatures w14:val="none"/>
        </w:rPr>
        <w:t xml:space="preserve"> (Cambridge </w:t>
      </w:r>
      <w:proofErr w:type="spellStart"/>
      <w:r w:rsidRPr="00EA7917">
        <w:rPr>
          <w:rFonts w:ascii="Calibri" w:eastAsia="Times New Roman" w:hAnsi="Calibri" w:cs="Calibri"/>
          <w:kern w:val="0"/>
          <w:lang w:eastAsia="en-GB" w:bidi="he-IL"/>
          <w14:ligatures w14:val="none"/>
        </w:rPr>
        <w:t>Cambridge</w:t>
      </w:r>
      <w:proofErr w:type="spellEnd"/>
      <w:r w:rsidRPr="00EA7917">
        <w:rPr>
          <w:rFonts w:ascii="Calibri" w:eastAsia="Times New Roman" w:hAnsi="Calibri" w:cs="Calibri"/>
          <w:kern w:val="0"/>
          <w:lang w:eastAsia="en-GB" w:bidi="he-IL"/>
          <w14:ligatures w14:val="none"/>
        </w:rPr>
        <w:t xml:space="preserve"> University Press, 2016), pp. 35–61</w:t>
      </w:r>
    </w:p>
    <w:p w14:paraId="3555771A" w14:textId="77777777" w:rsidR="00EA7917" w:rsidRPr="00EA7917" w:rsidRDefault="00EA7917" w:rsidP="00EA7917">
      <w:pPr>
        <w:spacing w:after="240" w:line="360" w:lineRule="auto"/>
        <w:ind w:hanging="720"/>
        <w:jc w:val="both"/>
        <w:rPr>
          <w:rFonts w:ascii="Calibri" w:eastAsia="Times New Roman" w:hAnsi="Calibri" w:cs="Calibri"/>
          <w:kern w:val="0"/>
          <w:lang w:eastAsia="en-GB" w:bidi="he-IL"/>
          <w14:ligatures w14:val="none"/>
        </w:rPr>
      </w:pPr>
      <w:r w:rsidRPr="00EA7917">
        <w:rPr>
          <w:rFonts w:ascii="Calibri" w:eastAsia="Times New Roman" w:hAnsi="Calibri" w:cs="Calibri"/>
          <w:kern w:val="0"/>
          <w:lang w:eastAsia="en-GB" w:bidi="he-IL"/>
          <w14:ligatures w14:val="none"/>
        </w:rPr>
        <w:t>Hawke, Shé M., ‘The Missing Hymn of Metis: An Origin of Loss</w:t>
      </w:r>
      <w:proofErr w:type="gramStart"/>
      <w:r w:rsidRPr="00EA7917">
        <w:rPr>
          <w:rFonts w:ascii="Calibri" w:eastAsia="Times New Roman" w:hAnsi="Calibri" w:cs="Calibri"/>
          <w:kern w:val="0"/>
          <w:lang w:eastAsia="en-GB" w:bidi="he-IL"/>
          <w14:ligatures w14:val="none"/>
        </w:rPr>
        <w:t>’,</w:t>
      </w:r>
      <w:proofErr w:type="gramEnd"/>
      <w:r w:rsidRPr="00EA7917">
        <w:rPr>
          <w:rFonts w:ascii="Calibri" w:eastAsia="Times New Roman" w:hAnsi="Calibri" w:cs="Calibri"/>
          <w:kern w:val="0"/>
          <w:lang w:eastAsia="en-GB" w:bidi="he-IL"/>
          <w14:ligatures w14:val="none"/>
        </w:rPr>
        <w:t xml:space="preserve"> </w:t>
      </w:r>
      <w:r w:rsidRPr="00EA7917">
        <w:rPr>
          <w:rFonts w:ascii="Calibri" w:eastAsia="Times New Roman" w:hAnsi="Calibri" w:cs="Calibri"/>
          <w:i/>
          <w:iCs/>
          <w:kern w:val="0"/>
          <w:lang w:eastAsia="en-GB" w:bidi="he-IL"/>
          <w14:ligatures w14:val="none"/>
        </w:rPr>
        <w:t>Sophia</w:t>
      </w:r>
      <w:r w:rsidRPr="00EA7917">
        <w:rPr>
          <w:rFonts w:ascii="Calibri" w:eastAsia="Times New Roman" w:hAnsi="Calibri" w:cs="Calibri"/>
          <w:kern w:val="0"/>
          <w:lang w:eastAsia="en-GB" w:bidi="he-IL"/>
          <w14:ligatures w14:val="none"/>
        </w:rPr>
        <w:t>, 59.1 (2020), 69–81</w:t>
      </w:r>
    </w:p>
    <w:p w14:paraId="2AC6F57E" w14:textId="77777777" w:rsidR="00EA7917" w:rsidRPr="00EA7917" w:rsidRDefault="00EA7917" w:rsidP="00EA7917">
      <w:pPr>
        <w:spacing w:after="240" w:line="360" w:lineRule="auto"/>
        <w:ind w:hanging="720"/>
        <w:jc w:val="both"/>
        <w:rPr>
          <w:rFonts w:ascii="Calibri" w:eastAsia="Times New Roman" w:hAnsi="Calibri" w:cs="Calibri"/>
          <w:kern w:val="0"/>
          <w:lang w:eastAsia="en-GB" w:bidi="he-IL"/>
          <w14:ligatures w14:val="none"/>
        </w:rPr>
      </w:pPr>
      <w:r w:rsidRPr="00EA7917">
        <w:rPr>
          <w:rFonts w:ascii="Calibri" w:eastAsia="Times New Roman" w:hAnsi="Calibri" w:cs="Calibri"/>
          <w:kern w:val="0"/>
          <w:lang w:eastAsia="en-GB" w:bidi="he-IL"/>
          <w14:ligatures w14:val="none"/>
        </w:rPr>
        <w:t>Heiko Stocking, Charles, ‘Sacrifice, Succession, and Paternity in Hesiod’s Theogony</w:t>
      </w:r>
      <w:proofErr w:type="gramStart"/>
      <w:r w:rsidRPr="00EA7917">
        <w:rPr>
          <w:rFonts w:ascii="Calibri" w:eastAsia="Times New Roman" w:hAnsi="Calibri" w:cs="Calibri"/>
          <w:kern w:val="0"/>
          <w:lang w:eastAsia="en-GB" w:bidi="he-IL"/>
          <w14:ligatures w14:val="none"/>
        </w:rPr>
        <w:t>’,</w:t>
      </w:r>
      <w:proofErr w:type="gramEnd"/>
      <w:r w:rsidRPr="00EA7917">
        <w:rPr>
          <w:rFonts w:ascii="Calibri" w:eastAsia="Times New Roman" w:hAnsi="Calibri" w:cs="Calibri"/>
          <w:kern w:val="0"/>
          <w:lang w:eastAsia="en-GB" w:bidi="he-IL"/>
          <w14:ligatures w14:val="none"/>
        </w:rPr>
        <w:t xml:space="preserve"> </w:t>
      </w:r>
      <w:proofErr w:type="spellStart"/>
      <w:r w:rsidRPr="00EA7917">
        <w:rPr>
          <w:rFonts w:ascii="Calibri" w:eastAsia="Times New Roman" w:hAnsi="Calibri" w:cs="Calibri"/>
          <w:i/>
          <w:iCs/>
          <w:kern w:val="0"/>
          <w:lang w:eastAsia="en-GB" w:bidi="he-IL"/>
          <w14:ligatures w14:val="none"/>
        </w:rPr>
        <w:t>Mètis</w:t>
      </w:r>
      <w:proofErr w:type="spellEnd"/>
      <w:r w:rsidRPr="00EA7917">
        <w:rPr>
          <w:rFonts w:ascii="Calibri" w:eastAsia="Times New Roman" w:hAnsi="Calibri" w:cs="Calibri"/>
          <w:i/>
          <w:iCs/>
          <w:kern w:val="0"/>
          <w:lang w:eastAsia="en-GB" w:bidi="he-IL"/>
          <w14:ligatures w14:val="none"/>
        </w:rPr>
        <w:t xml:space="preserve">: Anthropologie Des </w:t>
      </w:r>
      <w:proofErr w:type="spellStart"/>
      <w:r w:rsidRPr="00EA7917">
        <w:rPr>
          <w:rFonts w:ascii="Calibri" w:eastAsia="Times New Roman" w:hAnsi="Calibri" w:cs="Calibri"/>
          <w:i/>
          <w:iCs/>
          <w:kern w:val="0"/>
          <w:lang w:eastAsia="en-GB" w:bidi="he-IL"/>
          <w14:ligatures w14:val="none"/>
        </w:rPr>
        <w:t>Mondes</w:t>
      </w:r>
      <w:proofErr w:type="spellEnd"/>
      <w:r w:rsidRPr="00EA7917">
        <w:rPr>
          <w:rFonts w:ascii="Calibri" w:eastAsia="Times New Roman" w:hAnsi="Calibri" w:cs="Calibri"/>
          <w:i/>
          <w:iCs/>
          <w:kern w:val="0"/>
          <w:lang w:eastAsia="en-GB" w:bidi="he-IL"/>
          <w14:ligatures w14:val="none"/>
        </w:rPr>
        <w:t xml:space="preserve"> </w:t>
      </w:r>
      <w:proofErr w:type="spellStart"/>
      <w:r w:rsidRPr="00EA7917">
        <w:rPr>
          <w:rFonts w:ascii="Calibri" w:eastAsia="Times New Roman" w:hAnsi="Calibri" w:cs="Calibri"/>
          <w:i/>
          <w:iCs/>
          <w:kern w:val="0"/>
          <w:lang w:eastAsia="en-GB" w:bidi="he-IL"/>
          <w14:ligatures w14:val="none"/>
        </w:rPr>
        <w:t>Grecs</w:t>
      </w:r>
      <w:proofErr w:type="spellEnd"/>
      <w:r w:rsidRPr="00EA7917">
        <w:rPr>
          <w:rFonts w:ascii="Calibri" w:eastAsia="Times New Roman" w:hAnsi="Calibri" w:cs="Calibri"/>
          <w:i/>
          <w:iCs/>
          <w:kern w:val="0"/>
          <w:lang w:eastAsia="en-GB" w:bidi="he-IL"/>
          <w14:ligatures w14:val="none"/>
        </w:rPr>
        <w:t xml:space="preserve"> </w:t>
      </w:r>
      <w:proofErr w:type="spellStart"/>
      <w:r w:rsidRPr="00EA7917">
        <w:rPr>
          <w:rFonts w:ascii="Calibri" w:eastAsia="Times New Roman" w:hAnsi="Calibri" w:cs="Calibri"/>
          <w:i/>
          <w:iCs/>
          <w:kern w:val="0"/>
          <w:lang w:eastAsia="en-GB" w:bidi="he-IL"/>
          <w14:ligatures w14:val="none"/>
        </w:rPr>
        <w:t>Anciens</w:t>
      </w:r>
      <w:proofErr w:type="spellEnd"/>
      <w:r w:rsidRPr="00EA7917">
        <w:rPr>
          <w:rFonts w:ascii="Calibri" w:eastAsia="Times New Roman" w:hAnsi="Calibri" w:cs="Calibri"/>
          <w:kern w:val="0"/>
          <w:lang w:eastAsia="en-GB" w:bidi="he-IL"/>
          <w14:ligatures w14:val="none"/>
        </w:rPr>
        <w:t>, N.S.11 (2012), 183–210</w:t>
      </w:r>
    </w:p>
    <w:p w14:paraId="2DC49C78" w14:textId="77777777" w:rsidR="00EA7917" w:rsidRPr="00EA7917" w:rsidRDefault="00EA7917" w:rsidP="00EA7917">
      <w:pPr>
        <w:spacing w:after="240" w:line="360" w:lineRule="auto"/>
        <w:ind w:hanging="720"/>
        <w:jc w:val="both"/>
        <w:rPr>
          <w:rFonts w:ascii="Calibri" w:eastAsia="Times New Roman" w:hAnsi="Calibri" w:cs="Calibri"/>
          <w:kern w:val="0"/>
          <w:lang w:eastAsia="en-GB" w:bidi="he-IL"/>
          <w14:ligatures w14:val="none"/>
        </w:rPr>
      </w:pPr>
      <w:r w:rsidRPr="00EA7917">
        <w:rPr>
          <w:rFonts w:ascii="Calibri" w:eastAsia="Times New Roman" w:hAnsi="Calibri" w:cs="Calibri"/>
          <w:kern w:val="0"/>
          <w:lang w:eastAsia="en-GB" w:bidi="he-IL"/>
          <w14:ligatures w14:val="none"/>
        </w:rPr>
        <w:t>Marquardt, Patricia A., ‘Hesiod’s Ambiguous View of Woman</w:t>
      </w:r>
      <w:proofErr w:type="gramStart"/>
      <w:r w:rsidRPr="00EA7917">
        <w:rPr>
          <w:rFonts w:ascii="Calibri" w:eastAsia="Times New Roman" w:hAnsi="Calibri" w:cs="Calibri"/>
          <w:kern w:val="0"/>
          <w:lang w:eastAsia="en-GB" w:bidi="he-IL"/>
          <w14:ligatures w14:val="none"/>
        </w:rPr>
        <w:t>’,</w:t>
      </w:r>
      <w:proofErr w:type="gramEnd"/>
      <w:r w:rsidRPr="00EA7917">
        <w:rPr>
          <w:rFonts w:ascii="Calibri" w:eastAsia="Times New Roman" w:hAnsi="Calibri" w:cs="Calibri"/>
          <w:kern w:val="0"/>
          <w:lang w:eastAsia="en-GB" w:bidi="he-IL"/>
          <w14:ligatures w14:val="none"/>
        </w:rPr>
        <w:t xml:space="preserve"> </w:t>
      </w:r>
      <w:r w:rsidRPr="00EA7917">
        <w:rPr>
          <w:rFonts w:ascii="Calibri" w:eastAsia="Times New Roman" w:hAnsi="Calibri" w:cs="Calibri"/>
          <w:i/>
          <w:iCs/>
          <w:kern w:val="0"/>
          <w:lang w:eastAsia="en-GB" w:bidi="he-IL"/>
          <w14:ligatures w14:val="none"/>
        </w:rPr>
        <w:t>Classical Philology</w:t>
      </w:r>
      <w:r w:rsidRPr="00EA7917">
        <w:rPr>
          <w:rFonts w:ascii="Calibri" w:eastAsia="Times New Roman" w:hAnsi="Calibri" w:cs="Calibri"/>
          <w:kern w:val="0"/>
          <w:lang w:eastAsia="en-GB" w:bidi="he-IL"/>
          <w14:ligatures w14:val="none"/>
        </w:rPr>
        <w:t>, 77.4 (1982), 283–91</w:t>
      </w:r>
    </w:p>
    <w:p w14:paraId="6AB37C2F" w14:textId="77777777" w:rsidR="00EA7917" w:rsidRPr="00EA7917" w:rsidRDefault="00EA7917" w:rsidP="00EA7917">
      <w:pPr>
        <w:spacing w:after="240" w:line="360" w:lineRule="auto"/>
        <w:ind w:hanging="720"/>
        <w:jc w:val="both"/>
        <w:rPr>
          <w:rFonts w:ascii="Calibri" w:eastAsia="Times New Roman" w:hAnsi="Calibri" w:cs="Calibri"/>
          <w:kern w:val="0"/>
          <w:lang w:eastAsia="en-GB" w:bidi="he-IL"/>
          <w14:ligatures w14:val="none"/>
        </w:rPr>
      </w:pPr>
      <w:r w:rsidRPr="00EA7917">
        <w:rPr>
          <w:rFonts w:ascii="Calibri" w:eastAsia="Times New Roman" w:hAnsi="Calibri" w:cs="Calibri"/>
          <w:kern w:val="0"/>
          <w:lang w:eastAsia="en-GB" w:bidi="he-IL"/>
          <w14:ligatures w14:val="none"/>
        </w:rPr>
        <w:t xml:space="preserve">Park, Arum, ‘Parthenogenesis in Hesiod’s Theogony’, </w:t>
      </w:r>
      <w:proofErr w:type="spellStart"/>
      <w:r w:rsidRPr="00EA7917">
        <w:rPr>
          <w:rFonts w:ascii="Calibri" w:eastAsia="Times New Roman" w:hAnsi="Calibri" w:cs="Calibri"/>
          <w:i/>
          <w:iCs/>
          <w:kern w:val="0"/>
          <w:lang w:eastAsia="en-GB" w:bidi="he-IL"/>
          <w14:ligatures w14:val="none"/>
        </w:rPr>
        <w:t>Preternature</w:t>
      </w:r>
      <w:proofErr w:type="spellEnd"/>
      <w:r w:rsidRPr="00EA7917">
        <w:rPr>
          <w:rFonts w:ascii="Calibri" w:eastAsia="Times New Roman" w:hAnsi="Calibri" w:cs="Calibri"/>
          <w:i/>
          <w:iCs/>
          <w:kern w:val="0"/>
          <w:lang w:eastAsia="en-GB" w:bidi="he-IL"/>
          <w14:ligatures w14:val="none"/>
        </w:rPr>
        <w:t xml:space="preserve">: Critical and Historical Studies on the </w:t>
      </w:r>
      <w:proofErr w:type="gramStart"/>
      <w:r w:rsidRPr="00EA7917">
        <w:rPr>
          <w:rFonts w:ascii="Calibri" w:eastAsia="Times New Roman" w:hAnsi="Calibri" w:cs="Calibri"/>
          <w:i/>
          <w:iCs/>
          <w:kern w:val="0"/>
          <w:lang w:eastAsia="en-GB" w:bidi="he-IL"/>
          <w14:ligatures w14:val="none"/>
        </w:rPr>
        <w:t xml:space="preserve">Preternatural </w:t>
      </w:r>
      <w:r w:rsidRPr="00EA7917">
        <w:rPr>
          <w:rFonts w:ascii="Calibri" w:eastAsia="Times New Roman" w:hAnsi="Calibri" w:cs="Calibri"/>
          <w:kern w:val="0"/>
          <w:lang w:eastAsia="en-GB" w:bidi="he-IL"/>
          <w14:ligatures w14:val="none"/>
        </w:rPr>
        <w:t>,</w:t>
      </w:r>
      <w:proofErr w:type="gramEnd"/>
      <w:r w:rsidRPr="00EA7917">
        <w:rPr>
          <w:rFonts w:ascii="Calibri" w:eastAsia="Times New Roman" w:hAnsi="Calibri" w:cs="Calibri"/>
          <w:kern w:val="0"/>
          <w:lang w:eastAsia="en-GB" w:bidi="he-IL"/>
          <w14:ligatures w14:val="none"/>
        </w:rPr>
        <w:t xml:space="preserve"> 3.2 (2014), 261–83</w:t>
      </w:r>
    </w:p>
    <w:p w14:paraId="02B01A0E" w14:textId="77777777" w:rsidR="00EA7917" w:rsidRPr="00EA7917" w:rsidRDefault="00EA7917" w:rsidP="00EA7917">
      <w:pPr>
        <w:spacing w:after="240" w:line="360" w:lineRule="auto"/>
        <w:ind w:hanging="720"/>
        <w:jc w:val="both"/>
        <w:rPr>
          <w:rFonts w:ascii="Calibri" w:eastAsia="Times New Roman" w:hAnsi="Calibri" w:cs="Calibri"/>
          <w:kern w:val="0"/>
          <w:lang w:eastAsia="en-GB" w:bidi="he-IL"/>
          <w14:ligatures w14:val="none"/>
        </w:rPr>
      </w:pPr>
      <w:r w:rsidRPr="00EA7917">
        <w:rPr>
          <w:rFonts w:ascii="Calibri" w:eastAsia="Times New Roman" w:hAnsi="Calibri" w:cs="Calibri"/>
          <w:kern w:val="0"/>
          <w:lang w:eastAsia="en-GB" w:bidi="he-IL"/>
          <w14:ligatures w14:val="none"/>
        </w:rPr>
        <w:t>Sussman, Linda S., ‘Workers and Drones: Labour, Idleness and Gender Definition</w:t>
      </w:r>
      <w:proofErr w:type="gramStart"/>
      <w:r w:rsidRPr="00EA7917">
        <w:rPr>
          <w:rFonts w:ascii="Calibri" w:eastAsia="Times New Roman" w:hAnsi="Calibri" w:cs="Calibri"/>
          <w:kern w:val="0"/>
          <w:lang w:eastAsia="en-GB" w:bidi="he-IL"/>
          <w14:ligatures w14:val="none"/>
        </w:rPr>
        <w:t>’,</w:t>
      </w:r>
      <w:proofErr w:type="gramEnd"/>
      <w:r w:rsidRPr="00EA7917">
        <w:rPr>
          <w:rFonts w:ascii="Calibri" w:eastAsia="Times New Roman" w:hAnsi="Calibri" w:cs="Calibri"/>
          <w:kern w:val="0"/>
          <w:lang w:eastAsia="en-GB" w:bidi="he-IL"/>
          <w14:ligatures w14:val="none"/>
        </w:rPr>
        <w:t xml:space="preserve"> </w:t>
      </w:r>
      <w:r w:rsidRPr="00EA7917">
        <w:rPr>
          <w:rFonts w:ascii="Calibri" w:eastAsia="Times New Roman" w:hAnsi="Calibri" w:cs="Calibri"/>
          <w:i/>
          <w:iCs/>
          <w:kern w:val="0"/>
          <w:lang w:eastAsia="en-GB" w:bidi="he-IL"/>
          <w14:ligatures w14:val="none"/>
        </w:rPr>
        <w:t>Arethusa</w:t>
      </w:r>
      <w:r w:rsidRPr="00EA7917">
        <w:rPr>
          <w:rFonts w:ascii="Calibri" w:eastAsia="Times New Roman" w:hAnsi="Calibri" w:cs="Calibri"/>
          <w:kern w:val="0"/>
          <w:lang w:eastAsia="en-GB" w:bidi="he-IL"/>
          <w14:ligatures w14:val="none"/>
        </w:rPr>
        <w:t>, 11.1/2 (1978), 27–41</w:t>
      </w:r>
    </w:p>
    <w:p w14:paraId="38E42BAE" w14:textId="77777777" w:rsidR="00EA7917" w:rsidRPr="00EA7917" w:rsidRDefault="00EA7917" w:rsidP="00EA7917">
      <w:pPr>
        <w:spacing w:after="240" w:line="360" w:lineRule="auto"/>
        <w:ind w:hanging="720"/>
        <w:jc w:val="both"/>
        <w:rPr>
          <w:rFonts w:ascii="Calibri" w:eastAsia="Times New Roman" w:hAnsi="Calibri" w:cs="Calibri"/>
          <w:kern w:val="0"/>
          <w:lang w:eastAsia="en-GB" w:bidi="he-IL"/>
          <w14:ligatures w14:val="none"/>
        </w:rPr>
      </w:pPr>
      <w:r w:rsidRPr="00EA7917">
        <w:rPr>
          <w:rFonts w:ascii="Calibri" w:eastAsia="Times New Roman" w:hAnsi="Calibri" w:cs="Calibri"/>
          <w:kern w:val="0"/>
          <w:lang w:eastAsia="en-GB" w:bidi="he-IL"/>
          <w14:ligatures w14:val="none"/>
        </w:rPr>
        <w:t>Taiz, Lincoln, ‘The “</w:t>
      </w:r>
      <w:proofErr w:type="spellStart"/>
      <w:r w:rsidRPr="00EA7917">
        <w:rPr>
          <w:rFonts w:ascii="Calibri" w:eastAsia="Times New Roman" w:hAnsi="Calibri" w:cs="Calibri"/>
          <w:kern w:val="0"/>
          <w:lang w:eastAsia="en-GB" w:bidi="he-IL"/>
          <w14:ligatures w14:val="none"/>
        </w:rPr>
        <w:t>Plantheon</w:t>
      </w:r>
      <w:proofErr w:type="spellEnd"/>
      <w:r w:rsidRPr="00EA7917">
        <w:rPr>
          <w:rFonts w:ascii="Calibri" w:eastAsia="Times New Roman" w:hAnsi="Calibri" w:cs="Calibri"/>
          <w:kern w:val="0"/>
          <w:lang w:eastAsia="en-GB" w:bidi="he-IL"/>
          <w14:ligatures w14:val="none"/>
        </w:rPr>
        <w:t xml:space="preserve">” of Greek Mythology’, in </w:t>
      </w:r>
      <w:r w:rsidRPr="00EA7917">
        <w:rPr>
          <w:rFonts w:ascii="Calibri" w:eastAsia="Times New Roman" w:hAnsi="Calibri" w:cs="Calibri"/>
          <w:i/>
          <w:iCs/>
          <w:kern w:val="0"/>
          <w:lang w:eastAsia="en-GB" w:bidi="he-IL"/>
          <w14:ligatures w14:val="none"/>
        </w:rPr>
        <w:t>Flora Unveiled</w:t>
      </w:r>
      <w:r w:rsidRPr="00EA7917">
        <w:rPr>
          <w:rFonts w:ascii="Calibri" w:eastAsia="Times New Roman" w:hAnsi="Calibri" w:cs="Calibri"/>
          <w:kern w:val="0"/>
          <w:lang w:eastAsia="en-GB" w:bidi="he-IL"/>
          <w14:ligatures w14:val="none"/>
        </w:rPr>
        <w:t xml:space="preserve"> (Oxford University Press, 2016), pp. 182–</w:t>
      </w:r>
      <w:proofErr w:type="gramStart"/>
      <w:r w:rsidRPr="00EA7917">
        <w:rPr>
          <w:rFonts w:ascii="Calibri" w:eastAsia="Times New Roman" w:hAnsi="Calibri" w:cs="Calibri"/>
          <w:kern w:val="0"/>
          <w:lang w:eastAsia="en-GB" w:bidi="he-IL"/>
          <w14:ligatures w14:val="none"/>
        </w:rPr>
        <w:t>209</w:t>
      </w:r>
      <w:proofErr w:type="gramEnd"/>
    </w:p>
    <w:p w14:paraId="246C8C94" w14:textId="77777777" w:rsidR="00EA7917" w:rsidRPr="00EA7917" w:rsidRDefault="00EA7917" w:rsidP="00EA7917">
      <w:pPr>
        <w:spacing w:after="240" w:line="360" w:lineRule="auto"/>
        <w:ind w:hanging="720"/>
        <w:jc w:val="both"/>
        <w:rPr>
          <w:rFonts w:ascii="Calibri" w:eastAsia="Times New Roman" w:hAnsi="Calibri" w:cs="Calibri"/>
          <w:kern w:val="0"/>
          <w:lang w:eastAsia="en-GB" w:bidi="he-IL"/>
          <w14:ligatures w14:val="none"/>
        </w:rPr>
      </w:pPr>
      <w:r w:rsidRPr="00EA7917">
        <w:rPr>
          <w:rFonts w:ascii="Calibri" w:eastAsia="Times New Roman" w:hAnsi="Calibri" w:cs="Calibri"/>
          <w:kern w:val="0"/>
          <w:lang w:eastAsia="en-GB" w:bidi="he-IL"/>
          <w14:ligatures w14:val="none"/>
        </w:rPr>
        <w:t>Ulf, Christoph, ‘The World of Homer and Hesiod</w:t>
      </w:r>
      <w:proofErr w:type="gramStart"/>
      <w:r w:rsidRPr="00EA7917">
        <w:rPr>
          <w:rFonts w:ascii="Calibri" w:eastAsia="Times New Roman" w:hAnsi="Calibri" w:cs="Calibri"/>
          <w:kern w:val="0"/>
          <w:lang w:eastAsia="en-GB" w:bidi="he-IL"/>
          <w14:ligatures w14:val="none"/>
        </w:rPr>
        <w:t>’,</w:t>
      </w:r>
      <w:proofErr w:type="gramEnd"/>
      <w:r w:rsidRPr="00EA7917">
        <w:rPr>
          <w:rFonts w:ascii="Calibri" w:eastAsia="Times New Roman" w:hAnsi="Calibri" w:cs="Calibri"/>
          <w:kern w:val="0"/>
          <w:lang w:eastAsia="en-GB" w:bidi="he-IL"/>
          <w14:ligatures w14:val="none"/>
        </w:rPr>
        <w:t xml:space="preserve"> in </w:t>
      </w:r>
      <w:r w:rsidRPr="00EA7917">
        <w:rPr>
          <w:rFonts w:ascii="Calibri" w:eastAsia="Times New Roman" w:hAnsi="Calibri" w:cs="Calibri"/>
          <w:i/>
          <w:iCs/>
          <w:kern w:val="0"/>
          <w:lang w:eastAsia="en-GB" w:bidi="he-IL"/>
          <w14:ligatures w14:val="none"/>
        </w:rPr>
        <w:t>A Companion to Archaic Greece</w:t>
      </w:r>
      <w:r w:rsidRPr="00EA7917">
        <w:rPr>
          <w:rFonts w:ascii="Calibri" w:eastAsia="Times New Roman" w:hAnsi="Calibri" w:cs="Calibri"/>
          <w:kern w:val="0"/>
          <w:lang w:eastAsia="en-GB" w:bidi="he-IL"/>
          <w14:ligatures w14:val="none"/>
        </w:rPr>
        <w:t xml:space="preserve"> (Blackwell Publishing, 2009), pp. 81–99</w:t>
      </w:r>
    </w:p>
    <w:p w14:paraId="7359D67D" w14:textId="77777777" w:rsidR="00EA7917" w:rsidRPr="00EA7917" w:rsidRDefault="00EA7917" w:rsidP="00EA7917">
      <w:pPr>
        <w:spacing w:after="240" w:line="360" w:lineRule="auto"/>
        <w:ind w:hanging="720"/>
        <w:jc w:val="both"/>
        <w:rPr>
          <w:rFonts w:ascii="Calibri" w:eastAsia="Times New Roman" w:hAnsi="Calibri" w:cs="Calibri"/>
          <w:kern w:val="0"/>
          <w:lang w:eastAsia="en-GB" w:bidi="he-IL"/>
          <w14:ligatures w14:val="none"/>
        </w:rPr>
      </w:pPr>
      <w:r w:rsidRPr="00EA7917">
        <w:rPr>
          <w:rFonts w:ascii="Calibri" w:eastAsia="Times New Roman" w:hAnsi="Calibri" w:cs="Calibri"/>
          <w:kern w:val="0"/>
          <w:lang w:eastAsia="en-GB" w:bidi="he-IL"/>
          <w14:ligatures w14:val="none"/>
        </w:rPr>
        <w:t>Walcot, P., ‘Greek Attitudes towards Women: The Mythological Evidence</w:t>
      </w:r>
      <w:proofErr w:type="gramStart"/>
      <w:r w:rsidRPr="00EA7917">
        <w:rPr>
          <w:rFonts w:ascii="Calibri" w:eastAsia="Times New Roman" w:hAnsi="Calibri" w:cs="Calibri"/>
          <w:kern w:val="0"/>
          <w:lang w:eastAsia="en-GB" w:bidi="he-IL"/>
          <w14:ligatures w14:val="none"/>
        </w:rPr>
        <w:t>’,</w:t>
      </w:r>
      <w:proofErr w:type="gramEnd"/>
      <w:r w:rsidRPr="00EA7917">
        <w:rPr>
          <w:rFonts w:ascii="Calibri" w:eastAsia="Times New Roman" w:hAnsi="Calibri" w:cs="Calibri"/>
          <w:kern w:val="0"/>
          <w:lang w:eastAsia="en-GB" w:bidi="he-IL"/>
          <w14:ligatures w14:val="none"/>
        </w:rPr>
        <w:t xml:space="preserve"> </w:t>
      </w:r>
      <w:r w:rsidRPr="00EA7917">
        <w:rPr>
          <w:rFonts w:ascii="Calibri" w:eastAsia="Times New Roman" w:hAnsi="Calibri" w:cs="Calibri"/>
          <w:i/>
          <w:iCs/>
          <w:kern w:val="0"/>
          <w:lang w:eastAsia="en-GB" w:bidi="he-IL"/>
          <w14:ligatures w14:val="none"/>
        </w:rPr>
        <w:t>Greece and Rome</w:t>
      </w:r>
      <w:r w:rsidRPr="00EA7917">
        <w:rPr>
          <w:rFonts w:ascii="Calibri" w:eastAsia="Times New Roman" w:hAnsi="Calibri" w:cs="Calibri"/>
          <w:kern w:val="0"/>
          <w:lang w:eastAsia="en-GB" w:bidi="he-IL"/>
          <w14:ligatures w14:val="none"/>
        </w:rPr>
        <w:t>, 31.1 (1984), 37–47</w:t>
      </w:r>
    </w:p>
    <w:p w14:paraId="392D3854" w14:textId="77777777" w:rsidR="00EA7917" w:rsidRPr="00121376" w:rsidRDefault="00EA7917" w:rsidP="00481062">
      <w:pPr>
        <w:rPr>
          <w:rFonts w:ascii="Calibri" w:hAnsi="Calibri" w:cs="Calibri"/>
        </w:rPr>
      </w:pPr>
    </w:p>
    <w:sectPr w:rsidR="00EA7917" w:rsidRPr="001213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B9F6A1" w14:textId="77777777" w:rsidR="00EB6065" w:rsidRDefault="00EB6065" w:rsidP="00EB6065">
      <w:pPr>
        <w:spacing w:after="0" w:line="240" w:lineRule="auto"/>
      </w:pPr>
      <w:r>
        <w:separator/>
      </w:r>
    </w:p>
  </w:endnote>
  <w:endnote w:type="continuationSeparator" w:id="0">
    <w:p w14:paraId="1183B697" w14:textId="77777777" w:rsidR="00EB6065" w:rsidRDefault="00EB6065" w:rsidP="00EB60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996354C" w14:textId="77777777" w:rsidR="00EB6065" w:rsidRDefault="00EB6065" w:rsidP="00EB6065">
      <w:pPr>
        <w:spacing w:after="0" w:line="240" w:lineRule="auto"/>
      </w:pPr>
      <w:r>
        <w:separator/>
      </w:r>
    </w:p>
  </w:footnote>
  <w:footnote w:type="continuationSeparator" w:id="0">
    <w:p w14:paraId="74306754" w14:textId="77777777" w:rsidR="00EB6065" w:rsidRDefault="00EB6065" w:rsidP="00EB6065">
      <w:pPr>
        <w:spacing w:after="0" w:line="240" w:lineRule="auto"/>
      </w:pPr>
      <w:r>
        <w:continuationSeparator/>
      </w:r>
    </w:p>
  </w:footnote>
  <w:footnote w:id="1">
    <w:p w14:paraId="711D1B71" w14:textId="32C31B72" w:rsidR="000252AE" w:rsidRPr="00AF75F1" w:rsidRDefault="000252AE" w:rsidP="00585B91">
      <w:pPr>
        <w:rPr>
          <w:rFonts w:ascii="Times New Roman" w:eastAsia="Times New Roman" w:hAnsi="Times New Roman" w:cs="Times New Roman"/>
          <w:kern w:val="0"/>
          <w:sz w:val="20"/>
          <w:szCs w:val="20"/>
          <w:lang w:eastAsia="en-GB" w:bidi="he-IL"/>
          <w14:ligatures w14:val="none"/>
        </w:rPr>
      </w:pPr>
      <w:r w:rsidRPr="00AF75F1">
        <w:rPr>
          <w:rStyle w:val="FootnoteReference"/>
          <w:sz w:val="20"/>
          <w:szCs w:val="20"/>
        </w:rPr>
        <w:footnoteRef/>
      </w:r>
      <w:r w:rsidRPr="00AF75F1">
        <w:rPr>
          <w:sz w:val="20"/>
          <w:szCs w:val="20"/>
        </w:rPr>
        <w:t xml:space="preserve"> </w:t>
      </w:r>
      <w:r w:rsidR="00585B91" w:rsidRPr="00AF75F1">
        <w:rPr>
          <w:rFonts w:ascii="Calibri" w:eastAsia="Times New Roman" w:hAnsi="Calibri" w:cs="Calibri"/>
          <w:kern w:val="0"/>
          <w:sz w:val="20"/>
          <w:szCs w:val="20"/>
          <w:lang w:eastAsia="en-GB" w:bidi="he-IL"/>
          <w14:ligatures w14:val="none"/>
        </w:rPr>
        <w:t>P. Walcot, ‘Greek Attitudes towards Women: The Mythological Evidence</w:t>
      </w:r>
      <w:proofErr w:type="gramStart"/>
      <w:r w:rsidR="00585B91" w:rsidRPr="00AF75F1">
        <w:rPr>
          <w:rFonts w:ascii="Calibri" w:eastAsia="Times New Roman" w:hAnsi="Calibri" w:cs="Calibri"/>
          <w:kern w:val="0"/>
          <w:sz w:val="20"/>
          <w:szCs w:val="20"/>
          <w:lang w:eastAsia="en-GB" w:bidi="he-IL"/>
          <w14:ligatures w14:val="none"/>
        </w:rPr>
        <w:t>’,</w:t>
      </w:r>
      <w:proofErr w:type="gramEnd"/>
      <w:r w:rsidR="00585B91" w:rsidRPr="00AF75F1">
        <w:rPr>
          <w:rFonts w:ascii="Calibri" w:eastAsia="Times New Roman" w:hAnsi="Calibri" w:cs="Calibri"/>
          <w:kern w:val="0"/>
          <w:sz w:val="20"/>
          <w:szCs w:val="20"/>
          <w:lang w:eastAsia="en-GB" w:bidi="he-IL"/>
          <w14:ligatures w14:val="none"/>
        </w:rPr>
        <w:t xml:space="preserve"> </w:t>
      </w:r>
      <w:r w:rsidR="00585B91" w:rsidRPr="00AF75F1">
        <w:rPr>
          <w:rFonts w:ascii="Calibri" w:eastAsia="Times New Roman" w:hAnsi="Calibri" w:cs="Calibri"/>
          <w:i/>
          <w:iCs/>
          <w:kern w:val="0"/>
          <w:sz w:val="20"/>
          <w:szCs w:val="20"/>
          <w:lang w:eastAsia="en-GB" w:bidi="he-IL"/>
          <w14:ligatures w14:val="none"/>
        </w:rPr>
        <w:t>Greece and Rome</w:t>
      </w:r>
      <w:r w:rsidR="00585B91" w:rsidRPr="00AF75F1">
        <w:rPr>
          <w:rFonts w:ascii="Calibri" w:eastAsia="Times New Roman" w:hAnsi="Calibri" w:cs="Calibri"/>
          <w:kern w:val="0"/>
          <w:sz w:val="20"/>
          <w:szCs w:val="20"/>
          <w:lang w:eastAsia="en-GB" w:bidi="he-IL"/>
          <w14:ligatures w14:val="none"/>
        </w:rPr>
        <w:t xml:space="preserve">, 31.1 (1984), </w:t>
      </w:r>
      <w:r w:rsidR="00585B91" w:rsidRPr="00AF75F1">
        <w:rPr>
          <w:rFonts w:ascii="Calibri" w:eastAsia="Times New Roman" w:hAnsi="Calibri" w:cs="Calibri"/>
          <w:kern w:val="0"/>
          <w:sz w:val="20"/>
          <w:szCs w:val="20"/>
          <w:lang w:eastAsia="en-GB" w:bidi="he-IL"/>
          <w14:ligatures w14:val="none"/>
        </w:rPr>
        <w:t xml:space="preserve">p. 39. </w:t>
      </w:r>
    </w:p>
  </w:footnote>
  <w:footnote w:id="2">
    <w:p w14:paraId="3F7211C8" w14:textId="2743CD76" w:rsidR="00485461" w:rsidRPr="00AF75F1" w:rsidRDefault="00485461" w:rsidP="00B67F2D">
      <w:pPr>
        <w:rPr>
          <w:rFonts w:ascii="Times New Roman" w:eastAsia="Times New Roman" w:hAnsi="Times New Roman" w:cs="Times New Roman"/>
          <w:kern w:val="0"/>
          <w:sz w:val="20"/>
          <w:szCs w:val="20"/>
          <w:lang w:eastAsia="en-GB" w:bidi="he-IL"/>
          <w14:ligatures w14:val="none"/>
        </w:rPr>
      </w:pPr>
      <w:r w:rsidRPr="00AF75F1">
        <w:rPr>
          <w:rStyle w:val="FootnoteReference"/>
          <w:sz w:val="20"/>
          <w:szCs w:val="20"/>
        </w:rPr>
        <w:footnoteRef/>
      </w:r>
      <w:r w:rsidRPr="00AF75F1">
        <w:rPr>
          <w:sz w:val="20"/>
          <w:szCs w:val="20"/>
        </w:rPr>
        <w:t xml:space="preserve"> </w:t>
      </w:r>
      <w:r w:rsidR="00B67F2D" w:rsidRPr="00AF75F1">
        <w:rPr>
          <w:rFonts w:ascii="Calibri" w:eastAsia="Times New Roman" w:hAnsi="Calibri" w:cs="Calibri"/>
          <w:kern w:val="0"/>
          <w:sz w:val="20"/>
          <w:szCs w:val="20"/>
          <w:lang w:eastAsia="en-GB" w:bidi="he-IL"/>
          <w14:ligatures w14:val="none"/>
        </w:rPr>
        <w:t>Arum Park, ‘Parthenogenesis in Hesiod’s Theogony</w:t>
      </w:r>
      <w:proofErr w:type="gramStart"/>
      <w:r w:rsidR="00B67F2D" w:rsidRPr="00AF75F1">
        <w:rPr>
          <w:rFonts w:ascii="Calibri" w:eastAsia="Times New Roman" w:hAnsi="Calibri" w:cs="Calibri"/>
          <w:kern w:val="0"/>
          <w:sz w:val="20"/>
          <w:szCs w:val="20"/>
          <w:lang w:eastAsia="en-GB" w:bidi="he-IL"/>
          <w14:ligatures w14:val="none"/>
        </w:rPr>
        <w:t>’,</w:t>
      </w:r>
      <w:proofErr w:type="gramEnd"/>
      <w:r w:rsidR="00B67F2D" w:rsidRPr="00AF75F1">
        <w:rPr>
          <w:rFonts w:ascii="Calibri" w:eastAsia="Times New Roman" w:hAnsi="Calibri" w:cs="Calibri"/>
          <w:kern w:val="0"/>
          <w:sz w:val="20"/>
          <w:szCs w:val="20"/>
          <w:lang w:eastAsia="en-GB" w:bidi="he-IL"/>
          <w14:ligatures w14:val="none"/>
        </w:rPr>
        <w:t xml:space="preserve"> </w:t>
      </w:r>
      <w:proofErr w:type="spellStart"/>
      <w:r w:rsidR="00B67F2D" w:rsidRPr="00AF75F1">
        <w:rPr>
          <w:rFonts w:ascii="Calibri" w:eastAsia="Times New Roman" w:hAnsi="Calibri" w:cs="Calibri"/>
          <w:i/>
          <w:iCs/>
          <w:kern w:val="0"/>
          <w:sz w:val="20"/>
          <w:szCs w:val="20"/>
          <w:lang w:eastAsia="en-GB" w:bidi="he-IL"/>
          <w14:ligatures w14:val="none"/>
        </w:rPr>
        <w:t>Preternature</w:t>
      </w:r>
      <w:proofErr w:type="spellEnd"/>
      <w:r w:rsidR="00B67F2D" w:rsidRPr="00AF75F1">
        <w:rPr>
          <w:rFonts w:ascii="Calibri" w:eastAsia="Times New Roman" w:hAnsi="Calibri" w:cs="Calibri"/>
          <w:i/>
          <w:iCs/>
          <w:kern w:val="0"/>
          <w:sz w:val="20"/>
          <w:szCs w:val="20"/>
          <w:lang w:eastAsia="en-GB" w:bidi="he-IL"/>
          <w14:ligatures w14:val="none"/>
        </w:rPr>
        <w:t>: Critical and Historical Studies on the Preternatural</w:t>
      </w:r>
      <w:r w:rsidR="00B67F2D" w:rsidRPr="00AF75F1">
        <w:rPr>
          <w:rFonts w:ascii="Calibri" w:eastAsia="Times New Roman" w:hAnsi="Calibri" w:cs="Calibri"/>
          <w:kern w:val="0"/>
          <w:sz w:val="20"/>
          <w:szCs w:val="20"/>
          <w:lang w:eastAsia="en-GB" w:bidi="he-IL"/>
          <w14:ligatures w14:val="none"/>
        </w:rPr>
        <w:t>, 3.2 (2014),</w:t>
      </w:r>
      <w:r w:rsidR="00B67F2D" w:rsidRPr="00AF75F1">
        <w:rPr>
          <w:rFonts w:ascii="Calibri" w:eastAsia="Times New Roman" w:hAnsi="Calibri" w:cs="Calibri"/>
          <w:kern w:val="0"/>
          <w:sz w:val="20"/>
          <w:szCs w:val="20"/>
          <w:lang w:eastAsia="en-GB" w:bidi="he-IL"/>
          <w14:ligatures w14:val="none"/>
        </w:rPr>
        <w:t xml:space="preserve"> p. 266. </w:t>
      </w:r>
      <w:r w:rsidRPr="00AF75F1">
        <w:rPr>
          <w:sz w:val="20"/>
          <w:szCs w:val="20"/>
        </w:rPr>
        <w:t xml:space="preserve"> </w:t>
      </w:r>
    </w:p>
  </w:footnote>
  <w:footnote w:id="3">
    <w:p w14:paraId="514711B4" w14:textId="34FA76EC" w:rsidR="00E55EF7" w:rsidRPr="00AF75F1" w:rsidRDefault="00E55EF7" w:rsidP="00E55EF7">
      <w:pPr>
        <w:pStyle w:val="FootnoteText"/>
      </w:pPr>
      <w:r w:rsidRPr="00AF75F1">
        <w:rPr>
          <w:rStyle w:val="FootnoteReference"/>
        </w:rPr>
        <w:footnoteRef/>
      </w:r>
      <w:r w:rsidRPr="00AF75F1">
        <w:t xml:space="preserve"> </w:t>
      </w:r>
      <w:r w:rsidR="00E6566E" w:rsidRPr="00AF75F1">
        <w:rPr>
          <w:rFonts w:ascii="Calibri" w:eastAsia="Times New Roman" w:hAnsi="Calibri" w:cs="Calibri"/>
          <w:kern w:val="0"/>
          <w:lang w:eastAsia="en-GB" w:bidi="he-IL"/>
          <w14:ligatures w14:val="none"/>
        </w:rPr>
        <w:t xml:space="preserve">Ibid., </w:t>
      </w:r>
      <w:r w:rsidR="00B67F2D" w:rsidRPr="00AF75F1">
        <w:rPr>
          <w:rFonts w:ascii="Calibri" w:eastAsia="Times New Roman" w:hAnsi="Calibri" w:cs="Calibri"/>
          <w:kern w:val="0"/>
          <w:lang w:eastAsia="en-GB" w:bidi="he-IL"/>
          <w14:ligatures w14:val="none"/>
        </w:rPr>
        <w:t>p. 263.</w:t>
      </w:r>
    </w:p>
  </w:footnote>
  <w:footnote w:id="4">
    <w:p w14:paraId="2FD4DA40" w14:textId="6631050F" w:rsidR="00E0176F" w:rsidRPr="00AF75F1" w:rsidRDefault="00E0176F" w:rsidP="00E6566E">
      <w:pPr>
        <w:rPr>
          <w:rFonts w:ascii="Times New Roman" w:eastAsia="Times New Roman" w:hAnsi="Times New Roman" w:cs="Times New Roman"/>
          <w:kern w:val="0"/>
          <w:sz w:val="20"/>
          <w:szCs w:val="20"/>
          <w:lang w:eastAsia="en-GB" w:bidi="he-IL"/>
          <w14:ligatures w14:val="none"/>
        </w:rPr>
      </w:pPr>
      <w:r w:rsidRPr="00AF75F1">
        <w:rPr>
          <w:rStyle w:val="FootnoteReference"/>
          <w:sz w:val="20"/>
          <w:szCs w:val="20"/>
        </w:rPr>
        <w:footnoteRef/>
      </w:r>
      <w:r w:rsidRPr="00AF75F1">
        <w:rPr>
          <w:sz w:val="20"/>
          <w:szCs w:val="20"/>
        </w:rPr>
        <w:t xml:space="preserve"> </w:t>
      </w:r>
      <w:r w:rsidR="00E6566E" w:rsidRPr="00AF75F1">
        <w:rPr>
          <w:rFonts w:ascii="Calibri" w:eastAsia="Times New Roman" w:hAnsi="Calibri" w:cs="Calibri"/>
          <w:kern w:val="0"/>
          <w:sz w:val="20"/>
          <w:szCs w:val="20"/>
          <w:lang w:eastAsia="en-GB" w:bidi="he-IL"/>
          <w14:ligatures w14:val="none"/>
        </w:rPr>
        <w:t xml:space="preserve">Meltem </w:t>
      </w:r>
      <w:proofErr w:type="spellStart"/>
      <w:r w:rsidR="00E6566E" w:rsidRPr="00AF75F1">
        <w:rPr>
          <w:rFonts w:ascii="Calibri" w:eastAsia="Times New Roman" w:hAnsi="Calibri" w:cs="Calibri"/>
          <w:kern w:val="0"/>
          <w:sz w:val="20"/>
          <w:szCs w:val="20"/>
          <w:lang w:eastAsia="en-GB" w:bidi="he-IL"/>
          <w14:ligatures w14:val="none"/>
        </w:rPr>
        <w:t>Uzunoglu</w:t>
      </w:r>
      <w:proofErr w:type="spellEnd"/>
      <w:r w:rsidR="00E6566E" w:rsidRPr="00AF75F1">
        <w:rPr>
          <w:rFonts w:ascii="Calibri" w:eastAsia="Times New Roman" w:hAnsi="Calibri" w:cs="Calibri"/>
          <w:kern w:val="0"/>
          <w:sz w:val="20"/>
          <w:szCs w:val="20"/>
          <w:lang w:eastAsia="en-GB" w:bidi="he-IL"/>
          <w14:ligatures w14:val="none"/>
        </w:rPr>
        <w:t xml:space="preserve"> Erten, ‘Hesiod’s Theogony: Rise of Rational Mind and Patriarchy in Ancient Greece</w:t>
      </w:r>
      <w:proofErr w:type="gramStart"/>
      <w:r w:rsidR="00E6566E" w:rsidRPr="00AF75F1">
        <w:rPr>
          <w:rFonts w:ascii="Calibri" w:eastAsia="Times New Roman" w:hAnsi="Calibri" w:cs="Calibri"/>
          <w:kern w:val="0"/>
          <w:sz w:val="20"/>
          <w:szCs w:val="20"/>
          <w:lang w:eastAsia="en-GB" w:bidi="he-IL"/>
          <w14:ligatures w14:val="none"/>
        </w:rPr>
        <w:t>’,</w:t>
      </w:r>
      <w:proofErr w:type="gramEnd"/>
      <w:r w:rsidR="00E6566E" w:rsidRPr="00AF75F1">
        <w:rPr>
          <w:rFonts w:ascii="Calibri" w:eastAsia="Times New Roman" w:hAnsi="Calibri" w:cs="Calibri"/>
          <w:kern w:val="0"/>
          <w:sz w:val="20"/>
          <w:szCs w:val="20"/>
          <w:lang w:eastAsia="en-GB" w:bidi="he-IL"/>
          <w14:ligatures w14:val="none"/>
        </w:rPr>
        <w:t xml:space="preserve"> </w:t>
      </w:r>
      <w:proofErr w:type="spellStart"/>
      <w:r w:rsidR="00E6566E" w:rsidRPr="00AF75F1">
        <w:rPr>
          <w:rFonts w:ascii="Calibri" w:eastAsia="Times New Roman" w:hAnsi="Calibri" w:cs="Calibri"/>
          <w:i/>
          <w:iCs/>
          <w:kern w:val="0"/>
          <w:sz w:val="20"/>
          <w:szCs w:val="20"/>
          <w:lang w:eastAsia="en-GB" w:bidi="he-IL"/>
          <w14:ligatures w14:val="none"/>
        </w:rPr>
        <w:t>Pamukkale</w:t>
      </w:r>
      <w:proofErr w:type="spellEnd"/>
      <w:r w:rsidR="00E6566E" w:rsidRPr="00AF75F1">
        <w:rPr>
          <w:rFonts w:ascii="Calibri" w:eastAsia="Times New Roman" w:hAnsi="Calibri" w:cs="Calibri"/>
          <w:i/>
          <w:iCs/>
          <w:kern w:val="0"/>
          <w:sz w:val="20"/>
          <w:szCs w:val="20"/>
          <w:lang w:eastAsia="en-GB" w:bidi="he-IL"/>
          <w14:ligatures w14:val="none"/>
        </w:rPr>
        <w:t xml:space="preserve"> University Journal of Social Sciences Institute</w:t>
      </w:r>
      <w:r w:rsidR="00E6566E" w:rsidRPr="00AF75F1">
        <w:rPr>
          <w:rFonts w:ascii="Calibri" w:eastAsia="Times New Roman" w:hAnsi="Calibri" w:cs="Calibri"/>
          <w:kern w:val="0"/>
          <w:sz w:val="20"/>
          <w:szCs w:val="20"/>
          <w:lang w:eastAsia="en-GB" w:bidi="he-IL"/>
          <w14:ligatures w14:val="none"/>
        </w:rPr>
        <w:t xml:space="preserve">, 40 (2020), </w:t>
      </w:r>
      <w:r w:rsidR="00E6566E" w:rsidRPr="00AF75F1">
        <w:rPr>
          <w:rFonts w:ascii="Calibri" w:eastAsia="Times New Roman" w:hAnsi="Calibri" w:cs="Calibri"/>
          <w:kern w:val="0"/>
          <w:sz w:val="20"/>
          <w:szCs w:val="20"/>
          <w:lang w:eastAsia="en-GB" w:bidi="he-IL"/>
          <w14:ligatures w14:val="none"/>
        </w:rPr>
        <w:t xml:space="preserve">p. 422. </w:t>
      </w:r>
      <w:r w:rsidRPr="00AF75F1">
        <w:rPr>
          <w:sz w:val="20"/>
          <w:szCs w:val="20"/>
        </w:rPr>
        <w:t xml:space="preserve"> </w:t>
      </w:r>
    </w:p>
  </w:footnote>
  <w:footnote w:id="5">
    <w:p w14:paraId="580114F8" w14:textId="717F5A31" w:rsidR="00DE0938" w:rsidRDefault="00DE0938" w:rsidP="00E6566E">
      <w:pPr>
        <w:pStyle w:val="FootnoteText"/>
      </w:pPr>
      <w:r w:rsidRPr="00AF75F1">
        <w:rPr>
          <w:rStyle w:val="FootnoteReference"/>
        </w:rPr>
        <w:footnoteRef/>
      </w:r>
      <w:r w:rsidRPr="00AF75F1">
        <w:t xml:space="preserve"> </w:t>
      </w:r>
      <w:r w:rsidR="00E6566E" w:rsidRPr="00AF75F1">
        <w:rPr>
          <w:rFonts w:ascii="Calibri" w:eastAsia="Times New Roman" w:hAnsi="Calibri" w:cs="Calibri"/>
          <w:kern w:val="0"/>
          <w:lang w:eastAsia="en-GB" w:bidi="he-IL"/>
          <w14:ligatures w14:val="none"/>
        </w:rPr>
        <w:t>Park, ‘Parthenogenesis in Hesiod’s Theogony,’ p. 26</w:t>
      </w:r>
      <w:r w:rsidR="00E6566E" w:rsidRPr="00AF75F1">
        <w:rPr>
          <w:rFonts w:ascii="Calibri" w:eastAsia="Times New Roman" w:hAnsi="Calibri" w:cs="Calibri"/>
          <w:kern w:val="0"/>
          <w:lang w:eastAsia="en-GB" w:bidi="he-IL"/>
          <w14:ligatures w14:val="none"/>
        </w:rPr>
        <w:t>8.</w:t>
      </w:r>
      <w:r w:rsidR="00E6566E">
        <w:rPr>
          <w:rFonts w:ascii="Calibri" w:eastAsia="Times New Roman" w:hAnsi="Calibri" w:cs="Calibri"/>
          <w:kern w:val="0"/>
          <w:lang w:eastAsia="en-GB" w:bidi="he-IL"/>
          <w14:ligatures w14:val="none"/>
        </w:rPr>
        <w:t xml:space="preserve"> </w:t>
      </w:r>
    </w:p>
  </w:footnote>
  <w:footnote w:id="6">
    <w:p w14:paraId="4ED44507" w14:textId="6BEE6EC7" w:rsidR="007179DC" w:rsidRPr="00AF75F1" w:rsidRDefault="007179DC" w:rsidP="007D4174">
      <w:pPr>
        <w:rPr>
          <w:rFonts w:ascii="Times New Roman" w:eastAsia="Times New Roman" w:hAnsi="Times New Roman" w:cs="Times New Roman"/>
          <w:kern w:val="0"/>
          <w:sz w:val="20"/>
          <w:szCs w:val="20"/>
          <w:lang w:eastAsia="en-GB" w:bidi="he-IL"/>
          <w14:ligatures w14:val="none"/>
        </w:rPr>
      </w:pPr>
      <w:r w:rsidRPr="00AF75F1">
        <w:rPr>
          <w:rStyle w:val="FootnoteReference"/>
          <w:sz w:val="20"/>
          <w:szCs w:val="20"/>
        </w:rPr>
        <w:footnoteRef/>
      </w:r>
      <w:r w:rsidRPr="00AF75F1">
        <w:rPr>
          <w:sz w:val="20"/>
          <w:szCs w:val="20"/>
        </w:rPr>
        <w:t xml:space="preserve"> </w:t>
      </w:r>
      <w:r w:rsidR="007D4174" w:rsidRPr="00AF75F1">
        <w:rPr>
          <w:rFonts w:ascii="Calibri" w:eastAsia="Times New Roman" w:hAnsi="Calibri" w:cs="Calibri"/>
          <w:kern w:val="0"/>
          <w:sz w:val="20"/>
          <w:szCs w:val="20"/>
          <w:lang w:eastAsia="en-GB" w:bidi="he-IL"/>
          <w14:ligatures w14:val="none"/>
        </w:rPr>
        <w:t xml:space="preserve">Florence </w:t>
      </w:r>
      <w:proofErr w:type="spellStart"/>
      <w:r w:rsidR="007D4174" w:rsidRPr="00AF75F1">
        <w:rPr>
          <w:rFonts w:ascii="Calibri" w:eastAsia="Times New Roman" w:hAnsi="Calibri" w:cs="Calibri"/>
          <w:kern w:val="0"/>
          <w:sz w:val="20"/>
          <w:szCs w:val="20"/>
          <w:lang w:eastAsia="en-GB" w:bidi="he-IL"/>
          <w14:ligatures w14:val="none"/>
        </w:rPr>
        <w:t>Ghercanoc</w:t>
      </w:r>
      <w:proofErr w:type="spellEnd"/>
      <w:r w:rsidR="007D4174" w:rsidRPr="00AF75F1">
        <w:rPr>
          <w:rFonts w:ascii="Calibri" w:eastAsia="Times New Roman" w:hAnsi="Calibri" w:cs="Calibri"/>
          <w:kern w:val="0"/>
          <w:sz w:val="20"/>
          <w:szCs w:val="20"/>
          <w:lang w:eastAsia="en-GB" w:bidi="he-IL"/>
          <w14:ligatures w14:val="none"/>
        </w:rPr>
        <w:t>, ‘From Body to Behaviour: Maternal Transmission in the Ancient Greek World</w:t>
      </w:r>
      <w:proofErr w:type="gramStart"/>
      <w:r w:rsidR="007D4174" w:rsidRPr="00AF75F1">
        <w:rPr>
          <w:rFonts w:ascii="Calibri" w:eastAsia="Times New Roman" w:hAnsi="Calibri" w:cs="Calibri"/>
          <w:kern w:val="0"/>
          <w:sz w:val="20"/>
          <w:szCs w:val="20"/>
          <w:lang w:eastAsia="en-GB" w:bidi="he-IL"/>
          <w14:ligatures w14:val="none"/>
        </w:rPr>
        <w:t>’,</w:t>
      </w:r>
      <w:proofErr w:type="gramEnd"/>
      <w:r w:rsidR="007D4174" w:rsidRPr="00AF75F1">
        <w:rPr>
          <w:rFonts w:ascii="Calibri" w:eastAsia="Times New Roman" w:hAnsi="Calibri" w:cs="Calibri"/>
          <w:kern w:val="0"/>
          <w:sz w:val="20"/>
          <w:szCs w:val="20"/>
          <w:lang w:eastAsia="en-GB" w:bidi="he-IL"/>
          <w14:ligatures w14:val="none"/>
        </w:rPr>
        <w:t xml:space="preserve"> in </w:t>
      </w:r>
      <w:r w:rsidR="007D4174" w:rsidRPr="00AF75F1">
        <w:rPr>
          <w:rFonts w:ascii="Calibri" w:eastAsia="Times New Roman" w:hAnsi="Calibri" w:cs="Calibri"/>
          <w:i/>
          <w:iCs/>
          <w:kern w:val="0"/>
          <w:sz w:val="20"/>
          <w:szCs w:val="20"/>
          <w:lang w:eastAsia="en-GB" w:bidi="he-IL"/>
          <w14:ligatures w14:val="none"/>
        </w:rPr>
        <w:t>Maternal Conceptions in Classical Literature and Philosophy</w:t>
      </w:r>
      <w:r w:rsidR="007D4174" w:rsidRPr="00AF75F1">
        <w:rPr>
          <w:rFonts w:ascii="Calibri" w:eastAsia="Times New Roman" w:hAnsi="Calibri" w:cs="Calibri"/>
          <w:kern w:val="0"/>
          <w:sz w:val="20"/>
          <w:szCs w:val="20"/>
          <w:lang w:eastAsia="en-GB" w:bidi="he-IL"/>
          <w14:ligatures w14:val="none"/>
        </w:rPr>
        <w:t xml:space="preserve"> (Toronto: University of Toronto Press, 2020), p</w:t>
      </w:r>
      <w:r w:rsidR="007D4174" w:rsidRPr="00AF75F1">
        <w:rPr>
          <w:rFonts w:ascii="Calibri" w:eastAsia="Times New Roman" w:hAnsi="Calibri" w:cs="Calibri"/>
          <w:kern w:val="0"/>
          <w:sz w:val="20"/>
          <w:szCs w:val="20"/>
          <w:lang w:eastAsia="en-GB" w:bidi="he-IL"/>
          <w14:ligatures w14:val="none"/>
        </w:rPr>
        <w:t>. 52.</w:t>
      </w:r>
    </w:p>
  </w:footnote>
  <w:footnote w:id="7">
    <w:p w14:paraId="0ABEA5FF" w14:textId="4F2B015B" w:rsidR="00484AC1" w:rsidRPr="00AF75F1" w:rsidRDefault="00484AC1" w:rsidP="007D4174">
      <w:pPr>
        <w:rPr>
          <w:rFonts w:ascii="Times New Roman" w:eastAsia="Times New Roman" w:hAnsi="Times New Roman" w:cs="Times New Roman"/>
          <w:kern w:val="0"/>
          <w:sz w:val="20"/>
          <w:szCs w:val="20"/>
          <w:lang w:eastAsia="en-GB" w:bidi="he-IL"/>
          <w14:ligatures w14:val="none"/>
        </w:rPr>
      </w:pPr>
      <w:r w:rsidRPr="00AF75F1">
        <w:rPr>
          <w:rStyle w:val="FootnoteReference"/>
          <w:sz w:val="20"/>
          <w:szCs w:val="20"/>
        </w:rPr>
        <w:footnoteRef/>
      </w:r>
      <w:r w:rsidRPr="00AF75F1">
        <w:rPr>
          <w:sz w:val="20"/>
          <w:szCs w:val="20"/>
        </w:rPr>
        <w:t xml:space="preserve"> </w:t>
      </w:r>
      <w:r w:rsidR="007D4174" w:rsidRPr="00AF75F1">
        <w:rPr>
          <w:rFonts w:ascii="Calibri" w:eastAsia="Times New Roman" w:hAnsi="Calibri" w:cs="Calibri"/>
          <w:kern w:val="0"/>
          <w:sz w:val="20"/>
          <w:szCs w:val="20"/>
          <w:lang w:eastAsia="en-GB" w:bidi="he-IL"/>
          <w14:ligatures w14:val="none"/>
        </w:rPr>
        <w:t>Patricia A. Marquardt, ‘Hesiod’s Ambiguous View of Woman</w:t>
      </w:r>
      <w:proofErr w:type="gramStart"/>
      <w:r w:rsidR="007D4174" w:rsidRPr="00AF75F1">
        <w:rPr>
          <w:rFonts w:ascii="Calibri" w:eastAsia="Times New Roman" w:hAnsi="Calibri" w:cs="Calibri"/>
          <w:kern w:val="0"/>
          <w:sz w:val="20"/>
          <w:szCs w:val="20"/>
          <w:lang w:eastAsia="en-GB" w:bidi="he-IL"/>
          <w14:ligatures w14:val="none"/>
        </w:rPr>
        <w:t>’,</w:t>
      </w:r>
      <w:proofErr w:type="gramEnd"/>
      <w:r w:rsidR="007D4174" w:rsidRPr="00AF75F1">
        <w:rPr>
          <w:rFonts w:ascii="Calibri" w:eastAsia="Times New Roman" w:hAnsi="Calibri" w:cs="Calibri"/>
          <w:kern w:val="0"/>
          <w:sz w:val="20"/>
          <w:szCs w:val="20"/>
          <w:lang w:eastAsia="en-GB" w:bidi="he-IL"/>
          <w14:ligatures w14:val="none"/>
        </w:rPr>
        <w:t xml:space="preserve"> </w:t>
      </w:r>
      <w:r w:rsidR="007D4174" w:rsidRPr="00AF75F1">
        <w:rPr>
          <w:rFonts w:ascii="Calibri" w:eastAsia="Times New Roman" w:hAnsi="Calibri" w:cs="Calibri"/>
          <w:i/>
          <w:iCs/>
          <w:kern w:val="0"/>
          <w:sz w:val="20"/>
          <w:szCs w:val="20"/>
          <w:lang w:eastAsia="en-GB" w:bidi="he-IL"/>
          <w14:ligatures w14:val="none"/>
        </w:rPr>
        <w:t>Classical Philology</w:t>
      </w:r>
      <w:r w:rsidR="007D4174" w:rsidRPr="00AF75F1">
        <w:rPr>
          <w:rFonts w:ascii="Calibri" w:eastAsia="Times New Roman" w:hAnsi="Calibri" w:cs="Calibri"/>
          <w:kern w:val="0"/>
          <w:sz w:val="20"/>
          <w:szCs w:val="20"/>
          <w:lang w:eastAsia="en-GB" w:bidi="he-IL"/>
          <w14:ligatures w14:val="none"/>
        </w:rPr>
        <w:t xml:space="preserve">, 77.4 (1982), </w:t>
      </w:r>
      <w:r w:rsidR="007D4174" w:rsidRPr="00AF75F1">
        <w:rPr>
          <w:rFonts w:ascii="Calibri" w:eastAsia="Times New Roman" w:hAnsi="Calibri" w:cs="Calibri"/>
          <w:kern w:val="0"/>
          <w:sz w:val="20"/>
          <w:szCs w:val="20"/>
          <w:lang w:eastAsia="en-GB" w:bidi="he-IL"/>
          <w14:ligatures w14:val="none"/>
        </w:rPr>
        <w:t xml:space="preserve">p. 284. </w:t>
      </w:r>
    </w:p>
  </w:footnote>
  <w:footnote w:id="8">
    <w:p w14:paraId="66ED8EB2" w14:textId="0A201E39" w:rsidR="004259A4" w:rsidRPr="00AF75F1" w:rsidRDefault="004259A4" w:rsidP="00264ACB">
      <w:pPr>
        <w:rPr>
          <w:rFonts w:ascii="Times New Roman" w:eastAsia="Times New Roman" w:hAnsi="Times New Roman" w:cs="Times New Roman"/>
          <w:kern w:val="0"/>
          <w:sz w:val="20"/>
          <w:szCs w:val="20"/>
          <w:lang w:eastAsia="en-GB" w:bidi="he-IL"/>
          <w14:ligatures w14:val="none"/>
        </w:rPr>
      </w:pPr>
      <w:r w:rsidRPr="00AF75F1">
        <w:rPr>
          <w:rStyle w:val="FootnoteReference"/>
          <w:sz w:val="20"/>
          <w:szCs w:val="20"/>
        </w:rPr>
        <w:footnoteRef/>
      </w:r>
      <w:r w:rsidRPr="00AF75F1">
        <w:rPr>
          <w:sz w:val="20"/>
          <w:szCs w:val="20"/>
        </w:rPr>
        <w:t xml:space="preserve"> </w:t>
      </w:r>
      <w:r w:rsidR="00264ACB" w:rsidRPr="00AF75F1">
        <w:rPr>
          <w:rFonts w:ascii="Calibri" w:eastAsia="Times New Roman" w:hAnsi="Calibri" w:cs="Calibri"/>
          <w:kern w:val="0"/>
          <w:sz w:val="20"/>
          <w:szCs w:val="20"/>
          <w:lang w:eastAsia="en-GB" w:bidi="he-IL"/>
          <w14:ligatures w14:val="none"/>
        </w:rPr>
        <w:t>Yan Di, ‘Dark Womb and Gender War: Rethinking Social Formation and Social Order in Hesiod’s Cosmogony</w:t>
      </w:r>
      <w:proofErr w:type="gramStart"/>
      <w:r w:rsidR="00264ACB" w:rsidRPr="00AF75F1">
        <w:rPr>
          <w:rFonts w:ascii="Calibri" w:eastAsia="Times New Roman" w:hAnsi="Calibri" w:cs="Calibri"/>
          <w:kern w:val="0"/>
          <w:sz w:val="20"/>
          <w:szCs w:val="20"/>
          <w:lang w:eastAsia="en-GB" w:bidi="he-IL"/>
          <w14:ligatures w14:val="none"/>
        </w:rPr>
        <w:t>’,</w:t>
      </w:r>
      <w:proofErr w:type="gramEnd"/>
      <w:r w:rsidR="00264ACB" w:rsidRPr="00AF75F1">
        <w:rPr>
          <w:rFonts w:ascii="Calibri" w:eastAsia="Times New Roman" w:hAnsi="Calibri" w:cs="Calibri"/>
          <w:kern w:val="0"/>
          <w:sz w:val="20"/>
          <w:szCs w:val="20"/>
          <w:lang w:eastAsia="en-GB" w:bidi="he-IL"/>
          <w14:ligatures w14:val="none"/>
        </w:rPr>
        <w:t xml:space="preserve"> </w:t>
      </w:r>
      <w:r w:rsidR="00264ACB" w:rsidRPr="00AF75F1">
        <w:rPr>
          <w:rFonts w:ascii="Calibri" w:eastAsia="Times New Roman" w:hAnsi="Calibri" w:cs="Calibri"/>
          <w:i/>
          <w:iCs/>
          <w:kern w:val="0"/>
          <w:sz w:val="20"/>
          <w:szCs w:val="20"/>
          <w:lang w:eastAsia="en-GB" w:bidi="he-IL"/>
          <w14:ligatures w14:val="none"/>
        </w:rPr>
        <w:t>Journal of Literature and Art Studies</w:t>
      </w:r>
      <w:r w:rsidR="00264ACB" w:rsidRPr="00AF75F1">
        <w:rPr>
          <w:rFonts w:ascii="Calibri" w:eastAsia="Times New Roman" w:hAnsi="Calibri" w:cs="Calibri"/>
          <w:kern w:val="0"/>
          <w:sz w:val="20"/>
          <w:szCs w:val="20"/>
          <w:lang w:eastAsia="en-GB" w:bidi="he-IL"/>
          <w14:ligatures w14:val="none"/>
        </w:rPr>
        <w:t>, 13.11 (2023)</w:t>
      </w:r>
      <w:r w:rsidR="00264ACB" w:rsidRPr="00AF75F1">
        <w:rPr>
          <w:rFonts w:ascii="Calibri" w:eastAsia="Times New Roman" w:hAnsi="Calibri" w:cs="Calibri"/>
          <w:kern w:val="0"/>
          <w:sz w:val="20"/>
          <w:szCs w:val="20"/>
          <w:lang w:eastAsia="en-GB" w:bidi="he-IL"/>
          <w14:ligatures w14:val="none"/>
        </w:rPr>
        <w:t xml:space="preserve">, p. 879. </w:t>
      </w:r>
    </w:p>
  </w:footnote>
  <w:footnote w:id="9">
    <w:p w14:paraId="67D42D20" w14:textId="66FB87A1" w:rsidR="004259A4" w:rsidRPr="00AF75F1" w:rsidRDefault="004259A4">
      <w:pPr>
        <w:pStyle w:val="FootnoteText"/>
      </w:pPr>
      <w:r w:rsidRPr="00AF75F1">
        <w:rPr>
          <w:rStyle w:val="FootnoteReference"/>
        </w:rPr>
        <w:footnoteRef/>
      </w:r>
      <w:r w:rsidRPr="00AF75F1">
        <w:t xml:space="preserve"> </w:t>
      </w:r>
      <w:r w:rsidR="00264ACB" w:rsidRPr="00AF75F1">
        <w:rPr>
          <w:rFonts w:ascii="Calibri" w:eastAsia="Times New Roman" w:hAnsi="Calibri" w:cs="Calibri"/>
          <w:kern w:val="0"/>
          <w:lang w:eastAsia="en-GB" w:bidi="he-IL"/>
          <w14:ligatures w14:val="none"/>
        </w:rPr>
        <w:t>Ibid., p. 879.</w:t>
      </w:r>
    </w:p>
  </w:footnote>
  <w:footnote w:id="10">
    <w:p w14:paraId="0A6867C0" w14:textId="357DBC5D" w:rsidR="004259A4" w:rsidRDefault="004259A4">
      <w:pPr>
        <w:pStyle w:val="FootnoteText"/>
      </w:pPr>
      <w:r w:rsidRPr="00AF75F1">
        <w:rPr>
          <w:rStyle w:val="FootnoteReference"/>
        </w:rPr>
        <w:footnoteRef/>
      </w:r>
      <w:r w:rsidRPr="00AF75F1">
        <w:t xml:space="preserve"> </w:t>
      </w:r>
      <w:r w:rsidR="00264ACB" w:rsidRPr="00AF75F1">
        <w:rPr>
          <w:rFonts w:ascii="Calibri" w:eastAsia="Times New Roman" w:hAnsi="Calibri" w:cs="Calibri"/>
          <w:kern w:val="0"/>
          <w:lang w:eastAsia="en-GB" w:bidi="he-IL"/>
          <w14:ligatures w14:val="none"/>
        </w:rPr>
        <w:t>Ibid., p. 87</w:t>
      </w:r>
      <w:r w:rsidR="00264ACB" w:rsidRPr="00AF75F1">
        <w:rPr>
          <w:rFonts w:ascii="Calibri" w:eastAsia="Times New Roman" w:hAnsi="Calibri" w:cs="Calibri"/>
          <w:kern w:val="0"/>
          <w:lang w:eastAsia="en-GB" w:bidi="he-IL"/>
          <w14:ligatures w14:val="none"/>
        </w:rPr>
        <w:t>0.</w:t>
      </w:r>
      <w:r w:rsidR="00264ACB">
        <w:rPr>
          <w:rFonts w:ascii="Calibri" w:eastAsia="Times New Roman" w:hAnsi="Calibri" w:cs="Calibri"/>
          <w:kern w:val="0"/>
          <w:lang w:eastAsia="en-GB" w:bidi="he-IL"/>
          <w14:ligatures w14:val="none"/>
        </w:rPr>
        <w:t xml:space="preserve"> </w:t>
      </w:r>
    </w:p>
  </w:footnote>
  <w:footnote w:id="11">
    <w:p w14:paraId="27D8130D" w14:textId="4251811B" w:rsidR="00A2180A" w:rsidRPr="00AF75F1" w:rsidRDefault="00A2180A">
      <w:pPr>
        <w:pStyle w:val="FootnoteText"/>
      </w:pPr>
      <w:r w:rsidRPr="00AF75F1">
        <w:rPr>
          <w:rStyle w:val="FootnoteReference"/>
        </w:rPr>
        <w:footnoteRef/>
      </w:r>
      <w:r w:rsidRPr="00AF75F1">
        <w:t xml:space="preserve"> </w:t>
      </w:r>
      <w:r w:rsidR="00264ACB" w:rsidRPr="00AF75F1">
        <w:rPr>
          <w:rFonts w:ascii="Calibri" w:eastAsia="Times New Roman" w:hAnsi="Calibri" w:cs="Calibri"/>
          <w:kern w:val="0"/>
          <w:lang w:eastAsia="en-GB" w:bidi="he-IL"/>
          <w14:ligatures w14:val="none"/>
        </w:rPr>
        <w:t>Di, ‘Dark Womb and Gender War</w:t>
      </w:r>
      <w:r w:rsidR="00914F18" w:rsidRPr="00AF75F1">
        <w:rPr>
          <w:rFonts w:ascii="Calibri" w:eastAsia="Times New Roman" w:hAnsi="Calibri" w:cs="Calibri"/>
          <w:kern w:val="0"/>
          <w:lang w:eastAsia="en-GB" w:bidi="he-IL"/>
          <w14:ligatures w14:val="none"/>
        </w:rPr>
        <w:t>,’</w:t>
      </w:r>
      <w:r w:rsidR="00264ACB" w:rsidRPr="00AF75F1">
        <w:rPr>
          <w:rFonts w:ascii="Calibri" w:eastAsia="Times New Roman" w:hAnsi="Calibri" w:cs="Calibri"/>
          <w:kern w:val="0"/>
          <w:lang w:eastAsia="en-GB" w:bidi="he-IL"/>
          <w14:ligatures w14:val="none"/>
        </w:rPr>
        <w:t xml:space="preserve"> p. 881</w:t>
      </w:r>
      <w:proofErr w:type="gramStart"/>
      <w:r w:rsidR="00264ACB" w:rsidRPr="00AF75F1">
        <w:rPr>
          <w:rFonts w:ascii="Calibri" w:eastAsia="Times New Roman" w:hAnsi="Calibri" w:cs="Calibri"/>
          <w:kern w:val="0"/>
          <w:lang w:eastAsia="en-GB" w:bidi="he-IL"/>
          <w14:ligatures w14:val="none"/>
        </w:rPr>
        <w:t xml:space="preserve">. </w:t>
      </w:r>
      <w:r w:rsidR="00264ACB" w:rsidRPr="00AF75F1">
        <w:rPr>
          <w:rFonts w:ascii="Calibri" w:eastAsia="Times New Roman" w:hAnsi="Calibri" w:cs="Calibri"/>
          <w:kern w:val="0"/>
          <w:lang w:eastAsia="en-GB" w:bidi="he-IL"/>
          <w14:ligatures w14:val="none"/>
        </w:rPr>
        <w:t xml:space="preserve"> </w:t>
      </w:r>
      <w:proofErr w:type="gramEnd"/>
    </w:p>
  </w:footnote>
  <w:footnote w:id="12">
    <w:p w14:paraId="37C25F34" w14:textId="258598FC" w:rsidR="004C04D2" w:rsidRPr="00AF75F1" w:rsidRDefault="004C04D2">
      <w:pPr>
        <w:pStyle w:val="FootnoteText"/>
      </w:pPr>
      <w:r w:rsidRPr="00AF75F1">
        <w:rPr>
          <w:rStyle w:val="FootnoteReference"/>
        </w:rPr>
        <w:footnoteRef/>
      </w:r>
      <w:r w:rsidRPr="00AF75F1">
        <w:t xml:space="preserve"> </w:t>
      </w:r>
      <w:r w:rsidR="00264ACB" w:rsidRPr="00AF75F1">
        <w:rPr>
          <w:rFonts w:ascii="Calibri" w:eastAsia="Times New Roman" w:hAnsi="Calibri" w:cs="Calibri"/>
          <w:kern w:val="0"/>
          <w:lang w:eastAsia="en-GB" w:bidi="he-IL"/>
          <w14:ligatures w14:val="none"/>
        </w:rPr>
        <w:t>Ibid., p. 8</w:t>
      </w:r>
      <w:r w:rsidR="00264ACB" w:rsidRPr="00AF75F1">
        <w:rPr>
          <w:rFonts w:ascii="Calibri" w:eastAsia="Times New Roman" w:hAnsi="Calibri" w:cs="Calibri"/>
          <w:kern w:val="0"/>
          <w:lang w:eastAsia="en-GB" w:bidi="he-IL"/>
          <w14:ligatures w14:val="none"/>
        </w:rPr>
        <w:t>81.</w:t>
      </w:r>
    </w:p>
  </w:footnote>
  <w:footnote w:id="13">
    <w:p w14:paraId="3FD3EA93" w14:textId="22248EB4" w:rsidR="004761A5" w:rsidRPr="00AF75F1" w:rsidRDefault="004761A5">
      <w:pPr>
        <w:pStyle w:val="FootnoteText"/>
      </w:pPr>
      <w:r w:rsidRPr="00AF75F1">
        <w:rPr>
          <w:rStyle w:val="FootnoteReference"/>
        </w:rPr>
        <w:footnoteRef/>
      </w:r>
      <w:r w:rsidRPr="00AF75F1">
        <w:t xml:space="preserve"> </w:t>
      </w:r>
      <w:r w:rsidR="00264ACB" w:rsidRPr="00AF75F1">
        <w:rPr>
          <w:rFonts w:ascii="Calibri" w:eastAsia="Times New Roman" w:hAnsi="Calibri" w:cs="Calibri"/>
          <w:kern w:val="0"/>
          <w:lang w:eastAsia="en-GB" w:bidi="he-IL"/>
          <w14:ligatures w14:val="none"/>
        </w:rPr>
        <w:t>Ibid., p. 881.</w:t>
      </w:r>
    </w:p>
  </w:footnote>
  <w:footnote w:id="14">
    <w:p w14:paraId="779A245D" w14:textId="08C2D6EF" w:rsidR="004761A5" w:rsidRPr="00AF75F1" w:rsidRDefault="004761A5">
      <w:pPr>
        <w:pStyle w:val="FootnoteText"/>
      </w:pPr>
      <w:r w:rsidRPr="00AF75F1">
        <w:rPr>
          <w:rStyle w:val="FootnoteReference"/>
        </w:rPr>
        <w:footnoteRef/>
      </w:r>
      <w:r w:rsidRPr="00AF75F1">
        <w:t xml:space="preserve"> </w:t>
      </w:r>
      <w:r w:rsidR="00264ACB" w:rsidRPr="00AF75F1">
        <w:rPr>
          <w:rFonts w:ascii="Calibri" w:eastAsia="Times New Roman" w:hAnsi="Calibri" w:cs="Calibri"/>
          <w:kern w:val="0"/>
          <w:lang w:eastAsia="en-GB" w:bidi="he-IL"/>
          <w14:ligatures w14:val="none"/>
        </w:rPr>
        <w:t>Ibid., p. 881.</w:t>
      </w:r>
    </w:p>
  </w:footnote>
  <w:footnote w:id="15">
    <w:p w14:paraId="1E49F97E" w14:textId="3A01904C" w:rsidR="004761A5" w:rsidRPr="00AF75F1" w:rsidRDefault="004761A5">
      <w:pPr>
        <w:pStyle w:val="FootnoteText"/>
      </w:pPr>
      <w:r w:rsidRPr="00AF75F1">
        <w:rPr>
          <w:rStyle w:val="FootnoteReference"/>
        </w:rPr>
        <w:footnoteRef/>
      </w:r>
      <w:r w:rsidRPr="00AF75F1">
        <w:t xml:space="preserve"> </w:t>
      </w:r>
      <w:r w:rsidR="00264ACB" w:rsidRPr="00AF75F1">
        <w:rPr>
          <w:rFonts w:ascii="Calibri" w:eastAsia="Times New Roman" w:hAnsi="Calibri" w:cs="Calibri"/>
          <w:kern w:val="0"/>
          <w:lang w:eastAsia="en-GB" w:bidi="he-IL"/>
          <w14:ligatures w14:val="none"/>
        </w:rPr>
        <w:t>Ibid., p. 881.</w:t>
      </w:r>
    </w:p>
  </w:footnote>
  <w:footnote w:id="16">
    <w:p w14:paraId="721EF45C" w14:textId="45A5078A" w:rsidR="00CA54FC" w:rsidRPr="00AF75F1" w:rsidRDefault="00CA54FC" w:rsidP="00264ACB">
      <w:pPr>
        <w:rPr>
          <w:rFonts w:ascii="Times New Roman" w:eastAsia="Times New Roman" w:hAnsi="Times New Roman" w:cs="Times New Roman"/>
          <w:kern w:val="0"/>
          <w:sz w:val="20"/>
          <w:szCs w:val="20"/>
          <w:lang w:eastAsia="en-GB" w:bidi="he-IL"/>
          <w14:ligatures w14:val="none"/>
        </w:rPr>
      </w:pPr>
      <w:r w:rsidRPr="00AF75F1">
        <w:rPr>
          <w:rStyle w:val="FootnoteReference"/>
          <w:sz w:val="20"/>
          <w:szCs w:val="20"/>
        </w:rPr>
        <w:footnoteRef/>
      </w:r>
      <w:r w:rsidRPr="00AF75F1">
        <w:rPr>
          <w:sz w:val="20"/>
          <w:szCs w:val="20"/>
        </w:rPr>
        <w:t xml:space="preserve"> </w:t>
      </w:r>
      <w:r w:rsidR="00264ACB" w:rsidRPr="00AF75F1">
        <w:rPr>
          <w:rFonts w:ascii="Calibri" w:eastAsia="Times New Roman" w:hAnsi="Calibri" w:cs="Calibri"/>
          <w:kern w:val="0"/>
          <w:sz w:val="20"/>
          <w:szCs w:val="20"/>
          <w:lang w:eastAsia="en-GB" w:bidi="he-IL"/>
          <w14:ligatures w14:val="none"/>
        </w:rPr>
        <w:t xml:space="preserve">Barbara </w:t>
      </w:r>
      <w:proofErr w:type="spellStart"/>
      <w:r w:rsidR="00264ACB" w:rsidRPr="00AF75F1">
        <w:rPr>
          <w:rFonts w:ascii="Calibri" w:eastAsia="Times New Roman" w:hAnsi="Calibri" w:cs="Calibri"/>
          <w:kern w:val="0"/>
          <w:sz w:val="20"/>
          <w:szCs w:val="20"/>
          <w:lang w:eastAsia="en-GB" w:bidi="he-IL"/>
          <w14:ligatures w14:val="none"/>
        </w:rPr>
        <w:t>Grazioisi</w:t>
      </w:r>
      <w:proofErr w:type="spellEnd"/>
      <w:r w:rsidR="00264ACB" w:rsidRPr="00AF75F1">
        <w:rPr>
          <w:rFonts w:ascii="Calibri" w:eastAsia="Times New Roman" w:hAnsi="Calibri" w:cs="Calibri"/>
          <w:kern w:val="0"/>
          <w:sz w:val="20"/>
          <w:szCs w:val="20"/>
          <w:lang w:eastAsia="en-GB" w:bidi="he-IL"/>
          <w14:ligatures w14:val="none"/>
        </w:rPr>
        <w:t>, ‘Theologies of the Family in Homer and Hesiod</w:t>
      </w:r>
      <w:proofErr w:type="gramStart"/>
      <w:r w:rsidR="00264ACB" w:rsidRPr="00AF75F1">
        <w:rPr>
          <w:rFonts w:ascii="Calibri" w:eastAsia="Times New Roman" w:hAnsi="Calibri" w:cs="Calibri"/>
          <w:kern w:val="0"/>
          <w:sz w:val="20"/>
          <w:szCs w:val="20"/>
          <w:lang w:eastAsia="en-GB" w:bidi="he-IL"/>
          <w14:ligatures w14:val="none"/>
        </w:rPr>
        <w:t>’,</w:t>
      </w:r>
      <w:proofErr w:type="gramEnd"/>
      <w:r w:rsidR="00264ACB" w:rsidRPr="00AF75F1">
        <w:rPr>
          <w:rFonts w:ascii="Calibri" w:eastAsia="Times New Roman" w:hAnsi="Calibri" w:cs="Calibri"/>
          <w:kern w:val="0"/>
          <w:sz w:val="20"/>
          <w:szCs w:val="20"/>
          <w:lang w:eastAsia="en-GB" w:bidi="he-IL"/>
          <w14:ligatures w14:val="none"/>
        </w:rPr>
        <w:t xml:space="preserve"> in </w:t>
      </w:r>
      <w:r w:rsidR="00264ACB" w:rsidRPr="00AF75F1">
        <w:rPr>
          <w:rFonts w:ascii="Calibri" w:eastAsia="Times New Roman" w:hAnsi="Calibri" w:cs="Calibri"/>
          <w:i/>
          <w:iCs/>
          <w:kern w:val="0"/>
          <w:sz w:val="20"/>
          <w:szCs w:val="20"/>
          <w:lang w:eastAsia="en-GB" w:bidi="he-IL"/>
          <w14:ligatures w14:val="none"/>
        </w:rPr>
        <w:t>Theologies of Ancient Greek Religion</w:t>
      </w:r>
      <w:r w:rsidR="00264ACB" w:rsidRPr="00AF75F1">
        <w:rPr>
          <w:rFonts w:ascii="Calibri" w:eastAsia="Times New Roman" w:hAnsi="Calibri" w:cs="Calibri"/>
          <w:kern w:val="0"/>
          <w:sz w:val="20"/>
          <w:szCs w:val="20"/>
          <w:lang w:eastAsia="en-GB" w:bidi="he-IL"/>
          <w14:ligatures w14:val="none"/>
        </w:rPr>
        <w:t xml:space="preserve"> (Cambridge </w:t>
      </w:r>
      <w:proofErr w:type="spellStart"/>
      <w:r w:rsidR="00264ACB" w:rsidRPr="00AF75F1">
        <w:rPr>
          <w:rFonts w:ascii="Calibri" w:eastAsia="Times New Roman" w:hAnsi="Calibri" w:cs="Calibri"/>
          <w:kern w:val="0"/>
          <w:sz w:val="20"/>
          <w:szCs w:val="20"/>
          <w:lang w:eastAsia="en-GB" w:bidi="he-IL"/>
          <w14:ligatures w14:val="none"/>
        </w:rPr>
        <w:t>Cambridge</w:t>
      </w:r>
      <w:proofErr w:type="spellEnd"/>
      <w:r w:rsidR="00264ACB" w:rsidRPr="00AF75F1">
        <w:rPr>
          <w:rFonts w:ascii="Calibri" w:eastAsia="Times New Roman" w:hAnsi="Calibri" w:cs="Calibri"/>
          <w:kern w:val="0"/>
          <w:sz w:val="20"/>
          <w:szCs w:val="20"/>
          <w:lang w:eastAsia="en-GB" w:bidi="he-IL"/>
          <w14:ligatures w14:val="none"/>
        </w:rPr>
        <w:t xml:space="preserve"> University Press, 2016), p</w:t>
      </w:r>
      <w:r w:rsidR="00264ACB" w:rsidRPr="00AF75F1">
        <w:rPr>
          <w:rFonts w:ascii="Calibri" w:eastAsia="Times New Roman" w:hAnsi="Calibri" w:cs="Calibri"/>
          <w:kern w:val="0"/>
          <w:sz w:val="20"/>
          <w:szCs w:val="20"/>
          <w:lang w:eastAsia="en-GB" w:bidi="he-IL"/>
          <w14:ligatures w14:val="none"/>
        </w:rPr>
        <w:t xml:space="preserve">. 45. </w:t>
      </w:r>
    </w:p>
  </w:footnote>
  <w:footnote w:id="17">
    <w:p w14:paraId="775643C5" w14:textId="177B0AF6" w:rsidR="00DB1904" w:rsidRPr="00B2294C" w:rsidRDefault="00DB1904" w:rsidP="00B2294C">
      <w:pPr>
        <w:rPr>
          <w:rFonts w:ascii="Times New Roman" w:eastAsia="Times New Roman" w:hAnsi="Times New Roman" w:cs="Times New Roman"/>
          <w:kern w:val="0"/>
          <w:sz w:val="24"/>
          <w:szCs w:val="24"/>
          <w:lang w:eastAsia="en-GB" w:bidi="he-IL"/>
          <w14:ligatures w14:val="none"/>
        </w:rPr>
      </w:pPr>
      <w:r w:rsidRPr="00AF75F1">
        <w:rPr>
          <w:rStyle w:val="FootnoteReference"/>
          <w:sz w:val="20"/>
          <w:szCs w:val="20"/>
        </w:rPr>
        <w:footnoteRef/>
      </w:r>
      <w:r w:rsidRPr="00AF75F1">
        <w:rPr>
          <w:sz w:val="20"/>
          <w:szCs w:val="20"/>
        </w:rPr>
        <w:t xml:space="preserve"> </w:t>
      </w:r>
      <w:r w:rsidR="00B2294C" w:rsidRPr="00AF75F1">
        <w:rPr>
          <w:rFonts w:ascii="Calibri" w:eastAsia="Times New Roman" w:hAnsi="Calibri" w:cs="Calibri"/>
          <w:kern w:val="0"/>
          <w:sz w:val="20"/>
          <w:szCs w:val="20"/>
          <w:lang w:eastAsia="en-GB" w:bidi="he-IL"/>
          <w14:ligatures w14:val="none"/>
        </w:rPr>
        <w:t>P. Walcot, ‘Greek Attitudes towards Women: The Mythological Evidence</w:t>
      </w:r>
      <w:r w:rsidR="00B2294C" w:rsidRPr="00AF75F1">
        <w:rPr>
          <w:rFonts w:ascii="Calibri" w:eastAsia="Times New Roman" w:hAnsi="Calibri" w:cs="Calibri"/>
          <w:kern w:val="0"/>
          <w:sz w:val="20"/>
          <w:szCs w:val="20"/>
          <w:lang w:eastAsia="en-GB" w:bidi="he-IL"/>
          <w14:ligatures w14:val="none"/>
        </w:rPr>
        <w:t>,’</w:t>
      </w:r>
      <w:r w:rsidR="00B2294C" w:rsidRPr="00AF75F1">
        <w:rPr>
          <w:rFonts w:ascii="Calibri" w:eastAsia="Times New Roman" w:hAnsi="Calibri" w:cs="Calibri"/>
          <w:kern w:val="0"/>
          <w:sz w:val="20"/>
          <w:szCs w:val="20"/>
          <w:lang w:eastAsia="en-GB" w:bidi="he-IL"/>
          <w14:ligatures w14:val="none"/>
        </w:rPr>
        <w:t xml:space="preserve"> </w:t>
      </w:r>
      <w:r w:rsidR="00B2294C" w:rsidRPr="00AF75F1">
        <w:rPr>
          <w:rFonts w:ascii="Calibri" w:eastAsia="Times New Roman" w:hAnsi="Calibri" w:cs="Calibri"/>
          <w:i/>
          <w:iCs/>
          <w:kern w:val="0"/>
          <w:sz w:val="20"/>
          <w:szCs w:val="20"/>
          <w:lang w:eastAsia="en-GB" w:bidi="he-IL"/>
          <w14:ligatures w14:val="none"/>
        </w:rPr>
        <w:t>Greece and Rome</w:t>
      </w:r>
      <w:r w:rsidR="00B2294C" w:rsidRPr="00AF75F1">
        <w:rPr>
          <w:rFonts w:ascii="Calibri" w:eastAsia="Times New Roman" w:hAnsi="Calibri" w:cs="Calibri"/>
          <w:kern w:val="0"/>
          <w:sz w:val="20"/>
          <w:szCs w:val="20"/>
          <w:lang w:eastAsia="en-GB" w:bidi="he-IL"/>
          <w14:ligatures w14:val="none"/>
        </w:rPr>
        <w:t xml:space="preserve">, 31.1 (1984), </w:t>
      </w:r>
      <w:r w:rsidR="00B2294C" w:rsidRPr="00AF75F1">
        <w:rPr>
          <w:rFonts w:ascii="Calibri" w:eastAsia="Times New Roman" w:hAnsi="Calibri" w:cs="Calibri"/>
          <w:kern w:val="0"/>
          <w:sz w:val="20"/>
          <w:szCs w:val="20"/>
          <w:lang w:eastAsia="en-GB" w:bidi="he-IL"/>
          <w14:ligatures w14:val="none"/>
        </w:rPr>
        <w:t>p. 46.</w:t>
      </w:r>
      <w:r>
        <w:t xml:space="preserve"> </w:t>
      </w:r>
    </w:p>
  </w:footnote>
  <w:footnote w:id="18">
    <w:p w14:paraId="1525089A" w14:textId="2082F90C" w:rsidR="00EF79C9" w:rsidRPr="00AF75F1" w:rsidRDefault="00EF79C9" w:rsidP="00B2294C">
      <w:pPr>
        <w:rPr>
          <w:rFonts w:ascii="Times New Roman" w:eastAsia="Times New Roman" w:hAnsi="Times New Roman" w:cs="Times New Roman"/>
          <w:kern w:val="0"/>
          <w:sz w:val="20"/>
          <w:szCs w:val="20"/>
          <w:lang w:eastAsia="en-GB" w:bidi="he-IL"/>
          <w14:ligatures w14:val="none"/>
        </w:rPr>
      </w:pPr>
      <w:r w:rsidRPr="00AF75F1">
        <w:rPr>
          <w:rStyle w:val="FootnoteReference"/>
          <w:sz w:val="20"/>
          <w:szCs w:val="20"/>
        </w:rPr>
        <w:footnoteRef/>
      </w:r>
      <w:r w:rsidRPr="00AF75F1">
        <w:rPr>
          <w:sz w:val="20"/>
          <w:szCs w:val="20"/>
        </w:rPr>
        <w:t xml:space="preserve"> </w:t>
      </w:r>
      <w:r w:rsidR="00B2294C" w:rsidRPr="00AF75F1">
        <w:rPr>
          <w:rFonts w:ascii="Calibri" w:eastAsia="Times New Roman" w:hAnsi="Calibri" w:cs="Calibri"/>
          <w:kern w:val="0"/>
          <w:sz w:val="20"/>
          <w:szCs w:val="20"/>
          <w:lang w:eastAsia="en-GB" w:bidi="he-IL"/>
          <w14:ligatures w14:val="none"/>
        </w:rPr>
        <w:t>Anne Carson, ‘Putting Her in Her Place: Woman, Dirt and Desire</w:t>
      </w:r>
      <w:proofErr w:type="gramStart"/>
      <w:r w:rsidR="00B2294C" w:rsidRPr="00AF75F1">
        <w:rPr>
          <w:rFonts w:ascii="Calibri" w:eastAsia="Times New Roman" w:hAnsi="Calibri" w:cs="Calibri"/>
          <w:kern w:val="0"/>
          <w:sz w:val="20"/>
          <w:szCs w:val="20"/>
          <w:lang w:eastAsia="en-GB" w:bidi="he-IL"/>
          <w14:ligatures w14:val="none"/>
        </w:rPr>
        <w:t>’,</w:t>
      </w:r>
      <w:proofErr w:type="gramEnd"/>
      <w:r w:rsidR="00B2294C" w:rsidRPr="00AF75F1">
        <w:rPr>
          <w:rFonts w:ascii="Calibri" w:eastAsia="Times New Roman" w:hAnsi="Calibri" w:cs="Calibri"/>
          <w:kern w:val="0"/>
          <w:sz w:val="20"/>
          <w:szCs w:val="20"/>
          <w:lang w:eastAsia="en-GB" w:bidi="he-IL"/>
          <w14:ligatures w14:val="none"/>
        </w:rPr>
        <w:t xml:space="preserve"> in </w:t>
      </w:r>
      <w:r w:rsidR="00B2294C" w:rsidRPr="00AF75F1">
        <w:rPr>
          <w:rFonts w:ascii="Calibri" w:eastAsia="Times New Roman" w:hAnsi="Calibri" w:cs="Calibri"/>
          <w:i/>
          <w:iCs/>
          <w:kern w:val="0"/>
          <w:sz w:val="20"/>
          <w:szCs w:val="20"/>
          <w:lang w:eastAsia="en-GB" w:bidi="he-IL"/>
          <w14:ligatures w14:val="none"/>
        </w:rPr>
        <w:t>Before Sexuality: The Construction of Erotic Experience in the Ancient Greek World</w:t>
      </w:r>
      <w:r w:rsidR="00B2294C" w:rsidRPr="00AF75F1">
        <w:rPr>
          <w:rFonts w:ascii="Calibri" w:eastAsia="Times New Roman" w:hAnsi="Calibri" w:cs="Calibri"/>
          <w:kern w:val="0"/>
          <w:sz w:val="20"/>
          <w:szCs w:val="20"/>
          <w:lang w:eastAsia="en-GB" w:bidi="he-IL"/>
          <w14:ligatures w14:val="none"/>
        </w:rPr>
        <w:t xml:space="preserve"> (Princeton, NJ: Princeton University Press, 2020), p</w:t>
      </w:r>
      <w:r w:rsidR="00B2294C" w:rsidRPr="00AF75F1">
        <w:rPr>
          <w:rFonts w:ascii="Calibri" w:eastAsia="Times New Roman" w:hAnsi="Calibri" w:cs="Calibri"/>
          <w:kern w:val="0"/>
          <w:sz w:val="20"/>
          <w:szCs w:val="20"/>
          <w:lang w:eastAsia="en-GB" w:bidi="he-IL"/>
          <w14:ligatures w14:val="none"/>
        </w:rPr>
        <w:t>. 142.</w:t>
      </w:r>
    </w:p>
  </w:footnote>
  <w:footnote w:id="19">
    <w:p w14:paraId="194943EB" w14:textId="5CB0B379" w:rsidR="001555A9" w:rsidRPr="00AF75F1" w:rsidRDefault="001555A9" w:rsidP="00914F18">
      <w:pPr>
        <w:rPr>
          <w:rFonts w:ascii="Times New Roman" w:eastAsia="Times New Roman" w:hAnsi="Times New Roman" w:cs="Times New Roman"/>
          <w:kern w:val="0"/>
          <w:sz w:val="20"/>
          <w:szCs w:val="20"/>
          <w:lang w:eastAsia="en-GB" w:bidi="he-IL"/>
          <w14:ligatures w14:val="none"/>
        </w:rPr>
      </w:pPr>
      <w:r w:rsidRPr="00AF75F1">
        <w:rPr>
          <w:rStyle w:val="FootnoteReference"/>
          <w:sz w:val="20"/>
          <w:szCs w:val="20"/>
        </w:rPr>
        <w:footnoteRef/>
      </w:r>
      <w:r w:rsidRPr="00AF75F1">
        <w:rPr>
          <w:sz w:val="20"/>
          <w:szCs w:val="20"/>
        </w:rPr>
        <w:t xml:space="preserve"> </w:t>
      </w:r>
      <w:r w:rsidR="00914F18" w:rsidRPr="00AF75F1">
        <w:rPr>
          <w:rFonts w:ascii="Calibri" w:eastAsia="Times New Roman" w:hAnsi="Calibri" w:cs="Calibri"/>
          <w:kern w:val="0"/>
          <w:sz w:val="20"/>
          <w:szCs w:val="20"/>
          <w:lang w:eastAsia="en-GB" w:bidi="he-IL"/>
          <w14:ligatures w14:val="none"/>
        </w:rPr>
        <w:t xml:space="preserve">Nancy H Demand, </w:t>
      </w:r>
      <w:r w:rsidR="00914F18" w:rsidRPr="00AF75F1">
        <w:rPr>
          <w:rFonts w:ascii="Calibri" w:eastAsia="Times New Roman" w:hAnsi="Calibri" w:cs="Calibri"/>
          <w:i/>
          <w:iCs/>
          <w:kern w:val="0"/>
          <w:sz w:val="20"/>
          <w:szCs w:val="20"/>
          <w:lang w:eastAsia="en-GB" w:bidi="he-IL"/>
          <w14:ligatures w14:val="none"/>
        </w:rPr>
        <w:t>Birth, Death, and Motherhood in Classical Greece</w:t>
      </w:r>
      <w:r w:rsidR="00914F18" w:rsidRPr="00AF75F1">
        <w:rPr>
          <w:rFonts w:ascii="Calibri" w:eastAsia="Times New Roman" w:hAnsi="Calibri" w:cs="Calibri"/>
          <w:kern w:val="0"/>
          <w:sz w:val="20"/>
          <w:szCs w:val="20"/>
          <w:lang w:eastAsia="en-GB" w:bidi="he-IL"/>
          <w14:ligatures w14:val="none"/>
        </w:rPr>
        <w:t xml:space="preserve"> (Baltimore: Johns Hopkins University Press, 1994)</w:t>
      </w:r>
      <w:r w:rsidR="00914F18" w:rsidRPr="00AF75F1">
        <w:rPr>
          <w:rFonts w:ascii="Calibri" w:eastAsia="Times New Roman" w:hAnsi="Calibri" w:cs="Calibri"/>
          <w:kern w:val="0"/>
          <w:sz w:val="20"/>
          <w:szCs w:val="20"/>
          <w:lang w:eastAsia="en-GB" w:bidi="he-IL"/>
          <w14:ligatures w14:val="none"/>
        </w:rPr>
        <w:t>, p. 3.</w:t>
      </w:r>
      <w:r w:rsidRPr="00AF75F1">
        <w:rPr>
          <w:sz w:val="20"/>
          <w:szCs w:val="20"/>
        </w:rPr>
        <w:t xml:space="preserve"> </w:t>
      </w:r>
    </w:p>
  </w:footnote>
  <w:footnote w:id="20">
    <w:p w14:paraId="7A881C70" w14:textId="6CF41A06" w:rsidR="00744C66" w:rsidRPr="00AF75F1" w:rsidRDefault="00744C66">
      <w:pPr>
        <w:pStyle w:val="FootnoteText"/>
      </w:pPr>
      <w:r w:rsidRPr="00AF75F1">
        <w:rPr>
          <w:rStyle w:val="FootnoteReference"/>
        </w:rPr>
        <w:footnoteRef/>
      </w:r>
      <w:r w:rsidRPr="00AF75F1">
        <w:t xml:space="preserve"> </w:t>
      </w:r>
      <w:r w:rsidR="00914F18" w:rsidRPr="00AF75F1">
        <w:rPr>
          <w:rFonts w:ascii="Calibri" w:eastAsia="Times New Roman" w:hAnsi="Calibri" w:cs="Calibri"/>
          <w:kern w:val="0"/>
          <w:lang w:eastAsia="en-GB" w:bidi="he-IL"/>
          <w14:ligatures w14:val="none"/>
        </w:rPr>
        <w:t xml:space="preserve">Demand, </w:t>
      </w:r>
      <w:r w:rsidR="00914F18" w:rsidRPr="00AF75F1">
        <w:rPr>
          <w:rFonts w:ascii="Calibri" w:eastAsia="Times New Roman" w:hAnsi="Calibri" w:cs="Calibri"/>
          <w:i/>
          <w:iCs/>
          <w:kern w:val="0"/>
          <w:lang w:eastAsia="en-GB" w:bidi="he-IL"/>
          <w14:ligatures w14:val="none"/>
        </w:rPr>
        <w:t>Birth, Death, and Motherhood in Classical Greece</w:t>
      </w:r>
      <w:r w:rsidR="00914F18" w:rsidRPr="00AF75F1">
        <w:rPr>
          <w:rFonts w:ascii="Calibri" w:eastAsia="Times New Roman" w:hAnsi="Calibri" w:cs="Calibri"/>
          <w:kern w:val="0"/>
          <w:lang w:eastAsia="en-GB" w:bidi="he-IL"/>
          <w14:ligatures w14:val="none"/>
        </w:rPr>
        <w:t xml:space="preserve">, p. </w:t>
      </w:r>
      <w:r w:rsidRPr="00AF75F1">
        <w:t>147</w:t>
      </w:r>
      <w:r w:rsidR="00914F18" w:rsidRPr="00AF75F1">
        <w:t>.</w:t>
      </w:r>
    </w:p>
  </w:footnote>
  <w:footnote w:id="21">
    <w:p w14:paraId="02CF9937" w14:textId="277DBC71" w:rsidR="008F0377" w:rsidRPr="00AF75F1" w:rsidRDefault="008F0377">
      <w:pPr>
        <w:pStyle w:val="FootnoteText"/>
      </w:pPr>
      <w:r w:rsidRPr="00AF75F1">
        <w:rPr>
          <w:rStyle w:val="FootnoteReference"/>
        </w:rPr>
        <w:footnoteRef/>
      </w:r>
      <w:r w:rsidRPr="00AF75F1">
        <w:t xml:space="preserve"> </w:t>
      </w:r>
      <w:r w:rsidR="00914F18" w:rsidRPr="00AF75F1">
        <w:rPr>
          <w:rFonts w:ascii="Calibri" w:eastAsia="Times New Roman" w:hAnsi="Calibri" w:cs="Calibri"/>
          <w:kern w:val="0"/>
          <w:lang w:eastAsia="en-GB" w:bidi="he-IL"/>
          <w14:ligatures w14:val="none"/>
        </w:rPr>
        <w:t xml:space="preserve">Ibid., p. </w:t>
      </w:r>
      <w:r w:rsidR="00914F18" w:rsidRPr="00AF75F1">
        <w:rPr>
          <w:rFonts w:ascii="Calibri" w:eastAsia="Times New Roman" w:hAnsi="Calibri" w:cs="Calibri"/>
          <w:kern w:val="0"/>
          <w:lang w:eastAsia="en-GB" w:bidi="he-IL"/>
          <w14:ligatures w14:val="none"/>
        </w:rPr>
        <w:t xml:space="preserve">150. </w:t>
      </w:r>
    </w:p>
  </w:footnote>
  <w:footnote w:id="22">
    <w:p w14:paraId="1AC87A68" w14:textId="30D1613E" w:rsidR="00054A95" w:rsidRPr="00AF75F1" w:rsidRDefault="00054A95">
      <w:pPr>
        <w:pStyle w:val="FootnoteText"/>
      </w:pPr>
      <w:r w:rsidRPr="00AF75F1">
        <w:rPr>
          <w:rStyle w:val="FootnoteReference"/>
        </w:rPr>
        <w:footnoteRef/>
      </w:r>
      <w:r w:rsidRPr="00AF75F1">
        <w:t xml:space="preserve"> </w:t>
      </w:r>
      <w:r w:rsidR="00914F18" w:rsidRPr="00AF75F1">
        <w:rPr>
          <w:rFonts w:ascii="Calibri" w:eastAsia="Times New Roman" w:hAnsi="Calibri" w:cs="Calibri"/>
          <w:kern w:val="0"/>
          <w:lang w:eastAsia="en-GB" w:bidi="he-IL"/>
          <w14:ligatures w14:val="none"/>
        </w:rPr>
        <w:t xml:space="preserve">Ibid., p. </w:t>
      </w:r>
      <w:r w:rsidR="00914F18" w:rsidRPr="00AF75F1">
        <w:rPr>
          <w:rFonts w:ascii="Calibri" w:eastAsia="Times New Roman" w:hAnsi="Calibri" w:cs="Calibri"/>
          <w:kern w:val="0"/>
          <w:lang w:eastAsia="en-GB" w:bidi="he-IL"/>
          <w14:ligatures w14:val="none"/>
        </w:rPr>
        <w:t xml:space="preserve">22. </w:t>
      </w:r>
    </w:p>
  </w:footnote>
  <w:footnote w:id="23">
    <w:p w14:paraId="586E3B04" w14:textId="07FEF109" w:rsidR="00EE3ED5" w:rsidRPr="00AF75F1" w:rsidRDefault="00EE3ED5">
      <w:pPr>
        <w:pStyle w:val="FootnoteText"/>
      </w:pPr>
      <w:r w:rsidRPr="00AF75F1">
        <w:rPr>
          <w:rStyle w:val="FootnoteReference"/>
        </w:rPr>
        <w:footnoteRef/>
      </w:r>
      <w:r w:rsidRPr="00AF75F1">
        <w:t xml:space="preserve"> </w:t>
      </w:r>
      <w:r w:rsidR="00914F18" w:rsidRPr="00AF75F1">
        <w:rPr>
          <w:rFonts w:ascii="Calibri" w:eastAsia="Times New Roman" w:hAnsi="Calibri" w:cs="Calibri"/>
          <w:kern w:val="0"/>
          <w:lang w:eastAsia="en-GB" w:bidi="he-IL"/>
          <w14:ligatures w14:val="none"/>
        </w:rPr>
        <w:t>Di, ‘Dark Womb and Gender War,’ p. 881.</w:t>
      </w:r>
    </w:p>
  </w:footnote>
  <w:footnote w:id="24">
    <w:p w14:paraId="1C99E783" w14:textId="774AF863" w:rsidR="006641EE" w:rsidRPr="00AF75F1" w:rsidRDefault="006641EE">
      <w:pPr>
        <w:pStyle w:val="FootnoteText"/>
      </w:pPr>
      <w:r w:rsidRPr="00AF75F1">
        <w:rPr>
          <w:rStyle w:val="FootnoteReference"/>
        </w:rPr>
        <w:footnoteRef/>
      </w:r>
      <w:r w:rsidR="00F0518D" w:rsidRPr="00AF75F1">
        <w:t xml:space="preserve"> </w:t>
      </w:r>
      <w:proofErr w:type="spellStart"/>
      <w:r w:rsidR="00914F18" w:rsidRPr="00AF75F1">
        <w:rPr>
          <w:rFonts w:ascii="Calibri" w:eastAsia="Times New Roman" w:hAnsi="Calibri" w:cs="Calibri"/>
          <w:kern w:val="0"/>
          <w:lang w:eastAsia="en-GB" w:bidi="he-IL"/>
          <w14:ligatures w14:val="none"/>
        </w:rPr>
        <w:t>Grazioisi</w:t>
      </w:r>
      <w:proofErr w:type="spellEnd"/>
      <w:r w:rsidR="00914F18" w:rsidRPr="00AF75F1">
        <w:rPr>
          <w:rFonts w:ascii="Calibri" w:eastAsia="Times New Roman" w:hAnsi="Calibri" w:cs="Calibri"/>
          <w:kern w:val="0"/>
          <w:lang w:eastAsia="en-GB" w:bidi="he-IL"/>
          <w14:ligatures w14:val="none"/>
        </w:rPr>
        <w:t>, ‘Theologies of the Family in Homer and Hesiod</w:t>
      </w:r>
      <w:proofErr w:type="gramStart"/>
      <w:r w:rsidR="00914F18" w:rsidRPr="00AF75F1">
        <w:rPr>
          <w:rFonts w:ascii="Calibri" w:eastAsia="Times New Roman" w:hAnsi="Calibri" w:cs="Calibri"/>
          <w:kern w:val="0"/>
          <w:lang w:eastAsia="en-GB" w:bidi="he-IL"/>
          <w14:ligatures w14:val="none"/>
        </w:rPr>
        <w:t>’,</w:t>
      </w:r>
      <w:proofErr w:type="gramEnd"/>
      <w:r w:rsidR="00914F18" w:rsidRPr="00AF75F1">
        <w:rPr>
          <w:rFonts w:ascii="Calibri" w:eastAsia="Times New Roman" w:hAnsi="Calibri" w:cs="Calibri"/>
          <w:kern w:val="0"/>
          <w:lang w:eastAsia="en-GB" w:bidi="he-IL"/>
          <w14:ligatures w14:val="none"/>
        </w:rPr>
        <w:t xml:space="preserve"> </w:t>
      </w:r>
      <w:r w:rsidR="00914F18" w:rsidRPr="00AF75F1">
        <w:rPr>
          <w:rFonts w:ascii="Calibri" w:eastAsia="Times New Roman" w:hAnsi="Calibri" w:cs="Calibri"/>
          <w:kern w:val="0"/>
          <w:lang w:eastAsia="en-GB" w:bidi="he-IL"/>
          <w14:ligatures w14:val="none"/>
        </w:rPr>
        <w:t xml:space="preserve">p. 44. </w:t>
      </w:r>
    </w:p>
  </w:footnote>
  <w:footnote w:id="25">
    <w:p w14:paraId="34E60AD5" w14:textId="428B0534" w:rsidR="00657E71" w:rsidRPr="00AF75F1" w:rsidRDefault="00657E71">
      <w:pPr>
        <w:pStyle w:val="FootnoteText"/>
      </w:pPr>
      <w:r w:rsidRPr="00AF75F1">
        <w:rPr>
          <w:rStyle w:val="FootnoteReference"/>
        </w:rPr>
        <w:footnoteRef/>
      </w:r>
      <w:r w:rsidR="00914F18" w:rsidRPr="00AF75F1">
        <w:rPr>
          <w:rFonts w:ascii="Calibri" w:eastAsia="Times New Roman" w:hAnsi="Calibri" w:cs="Calibri"/>
          <w:kern w:val="0"/>
          <w:lang w:eastAsia="en-GB" w:bidi="he-IL"/>
          <w14:ligatures w14:val="none"/>
        </w:rPr>
        <w:t xml:space="preserve"> </w:t>
      </w:r>
      <w:r w:rsidR="00914F18" w:rsidRPr="00AF75F1">
        <w:rPr>
          <w:rFonts w:ascii="Calibri" w:eastAsia="Times New Roman" w:hAnsi="Calibri" w:cs="Calibri"/>
          <w:kern w:val="0"/>
          <w:lang w:eastAsia="en-GB" w:bidi="he-IL"/>
          <w14:ligatures w14:val="none"/>
        </w:rPr>
        <w:t>Walcot, ‘Greek Attitudes towards Women: The Mythological Evidence,</w:t>
      </w:r>
      <w:r w:rsidR="00914F18" w:rsidRPr="00AF75F1">
        <w:rPr>
          <w:rFonts w:ascii="Calibri" w:eastAsia="Times New Roman" w:hAnsi="Calibri" w:cs="Calibri"/>
          <w:kern w:val="0"/>
          <w:lang w:eastAsia="en-GB" w:bidi="he-IL"/>
          <w14:ligatures w14:val="none"/>
        </w:rPr>
        <w:t xml:space="preserve"> p. 45. </w:t>
      </w:r>
    </w:p>
  </w:footnote>
  <w:footnote w:id="26">
    <w:p w14:paraId="6BEC966E" w14:textId="7EDEBA21" w:rsidR="00CF058A" w:rsidRPr="00AF75F1" w:rsidRDefault="00CF058A">
      <w:pPr>
        <w:pStyle w:val="FootnoteText"/>
      </w:pPr>
      <w:r w:rsidRPr="00AF75F1">
        <w:rPr>
          <w:rStyle w:val="FootnoteReference"/>
        </w:rPr>
        <w:footnoteRef/>
      </w:r>
      <w:r w:rsidRPr="00AF75F1">
        <w:t xml:space="preserve"> </w:t>
      </w:r>
      <w:r w:rsidR="00914F18" w:rsidRPr="00AF75F1">
        <w:rPr>
          <w:rFonts w:ascii="Calibri" w:eastAsia="Times New Roman" w:hAnsi="Calibri" w:cs="Calibri"/>
          <w:kern w:val="0"/>
          <w:lang w:eastAsia="en-GB" w:bidi="he-IL"/>
          <w14:ligatures w14:val="none"/>
        </w:rPr>
        <w:t>Di, ‘Dark Womb and Gender War,’ p. 881.</w:t>
      </w:r>
    </w:p>
  </w:footnote>
  <w:footnote w:id="27">
    <w:p w14:paraId="72FAECD5" w14:textId="65FC87A7" w:rsidR="0020563D" w:rsidRPr="00914F18" w:rsidRDefault="0020563D" w:rsidP="00914F18">
      <w:pPr>
        <w:rPr>
          <w:rFonts w:ascii="Times New Roman" w:eastAsia="Times New Roman" w:hAnsi="Times New Roman" w:cs="Times New Roman"/>
          <w:kern w:val="0"/>
          <w:sz w:val="24"/>
          <w:szCs w:val="24"/>
          <w:lang w:eastAsia="en-GB" w:bidi="he-IL"/>
          <w14:ligatures w14:val="none"/>
        </w:rPr>
      </w:pPr>
      <w:r w:rsidRPr="00AF75F1">
        <w:rPr>
          <w:rStyle w:val="FootnoteReference"/>
          <w:sz w:val="20"/>
          <w:szCs w:val="20"/>
        </w:rPr>
        <w:footnoteRef/>
      </w:r>
      <w:r w:rsidRPr="00AF75F1">
        <w:rPr>
          <w:sz w:val="20"/>
          <w:szCs w:val="20"/>
        </w:rPr>
        <w:t xml:space="preserve"> </w:t>
      </w:r>
      <w:r w:rsidR="00914F18" w:rsidRPr="00AF75F1">
        <w:rPr>
          <w:rFonts w:ascii="Calibri" w:eastAsia="Times New Roman" w:hAnsi="Calibri" w:cs="Calibri"/>
          <w:kern w:val="0"/>
          <w:sz w:val="20"/>
          <w:szCs w:val="20"/>
          <w:lang w:eastAsia="en-GB" w:bidi="he-IL"/>
          <w14:ligatures w14:val="none"/>
        </w:rPr>
        <w:t>Marylin B. Arthyr, ‘Cultural Strategies in Hesiod’s Theogony: Law, Family, Society</w:t>
      </w:r>
      <w:proofErr w:type="gramStart"/>
      <w:r w:rsidR="00914F18" w:rsidRPr="00AF75F1">
        <w:rPr>
          <w:rFonts w:ascii="Calibri" w:eastAsia="Times New Roman" w:hAnsi="Calibri" w:cs="Calibri"/>
          <w:kern w:val="0"/>
          <w:sz w:val="20"/>
          <w:szCs w:val="20"/>
          <w:lang w:eastAsia="en-GB" w:bidi="he-IL"/>
          <w14:ligatures w14:val="none"/>
        </w:rPr>
        <w:t>’,</w:t>
      </w:r>
      <w:proofErr w:type="gramEnd"/>
      <w:r w:rsidR="00914F18" w:rsidRPr="00AF75F1">
        <w:rPr>
          <w:rFonts w:ascii="Calibri" w:eastAsia="Times New Roman" w:hAnsi="Calibri" w:cs="Calibri"/>
          <w:kern w:val="0"/>
          <w:sz w:val="20"/>
          <w:szCs w:val="20"/>
          <w:lang w:eastAsia="en-GB" w:bidi="he-IL"/>
          <w14:ligatures w14:val="none"/>
        </w:rPr>
        <w:t xml:space="preserve"> </w:t>
      </w:r>
      <w:r w:rsidR="00914F18" w:rsidRPr="00AF75F1">
        <w:rPr>
          <w:rFonts w:ascii="Calibri" w:eastAsia="Times New Roman" w:hAnsi="Calibri" w:cs="Calibri"/>
          <w:i/>
          <w:iCs/>
          <w:kern w:val="0"/>
          <w:sz w:val="20"/>
          <w:szCs w:val="20"/>
          <w:lang w:eastAsia="en-GB" w:bidi="he-IL"/>
          <w14:ligatures w14:val="none"/>
        </w:rPr>
        <w:t>Arethusa</w:t>
      </w:r>
      <w:r w:rsidR="00914F18" w:rsidRPr="00AF75F1">
        <w:rPr>
          <w:rFonts w:ascii="Calibri" w:eastAsia="Times New Roman" w:hAnsi="Calibri" w:cs="Calibri"/>
          <w:kern w:val="0"/>
          <w:sz w:val="20"/>
          <w:szCs w:val="20"/>
          <w:lang w:eastAsia="en-GB" w:bidi="he-IL"/>
          <w14:ligatures w14:val="none"/>
        </w:rPr>
        <w:t>, 15.1/2 (1982),</w:t>
      </w:r>
      <w:r w:rsidR="00914F18" w:rsidRPr="00AF75F1">
        <w:rPr>
          <w:rFonts w:ascii="Calibri" w:eastAsia="Times New Roman" w:hAnsi="Calibri" w:cs="Calibri"/>
          <w:kern w:val="0"/>
          <w:sz w:val="20"/>
          <w:szCs w:val="20"/>
          <w:lang w:eastAsia="en-GB" w:bidi="he-IL"/>
          <w14:ligatures w14:val="none"/>
        </w:rPr>
        <w:t xml:space="preserve"> p. 77.</w:t>
      </w:r>
      <w:r w:rsidR="00CE7025" w:rsidRPr="0027049B">
        <w:rPr>
          <w:sz w:val="20"/>
          <w:szCs w:val="20"/>
        </w:rPr>
        <w:t xml:space="preserve"> </w:t>
      </w:r>
    </w:p>
  </w:footnote>
  <w:footnote w:id="28">
    <w:p w14:paraId="77694CB6" w14:textId="63B211A7" w:rsidR="00CB3516" w:rsidRDefault="00CB3516">
      <w:pPr>
        <w:pStyle w:val="FootnoteText"/>
      </w:pPr>
      <w:r>
        <w:rPr>
          <w:rStyle w:val="FootnoteReference"/>
        </w:rPr>
        <w:footnoteRef/>
      </w:r>
      <w:r>
        <w:t xml:space="preserve"> </w:t>
      </w:r>
      <w:r w:rsidR="00914F18" w:rsidRPr="00B2294C">
        <w:rPr>
          <w:rFonts w:ascii="Calibri" w:eastAsia="Times New Roman" w:hAnsi="Calibri" w:cs="Calibri"/>
          <w:kern w:val="0"/>
          <w:lang w:eastAsia="en-GB" w:bidi="he-IL"/>
          <w14:ligatures w14:val="none"/>
        </w:rPr>
        <w:t>Walcot, ‘Greek Attitudes towards Women: The Mythological Evidence,</w:t>
      </w:r>
      <w:r w:rsidR="00914F18">
        <w:rPr>
          <w:rFonts w:ascii="Calibri" w:eastAsia="Times New Roman" w:hAnsi="Calibri" w:cs="Calibri"/>
          <w:kern w:val="0"/>
          <w:lang w:eastAsia="en-GB" w:bidi="he-IL"/>
          <w14:ligatures w14:val="none"/>
        </w:rPr>
        <w:t xml:space="preserve"> p. 45.</w:t>
      </w:r>
    </w:p>
  </w:footnote>
  <w:footnote w:id="29">
    <w:p w14:paraId="6B911F3B" w14:textId="444462E0" w:rsidR="00086BE4" w:rsidRDefault="00086BE4">
      <w:pPr>
        <w:pStyle w:val="FootnoteText"/>
      </w:pPr>
      <w:r>
        <w:rPr>
          <w:rStyle w:val="FootnoteReference"/>
        </w:rPr>
        <w:footnoteRef/>
      </w:r>
      <w:r>
        <w:t xml:space="preserve"> </w:t>
      </w:r>
      <w:r w:rsidR="00914F18" w:rsidRPr="00914F18">
        <w:rPr>
          <w:rFonts w:ascii="Calibri" w:eastAsia="Times New Roman" w:hAnsi="Calibri" w:cs="Calibri"/>
          <w:kern w:val="0"/>
          <w:lang w:eastAsia="en-GB" w:bidi="he-IL"/>
          <w14:ligatures w14:val="none"/>
        </w:rPr>
        <w:t>Arthyr, ‘Cultural Strategies in Hesiod’s Theogony: Law, Family, Society</w:t>
      </w:r>
      <w:proofErr w:type="gramStart"/>
      <w:r w:rsidR="00914F18" w:rsidRPr="00914F18">
        <w:rPr>
          <w:rFonts w:ascii="Calibri" w:eastAsia="Times New Roman" w:hAnsi="Calibri" w:cs="Calibri"/>
          <w:kern w:val="0"/>
          <w:lang w:eastAsia="en-GB" w:bidi="he-IL"/>
          <w14:ligatures w14:val="none"/>
        </w:rPr>
        <w:t>’</w:t>
      </w:r>
      <w:r w:rsidR="00914F18">
        <w:rPr>
          <w:rFonts w:ascii="Calibri" w:eastAsia="Times New Roman" w:hAnsi="Calibri" w:cs="Calibri"/>
          <w:kern w:val="0"/>
          <w:lang w:eastAsia="en-GB" w:bidi="he-IL"/>
          <w14:ligatures w14:val="none"/>
        </w:rPr>
        <w:t>,</w:t>
      </w:r>
      <w:proofErr w:type="gramEnd"/>
      <w:r w:rsidR="00914F18">
        <w:rPr>
          <w:rFonts w:ascii="Calibri" w:eastAsia="Times New Roman" w:hAnsi="Calibri" w:cs="Calibri"/>
          <w:kern w:val="0"/>
          <w:lang w:eastAsia="en-GB" w:bidi="he-IL"/>
          <w14:ligatures w14:val="none"/>
        </w:rPr>
        <w:t xml:space="preserve"> p. 78.</w:t>
      </w:r>
      <w:r>
        <w:t xml:space="preserve"> </w:t>
      </w:r>
    </w:p>
  </w:footnote>
  <w:footnote w:id="30">
    <w:p w14:paraId="73064DB4" w14:textId="21158DBB" w:rsidR="00386BE7" w:rsidRDefault="00386BE7">
      <w:pPr>
        <w:pStyle w:val="FootnoteText"/>
      </w:pPr>
      <w:r>
        <w:rPr>
          <w:rStyle w:val="FootnoteReference"/>
        </w:rPr>
        <w:footnoteRef/>
      </w:r>
      <w:r>
        <w:t xml:space="preserve"> </w:t>
      </w:r>
      <w:r w:rsidR="00914F18" w:rsidRPr="00264ACB">
        <w:rPr>
          <w:rFonts w:ascii="Calibri" w:eastAsia="Times New Roman" w:hAnsi="Calibri" w:cs="Calibri"/>
          <w:kern w:val="0"/>
          <w:lang w:eastAsia="en-GB" w:bidi="he-IL"/>
          <w14:ligatures w14:val="none"/>
        </w:rPr>
        <w:t>Di, ‘Dark Womb and Gender War</w:t>
      </w:r>
      <w:r w:rsidR="00914F18">
        <w:rPr>
          <w:rFonts w:ascii="Calibri" w:eastAsia="Times New Roman" w:hAnsi="Calibri" w:cs="Calibri"/>
          <w:kern w:val="0"/>
          <w:lang w:eastAsia="en-GB" w:bidi="he-IL"/>
          <w14:ligatures w14:val="none"/>
        </w:rPr>
        <w:t>,’ p. 881.</w:t>
      </w:r>
    </w:p>
  </w:footnote>
  <w:footnote w:id="31">
    <w:p w14:paraId="3FCB49EC" w14:textId="355043FA" w:rsidR="00992410" w:rsidRDefault="00992410">
      <w:pPr>
        <w:pStyle w:val="FootnoteText"/>
      </w:pPr>
      <w:r>
        <w:rPr>
          <w:rStyle w:val="FootnoteReference"/>
        </w:rPr>
        <w:footnoteRef/>
      </w:r>
      <w:r>
        <w:t xml:space="preserve"> </w:t>
      </w:r>
      <w:r w:rsidR="00914F18" w:rsidRPr="007D4174">
        <w:rPr>
          <w:rFonts w:ascii="Calibri" w:eastAsia="Times New Roman" w:hAnsi="Calibri" w:cs="Calibri"/>
          <w:kern w:val="0"/>
          <w:lang w:eastAsia="en-GB" w:bidi="he-IL"/>
          <w14:ligatures w14:val="none"/>
        </w:rPr>
        <w:t>Marquardt, ‘Hesiod’s Ambiguous View of Woman</w:t>
      </w:r>
      <w:proofErr w:type="gramStart"/>
      <w:r w:rsidR="00914F18" w:rsidRPr="007D4174">
        <w:rPr>
          <w:rFonts w:ascii="Calibri" w:eastAsia="Times New Roman" w:hAnsi="Calibri" w:cs="Calibri"/>
          <w:kern w:val="0"/>
          <w:lang w:eastAsia="en-GB" w:bidi="he-IL"/>
          <w14:ligatures w14:val="none"/>
        </w:rPr>
        <w:t>’</w:t>
      </w:r>
      <w:r w:rsidR="00914F18">
        <w:rPr>
          <w:rFonts w:ascii="Calibri" w:eastAsia="Times New Roman" w:hAnsi="Calibri" w:cs="Calibri"/>
          <w:kern w:val="0"/>
          <w:lang w:eastAsia="en-GB" w:bidi="he-IL"/>
          <w14:ligatures w14:val="none"/>
        </w:rPr>
        <w:t>,</w:t>
      </w:r>
      <w:proofErr w:type="gramEnd"/>
      <w:r w:rsidR="00914F18">
        <w:rPr>
          <w:rFonts w:ascii="Calibri" w:eastAsia="Times New Roman" w:hAnsi="Calibri" w:cs="Calibri"/>
          <w:kern w:val="0"/>
          <w:lang w:eastAsia="en-GB" w:bidi="he-IL"/>
          <w14:ligatures w14:val="none"/>
        </w:rPr>
        <w:t xml:space="preserve"> p. 283. </w:t>
      </w:r>
    </w:p>
  </w:footnote>
  <w:footnote w:id="32">
    <w:p w14:paraId="67A3BCC3" w14:textId="1F325BA8" w:rsidR="00B413E7" w:rsidRDefault="00B413E7">
      <w:pPr>
        <w:pStyle w:val="FootnoteText"/>
      </w:pPr>
      <w:r>
        <w:rPr>
          <w:rStyle w:val="FootnoteReference"/>
        </w:rPr>
        <w:footnoteRef/>
      </w:r>
      <w:r w:rsidR="00914F18">
        <w:t xml:space="preserve"> </w:t>
      </w:r>
      <w:r w:rsidR="00914F18">
        <w:rPr>
          <w:rFonts w:ascii="Calibri" w:eastAsia="Times New Roman" w:hAnsi="Calibri" w:cs="Calibri"/>
          <w:kern w:val="0"/>
          <w:lang w:eastAsia="en-GB" w:bidi="he-IL"/>
          <w14:ligatures w14:val="none"/>
        </w:rPr>
        <w:t xml:space="preserve">Ibid., p. </w:t>
      </w:r>
      <w:r w:rsidR="00914F18">
        <w:rPr>
          <w:rFonts w:ascii="Calibri" w:eastAsia="Times New Roman" w:hAnsi="Calibri" w:cs="Calibri"/>
          <w:kern w:val="0"/>
          <w:lang w:eastAsia="en-GB" w:bidi="he-IL"/>
          <w14:ligatures w14:val="none"/>
        </w:rPr>
        <w:t xml:space="preserve">285. </w:t>
      </w:r>
    </w:p>
  </w:footnote>
  <w:footnote w:id="33">
    <w:p w14:paraId="7DC6819A" w14:textId="54073AC1" w:rsidR="00140586" w:rsidRDefault="00140586">
      <w:pPr>
        <w:pStyle w:val="FootnoteText"/>
      </w:pPr>
      <w:r>
        <w:rPr>
          <w:rStyle w:val="FootnoteReference"/>
        </w:rPr>
        <w:footnoteRef/>
      </w:r>
      <w:r>
        <w:t xml:space="preserve"> </w:t>
      </w:r>
      <w:r w:rsidR="00914F18">
        <w:rPr>
          <w:rFonts w:ascii="Calibri" w:eastAsia="Times New Roman" w:hAnsi="Calibri" w:cs="Calibri"/>
          <w:kern w:val="0"/>
          <w:lang w:eastAsia="en-GB" w:bidi="he-IL"/>
          <w14:ligatures w14:val="none"/>
        </w:rPr>
        <w:t>Ibid., p. 28</w:t>
      </w:r>
      <w:r w:rsidR="00914F18">
        <w:rPr>
          <w:rFonts w:ascii="Calibri" w:eastAsia="Times New Roman" w:hAnsi="Calibri" w:cs="Calibri"/>
          <w:kern w:val="0"/>
          <w:lang w:eastAsia="en-GB" w:bidi="he-IL"/>
          <w14:ligatures w14:val="none"/>
        </w:rPr>
        <w:t>4.</w:t>
      </w:r>
    </w:p>
  </w:footnote>
  <w:footnote w:id="34">
    <w:p w14:paraId="129E0377" w14:textId="07E6150C" w:rsidR="00D80953" w:rsidRDefault="00D80953">
      <w:pPr>
        <w:pStyle w:val="FootnoteText"/>
      </w:pPr>
      <w:r>
        <w:rPr>
          <w:rStyle w:val="FootnoteReference"/>
        </w:rPr>
        <w:footnoteRef/>
      </w:r>
      <w:r>
        <w:t xml:space="preserve"> </w:t>
      </w:r>
      <w:r w:rsidR="00914F18">
        <w:rPr>
          <w:rFonts w:ascii="Calibri" w:eastAsia="Times New Roman" w:hAnsi="Calibri" w:cs="Calibri"/>
          <w:kern w:val="0"/>
          <w:lang w:eastAsia="en-GB" w:bidi="he-IL"/>
          <w14:ligatures w14:val="none"/>
        </w:rPr>
        <w:t>Ibid., p. 28</w:t>
      </w:r>
      <w:r w:rsidR="00914F18">
        <w:rPr>
          <w:rFonts w:ascii="Calibri" w:eastAsia="Times New Roman" w:hAnsi="Calibri" w:cs="Calibri"/>
          <w:kern w:val="0"/>
          <w:lang w:eastAsia="en-GB" w:bidi="he-IL"/>
          <w14:ligatures w14:val="none"/>
        </w:rPr>
        <w:t xml:space="preserve">3. </w:t>
      </w:r>
    </w:p>
  </w:footnote>
  <w:footnote w:id="35">
    <w:p w14:paraId="60098EA8" w14:textId="7D825496" w:rsidR="0083591B" w:rsidRDefault="0083591B">
      <w:pPr>
        <w:pStyle w:val="FootnoteText"/>
      </w:pPr>
      <w:r>
        <w:rPr>
          <w:rStyle w:val="FootnoteReference"/>
        </w:rPr>
        <w:footnoteRef/>
      </w:r>
      <w:r>
        <w:t xml:space="preserve"> </w:t>
      </w:r>
      <w:r w:rsidR="00914F18">
        <w:rPr>
          <w:rFonts w:ascii="Calibri" w:eastAsia="Times New Roman" w:hAnsi="Calibri" w:cs="Calibri"/>
          <w:kern w:val="0"/>
          <w:lang w:eastAsia="en-GB" w:bidi="he-IL"/>
          <w14:ligatures w14:val="none"/>
        </w:rPr>
        <w:t>Ibid., p. 283.</w:t>
      </w:r>
    </w:p>
  </w:footnote>
  <w:footnote w:id="36">
    <w:p w14:paraId="752BDA7C" w14:textId="3F841B5B" w:rsidR="000469CD" w:rsidRDefault="000469CD">
      <w:pPr>
        <w:pStyle w:val="FootnoteText"/>
      </w:pPr>
      <w:r>
        <w:rPr>
          <w:rStyle w:val="FootnoteReference"/>
        </w:rPr>
        <w:footnoteRef/>
      </w:r>
      <w:r>
        <w:t xml:space="preserve"> </w:t>
      </w:r>
      <w:r w:rsidR="0027049B" w:rsidRPr="00914F18">
        <w:rPr>
          <w:rFonts w:ascii="Calibri" w:eastAsia="Times New Roman" w:hAnsi="Calibri" w:cs="Calibri"/>
          <w:kern w:val="0"/>
          <w:lang w:eastAsia="en-GB" w:bidi="he-IL"/>
          <w14:ligatures w14:val="none"/>
        </w:rPr>
        <w:t>Arthyr, ‘Cultural Strategies in Hesiod’s Theogony: Law, Family, Society</w:t>
      </w:r>
      <w:proofErr w:type="gramStart"/>
      <w:r w:rsidR="0027049B" w:rsidRPr="00914F18">
        <w:rPr>
          <w:rFonts w:ascii="Calibri" w:eastAsia="Times New Roman" w:hAnsi="Calibri" w:cs="Calibri"/>
          <w:kern w:val="0"/>
          <w:lang w:eastAsia="en-GB" w:bidi="he-IL"/>
          <w14:ligatures w14:val="none"/>
        </w:rPr>
        <w:t>’</w:t>
      </w:r>
      <w:r w:rsidR="0027049B">
        <w:rPr>
          <w:rFonts w:ascii="Calibri" w:eastAsia="Times New Roman" w:hAnsi="Calibri" w:cs="Calibri"/>
          <w:kern w:val="0"/>
          <w:lang w:eastAsia="en-GB" w:bidi="he-IL"/>
          <w14:ligatures w14:val="none"/>
        </w:rPr>
        <w:t>,</w:t>
      </w:r>
      <w:proofErr w:type="gramEnd"/>
      <w:r w:rsidR="0027049B">
        <w:rPr>
          <w:rFonts w:ascii="Calibri" w:eastAsia="Times New Roman" w:hAnsi="Calibri" w:cs="Calibri"/>
          <w:kern w:val="0"/>
          <w:lang w:eastAsia="en-GB" w:bidi="he-IL"/>
          <w14:ligatures w14:val="none"/>
        </w:rPr>
        <w:t xml:space="preserve"> p. </w:t>
      </w:r>
      <w:r w:rsidR="0027049B">
        <w:rPr>
          <w:rFonts w:ascii="Calibri" w:eastAsia="Times New Roman" w:hAnsi="Calibri" w:cs="Calibri"/>
          <w:kern w:val="0"/>
          <w:lang w:eastAsia="en-GB" w:bidi="he-IL"/>
          <w14:ligatures w14:val="none"/>
        </w:rPr>
        <w:t>66.</w:t>
      </w:r>
    </w:p>
  </w:footnote>
  <w:footnote w:id="37">
    <w:p w14:paraId="3A929558" w14:textId="3562CE5F" w:rsidR="00DF0F5C" w:rsidRDefault="00DF0F5C" w:rsidP="00DF0F5C">
      <w:pPr>
        <w:pStyle w:val="FootnoteText"/>
      </w:pPr>
      <w:r>
        <w:rPr>
          <w:rStyle w:val="FootnoteReference"/>
        </w:rPr>
        <w:footnoteRef/>
      </w:r>
      <w:r>
        <w:t xml:space="preserve"> </w:t>
      </w:r>
      <w:r w:rsidR="0027049B" w:rsidRPr="00914F18">
        <w:rPr>
          <w:rFonts w:ascii="Calibri" w:eastAsia="Times New Roman" w:hAnsi="Calibri" w:cs="Calibri"/>
          <w:kern w:val="0"/>
          <w:lang w:eastAsia="en-GB" w:bidi="he-IL"/>
          <w14:ligatures w14:val="none"/>
        </w:rPr>
        <w:t>Arthyr, ‘Cultural Strategies in Hesiod’s Theogony: Law, Family, Society</w:t>
      </w:r>
      <w:proofErr w:type="gramStart"/>
      <w:r w:rsidR="0027049B" w:rsidRPr="00914F18">
        <w:rPr>
          <w:rFonts w:ascii="Calibri" w:eastAsia="Times New Roman" w:hAnsi="Calibri" w:cs="Calibri"/>
          <w:kern w:val="0"/>
          <w:lang w:eastAsia="en-GB" w:bidi="he-IL"/>
          <w14:ligatures w14:val="none"/>
        </w:rPr>
        <w:t>’</w:t>
      </w:r>
      <w:r w:rsidR="0027049B">
        <w:rPr>
          <w:rFonts w:ascii="Calibri" w:eastAsia="Times New Roman" w:hAnsi="Calibri" w:cs="Calibri"/>
          <w:kern w:val="0"/>
          <w:lang w:eastAsia="en-GB" w:bidi="he-IL"/>
          <w14:ligatures w14:val="none"/>
        </w:rPr>
        <w:t>,</w:t>
      </w:r>
      <w:proofErr w:type="gramEnd"/>
      <w:r w:rsidR="0027049B">
        <w:rPr>
          <w:rFonts w:ascii="Calibri" w:eastAsia="Times New Roman" w:hAnsi="Calibri" w:cs="Calibri"/>
          <w:kern w:val="0"/>
          <w:lang w:eastAsia="en-GB" w:bidi="he-IL"/>
          <w14:ligatures w14:val="none"/>
        </w:rPr>
        <w:t xml:space="preserve"> p. </w:t>
      </w:r>
      <w:r w:rsidR="0027049B">
        <w:rPr>
          <w:rFonts w:ascii="Calibri" w:eastAsia="Times New Roman" w:hAnsi="Calibri" w:cs="Calibri"/>
          <w:kern w:val="0"/>
          <w:lang w:eastAsia="en-GB" w:bidi="he-IL"/>
          <w14:ligatures w14:val="none"/>
        </w:rPr>
        <w:t>70.</w:t>
      </w:r>
    </w:p>
  </w:footnote>
  <w:footnote w:id="38">
    <w:p w14:paraId="7A5572F2" w14:textId="769A2BA7" w:rsidR="00AD2CAC" w:rsidRPr="00AF75F1" w:rsidRDefault="00AD2CAC">
      <w:pPr>
        <w:pStyle w:val="FootnoteText"/>
      </w:pPr>
      <w:r w:rsidRPr="00AF75F1">
        <w:rPr>
          <w:rStyle w:val="FootnoteReference"/>
        </w:rPr>
        <w:footnoteRef/>
      </w:r>
      <w:r w:rsidRPr="00AF75F1">
        <w:t xml:space="preserve"> </w:t>
      </w:r>
      <w:r w:rsidR="0027049B" w:rsidRPr="00AF75F1">
        <w:rPr>
          <w:rFonts w:ascii="Calibri" w:eastAsia="Times New Roman" w:hAnsi="Calibri" w:cs="Calibri"/>
          <w:kern w:val="0"/>
          <w:lang w:eastAsia="en-GB" w:bidi="he-IL"/>
          <w14:ligatures w14:val="none"/>
        </w:rPr>
        <w:t>Di, ‘Dark Womb and Gender War,’ p. 88</w:t>
      </w:r>
      <w:r w:rsidR="0027049B" w:rsidRPr="00AF75F1">
        <w:rPr>
          <w:rFonts w:ascii="Calibri" w:eastAsia="Times New Roman" w:hAnsi="Calibri" w:cs="Calibri"/>
          <w:kern w:val="0"/>
          <w:lang w:eastAsia="en-GB" w:bidi="he-IL"/>
          <w14:ligatures w14:val="none"/>
        </w:rPr>
        <w:t>3.</w:t>
      </w:r>
    </w:p>
  </w:footnote>
  <w:footnote w:id="39">
    <w:p w14:paraId="72764F4E" w14:textId="53131444" w:rsidR="005A544D" w:rsidRPr="00AF75F1" w:rsidRDefault="005A544D" w:rsidP="0027049B">
      <w:pPr>
        <w:rPr>
          <w:rFonts w:ascii="Times New Roman" w:eastAsia="Times New Roman" w:hAnsi="Times New Roman" w:cs="Times New Roman"/>
          <w:kern w:val="0"/>
          <w:sz w:val="20"/>
          <w:szCs w:val="20"/>
          <w:lang w:eastAsia="en-GB" w:bidi="he-IL"/>
          <w14:ligatures w14:val="none"/>
        </w:rPr>
      </w:pPr>
      <w:r w:rsidRPr="00AF75F1">
        <w:rPr>
          <w:rStyle w:val="FootnoteReference"/>
          <w:sz w:val="20"/>
          <w:szCs w:val="20"/>
        </w:rPr>
        <w:footnoteRef/>
      </w:r>
      <w:r w:rsidRPr="00AF75F1">
        <w:rPr>
          <w:sz w:val="20"/>
          <w:szCs w:val="20"/>
        </w:rPr>
        <w:t xml:space="preserve"> </w:t>
      </w:r>
      <w:r w:rsidR="0027049B" w:rsidRPr="00AF75F1">
        <w:rPr>
          <w:rFonts w:ascii="Calibri" w:eastAsia="Times New Roman" w:hAnsi="Calibri" w:cs="Calibri"/>
          <w:kern w:val="0"/>
          <w:sz w:val="20"/>
          <w:szCs w:val="20"/>
          <w:lang w:eastAsia="en-GB" w:bidi="he-IL"/>
          <w14:ligatures w14:val="none"/>
        </w:rPr>
        <w:t xml:space="preserve">Meltem </w:t>
      </w:r>
      <w:proofErr w:type="spellStart"/>
      <w:r w:rsidR="0027049B" w:rsidRPr="00AF75F1">
        <w:rPr>
          <w:rFonts w:ascii="Calibri" w:eastAsia="Times New Roman" w:hAnsi="Calibri" w:cs="Calibri"/>
          <w:kern w:val="0"/>
          <w:sz w:val="20"/>
          <w:szCs w:val="20"/>
          <w:lang w:eastAsia="en-GB" w:bidi="he-IL"/>
          <w14:ligatures w14:val="none"/>
        </w:rPr>
        <w:t>Uzunoglu</w:t>
      </w:r>
      <w:proofErr w:type="spellEnd"/>
      <w:r w:rsidR="0027049B" w:rsidRPr="00AF75F1">
        <w:rPr>
          <w:rFonts w:ascii="Calibri" w:eastAsia="Times New Roman" w:hAnsi="Calibri" w:cs="Calibri"/>
          <w:kern w:val="0"/>
          <w:sz w:val="20"/>
          <w:szCs w:val="20"/>
          <w:lang w:eastAsia="en-GB" w:bidi="he-IL"/>
          <w14:ligatures w14:val="none"/>
        </w:rPr>
        <w:t xml:space="preserve"> Erten, ‘Hesiod’s Theogony: Rise of Rational Mind and Patriarchy in Ancient Greece</w:t>
      </w:r>
      <w:proofErr w:type="gramStart"/>
      <w:r w:rsidR="0027049B" w:rsidRPr="00AF75F1">
        <w:rPr>
          <w:rFonts w:ascii="Calibri" w:eastAsia="Times New Roman" w:hAnsi="Calibri" w:cs="Calibri"/>
          <w:kern w:val="0"/>
          <w:sz w:val="20"/>
          <w:szCs w:val="20"/>
          <w:lang w:eastAsia="en-GB" w:bidi="he-IL"/>
          <w14:ligatures w14:val="none"/>
        </w:rPr>
        <w:t>’,</w:t>
      </w:r>
      <w:proofErr w:type="gramEnd"/>
      <w:r w:rsidR="0027049B" w:rsidRPr="00AF75F1">
        <w:rPr>
          <w:rFonts w:ascii="Calibri" w:eastAsia="Times New Roman" w:hAnsi="Calibri" w:cs="Calibri"/>
          <w:kern w:val="0"/>
          <w:sz w:val="20"/>
          <w:szCs w:val="20"/>
          <w:lang w:eastAsia="en-GB" w:bidi="he-IL"/>
          <w14:ligatures w14:val="none"/>
        </w:rPr>
        <w:t xml:space="preserve"> </w:t>
      </w:r>
      <w:proofErr w:type="spellStart"/>
      <w:r w:rsidR="0027049B" w:rsidRPr="00AF75F1">
        <w:rPr>
          <w:rFonts w:ascii="Calibri" w:eastAsia="Times New Roman" w:hAnsi="Calibri" w:cs="Calibri"/>
          <w:i/>
          <w:iCs/>
          <w:kern w:val="0"/>
          <w:sz w:val="20"/>
          <w:szCs w:val="20"/>
          <w:lang w:eastAsia="en-GB" w:bidi="he-IL"/>
          <w14:ligatures w14:val="none"/>
        </w:rPr>
        <w:t>Pamukkale</w:t>
      </w:r>
      <w:proofErr w:type="spellEnd"/>
      <w:r w:rsidR="0027049B" w:rsidRPr="00AF75F1">
        <w:rPr>
          <w:rFonts w:ascii="Calibri" w:eastAsia="Times New Roman" w:hAnsi="Calibri" w:cs="Calibri"/>
          <w:i/>
          <w:iCs/>
          <w:kern w:val="0"/>
          <w:sz w:val="20"/>
          <w:szCs w:val="20"/>
          <w:lang w:eastAsia="en-GB" w:bidi="he-IL"/>
          <w14:ligatures w14:val="none"/>
        </w:rPr>
        <w:t xml:space="preserve"> University Journal of Social Sciences Institute</w:t>
      </w:r>
      <w:r w:rsidR="0027049B" w:rsidRPr="00AF75F1">
        <w:rPr>
          <w:rFonts w:ascii="Calibri" w:eastAsia="Times New Roman" w:hAnsi="Calibri" w:cs="Calibri"/>
          <w:kern w:val="0"/>
          <w:sz w:val="20"/>
          <w:szCs w:val="20"/>
          <w:lang w:eastAsia="en-GB" w:bidi="he-IL"/>
          <w14:ligatures w14:val="none"/>
        </w:rPr>
        <w:t xml:space="preserve">, 40 (2020), </w:t>
      </w:r>
      <w:r w:rsidR="0027049B" w:rsidRPr="00AF75F1">
        <w:rPr>
          <w:rFonts w:ascii="Calibri" w:eastAsia="Times New Roman" w:hAnsi="Calibri" w:cs="Calibri"/>
          <w:kern w:val="0"/>
          <w:sz w:val="20"/>
          <w:szCs w:val="20"/>
          <w:lang w:eastAsia="en-GB" w:bidi="he-IL"/>
          <w14:ligatures w14:val="none"/>
        </w:rPr>
        <w:t>p. 423.</w:t>
      </w:r>
    </w:p>
  </w:footnote>
  <w:footnote w:id="40">
    <w:p w14:paraId="55A961C9" w14:textId="7CBAB7A6" w:rsidR="00CF1F7F" w:rsidRPr="00AF75F1" w:rsidRDefault="00CF1F7F">
      <w:pPr>
        <w:pStyle w:val="FootnoteText"/>
      </w:pPr>
      <w:r w:rsidRPr="00AF75F1">
        <w:rPr>
          <w:rStyle w:val="FootnoteReference"/>
        </w:rPr>
        <w:footnoteRef/>
      </w:r>
      <w:r w:rsidRPr="00AF75F1">
        <w:t xml:space="preserve"> </w:t>
      </w:r>
      <w:r w:rsidR="0027049B" w:rsidRPr="00AF75F1">
        <w:rPr>
          <w:rFonts w:ascii="Calibri" w:eastAsia="Times New Roman" w:hAnsi="Calibri" w:cs="Calibri"/>
          <w:kern w:val="0"/>
          <w:lang w:eastAsia="en-GB" w:bidi="he-IL"/>
          <w14:ligatures w14:val="none"/>
        </w:rPr>
        <w:t xml:space="preserve">Ibid., p. </w:t>
      </w:r>
      <w:r w:rsidR="0027049B" w:rsidRPr="00AF75F1">
        <w:rPr>
          <w:rFonts w:ascii="Calibri" w:eastAsia="Times New Roman" w:hAnsi="Calibri" w:cs="Calibri"/>
          <w:kern w:val="0"/>
          <w:lang w:eastAsia="en-GB" w:bidi="he-IL"/>
          <w14:ligatures w14:val="none"/>
        </w:rPr>
        <w:t>423.</w:t>
      </w:r>
    </w:p>
  </w:footnote>
  <w:footnote w:id="41">
    <w:p w14:paraId="48425055" w14:textId="68184447" w:rsidR="00A879BE" w:rsidRPr="00AF75F1" w:rsidRDefault="00A879BE">
      <w:pPr>
        <w:pStyle w:val="FootnoteText"/>
      </w:pPr>
      <w:r w:rsidRPr="00AF75F1">
        <w:rPr>
          <w:rStyle w:val="FootnoteReference"/>
        </w:rPr>
        <w:footnoteRef/>
      </w:r>
      <w:r w:rsidRPr="00AF75F1">
        <w:t xml:space="preserve"> </w:t>
      </w:r>
      <w:r w:rsidR="0027049B" w:rsidRPr="00AF75F1">
        <w:rPr>
          <w:rFonts w:ascii="Calibri" w:eastAsia="Times New Roman" w:hAnsi="Calibri" w:cs="Calibri"/>
          <w:kern w:val="0"/>
          <w:lang w:eastAsia="en-GB" w:bidi="he-IL"/>
          <w14:ligatures w14:val="none"/>
        </w:rPr>
        <w:t>Ibid., p. 423.</w:t>
      </w:r>
    </w:p>
  </w:footnote>
  <w:footnote w:id="42">
    <w:p w14:paraId="70EAED51" w14:textId="52B04C2D" w:rsidR="00731A1A" w:rsidRPr="00AF75F1" w:rsidRDefault="00731A1A">
      <w:pPr>
        <w:pStyle w:val="FootnoteText"/>
      </w:pPr>
      <w:r w:rsidRPr="00AF75F1">
        <w:rPr>
          <w:rStyle w:val="FootnoteReference"/>
        </w:rPr>
        <w:footnoteRef/>
      </w:r>
      <w:r w:rsidRPr="00AF75F1">
        <w:t xml:space="preserve"> </w:t>
      </w:r>
      <w:r w:rsidR="0027049B" w:rsidRPr="00AF75F1">
        <w:rPr>
          <w:rFonts w:ascii="Calibri" w:eastAsia="Times New Roman" w:hAnsi="Calibri" w:cs="Calibri"/>
          <w:kern w:val="0"/>
          <w:lang w:eastAsia="en-GB" w:bidi="he-IL"/>
          <w14:ligatures w14:val="none"/>
        </w:rPr>
        <w:t>Ibid., p. 423.</w:t>
      </w:r>
    </w:p>
  </w:footnote>
  <w:footnote w:id="43">
    <w:p w14:paraId="4AE5DC07" w14:textId="4FEE3C00" w:rsidR="004046FA" w:rsidRPr="00AF75F1" w:rsidRDefault="004046FA">
      <w:pPr>
        <w:pStyle w:val="FootnoteText"/>
      </w:pPr>
      <w:r w:rsidRPr="00AF75F1">
        <w:rPr>
          <w:rStyle w:val="FootnoteReference"/>
        </w:rPr>
        <w:footnoteRef/>
      </w:r>
      <w:r w:rsidRPr="00AF75F1">
        <w:t xml:space="preserve"> </w:t>
      </w:r>
      <w:r w:rsidR="0027049B" w:rsidRPr="00AF75F1">
        <w:rPr>
          <w:rFonts w:ascii="Calibri" w:eastAsia="Times New Roman" w:hAnsi="Calibri" w:cs="Calibri"/>
          <w:kern w:val="0"/>
          <w:lang w:eastAsia="en-GB" w:bidi="he-IL"/>
          <w14:ligatures w14:val="none"/>
        </w:rPr>
        <w:t>Carson, ‘Putting Her in Her Place: Woman, Dirt and Desire</w:t>
      </w:r>
      <w:proofErr w:type="gramStart"/>
      <w:r w:rsidR="0027049B" w:rsidRPr="00AF75F1">
        <w:rPr>
          <w:rFonts w:ascii="Calibri" w:eastAsia="Times New Roman" w:hAnsi="Calibri" w:cs="Calibri"/>
          <w:kern w:val="0"/>
          <w:lang w:eastAsia="en-GB" w:bidi="he-IL"/>
          <w14:ligatures w14:val="none"/>
        </w:rPr>
        <w:t>’</w:t>
      </w:r>
      <w:r w:rsidR="0027049B" w:rsidRPr="00AF75F1">
        <w:rPr>
          <w:rFonts w:ascii="Calibri" w:eastAsia="Times New Roman" w:hAnsi="Calibri" w:cs="Calibri"/>
          <w:kern w:val="0"/>
          <w:lang w:eastAsia="en-GB" w:bidi="he-IL"/>
          <w14:ligatures w14:val="none"/>
        </w:rPr>
        <w:t>,</w:t>
      </w:r>
      <w:proofErr w:type="gramEnd"/>
      <w:r w:rsidR="0027049B" w:rsidRPr="00AF75F1">
        <w:rPr>
          <w:rFonts w:ascii="Calibri" w:eastAsia="Times New Roman" w:hAnsi="Calibri" w:cs="Calibri"/>
          <w:kern w:val="0"/>
          <w:lang w:eastAsia="en-GB" w:bidi="he-IL"/>
          <w14:ligatures w14:val="none"/>
        </w:rPr>
        <w:t xml:space="preserve"> p. 143.</w:t>
      </w:r>
    </w:p>
  </w:footnote>
  <w:footnote w:id="44">
    <w:p w14:paraId="0087C158" w14:textId="54F28C5F" w:rsidR="00246334" w:rsidRPr="00AF75F1" w:rsidRDefault="00246334">
      <w:pPr>
        <w:pStyle w:val="FootnoteText"/>
      </w:pPr>
      <w:r w:rsidRPr="00AF75F1">
        <w:rPr>
          <w:rStyle w:val="FootnoteReference"/>
        </w:rPr>
        <w:footnoteRef/>
      </w:r>
      <w:r w:rsidRPr="00AF75F1">
        <w:t xml:space="preserve"> </w:t>
      </w:r>
      <w:r w:rsidR="0027049B" w:rsidRPr="00AF75F1">
        <w:rPr>
          <w:rFonts w:ascii="Calibri" w:eastAsia="Times New Roman" w:hAnsi="Calibri" w:cs="Calibri"/>
          <w:kern w:val="0"/>
          <w:lang w:eastAsia="en-GB" w:bidi="he-IL"/>
          <w14:ligatures w14:val="none"/>
        </w:rPr>
        <w:t xml:space="preserve">Ibid., p. </w:t>
      </w:r>
      <w:r w:rsidR="0027049B" w:rsidRPr="00AF75F1">
        <w:rPr>
          <w:rFonts w:ascii="Calibri" w:eastAsia="Times New Roman" w:hAnsi="Calibri" w:cs="Calibri"/>
          <w:kern w:val="0"/>
          <w:lang w:eastAsia="en-GB" w:bidi="he-IL"/>
          <w14:ligatures w14:val="none"/>
        </w:rPr>
        <w:t xml:space="preserve">158. </w:t>
      </w:r>
    </w:p>
  </w:footnote>
  <w:footnote w:id="45">
    <w:p w14:paraId="0C34D596" w14:textId="638A541E" w:rsidR="00D31FD6" w:rsidRPr="00AF75F1" w:rsidRDefault="00D31FD6">
      <w:pPr>
        <w:pStyle w:val="FootnoteText"/>
      </w:pPr>
      <w:r w:rsidRPr="00AF75F1">
        <w:rPr>
          <w:rStyle w:val="FootnoteReference"/>
        </w:rPr>
        <w:footnoteRef/>
      </w:r>
      <w:r w:rsidRPr="00AF75F1">
        <w:t xml:space="preserve"> </w:t>
      </w:r>
      <w:r w:rsidR="0027049B" w:rsidRPr="00AF75F1">
        <w:rPr>
          <w:rFonts w:ascii="Calibri" w:eastAsia="Times New Roman" w:hAnsi="Calibri" w:cs="Calibri"/>
          <w:kern w:val="0"/>
          <w:lang w:eastAsia="en-GB" w:bidi="he-IL"/>
          <w14:ligatures w14:val="none"/>
        </w:rPr>
        <w:t>Ibid., p. 15</w:t>
      </w:r>
      <w:r w:rsidR="0027049B" w:rsidRPr="00AF75F1">
        <w:rPr>
          <w:rFonts w:ascii="Calibri" w:eastAsia="Times New Roman" w:hAnsi="Calibri" w:cs="Calibri"/>
          <w:kern w:val="0"/>
          <w:lang w:eastAsia="en-GB" w:bidi="he-IL"/>
          <w14:ligatures w14:val="none"/>
        </w:rPr>
        <w:t>6.</w:t>
      </w:r>
    </w:p>
  </w:footnote>
  <w:footnote w:id="46">
    <w:p w14:paraId="6C29E222" w14:textId="3DE2CC0F" w:rsidR="00A7392A" w:rsidRPr="00AF75F1" w:rsidRDefault="00A7392A">
      <w:pPr>
        <w:pStyle w:val="FootnoteText"/>
      </w:pPr>
      <w:r w:rsidRPr="00AF75F1">
        <w:rPr>
          <w:rStyle w:val="FootnoteReference"/>
        </w:rPr>
        <w:footnoteRef/>
      </w:r>
      <w:r w:rsidRPr="00AF75F1">
        <w:t xml:space="preserve"> </w:t>
      </w:r>
      <w:r w:rsidR="0027049B" w:rsidRPr="00AF75F1">
        <w:rPr>
          <w:rFonts w:ascii="Calibri" w:eastAsia="Times New Roman" w:hAnsi="Calibri" w:cs="Calibri"/>
          <w:kern w:val="0"/>
          <w:lang w:eastAsia="en-GB" w:bidi="he-IL"/>
          <w14:ligatures w14:val="none"/>
        </w:rPr>
        <w:t>Ibid., p. 1</w:t>
      </w:r>
      <w:r w:rsidR="0027049B" w:rsidRPr="00AF75F1">
        <w:rPr>
          <w:rFonts w:ascii="Calibri" w:eastAsia="Times New Roman" w:hAnsi="Calibri" w:cs="Calibri"/>
          <w:kern w:val="0"/>
          <w:lang w:eastAsia="en-GB" w:bidi="he-IL"/>
          <w14:ligatures w14:val="none"/>
        </w:rPr>
        <w:t>62.</w:t>
      </w:r>
    </w:p>
  </w:footnote>
  <w:footnote w:id="47">
    <w:p w14:paraId="31568AB8" w14:textId="32DCF15C" w:rsidR="00907DD0" w:rsidRPr="00AF75F1" w:rsidRDefault="00907DD0" w:rsidP="0027049B">
      <w:pPr>
        <w:pStyle w:val="FootnoteText"/>
      </w:pPr>
      <w:r w:rsidRPr="00AF75F1">
        <w:rPr>
          <w:rStyle w:val="FootnoteReference"/>
        </w:rPr>
        <w:footnoteRef/>
      </w:r>
      <w:r w:rsidR="0027049B" w:rsidRPr="00AF75F1">
        <w:t xml:space="preserve"> </w:t>
      </w:r>
      <w:r w:rsidR="0027049B" w:rsidRPr="00AF75F1">
        <w:rPr>
          <w:rFonts w:ascii="Calibri" w:eastAsia="Times New Roman" w:hAnsi="Calibri" w:cs="Calibri"/>
          <w:kern w:val="0"/>
          <w:lang w:eastAsia="en-GB" w:bidi="he-IL"/>
          <w14:ligatures w14:val="none"/>
        </w:rPr>
        <w:t xml:space="preserve">Demand, </w:t>
      </w:r>
      <w:r w:rsidR="0027049B" w:rsidRPr="00AF75F1">
        <w:rPr>
          <w:rFonts w:ascii="Calibri" w:eastAsia="Times New Roman" w:hAnsi="Calibri" w:cs="Calibri"/>
          <w:i/>
          <w:iCs/>
          <w:kern w:val="0"/>
          <w:lang w:eastAsia="en-GB" w:bidi="he-IL"/>
          <w14:ligatures w14:val="none"/>
        </w:rPr>
        <w:t>Birth, Death, and Motherhood in Classical Greece</w:t>
      </w:r>
      <w:r w:rsidR="0027049B" w:rsidRPr="00AF75F1">
        <w:rPr>
          <w:rFonts w:ascii="Calibri" w:eastAsia="Times New Roman" w:hAnsi="Calibri" w:cs="Calibri"/>
          <w:kern w:val="0"/>
          <w:lang w:eastAsia="en-GB" w:bidi="he-IL"/>
          <w14:ligatures w14:val="none"/>
        </w:rPr>
        <w:t xml:space="preserve">, </w:t>
      </w:r>
      <w:r w:rsidR="0027049B" w:rsidRPr="00AF75F1">
        <w:rPr>
          <w:rFonts w:ascii="Calibri" w:eastAsia="Times New Roman" w:hAnsi="Calibri" w:cs="Calibri"/>
          <w:kern w:val="0"/>
          <w:lang w:eastAsia="en-GB" w:bidi="he-IL"/>
          <w14:ligatures w14:val="none"/>
        </w:rPr>
        <w:t>p. 153.</w:t>
      </w:r>
    </w:p>
  </w:footnote>
  <w:footnote w:id="48">
    <w:p w14:paraId="0F16A2BE" w14:textId="5946E8F3" w:rsidR="001D1857" w:rsidRPr="00AF75F1" w:rsidRDefault="001D1857">
      <w:pPr>
        <w:pStyle w:val="FootnoteText"/>
      </w:pPr>
      <w:r w:rsidRPr="00AF75F1">
        <w:rPr>
          <w:rStyle w:val="FootnoteReference"/>
        </w:rPr>
        <w:footnoteRef/>
      </w:r>
      <w:r w:rsidRPr="00AF75F1">
        <w:t xml:space="preserve"> </w:t>
      </w:r>
      <w:r w:rsidR="0027049B" w:rsidRPr="00AF75F1">
        <w:rPr>
          <w:rFonts w:ascii="Calibri" w:eastAsia="Times New Roman" w:hAnsi="Calibri" w:cs="Calibri"/>
          <w:kern w:val="0"/>
          <w:lang w:eastAsia="en-GB" w:bidi="he-IL"/>
          <w14:ligatures w14:val="none"/>
        </w:rPr>
        <w:t>Ibid., p. 1</w:t>
      </w:r>
      <w:r w:rsidR="0027049B" w:rsidRPr="00AF75F1">
        <w:rPr>
          <w:rFonts w:ascii="Calibri" w:eastAsia="Times New Roman" w:hAnsi="Calibri" w:cs="Calibri"/>
          <w:kern w:val="0"/>
          <w:lang w:eastAsia="en-GB" w:bidi="he-IL"/>
          <w14:ligatures w14:val="none"/>
        </w:rPr>
        <w:t>53.</w:t>
      </w:r>
    </w:p>
  </w:footnote>
  <w:footnote w:id="49">
    <w:p w14:paraId="7FC9BD20" w14:textId="5983DCF2" w:rsidR="00730FE3" w:rsidRPr="0068286D" w:rsidRDefault="00730FE3" w:rsidP="0068286D">
      <w:pPr>
        <w:rPr>
          <w:rFonts w:ascii="Times New Roman" w:eastAsia="Times New Roman" w:hAnsi="Times New Roman" w:cs="Times New Roman"/>
          <w:kern w:val="0"/>
          <w:sz w:val="24"/>
          <w:szCs w:val="24"/>
          <w:lang w:eastAsia="en-GB" w:bidi="he-IL"/>
          <w14:ligatures w14:val="none"/>
        </w:rPr>
      </w:pPr>
      <w:r w:rsidRPr="00AF75F1">
        <w:rPr>
          <w:rStyle w:val="FootnoteReference"/>
          <w:sz w:val="20"/>
          <w:szCs w:val="20"/>
        </w:rPr>
        <w:footnoteRef/>
      </w:r>
      <w:r w:rsidR="0068286D" w:rsidRPr="00AF75F1">
        <w:rPr>
          <w:sz w:val="20"/>
          <w:szCs w:val="20"/>
        </w:rPr>
        <w:t xml:space="preserve"> </w:t>
      </w:r>
      <w:r w:rsidR="0068286D" w:rsidRPr="00AF75F1">
        <w:rPr>
          <w:rFonts w:ascii="Calibri" w:eastAsia="Times New Roman" w:hAnsi="Calibri" w:cs="Calibri"/>
          <w:kern w:val="0"/>
          <w:sz w:val="20"/>
          <w:szCs w:val="20"/>
          <w:lang w:eastAsia="en-GB" w:bidi="he-IL"/>
          <w14:ligatures w14:val="none"/>
        </w:rPr>
        <w:t>Mercedes Aguirre Castro, ‘Expressions of Love and Sexual Union in Hesiod’s Catalogue of Women</w:t>
      </w:r>
      <w:proofErr w:type="gramStart"/>
      <w:r w:rsidR="0068286D" w:rsidRPr="00AF75F1">
        <w:rPr>
          <w:rFonts w:ascii="Calibri" w:eastAsia="Times New Roman" w:hAnsi="Calibri" w:cs="Calibri"/>
          <w:kern w:val="0"/>
          <w:sz w:val="20"/>
          <w:szCs w:val="20"/>
          <w:lang w:eastAsia="en-GB" w:bidi="he-IL"/>
          <w14:ligatures w14:val="none"/>
        </w:rPr>
        <w:t>’,</w:t>
      </w:r>
      <w:proofErr w:type="gramEnd"/>
      <w:r w:rsidR="0068286D" w:rsidRPr="00AF75F1">
        <w:rPr>
          <w:rFonts w:ascii="Calibri" w:eastAsia="Times New Roman" w:hAnsi="Calibri" w:cs="Calibri"/>
          <w:kern w:val="0"/>
          <w:sz w:val="20"/>
          <w:szCs w:val="20"/>
          <w:lang w:eastAsia="en-GB" w:bidi="he-IL"/>
          <w14:ligatures w14:val="none"/>
        </w:rPr>
        <w:t xml:space="preserve"> </w:t>
      </w:r>
      <w:r w:rsidR="0068286D" w:rsidRPr="00AF75F1">
        <w:rPr>
          <w:rFonts w:ascii="Calibri" w:eastAsia="Times New Roman" w:hAnsi="Calibri" w:cs="Calibri"/>
          <w:i/>
          <w:iCs/>
          <w:kern w:val="0"/>
          <w:sz w:val="20"/>
          <w:szCs w:val="20"/>
          <w:lang w:eastAsia="en-GB" w:bidi="he-IL"/>
          <w14:ligatures w14:val="none"/>
        </w:rPr>
        <w:t xml:space="preserve">CFC (G): </w:t>
      </w:r>
      <w:proofErr w:type="spellStart"/>
      <w:r w:rsidR="0068286D" w:rsidRPr="00AF75F1">
        <w:rPr>
          <w:rFonts w:ascii="Calibri" w:eastAsia="Times New Roman" w:hAnsi="Calibri" w:cs="Calibri"/>
          <w:i/>
          <w:iCs/>
          <w:kern w:val="0"/>
          <w:sz w:val="20"/>
          <w:szCs w:val="20"/>
          <w:lang w:eastAsia="en-GB" w:bidi="he-IL"/>
          <w14:ligatures w14:val="none"/>
        </w:rPr>
        <w:t>Estudios</w:t>
      </w:r>
      <w:proofErr w:type="spellEnd"/>
      <w:r w:rsidR="0068286D" w:rsidRPr="00AF75F1">
        <w:rPr>
          <w:rFonts w:ascii="Calibri" w:eastAsia="Times New Roman" w:hAnsi="Calibri" w:cs="Calibri"/>
          <w:i/>
          <w:iCs/>
          <w:kern w:val="0"/>
          <w:sz w:val="20"/>
          <w:szCs w:val="20"/>
          <w:lang w:eastAsia="en-GB" w:bidi="he-IL"/>
          <w14:ligatures w14:val="none"/>
        </w:rPr>
        <w:t xml:space="preserve"> </w:t>
      </w:r>
      <w:proofErr w:type="spellStart"/>
      <w:r w:rsidR="0068286D" w:rsidRPr="00AF75F1">
        <w:rPr>
          <w:rFonts w:ascii="Calibri" w:eastAsia="Times New Roman" w:hAnsi="Calibri" w:cs="Calibri"/>
          <w:i/>
          <w:iCs/>
          <w:kern w:val="0"/>
          <w:sz w:val="20"/>
          <w:szCs w:val="20"/>
          <w:lang w:eastAsia="en-GB" w:bidi="he-IL"/>
          <w14:ligatures w14:val="none"/>
        </w:rPr>
        <w:t>Griegos</w:t>
      </w:r>
      <w:proofErr w:type="spellEnd"/>
      <w:r w:rsidR="0068286D" w:rsidRPr="00AF75F1">
        <w:rPr>
          <w:rFonts w:ascii="Calibri" w:eastAsia="Times New Roman" w:hAnsi="Calibri" w:cs="Calibri"/>
          <w:i/>
          <w:iCs/>
          <w:kern w:val="0"/>
          <w:sz w:val="20"/>
          <w:szCs w:val="20"/>
          <w:lang w:eastAsia="en-GB" w:bidi="he-IL"/>
          <w14:ligatures w14:val="none"/>
        </w:rPr>
        <w:t xml:space="preserve"> E </w:t>
      </w:r>
      <w:proofErr w:type="spellStart"/>
      <w:r w:rsidR="0068286D" w:rsidRPr="00AF75F1">
        <w:rPr>
          <w:rFonts w:ascii="Calibri" w:eastAsia="Times New Roman" w:hAnsi="Calibri" w:cs="Calibri"/>
          <w:i/>
          <w:iCs/>
          <w:kern w:val="0"/>
          <w:sz w:val="20"/>
          <w:szCs w:val="20"/>
          <w:lang w:eastAsia="en-GB" w:bidi="he-IL"/>
          <w14:ligatures w14:val="none"/>
        </w:rPr>
        <w:t>Indoeuropeos</w:t>
      </w:r>
      <w:proofErr w:type="spellEnd"/>
      <w:r w:rsidR="0068286D" w:rsidRPr="00AF75F1">
        <w:rPr>
          <w:rFonts w:ascii="Calibri" w:eastAsia="Times New Roman" w:hAnsi="Calibri" w:cs="Calibri"/>
          <w:kern w:val="0"/>
          <w:sz w:val="20"/>
          <w:szCs w:val="20"/>
          <w:lang w:eastAsia="en-GB" w:bidi="he-IL"/>
          <w14:ligatures w14:val="none"/>
        </w:rPr>
        <w:t xml:space="preserve">, 2005.15 (2005), </w:t>
      </w:r>
      <w:r w:rsidR="0068286D" w:rsidRPr="00AF75F1">
        <w:rPr>
          <w:rFonts w:ascii="Calibri" w:eastAsia="Times New Roman" w:hAnsi="Calibri" w:cs="Calibri"/>
          <w:kern w:val="0"/>
          <w:sz w:val="20"/>
          <w:szCs w:val="20"/>
          <w:lang w:eastAsia="en-GB" w:bidi="he-IL"/>
          <w14:ligatures w14:val="none"/>
        </w:rPr>
        <w:t>p. 23.</w:t>
      </w:r>
      <w:r w:rsidR="0068286D" w:rsidRPr="0068286D">
        <w:rPr>
          <w:rFonts w:ascii="Calibri" w:eastAsia="Times New Roman" w:hAnsi="Calibri" w:cs="Calibri"/>
          <w:kern w:val="0"/>
          <w:sz w:val="20"/>
          <w:szCs w:val="20"/>
          <w:lang w:eastAsia="en-GB" w:bidi="he-IL"/>
          <w14:ligatures w14:val="none"/>
        </w:rPr>
        <w:t xml:space="preserve"> </w:t>
      </w:r>
      <w:r w:rsidRPr="0068286D">
        <w:rPr>
          <w:sz w:val="20"/>
          <w:szCs w:val="20"/>
        </w:rPr>
        <w:t xml:space="preserve"> </w:t>
      </w:r>
    </w:p>
  </w:footnote>
  <w:footnote w:id="50">
    <w:p w14:paraId="5A0064E1" w14:textId="26AC4E44" w:rsidR="0059728F" w:rsidRDefault="0059728F">
      <w:pPr>
        <w:pStyle w:val="FootnoteText"/>
      </w:pPr>
      <w:r>
        <w:rPr>
          <w:rStyle w:val="FootnoteReference"/>
        </w:rPr>
        <w:footnoteRef/>
      </w:r>
      <w:r>
        <w:t xml:space="preserve"> </w:t>
      </w:r>
      <w:r w:rsidR="0068286D" w:rsidRPr="00264ACB">
        <w:rPr>
          <w:rFonts w:ascii="Calibri" w:eastAsia="Times New Roman" w:hAnsi="Calibri" w:cs="Calibri"/>
          <w:kern w:val="0"/>
          <w:lang w:eastAsia="en-GB" w:bidi="he-IL"/>
          <w14:ligatures w14:val="none"/>
        </w:rPr>
        <w:t>Di, ‘Dark Womb and Gender War</w:t>
      </w:r>
      <w:r w:rsidR="0068286D">
        <w:rPr>
          <w:rFonts w:ascii="Calibri" w:eastAsia="Times New Roman" w:hAnsi="Calibri" w:cs="Calibri"/>
          <w:kern w:val="0"/>
          <w:lang w:eastAsia="en-GB" w:bidi="he-IL"/>
          <w14:ligatures w14:val="none"/>
        </w:rPr>
        <w:t>,’ p. 883.</w:t>
      </w:r>
    </w:p>
  </w:footnote>
  <w:footnote w:id="51">
    <w:p w14:paraId="74E1063E" w14:textId="04C03517" w:rsidR="0059728F" w:rsidRDefault="0059728F">
      <w:pPr>
        <w:pStyle w:val="FootnoteText"/>
      </w:pPr>
      <w:r>
        <w:rPr>
          <w:rStyle w:val="FootnoteReference"/>
        </w:rPr>
        <w:footnoteRef/>
      </w:r>
      <w:r>
        <w:t xml:space="preserve"> </w:t>
      </w:r>
      <w:r w:rsidR="0068286D">
        <w:rPr>
          <w:rFonts w:ascii="Calibri" w:eastAsia="Times New Roman" w:hAnsi="Calibri" w:cs="Calibri"/>
          <w:kern w:val="0"/>
          <w:lang w:eastAsia="en-GB" w:bidi="he-IL"/>
          <w14:ligatures w14:val="none"/>
        </w:rPr>
        <w:t xml:space="preserve">Ibid., p. </w:t>
      </w:r>
      <w:r w:rsidR="0068286D">
        <w:rPr>
          <w:rFonts w:ascii="Calibri" w:eastAsia="Times New Roman" w:hAnsi="Calibri" w:cs="Calibri"/>
          <w:kern w:val="0"/>
          <w:lang w:eastAsia="en-GB" w:bidi="he-IL"/>
          <w14:ligatures w14:val="none"/>
        </w:rPr>
        <w:t>883.</w:t>
      </w:r>
      <w:r>
        <w:t xml:space="preserve"> </w:t>
      </w:r>
    </w:p>
  </w:footnote>
  <w:footnote w:id="52">
    <w:p w14:paraId="3B383C58" w14:textId="05E9CF09" w:rsidR="00062897" w:rsidRDefault="00062897" w:rsidP="00062897">
      <w:pPr>
        <w:pStyle w:val="FootnoteText"/>
      </w:pPr>
      <w:r>
        <w:rPr>
          <w:rStyle w:val="FootnoteReference"/>
        </w:rPr>
        <w:footnoteRef/>
      </w:r>
      <w:r>
        <w:t xml:space="preserve"> </w:t>
      </w:r>
      <w:r w:rsidR="0068286D">
        <w:rPr>
          <w:rFonts w:ascii="Calibri" w:eastAsia="Times New Roman" w:hAnsi="Calibri" w:cs="Calibri"/>
          <w:kern w:val="0"/>
          <w:lang w:eastAsia="en-GB" w:bidi="he-IL"/>
          <w14:ligatures w14:val="none"/>
        </w:rPr>
        <w:t>Ibid., p. 883.</w:t>
      </w:r>
    </w:p>
  </w:footnote>
  <w:footnote w:id="53">
    <w:p w14:paraId="0A4E85E0" w14:textId="4D0B8732" w:rsidR="00D26208" w:rsidRDefault="00D26208">
      <w:pPr>
        <w:pStyle w:val="FootnoteText"/>
      </w:pPr>
      <w:r>
        <w:rPr>
          <w:rStyle w:val="FootnoteReference"/>
        </w:rPr>
        <w:footnoteRef/>
      </w:r>
      <w:r>
        <w:t xml:space="preserve"> </w:t>
      </w:r>
      <w:r w:rsidR="0068286D" w:rsidRPr="00914F18">
        <w:rPr>
          <w:rFonts w:ascii="Calibri" w:eastAsia="Times New Roman" w:hAnsi="Calibri" w:cs="Calibri"/>
          <w:kern w:val="0"/>
          <w:lang w:eastAsia="en-GB" w:bidi="he-IL"/>
          <w14:ligatures w14:val="none"/>
        </w:rPr>
        <w:t>Arthyr, ‘Cultural Strategies in Hesiod’s Theogony: Law, Family, Society</w:t>
      </w:r>
      <w:proofErr w:type="gramStart"/>
      <w:r w:rsidR="0068286D" w:rsidRPr="00914F18">
        <w:rPr>
          <w:rFonts w:ascii="Calibri" w:eastAsia="Times New Roman" w:hAnsi="Calibri" w:cs="Calibri"/>
          <w:kern w:val="0"/>
          <w:lang w:eastAsia="en-GB" w:bidi="he-IL"/>
          <w14:ligatures w14:val="none"/>
        </w:rPr>
        <w:t>’</w:t>
      </w:r>
      <w:r w:rsidR="0068286D">
        <w:rPr>
          <w:rFonts w:ascii="Calibri" w:eastAsia="Times New Roman" w:hAnsi="Calibri" w:cs="Calibri"/>
          <w:kern w:val="0"/>
          <w:lang w:eastAsia="en-GB" w:bidi="he-IL"/>
          <w14:ligatures w14:val="none"/>
        </w:rPr>
        <w:t>,</w:t>
      </w:r>
      <w:proofErr w:type="gramEnd"/>
      <w:r w:rsidR="0068286D">
        <w:rPr>
          <w:rFonts w:ascii="Calibri" w:eastAsia="Times New Roman" w:hAnsi="Calibri" w:cs="Calibri"/>
          <w:kern w:val="0"/>
          <w:lang w:eastAsia="en-GB" w:bidi="he-IL"/>
          <w14:ligatures w14:val="none"/>
        </w:rPr>
        <w:t xml:space="preserve"> p. </w:t>
      </w:r>
      <w:r w:rsidR="0068286D">
        <w:rPr>
          <w:rFonts w:ascii="Calibri" w:eastAsia="Times New Roman" w:hAnsi="Calibri" w:cs="Calibri"/>
          <w:kern w:val="0"/>
          <w:lang w:eastAsia="en-GB" w:bidi="he-IL"/>
          <w14:ligatures w14:val="none"/>
        </w:rPr>
        <w:t>65.</w:t>
      </w:r>
    </w:p>
  </w:footnote>
  <w:footnote w:id="54">
    <w:p w14:paraId="33E657FE" w14:textId="74B8B1B2" w:rsidR="00884A3F" w:rsidRDefault="00884A3F">
      <w:pPr>
        <w:pStyle w:val="FootnoteText"/>
      </w:pPr>
      <w:r>
        <w:rPr>
          <w:rStyle w:val="FootnoteReference"/>
        </w:rPr>
        <w:footnoteRef/>
      </w:r>
      <w:r>
        <w:t xml:space="preserve"> </w:t>
      </w:r>
      <w:r w:rsidR="00705D2F" w:rsidRPr="0027049B">
        <w:rPr>
          <w:rFonts w:ascii="Calibri" w:eastAsia="Times New Roman" w:hAnsi="Calibri" w:cs="Calibri"/>
          <w:kern w:val="0"/>
          <w:lang w:eastAsia="en-GB" w:bidi="he-IL"/>
          <w14:ligatures w14:val="none"/>
        </w:rPr>
        <w:t>Erten, ‘Hesiod’s Theogony: Rise of Rational Mind and Patriarchy in Ancient Greece</w:t>
      </w:r>
      <w:proofErr w:type="gramStart"/>
      <w:r w:rsidR="00705D2F" w:rsidRPr="0027049B">
        <w:rPr>
          <w:rFonts w:ascii="Calibri" w:eastAsia="Times New Roman" w:hAnsi="Calibri" w:cs="Calibri"/>
          <w:kern w:val="0"/>
          <w:lang w:eastAsia="en-GB" w:bidi="he-IL"/>
          <w14:ligatures w14:val="none"/>
        </w:rPr>
        <w:t>’</w:t>
      </w:r>
      <w:r w:rsidR="007673E9">
        <w:t>.</w:t>
      </w:r>
      <w:proofErr w:type="gramEnd"/>
    </w:p>
  </w:footnote>
  <w:footnote w:id="55">
    <w:p w14:paraId="15650DFE" w14:textId="0BC1C2DF" w:rsidR="0022674C" w:rsidRDefault="0022674C">
      <w:pPr>
        <w:pStyle w:val="FootnoteText"/>
      </w:pPr>
      <w:r>
        <w:rPr>
          <w:rStyle w:val="FootnoteReference"/>
        </w:rPr>
        <w:footnoteRef/>
      </w:r>
      <w:r>
        <w:t xml:space="preserve"> </w:t>
      </w:r>
      <w:r w:rsidR="00705D2F">
        <w:rPr>
          <w:rFonts w:ascii="Calibri" w:eastAsia="Times New Roman" w:hAnsi="Calibri" w:cs="Calibri"/>
          <w:kern w:val="0"/>
          <w:lang w:eastAsia="en-GB" w:bidi="he-IL"/>
          <w14:ligatures w14:val="none"/>
        </w:rPr>
        <w:t xml:space="preserve">Ibid., p. </w:t>
      </w:r>
      <w:r w:rsidR="00705D2F">
        <w:rPr>
          <w:rFonts w:ascii="Calibri" w:eastAsia="Times New Roman" w:hAnsi="Calibri" w:cs="Calibri"/>
          <w:kern w:val="0"/>
          <w:lang w:eastAsia="en-GB" w:bidi="he-IL"/>
          <w14:ligatures w14:val="none"/>
        </w:rPr>
        <w:t xml:space="preserve">424.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E17725A"/>
    <w:multiLevelType w:val="hybridMultilevel"/>
    <w:tmpl w:val="64AA3642"/>
    <w:lvl w:ilvl="0" w:tplc="569AA5D4">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0962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zSzMLY0NTQwtTAzNDZU0lEKTi0uzszPAykwqgUAeNzyLywAAAA="/>
  </w:docVars>
  <w:rsids>
    <w:rsidRoot w:val="00EB6065"/>
    <w:rsid w:val="00003867"/>
    <w:rsid w:val="00004CD6"/>
    <w:rsid w:val="00010F31"/>
    <w:rsid w:val="00012FFF"/>
    <w:rsid w:val="00014042"/>
    <w:rsid w:val="00024FAA"/>
    <w:rsid w:val="000252AE"/>
    <w:rsid w:val="00040F16"/>
    <w:rsid w:val="00044B95"/>
    <w:rsid w:val="000469CD"/>
    <w:rsid w:val="00046AE5"/>
    <w:rsid w:val="00054A95"/>
    <w:rsid w:val="00062897"/>
    <w:rsid w:val="000630A4"/>
    <w:rsid w:val="00082F50"/>
    <w:rsid w:val="00086BE4"/>
    <w:rsid w:val="000A71B4"/>
    <w:rsid w:val="000C0444"/>
    <w:rsid w:val="000E507A"/>
    <w:rsid w:val="000F30ED"/>
    <w:rsid w:val="00101FC5"/>
    <w:rsid w:val="00110F4F"/>
    <w:rsid w:val="00115CD7"/>
    <w:rsid w:val="00121376"/>
    <w:rsid w:val="00121652"/>
    <w:rsid w:val="00140586"/>
    <w:rsid w:val="001555A9"/>
    <w:rsid w:val="00176258"/>
    <w:rsid w:val="00181F9C"/>
    <w:rsid w:val="0018628C"/>
    <w:rsid w:val="00197F36"/>
    <w:rsid w:val="001A08D9"/>
    <w:rsid w:val="001A52C3"/>
    <w:rsid w:val="001B0F4E"/>
    <w:rsid w:val="001C2A09"/>
    <w:rsid w:val="001C3A3A"/>
    <w:rsid w:val="001C4938"/>
    <w:rsid w:val="001D1857"/>
    <w:rsid w:val="001D4BBB"/>
    <w:rsid w:val="001D713C"/>
    <w:rsid w:val="001E0116"/>
    <w:rsid w:val="001E0F76"/>
    <w:rsid w:val="001E127D"/>
    <w:rsid w:val="001E21D6"/>
    <w:rsid w:val="001F2497"/>
    <w:rsid w:val="001F5906"/>
    <w:rsid w:val="0020563D"/>
    <w:rsid w:val="00205E6D"/>
    <w:rsid w:val="00215A19"/>
    <w:rsid w:val="00223993"/>
    <w:rsid w:val="002253EE"/>
    <w:rsid w:val="0022674C"/>
    <w:rsid w:val="00227B3C"/>
    <w:rsid w:val="00231F30"/>
    <w:rsid w:val="002425C9"/>
    <w:rsid w:val="00244064"/>
    <w:rsid w:val="00246334"/>
    <w:rsid w:val="00264ACB"/>
    <w:rsid w:val="0027049B"/>
    <w:rsid w:val="0027212E"/>
    <w:rsid w:val="00281C9C"/>
    <w:rsid w:val="002836A4"/>
    <w:rsid w:val="00294BAF"/>
    <w:rsid w:val="002B0CE3"/>
    <w:rsid w:val="002C0DCF"/>
    <w:rsid w:val="002D154A"/>
    <w:rsid w:val="002D6E66"/>
    <w:rsid w:val="002F42A2"/>
    <w:rsid w:val="00306910"/>
    <w:rsid w:val="00310ACB"/>
    <w:rsid w:val="00311FE5"/>
    <w:rsid w:val="003123A3"/>
    <w:rsid w:val="00327725"/>
    <w:rsid w:val="00331EB4"/>
    <w:rsid w:val="00332DB8"/>
    <w:rsid w:val="00336AD4"/>
    <w:rsid w:val="00345F69"/>
    <w:rsid w:val="003615B0"/>
    <w:rsid w:val="00361626"/>
    <w:rsid w:val="0037404D"/>
    <w:rsid w:val="00375EAF"/>
    <w:rsid w:val="003831BE"/>
    <w:rsid w:val="00386BE7"/>
    <w:rsid w:val="003A0450"/>
    <w:rsid w:val="003A40B0"/>
    <w:rsid w:val="003A64E2"/>
    <w:rsid w:val="003B149A"/>
    <w:rsid w:val="003B38E0"/>
    <w:rsid w:val="003D09FE"/>
    <w:rsid w:val="003D2B15"/>
    <w:rsid w:val="003D7C26"/>
    <w:rsid w:val="003E1A33"/>
    <w:rsid w:val="003F029C"/>
    <w:rsid w:val="004046FA"/>
    <w:rsid w:val="00414FFF"/>
    <w:rsid w:val="004259A4"/>
    <w:rsid w:val="00433CF6"/>
    <w:rsid w:val="004435D8"/>
    <w:rsid w:val="0044714C"/>
    <w:rsid w:val="00452B8C"/>
    <w:rsid w:val="00466123"/>
    <w:rsid w:val="0047242F"/>
    <w:rsid w:val="004761A5"/>
    <w:rsid w:val="00481062"/>
    <w:rsid w:val="00481223"/>
    <w:rsid w:val="00482B65"/>
    <w:rsid w:val="00484AC1"/>
    <w:rsid w:val="00485461"/>
    <w:rsid w:val="004A4B5A"/>
    <w:rsid w:val="004C04D2"/>
    <w:rsid w:val="004D2446"/>
    <w:rsid w:val="004E57F4"/>
    <w:rsid w:val="004F0982"/>
    <w:rsid w:val="004F0BAA"/>
    <w:rsid w:val="004F3C09"/>
    <w:rsid w:val="00501F3A"/>
    <w:rsid w:val="0050624B"/>
    <w:rsid w:val="00545F96"/>
    <w:rsid w:val="005758A3"/>
    <w:rsid w:val="005852A7"/>
    <w:rsid w:val="00585B91"/>
    <w:rsid w:val="00591A06"/>
    <w:rsid w:val="00593AF0"/>
    <w:rsid w:val="0059728F"/>
    <w:rsid w:val="00597C3E"/>
    <w:rsid w:val="005A1A06"/>
    <w:rsid w:val="005A3BE3"/>
    <w:rsid w:val="005A3FDF"/>
    <w:rsid w:val="005A4830"/>
    <w:rsid w:val="005A544D"/>
    <w:rsid w:val="005B18FA"/>
    <w:rsid w:val="005C45B4"/>
    <w:rsid w:val="005C4C95"/>
    <w:rsid w:val="005E06C8"/>
    <w:rsid w:val="005E12C7"/>
    <w:rsid w:val="005E5F08"/>
    <w:rsid w:val="005F48B1"/>
    <w:rsid w:val="006125B6"/>
    <w:rsid w:val="00615513"/>
    <w:rsid w:val="00621675"/>
    <w:rsid w:val="00643649"/>
    <w:rsid w:val="00650632"/>
    <w:rsid w:val="00657E71"/>
    <w:rsid w:val="006641EE"/>
    <w:rsid w:val="0068286D"/>
    <w:rsid w:val="00690C42"/>
    <w:rsid w:val="006A08EE"/>
    <w:rsid w:val="006B7A1A"/>
    <w:rsid w:val="006C73B7"/>
    <w:rsid w:val="006D1F32"/>
    <w:rsid w:val="006D42A3"/>
    <w:rsid w:val="006F175A"/>
    <w:rsid w:val="006F36E8"/>
    <w:rsid w:val="006F74EF"/>
    <w:rsid w:val="00701E69"/>
    <w:rsid w:val="00705D2F"/>
    <w:rsid w:val="007179DC"/>
    <w:rsid w:val="00730FE3"/>
    <w:rsid w:val="00731A1A"/>
    <w:rsid w:val="00732960"/>
    <w:rsid w:val="00741AE0"/>
    <w:rsid w:val="00744C66"/>
    <w:rsid w:val="007454AA"/>
    <w:rsid w:val="00746C8B"/>
    <w:rsid w:val="00750F38"/>
    <w:rsid w:val="007673E9"/>
    <w:rsid w:val="00773D16"/>
    <w:rsid w:val="00792017"/>
    <w:rsid w:val="007B0B75"/>
    <w:rsid w:val="007C416D"/>
    <w:rsid w:val="007D27AF"/>
    <w:rsid w:val="007D4174"/>
    <w:rsid w:val="007D41E7"/>
    <w:rsid w:val="007D5D7F"/>
    <w:rsid w:val="007D6D19"/>
    <w:rsid w:val="007E1213"/>
    <w:rsid w:val="007E13F1"/>
    <w:rsid w:val="007E7408"/>
    <w:rsid w:val="007F4C86"/>
    <w:rsid w:val="008061D1"/>
    <w:rsid w:val="00806872"/>
    <w:rsid w:val="00814442"/>
    <w:rsid w:val="0083163E"/>
    <w:rsid w:val="0083591B"/>
    <w:rsid w:val="00837037"/>
    <w:rsid w:val="00842E41"/>
    <w:rsid w:val="00857A13"/>
    <w:rsid w:val="00862241"/>
    <w:rsid w:val="00862D0D"/>
    <w:rsid w:val="00863DB2"/>
    <w:rsid w:val="00863E74"/>
    <w:rsid w:val="00870AC8"/>
    <w:rsid w:val="008724F4"/>
    <w:rsid w:val="008738F5"/>
    <w:rsid w:val="00877955"/>
    <w:rsid w:val="00881E0A"/>
    <w:rsid w:val="0088222F"/>
    <w:rsid w:val="008833B4"/>
    <w:rsid w:val="00883729"/>
    <w:rsid w:val="00884A3F"/>
    <w:rsid w:val="008901C0"/>
    <w:rsid w:val="008A1A9F"/>
    <w:rsid w:val="008B0CE7"/>
    <w:rsid w:val="008C4669"/>
    <w:rsid w:val="008C62EC"/>
    <w:rsid w:val="008C6498"/>
    <w:rsid w:val="008D2E80"/>
    <w:rsid w:val="008E6298"/>
    <w:rsid w:val="008E66D4"/>
    <w:rsid w:val="008F0377"/>
    <w:rsid w:val="008F1E13"/>
    <w:rsid w:val="00900F15"/>
    <w:rsid w:val="009015E5"/>
    <w:rsid w:val="00907DD0"/>
    <w:rsid w:val="00914F18"/>
    <w:rsid w:val="00917B8B"/>
    <w:rsid w:val="00917FF3"/>
    <w:rsid w:val="00945250"/>
    <w:rsid w:val="00955A95"/>
    <w:rsid w:val="009567BA"/>
    <w:rsid w:val="00965538"/>
    <w:rsid w:val="00972141"/>
    <w:rsid w:val="00974D98"/>
    <w:rsid w:val="00974EFF"/>
    <w:rsid w:val="00977390"/>
    <w:rsid w:val="00980DD8"/>
    <w:rsid w:val="0098317E"/>
    <w:rsid w:val="0099089E"/>
    <w:rsid w:val="00992410"/>
    <w:rsid w:val="009941CA"/>
    <w:rsid w:val="00994C16"/>
    <w:rsid w:val="009A51FB"/>
    <w:rsid w:val="009E11CC"/>
    <w:rsid w:val="009E2C54"/>
    <w:rsid w:val="009E3BB9"/>
    <w:rsid w:val="00A06E3D"/>
    <w:rsid w:val="00A14052"/>
    <w:rsid w:val="00A2180A"/>
    <w:rsid w:val="00A25205"/>
    <w:rsid w:val="00A27D9B"/>
    <w:rsid w:val="00A328D3"/>
    <w:rsid w:val="00A422F5"/>
    <w:rsid w:val="00A46F77"/>
    <w:rsid w:val="00A50AB9"/>
    <w:rsid w:val="00A534C7"/>
    <w:rsid w:val="00A63203"/>
    <w:rsid w:val="00A676BF"/>
    <w:rsid w:val="00A70F54"/>
    <w:rsid w:val="00A7392A"/>
    <w:rsid w:val="00A861A0"/>
    <w:rsid w:val="00A86E48"/>
    <w:rsid w:val="00A879BE"/>
    <w:rsid w:val="00AA5465"/>
    <w:rsid w:val="00AD2CAC"/>
    <w:rsid w:val="00AD57DB"/>
    <w:rsid w:val="00AE4556"/>
    <w:rsid w:val="00AE4F47"/>
    <w:rsid w:val="00AF2FC9"/>
    <w:rsid w:val="00AF5B0B"/>
    <w:rsid w:val="00AF75F1"/>
    <w:rsid w:val="00B02C36"/>
    <w:rsid w:val="00B12512"/>
    <w:rsid w:val="00B2294C"/>
    <w:rsid w:val="00B413E7"/>
    <w:rsid w:val="00B43414"/>
    <w:rsid w:val="00B438FA"/>
    <w:rsid w:val="00B44AC5"/>
    <w:rsid w:val="00B61C31"/>
    <w:rsid w:val="00B677A4"/>
    <w:rsid w:val="00B67F2D"/>
    <w:rsid w:val="00B73172"/>
    <w:rsid w:val="00BA0B5A"/>
    <w:rsid w:val="00BB093E"/>
    <w:rsid w:val="00BC29FD"/>
    <w:rsid w:val="00BC61DA"/>
    <w:rsid w:val="00BF52A9"/>
    <w:rsid w:val="00C02DB3"/>
    <w:rsid w:val="00C11A2D"/>
    <w:rsid w:val="00C13775"/>
    <w:rsid w:val="00C14A5D"/>
    <w:rsid w:val="00C22457"/>
    <w:rsid w:val="00C30ED3"/>
    <w:rsid w:val="00C33DB4"/>
    <w:rsid w:val="00C51327"/>
    <w:rsid w:val="00C53CC6"/>
    <w:rsid w:val="00C637B6"/>
    <w:rsid w:val="00C73617"/>
    <w:rsid w:val="00C74C7A"/>
    <w:rsid w:val="00C770A7"/>
    <w:rsid w:val="00C92DEC"/>
    <w:rsid w:val="00C949B3"/>
    <w:rsid w:val="00CA54FC"/>
    <w:rsid w:val="00CB1CAD"/>
    <w:rsid w:val="00CB3516"/>
    <w:rsid w:val="00CD1353"/>
    <w:rsid w:val="00CD262C"/>
    <w:rsid w:val="00CD5DF6"/>
    <w:rsid w:val="00CE1FD0"/>
    <w:rsid w:val="00CE4F01"/>
    <w:rsid w:val="00CE5128"/>
    <w:rsid w:val="00CE7025"/>
    <w:rsid w:val="00CF058A"/>
    <w:rsid w:val="00CF1F7F"/>
    <w:rsid w:val="00CF4470"/>
    <w:rsid w:val="00D26208"/>
    <w:rsid w:val="00D31B5B"/>
    <w:rsid w:val="00D31FD6"/>
    <w:rsid w:val="00D32F5C"/>
    <w:rsid w:val="00D50C14"/>
    <w:rsid w:val="00D66172"/>
    <w:rsid w:val="00D66CC1"/>
    <w:rsid w:val="00D754AE"/>
    <w:rsid w:val="00D80430"/>
    <w:rsid w:val="00D80953"/>
    <w:rsid w:val="00D87A8E"/>
    <w:rsid w:val="00D923BA"/>
    <w:rsid w:val="00D96FCD"/>
    <w:rsid w:val="00DB1904"/>
    <w:rsid w:val="00DB2002"/>
    <w:rsid w:val="00DB53ED"/>
    <w:rsid w:val="00DE0938"/>
    <w:rsid w:val="00DF0F5C"/>
    <w:rsid w:val="00DF22E9"/>
    <w:rsid w:val="00DF489C"/>
    <w:rsid w:val="00E0176F"/>
    <w:rsid w:val="00E14184"/>
    <w:rsid w:val="00E14296"/>
    <w:rsid w:val="00E163C5"/>
    <w:rsid w:val="00E1686D"/>
    <w:rsid w:val="00E2496A"/>
    <w:rsid w:val="00E33B54"/>
    <w:rsid w:val="00E40B17"/>
    <w:rsid w:val="00E43C0C"/>
    <w:rsid w:val="00E52DC8"/>
    <w:rsid w:val="00E55EF7"/>
    <w:rsid w:val="00E56F8B"/>
    <w:rsid w:val="00E57B3D"/>
    <w:rsid w:val="00E602E8"/>
    <w:rsid w:val="00E6546D"/>
    <w:rsid w:val="00E6566E"/>
    <w:rsid w:val="00E65864"/>
    <w:rsid w:val="00E71013"/>
    <w:rsid w:val="00E72280"/>
    <w:rsid w:val="00E80E5F"/>
    <w:rsid w:val="00E82040"/>
    <w:rsid w:val="00E82114"/>
    <w:rsid w:val="00E97647"/>
    <w:rsid w:val="00EA7917"/>
    <w:rsid w:val="00EB5461"/>
    <w:rsid w:val="00EB6065"/>
    <w:rsid w:val="00EE3ED5"/>
    <w:rsid w:val="00EE6320"/>
    <w:rsid w:val="00EF0A04"/>
    <w:rsid w:val="00EF79C9"/>
    <w:rsid w:val="00F01208"/>
    <w:rsid w:val="00F0518D"/>
    <w:rsid w:val="00F05F3E"/>
    <w:rsid w:val="00F069AA"/>
    <w:rsid w:val="00F11EC5"/>
    <w:rsid w:val="00F120FB"/>
    <w:rsid w:val="00F14AD6"/>
    <w:rsid w:val="00F1783C"/>
    <w:rsid w:val="00F203C5"/>
    <w:rsid w:val="00F24526"/>
    <w:rsid w:val="00F2566A"/>
    <w:rsid w:val="00F261E8"/>
    <w:rsid w:val="00F3077A"/>
    <w:rsid w:val="00F4222D"/>
    <w:rsid w:val="00F5398C"/>
    <w:rsid w:val="00F53C91"/>
    <w:rsid w:val="00F62AE3"/>
    <w:rsid w:val="00F70543"/>
    <w:rsid w:val="00F76334"/>
    <w:rsid w:val="00F77D71"/>
    <w:rsid w:val="00F8084D"/>
    <w:rsid w:val="00F82AA2"/>
    <w:rsid w:val="00F90FA3"/>
    <w:rsid w:val="00F95C8E"/>
    <w:rsid w:val="00FC1B0E"/>
    <w:rsid w:val="00FC476B"/>
    <w:rsid w:val="00FD107C"/>
    <w:rsid w:val="00FF2420"/>
    <w:rsid w:val="00FF24DD"/>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7C0AD9"/>
  <w15:chartTrackingRefBased/>
  <w15:docId w15:val="{AB5DEBB8-6748-4C69-ACF9-456B7D8314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60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60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60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60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60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60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60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60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60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60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60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60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60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60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60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60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60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6065"/>
    <w:rPr>
      <w:rFonts w:eastAsiaTheme="majorEastAsia" w:cstheme="majorBidi"/>
      <w:color w:val="272727" w:themeColor="text1" w:themeTint="D8"/>
    </w:rPr>
  </w:style>
  <w:style w:type="paragraph" w:styleId="Title">
    <w:name w:val="Title"/>
    <w:basedOn w:val="Normal"/>
    <w:next w:val="Normal"/>
    <w:link w:val="TitleChar"/>
    <w:uiPriority w:val="10"/>
    <w:qFormat/>
    <w:rsid w:val="00EB60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60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60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60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6065"/>
    <w:pPr>
      <w:spacing w:before="160"/>
      <w:jc w:val="center"/>
    </w:pPr>
    <w:rPr>
      <w:i/>
      <w:iCs/>
      <w:color w:val="404040" w:themeColor="text1" w:themeTint="BF"/>
    </w:rPr>
  </w:style>
  <w:style w:type="character" w:customStyle="1" w:styleId="QuoteChar">
    <w:name w:val="Quote Char"/>
    <w:basedOn w:val="DefaultParagraphFont"/>
    <w:link w:val="Quote"/>
    <w:uiPriority w:val="29"/>
    <w:rsid w:val="00EB6065"/>
    <w:rPr>
      <w:i/>
      <w:iCs/>
      <w:color w:val="404040" w:themeColor="text1" w:themeTint="BF"/>
    </w:rPr>
  </w:style>
  <w:style w:type="paragraph" w:styleId="ListParagraph">
    <w:name w:val="List Paragraph"/>
    <w:basedOn w:val="Normal"/>
    <w:uiPriority w:val="34"/>
    <w:qFormat/>
    <w:rsid w:val="00EB6065"/>
    <w:pPr>
      <w:ind w:left="720"/>
      <w:contextualSpacing/>
    </w:pPr>
  </w:style>
  <w:style w:type="character" w:styleId="IntenseEmphasis">
    <w:name w:val="Intense Emphasis"/>
    <w:basedOn w:val="DefaultParagraphFont"/>
    <w:uiPriority w:val="21"/>
    <w:qFormat/>
    <w:rsid w:val="00EB6065"/>
    <w:rPr>
      <w:i/>
      <w:iCs/>
      <w:color w:val="0F4761" w:themeColor="accent1" w:themeShade="BF"/>
    </w:rPr>
  </w:style>
  <w:style w:type="paragraph" w:styleId="IntenseQuote">
    <w:name w:val="Intense Quote"/>
    <w:basedOn w:val="Normal"/>
    <w:next w:val="Normal"/>
    <w:link w:val="IntenseQuoteChar"/>
    <w:uiPriority w:val="30"/>
    <w:qFormat/>
    <w:rsid w:val="00EB60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6065"/>
    <w:rPr>
      <w:i/>
      <w:iCs/>
      <w:color w:val="0F4761" w:themeColor="accent1" w:themeShade="BF"/>
    </w:rPr>
  </w:style>
  <w:style w:type="character" w:styleId="IntenseReference">
    <w:name w:val="Intense Reference"/>
    <w:basedOn w:val="DefaultParagraphFont"/>
    <w:uiPriority w:val="32"/>
    <w:qFormat/>
    <w:rsid w:val="00EB6065"/>
    <w:rPr>
      <w:b/>
      <w:bCs/>
      <w:smallCaps/>
      <w:color w:val="0F4761" w:themeColor="accent1" w:themeShade="BF"/>
      <w:spacing w:val="5"/>
    </w:rPr>
  </w:style>
  <w:style w:type="paragraph" w:styleId="FootnoteText">
    <w:name w:val="footnote text"/>
    <w:basedOn w:val="Normal"/>
    <w:link w:val="FootnoteTextChar"/>
    <w:uiPriority w:val="99"/>
    <w:semiHidden/>
    <w:unhideWhenUsed/>
    <w:rsid w:val="00EB606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B6065"/>
    <w:rPr>
      <w:sz w:val="20"/>
      <w:szCs w:val="20"/>
    </w:rPr>
  </w:style>
  <w:style w:type="character" w:styleId="FootnoteReference">
    <w:name w:val="footnote reference"/>
    <w:basedOn w:val="DefaultParagraphFont"/>
    <w:uiPriority w:val="99"/>
    <w:semiHidden/>
    <w:unhideWhenUsed/>
    <w:rsid w:val="00EB6065"/>
    <w:rPr>
      <w:vertAlign w:val="superscript"/>
    </w:rPr>
  </w:style>
  <w:style w:type="paragraph" w:styleId="Header">
    <w:name w:val="header"/>
    <w:basedOn w:val="Normal"/>
    <w:link w:val="HeaderChar"/>
    <w:uiPriority w:val="99"/>
    <w:unhideWhenUsed/>
    <w:rsid w:val="008B0C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0CE7"/>
  </w:style>
  <w:style w:type="paragraph" w:styleId="Footer">
    <w:name w:val="footer"/>
    <w:basedOn w:val="Normal"/>
    <w:link w:val="FooterChar"/>
    <w:uiPriority w:val="99"/>
    <w:unhideWhenUsed/>
    <w:rsid w:val="008B0C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0CE7"/>
  </w:style>
  <w:style w:type="paragraph" w:styleId="NormalWeb">
    <w:name w:val="Normal (Web)"/>
    <w:basedOn w:val="Normal"/>
    <w:uiPriority w:val="99"/>
    <w:semiHidden/>
    <w:unhideWhenUsed/>
    <w:rsid w:val="00EA7917"/>
    <w:pPr>
      <w:spacing w:before="100" w:beforeAutospacing="1" w:after="100" w:afterAutospacing="1" w:line="240" w:lineRule="auto"/>
    </w:pPr>
    <w:rPr>
      <w:rFonts w:ascii="Times New Roman" w:eastAsia="Times New Roman" w:hAnsi="Times New Roman" w:cs="Times New Roman"/>
      <w:kern w:val="0"/>
      <w:sz w:val="24"/>
      <w:szCs w:val="24"/>
      <w:lang w:eastAsia="en-GB" w:bidi="he-IL"/>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9344350">
      <w:bodyDiv w:val="1"/>
      <w:marLeft w:val="0"/>
      <w:marRight w:val="0"/>
      <w:marTop w:val="0"/>
      <w:marBottom w:val="0"/>
      <w:divBdr>
        <w:top w:val="none" w:sz="0" w:space="0" w:color="auto"/>
        <w:left w:val="none" w:sz="0" w:space="0" w:color="auto"/>
        <w:bottom w:val="none" w:sz="0" w:space="0" w:color="auto"/>
        <w:right w:val="none" w:sz="0" w:space="0" w:color="auto"/>
      </w:divBdr>
    </w:div>
    <w:div w:id="473718451">
      <w:bodyDiv w:val="1"/>
      <w:marLeft w:val="0"/>
      <w:marRight w:val="0"/>
      <w:marTop w:val="0"/>
      <w:marBottom w:val="0"/>
      <w:divBdr>
        <w:top w:val="none" w:sz="0" w:space="0" w:color="auto"/>
        <w:left w:val="none" w:sz="0" w:space="0" w:color="auto"/>
        <w:bottom w:val="none" w:sz="0" w:space="0" w:color="auto"/>
        <w:right w:val="none" w:sz="0" w:space="0" w:color="auto"/>
      </w:divBdr>
    </w:div>
    <w:div w:id="613485519">
      <w:bodyDiv w:val="1"/>
      <w:marLeft w:val="0"/>
      <w:marRight w:val="0"/>
      <w:marTop w:val="0"/>
      <w:marBottom w:val="0"/>
      <w:divBdr>
        <w:top w:val="none" w:sz="0" w:space="0" w:color="auto"/>
        <w:left w:val="none" w:sz="0" w:space="0" w:color="auto"/>
        <w:bottom w:val="none" w:sz="0" w:space="0" w:color="auto"/>
        <w:right w:val="none" w:sz="0" w:space="0" w:color="auto"/>
      </w:divBdr>
    </w:div>
    <w:div w:id="744839394">
      <w:bodyDiv w:val="1"/>
      <w:marLeft w:val="0"/>
      <w:marRight w:val="0"/>
      <w:marTop w:val="0"/>
      <w:marBottom w:val="0"/>
      <w:divBdr>
        <w:top w:val="none" w:sz="0" w:space="0" w:color="auto"/>
        <w:left w:val="none" w:sz="0" w:space="0" w:color="auto"/>
        <w:bottom w:val="none" w:sz="0" w:space="0" w:color="auto"/>
        <w:right w:val="none" w:sz="0" w:space="0" w:color="auto"/>
      </w:divBdr>
    </w:div>
    <w:div w:id="852377451">
      <w:bodyDiv w:val="1"/>
      <w:marLeft w:val="0"/>
      <w:marRight w:val="0"/>
      <w:marTop w:val="0"/>
      <w:marBottom w:val="0"/>
      <w:divBdr>
        <w:top w:val="none" w:sz="0" w:space="0" w:color="auto"/>
        <w:left w:val="none" w:sz="0" w:space="0" w:color="auto"/>
        <w:bottom w:val="none" w:sz="0" w:space="0" w:color="auto"/>
        <w:right w:val="none" w:sz="0" w:space="0" w:color="auto"/>
      </w:divBdr>
    </w:div>
    <w:div w:id="1218934624">
      <w:bodyDiv w:val="1"/>
      <w:marLeft w:val="0"/>
      <w:marRight w:val="0"/>
      <w:marTop w:val="0"/>
      <w:marBottom w:val="0"/>
      <w:divBdr>
        <w:top w:val="none" w:sz="0" w:space="0" w:color="auto"/>
        <w:left w:val="none" w:sz="0" w:space="0" w:color="auto"/>
        <w:bottom w:val="none" w:sz="0" w:space="0" w:color="auto"/>
        <w:right w:val="none" w:sz="0" w:space="0" w:color="auto"/>
      </w:divBdr>
    </w:div>
    <w:div w:id="1413821579">
      <w:bodyDiv w:val="1"/>
      <w:marLeft w:val="0"/>
      <w:marRight w:val="0"/>
      <w:marTop w:val="0"/>
      <w:marBottom w:val="0"/>
      <w:divBdr>
        <w:top w:val="none" w:sz="0" w:space="0" w:color="auto"/>
        <w:left w:val="none" w:sz="0" w:space="0" w:color="auto"/>
        <w:bottom w:val="none" w:sz="0" w:space="0" w:color="auto"/>
        <w:right w:val="none" w:sz="0" w:space="0" w:color="auto"/>
      </w:divBdr>
    </w:div>
    <w:div w:id="1516965376">
      <w:bodyDiv w:val="1"/>
      <w:marLeft w:val="0"/>
      <w:marRight w:val="0"/>
      <w:marTop w:val="0"/>
      <w:marBottom w:val="0"/>
      <w:divBdr>
        <w:top w:val="none" w:sz="0" w:space="0" w:color="auto"/>
        <w:left w:val="none" w:sz="0" w:space="0" w:color="auto"/>
        <w:bottom w:val="none" w:sz="0" w:space="0" w:color="auto"/>
        <w:right w:val="none" w:sz="0" w:space="0" w:color="auto"/>
      </w:divBdr>
    </w:div>
    <w:div w:id="1683629381">
      <w:bodyDiv w:val="1"/>
      <w:marLeft w:val="0"/>
      <w:marRight w:val="0"/>
      <w:marTop w:val="0"/>
      <w:marBottom w:val="0"/>
      <w:divBdr>
        <w:top w:val="none" w:sz="0" w:space="0" w:color="auto"/>
        <w:left w:val="none" w:sz="0" w:space="0" w:color="auto"/>
        <w:bottom w:val="none" w:sz="0" w:space="0" w:color="auto"/>
        <w:right w:val="none" w:sz="0" w:space="0" w:color="auto"/>
      </w:divBdr>
    </w:div>
    <w:div w:id="1688285697">
      <w:bodyDiv w:val="1"/>
      <w:marLeft w:val="0"/>
      <w:marRight w:val="0"/>
      <w:marTop w:val="0"/>
      <w:marBottom w:val="0"/>
      <w:divBdr>
        <w:top w:val="none" w:sz="0" w:space="0" w:color="auto"/>
        <w:left w:val="none" w:sz="0" w:space="0" w:color="auto"/>
        <w:bottom w:val="none" w:sz="0" w:space="0" w:color="auto"/>
        <w:right w:val="none" w:sz="0" w:space="0" w:color="auto"/>
      </w:divBdr>
    </w:div>
    <w:div w:id="1904439163">
      <w:bodyDiv w:val="1"/>
      <w:marLeft w:val="0"/>
      <w:marRight w:val="0"/>
      <w:marTop w:val="0"/>
      <w:marBottom w:val="0"/>
      <w:divBdr>
        <w:top w:val="none" w:sz="0" w:space="0" w:color="auto"/>
        <w:left w:val="none" w:sz="0" w:space="0" w:color="auto"/>
        <w:bottom w:val="none" w:sz="0" w:space="0" w:color="auto"/>
        <w:right w:val="none" w:sz="0" w:space="0" w:color="auto"/>
      </w:divBdr>
    </w:div>
    <w:div w:id="2056737513">
      <w:bodyDiv w:val="1"/>
      <w:marLeft w:val="0"/>
      <w:marRight w:val="0"/>
      <w:marTop w:val="0"/>
      <w:marBottom w:val="0"/>
      <w:divBdr>
        <w:top w:val="none" w:sz="0" w:space="0" w:color="auto"/>
        <w:left w:val="none" w:sz="0" w:space="0" w:color="auto"/>
        <w:bottom w:val="none" w:sz="0" w:space="0" w:color="auto"/>
        <w:right w:val="none" w:sz="0" w:space="0" w:color="auto"/>
      </w:divBdr>
    </w:div>
    <w:div w:id="2069378761">
      <w:bodyDiv w:val="1"/>
      <w:marLeft w:val="0"/>
      <w:marRight w:val="0"/>
      <w:marTop w:val="0"/>
      <w:marBottom w:val="0"/>
      <w:divBdr>
        <w:top w:val="none" w:sz="0" w:space="0" w:color="auto"/>
        <w:left w:val="none" w:sz="0" w:space="0" w:color="auto"/>
        <w:bottom w:val="none" w:sz="0" w:space="0" w:color="auto"/>
        <w:right w:val="none" w:sz="0" w:space="0" w:color="auto"/>
      </w:divBdr>
      <w:divsChild>
        <w:div w:id="57484837">
          <w:marLeft w:val="-720"/>
          <w:marRight w:val="0"/>
          <w:marTop w:val="0"/>
          <w:marBottom w:val="0"/>
          <w:divBdr>
            <w:top w:val="none" w:sz="0" w:space="0" w:color="auto"/>
            <w:left w:val="none" w:sz="0" w:space="0" w:color="auto"/>
            <w:bottom w:val="none" w:sz="0" w:space="0" w:color="auto"/>
            <w:right w:val="none" w:sz="0" w:space="0" w:color="auto"/>
          </w:divBdr>
        </w:div>
      </w:divsChild>
    </w:div>
    <w:div w:id="2108383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9928</TotalTime>
  <Pages>10</Pages>
  <Words>4079</Words>
  <Characters>22196</Characters>
  <Application>Microsoft Office Word</Application>
  <DocSecurity>0</DocSecurity>
  <Lines>312</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Neve Pule</dc:creator>
  <cp:keywords/>
  <dc:description/>
  <cp:lastModifiedBy>Neve Pule</cp:lastModifiedBy>
  <cp:revision>382</cp:revision>
  <cp:lastPrinted>2024-12-28T13:46:00Z</cp:lastPrinted>
  <dcterms:created xsi:type="dcterms:W3CDTF">2024-12-26T10:52:00Z</dcterms:created>
  <dcterms:modified xsi:type="dcterms:W3CDTF">2025-01-02T12:32:00Z</dcterms:modified>
</cp:coreProperties>
</file>