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CBF1E" w14:textId="4FCE2EDC" w:rsidR="00CE1D48" w:rsidRPr="00B12E2B" w:rsidRDefault="00A16BB4" w:rsidP="00B12E2B">
      <w:pPr>
        <w:spacing w:line="360" w:lineRule="auto"/>
        <w:jc w:val="both"/>
        <w:rPr>
          <w:rFonts w:ascii="Arial" w:hAnsi="Arial" w:cs="Arial"/>
          <w:sz w:val="24"/>
          <w:szCs w:val="24"/>
        </w:rPr>
      </w:pPr>
      <w:r w:rsidRPr="00B12E2B">
        <w:rPr>
          <w:rFonts w:ascii="Arial" w:hAnsi="Arial" w:cs="Arial"/>
          <w:noProof/>
          <w:sz w:val="24"/>
          <w:szCs w:val="24"/>
        </w:rPr>
        <mc:AlternateContent>
          <mc:Choice Requires="wps">
            <w:drawing>
              <wp:anchor distT="0" distB="0" distL="114300" distR="114300" simplePos="0" relativeHeight="251663360" behindDoc="0" locked="0" layoutInCell="1" allowOverlap="1" wp14:anchorId="5A745304" wp14:editId="3051062B">
                <wp:simplePos x="0" y="0"/>
                <wp:positionH relativeFrom="page">
                  <wp:posOffset>2880360</wp:posOffset>
                </wp:positionH>
                <wp:positionV relativeFrom="margin">
                  <wp:posOffset>152400</wp:posOffset>
                </wp:positionV>
                <wp:extent cx="4290060" cy="6816090"/>
                <wp:effectExtent l="0" t="0" r="15240" b="22860"/>
                <wp:wrapNone/>
                <wp:docPr id="621434263" name="Rectangle 261"/>
                <wp:cNvGraphicFramePr/>
                <a:graphic xmlns:a="http://schemas.openxmlformats.org/drawingml/2006/main">
                  <a:graphicData uri="http://schemas.microsoft.com/office/word/2010/wordprocessingShape">
                    <wps:wsp>
                      <wps:cNvSpPr/>
                      <wps:spPr>
                        <a:xfrm>
                          <a:off x="0" y="0"/>
                          <a:ext cx="4290060" cy="681609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1296F15" id="Rectangle 261" o:spid="_x0000_s1026" style="position:absolute;margin-left:226.8pt;margin-top:12pt;width:337.8pt;height:536.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" fillcolor="white [3212]" strokecolor="#737373 [1614]" strokeweight="1.25pt">
                <w10:wrap anchorx="page" anchory="margin"/>
              </v:rect>
            </w:pict>
          </mc:Fallback>
        </mc:AlternateContent>
      </w:r>
      <w:r w:rsidR="00CE1D48" w:rsidRPr="00B12E2B">
        <w:rPr>
          <w:rFonts w:ascii="Arial" w:hAnsi="Arial" w:cs="Arial"/>
          <w:noProof/>
          <w:sz w:val="24"/>
          <w:szCs w:val="24"/>
        </w:rPr>
        <mc:AlternateContent>
          <mc:Choice Requires="wps">
            <w:drawing>
              <wp:anchor distT="0" distB="0" distL="114300" distR="114300" simplePos="0" relativeHeight="251661312" behindDoc="1" locked="0" layoutInCell="1" allowOverlap="1" wp14:anchorId="25515BA5" wp14:editId="3F6FCE74">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DAB77DC" w14:textId="77777777" w:rsidR="00CE1D48" w:rsidRDefault="00CE1D48" w:rsidP="00CE1D48">
                            <w:r w:rsidRPr="005C666A">
                              <w:rPr>
                                <w:noProof/>
                              </w:rPr>
                              <w:drawing>
                                <wp:inline distT="0" distB="0" distL="0" distR="0" wp14:anchorId="214DDDAA" wp14:editId="433D7E8D">
                                  <wp:extent cx="2141220" cy="968829"/>
                                  <wp:effectExtent l="0" t="0" r="0" b="0"/>
                                  <wp:docPr id="1405205569" name="Picture 140520556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43137" cy="969696"/>
                                          </a:xfrm>
                                          <a:prstGeom prst="rect">
                                            <a:avLst/>
                                          </a:prstGeom>
                                          <a:noFill/>
                                          <a:ln>
                                            <a:noFill/>
                                          </a:ln>
                                        </pic:spPr>
                                      </pic:pic>
                                    </a:graphicData>
                                  </a:graphic>
                                </wp:inline>
                              </w:drawing>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5515BA5" id="Rectangle 257" o:spid="_x0000_s1026" style="position:absolute;left:0;text-align:left;margin-left:0;margin-top:0;width:581.4pt;height:752.4pt;z-index:-25165516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c1e4f5 [660]" stroked="f" strokeweight="1pt">
                <v:fill color2="#45b0e1 [1940]" rotate="t" focus="100%" type="gradient">
                  <o:fill v:ext="view" type="gradientUnscaled"/>
                </v:fill>
                <v:textbox inset="21.6pt,,21.6pt">
                  <w:txbxContent>
                    <w:p w14:paraId="4DAB77DC" w14:textId="77777777" w:rsidR="00CE1D48" w:rsidRDefault="00CE1D48" w:rsidP="00CE1D48">
                      <w:r w:rsidRPr="005C666A">
                        <w:rPr>
                          <w:noProof/>
                        </w:rPr>
                        <w:drawing>
                          <wp:inline distT="0" distB="0" distL="0" distR="0" wp14:anchorId="214DDDAA" wp14:editId="433D7E8D">
                            <wp:extent cx="2141220" cy="968829"/>
                            <wp:effectExtent l="0" t="0" r="0" b="0"/>
                            <wp:docPr id="1405205569" name="Picture 140520556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43137" cy="969696"/>
                                    </a:xfrm>
                                    <a:prstGeom prst="rect">
                                      <a:avLst/>
                                    </a:prstGeom>
                                    <a:noFill/>
                                    <a:ln>
                                      <a:noFill/>
                                    </a:ln>
                                  </pic:spPr>
                                </pic:pic>
                              </a:graphicData>
                            </a:graphic>
                          </wp:inline>
                        </w:drawing>
                      </w:r>
                    </w:p>
                  </w:txbxContent>
                </v:textbox>
                <w10:wrap anchorx="page" anchory="page"/>
              </v:rect>
            </w:pict>
          </mc:Fallback>
        </mc:AlternateContent>
      </w:r>
      <w:r w:rsidR="00CE1D48" w:rsidRPr="00B12E2B">
        <w:rPr>
          <w:rFonts w:ascii="Arial" w:hAnsi="Arial" w:cs="Arial"/>
          <w:noProof/>
          <w:sz w:val="24"/>
          <w:szCs w:val="24"/>
        </w:rPr>
        <mc:AlternateContent>
          <mc:Choice Requires="wps">
            <w:drawing>
              <wp:anchor distT="0" distB="0" distL="114300" distR="114300" simplePos="0" relativeHeight="251660288" behindDoc="0" locked="0" layoutInCell="1" allowOverlap="1" wp14:anchorId="480FA540" wp14:editId="1B435EC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62A589C" id="Rectangle 263" o:spid="_x0000_s1026" style="position:absolute;margin-left:0;margin-top:0;width:226.45pt;height:9.35pt;z-index:251660288;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42970A16" w14:textId="1684639E" w:rsidR="00BD13F7" w:rsidRPr="00B12E2B" w:rsidRDefault="00BD13F7" w:rsidP="00B12E2B">
      <w:pPr>
        <w:spacing w:line="360" w:lineRule="auto"/>
        <w:jc w:val="both"/>
        <w:rPr>
          <w:rFonts w:ascii="Arial" w:hAnsi="Arial" w:cs="Arial"/>
          <w:sz w:val="24"/>
          <w:szCs w:val="24"/>
        </w:rPr>
      </w:pPr>
    </w:p>
    <w:p w14:paraId="2D56C874" w14:textId="157208C3" w:rsidR="00282ACE" w:rsidRPr="00B12E2B" w:rsidRDefault="00F6697C" w:rsidP="00B12E2B">
      <w:pPr>
        <w:spacing w:line="360" w:lineRule="auto"/>
        <w:jc w:val="both"/>
        <w:rPr>
          <w:rFonts w:ascii="Arial" w:hAnsi="Arial" w:cs="Arial"/>
          <w:sz w:val="24"/>
          <w:szCs w:val="24"/>
        </w:rPr>
      </w:pPr>
      <w:r w:rsidRPr="00B12E2B">
        <w:rPr>
          <w:rFonts w:ascii="Arial" w:hAnsi="Arial" w:cs="Arial"/>
          <w:noProof/>
          <w:sz w:val="24"/>
          <w:szCs w:val="24"/>
        </w:rPr>
        <mc:AlternateContent>
          <mc:Choice Requires="wps">
            <w:drawing>
              <wp:anchor distT="0" distB="0" distL="114300" distR="114300" simplePos="0" relativeHeight="251669504" behindDoc="0" locked="0" layoutInCell="1" allowOverlap="1" wp14:anchorId="7C7C3C79" wp14:editId="0380929D">
                <wp:simplePos x="0" y="0"/>
                <wp:positionH relativeFrom="page">
                  <wp:posOffset>3131820</wp:posOffset>
                </wp:positionH>
                <wp:positionV relativeFrom="page">
                  <wp:posOffset>1775460</wp:posOffset>
                </wp:positionV>
                <wp:extent cx="4076700" cy="3002280"/>
                <wp:effectExtent l="0" t="0" r="0" b="7620"/>
                <wp:wrapSquare wrapText="bothSides"/>
                <wp:docPr id="470" name="Text Box 265"/>
                <wp:cNvGraphicFramePr/>
                <a:graphic xmlns:a="http://schemas.openxmlformats.org/drawingml/2006/main">
                  <a:graphicData uri="http://schemas.microsoft.com/office/word/2010/wordprocessingShape">
                    <wps:wsp>
                      <wps:cNvSpPr txBox="1"/>
                      <wps:spPr>
                        <a:xfrm>
                          <a:off x="0" y="0"/>
                          <a:ext cx="4076700" cy="3002280"/>
                        </a:xfrm>
                        <a:prstGeom prst="rect">
                          <a:avLst/>
                        </a:prstGeom>
                        <a:noFill/>
                        <a:ln w="6350">
                          <a:noFill/>
                        </a:ln>
                        <a:effectLst/>
                      </wps:spPr>
                      <wps:txbx>
                        <w:txbxContent>
                          <w:sdt>
                            <w:sdtPr>
                              <w:rPr>
                                <w:rFonts w:ascii="Arial" w:hAnsi="Arial" w:cs="Arial"/>
                                <w:b/>
                                <w:bCs/>
                                <w:sz w:val="36"/>
                                <w:szCs w:val="44"/>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28A9984E" w14:textId="77777777" w:rsidR="007E1A57" w:rsidRPr="00A53C5F" w:rsidRDefault="007E1A57" w:rsidP="007E1A57">
                                <w:pPr>
                                  <w:spacing w:line="240" w:lineRule="auto"/>
                                  <w:rPr>
                                    <w:rFonts w:ascii="Arial" w:eastAsiaTheme="majorEastAsia" w:hAnsi="Arial" w:cs="Arial"/>
                                    <w:b/>
                                    <w:bCs/>
                                    <w:noProof/>
                                    <w:color w:val="156082" w:themeColor="accent1"/>
                                    <w:sz w:val="36"/>
                                    <w:szCs w:val="44"/>
                                  </w:rPr>
                                </w:pPr>
                                <w:r>
                                  <w:rPr>
                                    <w:rFonts w:ascii="Arial" w:hAnsi="Arial" w:cs="Arial"/>
                                    <w:b/>
                                    <w:bCs/>
                                    <w:sz w:val="36"/>
                                    <w:szCs w:val="44"/>
                                  </w:rPr>
                                  <w:t xml:space="preserve">     </w:t>
                                </w:r>
                              </w:p>
                            </w:sdtContent>
                          </w:sdt>
                          <w:sdt>
                            <w:sdtPr>
                              <w:rPr>
                                <w:rFonts w:ascii="Arial" w:hAnsi="Arial" w:cs="Arial"/>
                                <w:b/>
                                <w:bCs/>
                                <w:kern w:val="0"/>
                                <w:sz w:val="36"/>
                                <w:szCs w:val="44"/>
                                <w14:ligatures w14:val="non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D44ABDA" w14:textId="6F343144" w:rsidR="007E1A57" w:rsidRPr="00A53C5F" w:rsidRDefault="007E1A57" w:rsidP="007E1A57">
                                <w:pPr>
                                  <w:rPr>
                                    <w:rFonts w:ascii="Arial" w:hAnsi="Arial" w:cs="Arial"/>
                                    <w:b/>
                                    <w:bCs/>
                                    <w:sz w:val="36"/>
                                    <w:szCs w:val="44"/>
                                  </w:rPr>
                                </w:pPr>
                                <w:r>
                                  <w:rPr>
                                    <w:rFonts w:ascii="Arial" w:hAnsi="Arial" w:cs="Arial"/>
                                    <w:b/>
                                    <w:bCs/>
                                    <w:kern w:val="0"/>
                                    <w:sz w:val="36"/>
                                    <w:szCs w:val="44"/>
                                    <w14:ligatures w14:val="none"/>
                                  </w:rPr>
                                  <w:t>H</w:t>
                                </w:r>
                                <w:r w:rsidR="00213781">
                                  <w:rPr>
                                    <w:rFonts w:ascii="Arial" w:hAnsi="Arial" w:cs="Arial"/>
                                    <w:b/>
                                    <w:bCs/>
                                    <w:kern w:val="0"/>
                                    <w:sz w:val="36"/>
                                    <w:szCs w:val="44"/>
                                    <w14:ligatures w14:val="none"/>
                                  </w:rPr>
                                  <w:t>ealth, Safety and welfare (ACBA4023)</w:t>
                                </w:r>
                              </w:p>
                            </w:sdtContent>
                          </w:sdt>
                          <w:p w14:paraId="0F4CB176" w14:textId="77777777" w:rsidR="00F6697C" w:rsidRDefault="00F6697C" w:rsidP="007E1A57">
                            <w:pPr>
                              <w:rPr>
                                <w:rFonts w:ascii="Arial" w:hAnsi="Arial" w:cs="Arial"/>
                                <w:b/>
                                <w:bCs/>
                                <w:kern w:val="0"/>
                                <w:sz w:val="36"/>
                                <w:szCs w:val="44"/>
                                <w14:ligatures w14:val="none"/>
                              </w:rPr>
                            </w:pPr>
                          </w:p>
                          <w:p w14:paraId="6B1CAA5B" w14:textId="5D89ECC2" w:rsidR="00213781" w:rsidRDefault="00C45CD1" w:rsidP="007E1A57">
                            <w:pPr>
                              <w:rPr>
                                <w:rFonts w:ascii="Arial" w:hAnsi="Arial" w:cs="Arial"/>
                                <w:b/>
                                <w:bCs/>
                                <w:kern w:val="0"/>
                                <w:sz w:val="36"/>
                                <w:szCs w:val="44"/>
                                <w14:ligatures w14:val="none"/>
                              </w:rPr>
                            </w:pPr>
                            <w:r>
                              <w:rPr>
                                <w:rFonts w:ascii="Arial" w:hAnsi="Arial" w:cs="Arial"/>
                                <w:b/>
                                <w:bCs/>
                                <w:kern w:val="0"/>
                                <w:sz w:val="36"/>
                                <w:szCs w:val="44"/>
                                <w14:ligatures w14:val="none"/>
                              </w:rPr>
                              <w:t>HNC / HND / BSc Quantity Surveying</w:t>
                            </w:r>
                          </w:p>
                          <w:p w14:paraId="31CEAD76" w14:textId="276B618C" w:rsidR="00F6697C" w:rsidRDefault="00F6697C" w:rsidP="007E1A57">
                            <w:pPr>
                              <w:rPr>
                                <w:rFonts w:ascii="Arial" w:hAnsi="Arial" w:cs="Arial"/>
                                <w:b/>
                                <w:bCs/>
                                <w:kern w:val="0"/>
                                <w:sz w:val="36"/>
                                <w:szCs w:val="44"/>
                                <w14:ligatures w14:val="none"/>
                              </w:rPr>
                            </w:pPr>
                          </w:p>
                          <w:p w14:paraId="1E817090" w14:textId="6CDD255B" w:rsidR="007E1A57" w:rsidRPr="005C666A" w:rsidRDefault="007E1A57" w:rsidP="007E1A57">
                            <w:pPr>
                              <w:rPr>
                                <w:rFonts w:asciiTheme="majorHAnsi" w:eastAsiaTheme="majorEastAsia" w:hAnsiTheme="majorHAnsi" w:cstheme="majorBidi"/>
                                <w:noProof/>
                                <w:color w:val="0E2841" w:themeColor="text2"/>
                                <w:sz w:val="14"/>
                                <w:szCs w:val="18"/>
                              </w:rPr>
                            </w:pPr>
                            <w:r w:rsidRPr="00A53C5F">
                              <w:rPr>
                                <w:rFonts w:ascii="Arial" w:hAnsi="Arial" w:cs="Arial"/>
                                <w:b/>
                                <w:bCs/>
                                <w:kern w:val="0"/>
                                <w:sz w:val="36"/>
                                <w:szCs w:val="44"/>
                                <w14:ligatures w14:val="none"/>
                              </w:rPr>
                              <w:t xml:space="preserve">Lecturer – </w:t>
                            </w:r>
                            <w:r w:rsidR="001E04FD">
                              <w:rPr>
                                <w:rFonts w:ascii="Arial" w:hAnsi="Arial" w:cs="Arial"/>
                                <w:b/>
                                <w:bCs/>
                                <w:kern w:val="0"/>
                                <w:sz w:val="36"/>
                                <w:szCs w:val="44"/>
                                <w14:ligatures w14:val="none"/>
                              </w:rPr>
                              <w:t>Rhodri Thomas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C7C3C79" id="_x0000_t202" coordsize="21600,21600" o:spt="202" path="m,l,21600r21600,l21600,xe">
                <v:stroke joinstyle="miter"/>
                <v:path gradientshapeok="t" o:connecttype="rect"/>
              </v:shapetype>
              <v:shape id="Text Box 265" o:spid="_x0000_s1027" type="#_x0000_t202" style="position:absolute;left:0;text-align:left;margin-left:246.6pt;margin-top:139.8pt;width:321pt;height:236.4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" filled="f" stroked="f" strokeweight=".5pt">
                <v:textbox>
                  <w:txbxContent>
                    <w:sdt>
                      <w:sdtPr>
                        <w:rPr>
                          <w:rFonts w:ascii="Arial" w:hAnsi="Arial" w:cs="Arial"/>
                          <w:b/>
                          <w:bCs/>
                          <w:sz w:val="36"/>
                          <w:szCs w:val="44"/>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28A9984E" w14:textId="77777777" w:rsidR="007E1A57" w:rsidRPr="00A53C5F" w:rsidRDefault="007E1A57" w:rsidP="007E1A57">
                          <w:pPr>
                            <w:spacing w:line="240" w:lineRule="auto"/>
                            <w:rPr>
                              <w:rFonts w:ascii="Arial" w:eastAsiaTheme="majorEastAsia" w:hAnsi="Arial" w:cs="Arial"/>
                              <w:b/>
                              <w:bCs/>
                              <w:noProof/>
                              <w:color w:val="156082" w:themeColor="accent1"/>
                              <w:sz w:val="36"/>
                              <w:szCs w:val="44"/>
                            </w:rPr>
                          </w:pPr>
                          <w:r>
                            <w:rPr>
                              <w:rFonts w:ascii="Arial" w:hAnsi="Arial" w:cs="Arial"/>
                              <w:b/>
                              <w:bCs/>
                              <w:sz w:val="36"/>
                              <w:szCs w:val="44"/>
                            </w:rPr>
                            <w:t xml:space="preserve">     </w:t>
                          </w:r>
                        </w:p>
                      </w:sdtContent>
                    </w:sdt>
                    <w:sdt>
                      <w:sdtPr>
                        <w:rPr>
                          <w:rFonts w:ascii="Arial" w:hAnsi="Arial" w:cs="Arial"/>
                          <w:b/>
                          <w:bCs/>
                          <w:kern w:val="0"/>
                          <w:sz w:val="36"/>
                          <w:szCs w:val="44"/>
                          <w14:ligatures w14:val="non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D44ABDA" w14:textId="6F343144" w:rsidR="007E1A57" w:rsidRPr="00A53C5F" w:rsidRDefault="007E1A57" w:rsidP="007E1A57">
                          <w:pPr>
                            <w:rPr>
                              <w:rFonts w:ascii="Arial" w:hAnsi="Arial" w:cs="Arial"/>
                              <w:b/>
                              <w:bCs/>
                              <w:sz w:val="36"/>
                              <w:szCs w:val="44"/>
                            </w:rPr>
                          </w:pPr>
                          <w:r>
                            <w:rPr>
                              <w:rFonts w:ascii="Arial" w:hAnsi="Arial" w:cs="Arial"/>
                              <w:b/>
                              <w:bCs/>
                              <w:kern w:val="0"/>
                              <w:sz w:val="36"/>
                              <w:szCs w:val="44"/>
                              <w14:ligatures w14:val="none"/>
                            </w:rPr>
                            <w:t>H</w:t>
                          </w:r>
                          <w:r w:rsidR="00213781">
                            <w:rPr>
                              <w:rFonts w:ascii="Arial" w:hAnsi="Arial" w:cs="Arial"/>
                              <w:b/>
                              <w:bCs/>
                              <w:kern w:val="0"/>
                              <w:sz w:val="36"/>
                              <w:szCs w:val="44"/>
                              <w14:ligatures w14:val="none"/>
                            </w:rPr>
                            <w:t>ealth, Safety and welfare (ACBA4023)</w:t>
                          </w:r>
                        </w:p>
                      </w:sdtContent>
                    </w:sdt>
                    <w:p w14:paraId="0F4CB176" w14:textId="77777777" w:rsidR="00F6697C" w:rsidRDefault="00F6697C" w:rsidP="007E1A57">
                      <w:pPr>
                        <w:rPr>
                          <w:rFonts w:ascii="Arial" w:hAnsi="Arial" w:cs="Arial"/>
                          <w:b/>
                          <w:bCs/>
                          <w:kern w:val="0"/>
                          <w:sz w:val="36"/>
                          <w:szCs w:val="44"/>
                          <w14:ligatures w14:val="none"/>
                        </w:rPr>
                      </w:pPr>
                    </w:p>
                    <w:p w14:paraId="6B1CAA5B" w14:textId="5D89ECC2" w:rsidR="00213781" w:rsidRDefault="00C45CD1" w:rsidP="007E1A57">
                      <w:pPr>
                        <w:rPr>
                          <w:rFonts w:ascii="Arial" w:hAnsi="Arial" w:cs="Arial"/>
                          <w:b/>
                          <w:bCs/>
                          <w:kern w:val="0"/>
                          <w:sz w:val="36"/>
                          <w:szCs w:val="44"/>
                          <w14:ligatures w14:val="none"/>
                        </w:rPr>
                      </w:pPr>
                      <w:r>
                        <w:rPr>
                          <w:rFonts w:ascii="Arial" w:hAnsi="Arial" w:cs="Arial"/>
                          <w:b/>
                          <w:bCs/>
                          <w:kern w:val="0"/>
                          <w:sz w:val="36"/>
                          <w:szCs w:val="44"/>
                          <w14:ligatures w14:val="none"/>
                        </w:rPr>
                        <w:t>HNC / HND / BSc Quantity Surveying</w:t>
                      </w:r>
                    </w:p>
                    <w:p w14:paraId="31CEAD76" w14:textId="276B618C" w:rsidR="00F6697C" w:rsidRDefault="00F6697C" w:rsidP="007E1A57">
                      <w:pPr>
                        <w:rPr>
                          <w:rFonts w:ascii="Arial" w:hAnsi="Arial" w:cs="Arial"/>
                          <w:b/>
                          <w:bCs/>
                          <w:kern w:val="0"/>
                          <w:sz w:val="36"/>
                          <w:szCs w:val="44"/>
                          <w14:ligatures w14:val="none"/>
                        </w:rPr>
                      </w:pPr>
                    </w:p>
                    <w:p w14:paraId="1E817090" w14:textId="6CDD255B" w:rsidR="007E1A57" w:rsidRPr="005C666A" w:rsidRDefault="007E1A57" w:rsidP="007E1A57">
                      <w:pPr>
                        <w:rPr>
                          <w:rFonts w:asciiTheme="majorHAnsi" w:eastAsiaTheme="majorEastAsia" w:hAnsiTheme="majorHAnsi" w:cstheme="majorBidi"/>
                          <w:noProof/>
                          <w:color w:val="0E2841" w:themeColor="text2"/>
                          <w:sz w:val="14"/>
                          <w:szCs w:val="18"/>
                        </w:rPr>
                      </w:pPr>
                      <w:r w:rsidRPr="00A53C5F">
                        <w:rPr>
                          <w:rFonts w:ascii="Arial" w:hAnsi="Arial" w:cs="Arial"/>
                          <w:b/>
                          <w:bCs/>
                          <w:kern w:val="0"/>
                          <w:sz w:val="36"/>
                          <w:szCs w:val="44"/>
                          <w14:ligatures w14:val="none"/>
                        </w:rPr>
                        <w:t xml:space="preserve">Lecturer – </w:t>
                      </w:r>
                      <w:r w:rsidR="001E04FD">
                        <w:rPr>
                          <w:rFonts w:ascii="Arial" w:hAnsi="Arial" w:cs="Arial"/>
                          <w:b/>
                          <w:bCs/>
                          <w:kern w:val="0"/>
                          <w:sz w:val="36"/>
                          <w:szCs w:val="44"/>
                          <w14:ligatures w14:val="none"/>
                        </w:rPr>
                        <w:t>Rhodri Thomas</w:t>
                      </w:r>
                    </w:p>
                  </w:txbxContent>
                </v:textbox>
                <w10:wrap type="square" anchorx="page" anchory="page"/>
              </v:shape>
            </w:pict>
          </mc:Fallback>
        </mc:AlternateContent>
      </w:r>
    </w:p>
    <w:p w14:paraId="53B8317E" w14:textId="71063026" w:rsidR="00282ACE" w:rsidRPr="00B12E2B" w:rsidRDefault="00282ACE" w:rsidP="00B12E2B">
      <w:pPr>
        <w:spacing w:line="360" w:lineRule="auto"/>
        <w:jc w:val="both"/>
        <w:rPr>
          <w:rFonts w:ascii="Arial" w:hAnsi="Arial" w:cs="Arial"/>
          <w:sz w:val="24"/>
          <w:szCs w:val="24"/>
        </w:rPr>
      </w:pPr>
    </w:p>
    <w:p w14:paraId="75FE9540" w14:textId="25C8162E" w:rsidR="00282ACE" w:rsidRPr="00B12E2B" w:rsidRDefault="00282ACE" w:rsidP="00B12E2B">
      <w:pPr>
        <w:spacing w:line="360" w:lineRule="auto"/>
        <w:jc w:val="both"/>
        <w:rPr>
          <w:rFonts w:ascii="Arial" w:hAnsi="Arial" w:cs="Arial"/>
          <w:sz w:val="24"/>
          <w:szCs w:val="24"/>
        </w:rPr>
      </w:pPr>
    </w:p>
    <w:p w14:paraId="1005D2E0" w14:textId="513A87D0" w:rsidR="00282ACE" w:rsidRPr="00B12E2B" w:rsidRDefault="00282ACE" w:rsidP="00B12E2B">
      <w:pPr>
        <w:spacing w:line="360" w:lineRule="auto"/>
        <w:jc w:val="both"/>
        <w:rPr>
          <w:rFonts w:ascii="Arial" w:hAnsi="Arial" w:cs="Arial"/>
          <w:sz w:val="24"/>
          <w:szCs w:val="24"/>
        </w:rPr>
      </w:pPr>
    </w:p>
    <w:p w14:paraId="6784F4CE" w14:textId="458DBA1F" w:rsidR="00282ACE" w:rsidRPr="00B12E2B" w:rsidRDefault="00282ACE" w:rsidP="00B12E2B">
      <w:pPr>
        <w:spacing w:line="360" w:lineRule="auto"/>
        <w:jc w:val="both"/>
        <w:rPr>
          <w:rFonts w:ascii="Arial" w:hAnsi="Arial" w:cs="Arial"/>
          <w:sz w:val="24"/>
          <w:szCs w:val="24"/>
        </w:rPr>
      </w:pPr>
    </w:p>
    <w:p w14:paraId="7652A2D0" w14:textId="57411FC0" w:rsidR="00282ACE" w:rsidRPr="00B12E2B" w:rsidRDefault="00282ACE" w:rsidP="00B12E2B">
      <w:pPr>
        <w:spacing w:line="360" w:lineRule="auto"/>
        <w:jc w:val="both"/>
        <w:rPr>
          <w:rFonts w:ascii="Arial" w:hAnsi="Arial" w:cs="Arial"/>
          <w:sz w:val="24"/>
          <w:szCs w:val="24"/>
        </w:rPr>
      </w:pPr>
    </w:p>
    <w:p w14:paraId="4F24412C" w14:textId="48DC7732" w:rsidR="00282ACE" w:rsidRPr="00B12E2B" w:rsidRDefault="00282ACE" w:rsidP="00B12E2B">
      <w:pPr>
        <w:spacing w:line="360" w:lineRule="auto"/>
        <w:jc w:val="both"/>
        <w:rPr>
          <w:rFonts w:ascii="Arial" w:hAnsi="Arial" w:cs="Arial"/>
          <w:sz w:val="24"/>
          <w:szCs w:val="24"/>
        </w:rPr>
      </w:pPr>
    </w:p>
    <w:p w14:paraId="3D7BC389" w14:textId="2A9D8842" w:rsidR="00282ACE" w:rsidRPr="00B12E2B" w:rsidRDefault="00282ACE" w:rsidP="00B12E2B">
      <w:pPr>
        <w:spacing w:line="360" w:lineRule="auto"/>
        <w:jc w:val="both"/>
        <w:rPr>
          <w:rFonts w:ascii="Arial" w:hAnsi="Arial" w:cs="Arial"/>
          <w:sz w:val="24"/>
          <w:szCs w:val="24"/>
        </w:rPr>
      </w:pPr>
    </w:p>
    <w:p w14:paraId="0D54A445" w14:textId="21B0E890" w:rsidR="00282ACE" w:rsidRPr="00B12E2B" w:rsidRDefault="00282ACE" w:rsidP="00B12E2B">
      <w:pPr>
        <w:spacing w:line="360" w:lineRule="auto"/>
        <w:jc w:val="both"/>
        <w:rPr>
          <w:rFonts w:ascii="Arial" w:hAnsi="Arial" w:cs="Arial"/>
          <w:sz w:val="24"/>
          <w:szCs w:val="24"/>
        </w:rPr>
      </w:pPr>
    </w:p>
    <w:p w14:paraId="2E2BF02E" w14:textId="7F225E40" w:rsidR="00282ACE" w:rsidRPr="00B12E2B" w:rsidRDefault="00282ACE" w:rsidP="00B12E2B">
      <w:pPr>
        <w:spacing w:line="360" w:lineRule="auto"/>
        <w:jc w:val="both"/>
        <w:rPr>
          <w:rFonts w:ascii="Arial" w:hAnsi="Arial" w:cs="Arial"/>
          <w:sz w:val="24"/>
          <w:szCs w:val="24"/>
        </w:rPr>
      </w:pPr>
    </w:p>
    <w:p w14:paraId="1C464D09" w14:textId="39883831" w:rsidR="00282ACE" w:rsidRPr="00B12E2B" w:rsidRDefault="00282ACE" w:rsidP="00B12E2B">
      <w:pPr>
        <w:spacing w:line="360" w:lineRule="auto"/>
        <w:jc w:val="both"/>
        <w:rPr>
          <w:rFonts w:ascii="Arial" w:hAnsi="Arial" w:cs="Arial"/>
          <w:sz w:val="24"/>
          <w:szCs w:val="24"/>
        </w:rPr>
      </w:pPr>
    </w:p>
    <w:p w14:paraId="137BB206" w14:textId="55280836" w:rsidR="00282ACE" w:rsidRPr="00B12E2B" w:rsidRDefault="00282ACE" w:rsidP="00B12E2B">
      <w:pPr>
        <w:spacing w:line="360" w:lineRule="auto"/>
        <w:jc w:val="both"/>
        <w:rPr>
          <w:rFonts w:ascii="Arial" w:hAnsi="Arial" w:cs="Arial"/>
          <w:sz w:val="24"/>
          <w:szCs w:val="24"/>
        </w:rPr>
      </w:pPr>
    </w:p>
    <w:p w14:paraId="642C6979" w14:textId="0FA2D12E" w:rsidR="00282ACE" w:rsidRPr="00B12E2B" w:rsidRDefault="004B5EDC" w:rsidP="00B12E2B">
      <w:pPr>
        <w:spacing w:line="360" w:lineRule="auto"/>
        <w:jc w:val="both"/>
        <w:rPr>
          <w:rFonts w:ascii="Arial" w:hAnsi="Arial" w:cs="Arial"/>
          <w:sz w:val="24"/>
          <w:szCs w:val="24"/>
        </w:rPr>
      </w:pPr>
      <w:r w:rsidRPr="00B12E2B">
        <w:rPr>
          <w:rFonts w:ascii="Arial" w:hAnsi="Arial" w:cs="Arial"/>
          <w:noProof/>
          <w:sz w:val="24"/>
          <w:szCs w:val="24"/>
        </w:rPr>
        <mc:AlternateContent>
          <mc:Choice Requires="wps">
            <w:drawing>
              <wp:anchor distT="0" distB="0" distL="114300" distR="114300" simplePos="0" relativeHeight="251667456" behindDoc="0" locked="0" layoutInCell="1" allowOverlap="1" wp14:anchorId="5C4B6CBC" wp14:editId="743F7A05">
                <wp:simplePos x="0" y="0"/>
                <wp:positionH relativeFrom="margin">
                  <wp:align>right</wp:align>
                </wp:positionH>
                <wp:positionV relativeFrom="page">
                  <wp:posOffset>6355080</wp:posOffset>
                </wp:positionV>
                <wp:extent cx="2797810" cy="889000"/>
                <wp:effectExtent l="0" t="0" r="0" b="635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889000"/>
                        </a:xfrm>
                        <a:prstGeom prst="rect">
                          <a:avLst/>
                        </a:prstGeom>
                        <a:noFill/>
                        <a:ln w="6350">
                          <a:noFill/>
                        </a:ln>
                        <a:effectLst/>
                      </wps:spPr>
                      <wps:txbx>
                        <w:txbxContent>
                          <w:p w14:paraId="2A39B3AB" w14:textId="711B677F" w:rsidR="004B5EDC" w:rsidRPr="00A53C5F" w:rsidRDefault="00000000" w:rsidP="004B5EDC">
                            <w:pPr>
                              <w:pStyle w:val="NoSpacing"/>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4B5EDC">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Bibek Khatri</w:t>
                                </w:r>
                              </w:sdtContent>
                            </w:sdt>
                          </w:p>
                          <w:p w14:paraId="02AE7CFE" w14:textId="77777777" w:rsidR="004B5EDC" w:rsidRPr="00A53C5F" w:rsidRDefault="004B5EDC" w:rsidP="004B5EDC">
                            <w:pPr>
                              <w:rPr>
                                <w:rFonts w:ascii="Arial" w:hAnsi="Arial" w:cs="Arial"/>
                                <w:b/>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3C5F">
                              <w:rPr>
                                <w:rFonts w:ascii="Arial" w:hAnsi="Arial" w:cs="Arial"/>
                                <w:b/>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- 2503477</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5C4B6CBC" id="Text Box 255" o:spid="_x0000_s1028" type="#_x0000_t202" style="position:absolute;left:0;text-align:left;margin-left:169.1pt;margin-top:500.4pt;width:220.3pt;height:70pt;z-index:251667456;visibility:visible;mso-wrap-style:square;mso-width-percent:360;mso-height-percent:0;mso-wrap-distance-left:9pt;mso-wrap-distance-top:0;mso-wrap-distance-right:9pt;mso-wrap-distance-bottom:0;mso-position-horizontal:right;mso-position-horizontal-relative:margin;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" filled="f" stroked="f" strokeweight=".5pt">
                <v:textbox>
                  <w:txbxContent>
                    <w:p w14:paraId="2A39B3AB" w14:textId="711B677F" w:rsidR="004B5EDC" w:rsidRPr="00A53C5F" w:rsidRDefault="00000000" w:rsidP="004B5EDC">
                      <w:pPr>
                        <w:pStyle w:val="NoSpacing"/>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4B5EDC">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Bibek Khatri</w:t>
                          </w:r>
                        </w:sdtContent>
                      </w:sdt>
                    </w:p>
                    <w:p w14:paraId="02AE7CFE" w14:textId="77777777" w:rsidR="004B5EDC" w:rsidRPr="00A53C5F" w:rsidRDefault="004B5EDC" w:rsidP="004B5EDC">
                      <w:pPr>
                        <w:rPr>
                          <w:rFonts w:ascii="Arial" w:hAnsi="Arial" w:cs="Arial"/>
                          <w:b/>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3C5F">
                        <w:rPr>
                          <w:rFonts w:ascii="Arial" w:hAnsi="Arial" w:cs="Arial"/>
                          <w:b/>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- 2503477</w:t>
                      </w:r>
                    </w:p>
                  </w:txbxContent>
                </v:textbox>
                <w10:wrap type="square" anchorx="margin" anchory="page"/>
              </v:shape>
            </w:pict>
          </mc:Fallback>
        </mc:AlternateContent>
      </w:r>
    </w:p>
    <w:p w14:paraId="5781F33A" w14:textId="6AC82614" w:rsidR="00282ACE" w:rsidRPr="00B12E2B" w:rsidRDefault="00282ACE" w:rsidP="00B12E2B">
      <w:pPr>
        <w:spacing w:line="360" w:lineRule="auto"/>
        <w:jc w:val="both"/>
        <w:rPr>
          <w:rFonts w:ascii="Arial" w:hAnsi="Arial" w:cs="Arial"/>
          <w:sz w:val="24"/>
          <w:szCs w:val="24"/>
        </w:rPr>
      </w:pPr>
    </w:p>
    <w:p w14:paraId="184C598B" w14:textId="2F7E98F7" w:rsidR="00282ACE" w:rsidRPr="00B12E2B" w:rsidRDefault="00282ACE" w:rsidP="00B12E2B">
      <w:pPr>
        <w:spacing w:line="360" w:lineRule="auto"/>
        <w:jc w:val="both"/>
        <w:rPr>
          <w:rFonts w:ascii="Arial" w:hAnsi="Arial" w:cs="Arial"/>
          <w:sz w:val="24"/>
          <w:szCs w:val="24"/>
        </w:rPr>
      </w:pPr>
    </w:p>
    <w:p w14:paraId="486495E3" w14:textId="1201A101" w:rsidR="00282ACE" w:rsidRPr="00B12E2B" w:rsidRDefault="00282ACE" w:rsidP="00B12E2B">
      <w:pPr>
        <w:spacing w:line="360" w:lineRule="auto"/>
        <w:jc w:val="both"/>
        <w:rPr>
          <w:rFonts w:ascii="Arial" w:hAnsi="Arial" w:cs="Arial"/>
          <w:sz w:val="24"/>
          <w:szCs w:val="24"/>
        </w:rPr>
      </w:pPr>
    </w:p>
    <w:p w14:paraId="368B484C" w14:textId="50134DF7" w:rsidR="00282ACE" w:rsidRPr="00B12E2B" w:rsidRDefault="00E15DA9" w:rsidP="00B12E2B">
      <w:pPr>
        <w:spacing w:line="360" w:lineRule="auto"/>
        <w:jc w:val="both"/>
        <w:rPr>
          <w:rFonts w:ascii="Arial" w:hAnsi="Arial" w:cs="Arial"/>
          <w:sz w:val="24"/>
          <w:szCs w:val="24"/>
        </w:rPr>
      </w:pPr>
      <w:r w:rsidRPr="00B12E2B">
        <w:rPr>
          <w:rFonts w:ascii="Arial" w:hAnsi="Arial" w:cs="Arial"/>
          <w:noProof/>
          <w:sz w:val="24"/>
          <w:szCs w:val="24"/>
        </w:rPr>
        <mc:AlternateContent>
          <mc:Choice Requires="wps">
            <w:drawing>
              <wp:anchor distT="0" distB="0" distL="114300" distR="114300" simplePos="0" relativeHeight="251665408" behindDoc="0" locked="0" layoutInCell="1" allowOverlap="1" wp14:anchorId="0F020D60" wp14:editId="0CB73E8F">
                <wp:simplePos x="0" y="0"/>
                <wp:positionH relativeFrom="margin">
                  <wp:align>right</wp:align>
                </wp:positionH>
                <wp:positionV relativeFrom="page">
                  <wp:posOffset>7574280</wp:posOffset>
                </wp:positionV>
                <wp:extent cx="2875915" cy="118745"/>
                <wp:effectExtent l="0" t="0" r="3175" b="0"/>
                <wp:wrapNone/>
                <wp:docPr id="2125987510"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D29C0B9" id="Rectangle 263" o:spid="_x0000_s1026" style="position:absolute;margin-left:175.25pt;margin-top:596.4pt;width:226.45pt;height:9.35pt;z-index:251665408;visibility:visible;mso-wrap-style:square;mso-width-percent:370;mso-height-percent:0;mso-wrap-distance-left:9pt;mso-wrap-distance-top:0;mso-wrap-distance-right:9pt;mso-wrap-distance-bottom:0;mso-position-horizontal:right;mso-position-horizontal-relative:margin;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" fillcolor="#156082 [3204]" stroked="f" strokeweight="1pt">
                <w10:wrap anchorx="margin" anchory="page"/>
              </v:rect>
            </w:pict>
          </mc:Fallback>
        </mc:AlternateContent>
      </w:r>
    </w:p>
    <w:p w14:paraId="6C4CB523" w14:textId="77777777" w:rsidR="00282ACE" w:rsidRPr="00B12E2B" w:rsidRDefault="00282ACE" w:rsidP="00B12E2B">
      <w:pPr>
        <w:spacing w:line="360" w:lineRule="auto"/>
        <w:jc w:val="both"/>
        <w:rPr>
          <w:rFonts w:ascii="Arial" w:hAnsi="Arial" w:cs="Arial"/>
          <w:sz w:val="24"/>
          <w:szCs w:val="24"/>
        </w:rPr>
      </w:pPr>
    </w:p>
    <w:p w14:paraId="56959D85" w14:textId="77777777" w:rsidR="00282ACE" w:rsidRPr="00B12E2B" w:rsidRDefault="00282ACE" w:rsidP="00B12E2B">
      <w:pPr>
        <w:spacing w:line="360" w:lineRule="auto"/>
        <w:jc w:val="both"/>
        <w:rPr>
          <w:rFonts w:ascii="Arial" w:hAnsi="Arial" w:cs="Arial"/>
          <w:sz w:val="24"/>
          <w:szCs w:val="24"/>
        </w:rPr>
      </w:pPr>
    </w:p>
    <w:p w14:paraId="683A8F9F" w14:textId="77777777" w:rsidR="00282ACE" w:rsidRPr="00B12E2B" w:rsidRDefault="00282ACE" w:rsidP="00B12E2B">
      <w:pPr>
        <w:spacing w:line="360" w:lineRule="auto"/>
        <w:jc w:val="both"/>
        <w:rPr>
          <w:rFonts w:ascii="Arial" w:hAnsi="Arial" w:cs="Arial"/>
          <w:sz w:val="24"/>
          <w:szCs w:val="24"/>
        </w:rPr>
      </w:pPr>
    </w:p>
    <w:p w14:paraId="2DE929D7" w14:textId="77777777" w:rsidR="00282ACE" w:rsidRPr="00B12E2B" w:rsidRDefault="00282ACE" w:rsidP="00B12E2B">
      <w:pPr>
        <w:spacing w:line="360" w:lineRule="auto"/>
        <w:jc w:val="both"/>
        <w:rPr>
          <w:rFonts w:ascii="Arial" w:hAnsi="Arial" w:cs="Arial"/>
          <w:sz w:val="24"/>
          <w:szCs w:val="24"/>
        </w:rPr>
      </w:pPr>
    </w:p>
    <w:p w14:paraId="38755D8C" w14:textId="77777777" w:rsidR="00F15315" w:rsidRPr="00B12E2B" w:rsidRDefault="00F15315" w:rsidP="00B12E2B">
      <w:pPr>
        <w:spacing w:line="360" w:lineRule="auto"/>
        <w:jc w:val="both"/>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1728070463"/>
        <w:docPartObj>
          <w:docPartGallery w:val="Table of Contents"/>
          <w:docPartUnique/>
        </w:docPartObj>
      </w:sdtPr>
      <w:sdtEndPr>
        <w:rPr>
          <w:noProof/>
        </w:rPr>
      </w:sdtEndPr>
      <w:sdtContent>
        <w:p w14:paraId="56722E1D" w14:textId="69BB2B7A" w:rsidR="005421EC" w:rsidRPr="00B12E2B" w:rsidRDefault="005421EC" w:rsidP="00B12E2B">
          <w:pPr>
            <w:pStyle w:val="TOCHeading"/>
            <w:spacing w:line="360" w:lineRule="auto"/>
            <w:jc w:val="both"/>
            <w:rPr>
              <w:rFonts w:ascii="Arial" w:hAnsi="Arial" w:cs="Arial"/>
              <w:sz w:val="24"/>
              <w:szCs w:val="24"/>
            </w:rPr>
          </w:pPr>
          <w:r w:rsidRPr="00B12E2B">
            <w:rPr>
              <w:rFonts w:ascii="Arial" w:hAnsi="Arial" w:cs="Arial"/>
              <w:sz w:val="24"/>
              <w:szCs w:val="24"/>
            </w:rPr>
            <w:t>Contents</w:t>
          </w:r>
        </w:p>
        <w:p w14:paraId="185E6355" w14:textId="65327BF4" w:rsidR="002A07B2" w:rsidRPr="00B12E2B" w:rsidRDefault="005421EC" w:rsidP="00B12E2B">
          <w:pPr>
            <w:pStyle w:val="TOC1"/>
            <w:jc w:val="both"/>
            <w:rPr>
              <w:rFonts w:ascii="Arial" w:eastAsiaTheme="minorEastAsia" w:hAnsi="Arial" w:cs="Arial"/>
              <w:noProof/>
              <w:sz w:val="24"/>
              <w:szCs w:val="24"/>
              <w:lang w:eastAsia="en-GB"/>
            </w:rPr>
          </w:pPr>
          <w:r w:rsidRPr="00B12E2B">
            <w:rPr>
              <w:rFonts w:ascii="Arial" w:hAnsi="Arial" w:cs="Arial"/>
              <w:sz w:val="24"/>
              <w:szCs w:val="24"/>
            </w:rPr>
            <w:fldChar w:fldCharType="begin"/>
          </w:r>
          <w:r w:rsidRPr="00B12E2B">
            <w:rPr>
              <w:rFonts w:ascii="Arial" w:hAnsi="Arial" w:cs="Arial"/>
              <w:sz w:val="24"/>
              <w:szCs w:val="24"/>
            </w:rPr>
            <w:instrText xml:space="preserve"> TOC \o "1-3" \h \z \u </w:instrText>
          </w:r>
          <w:r w:rsidRPr="00B12E2B">
            <w:rPr>
              <w:rFonts w:ascii="Arial" w:hAnsi="Arial" w:cs="Arial"/>
              <w:sz w:val="24"/>
              <w:szCs w:val="24"/>
            </w:rPr>
            <w:fldChar w:fldCharType="separate"/>
          </w:r>
          <w:hyperlink w:anchor="_Toc228542961" w:history="1">
            <w:r w:rsidR="002A07B2" w:rsidRPr="00B12E2B">
              <w:rPr>
                <w:rStyle w:val="Hyperlink"/>
                <w:rFonts w:ascii="Arial" w:hAnsi="Arial" w:cs="Arial"/>
                <w:noProof/>
                <w:sz w:val="24"/>
                <w:szCs w:val="24"/>
              </w:rPr>
              <w:t>1.0 Introduction</w:t>
            </w:r>
            <w:r w:rsidR="002A07B2" w:rsidRPr="00B12E2B">
              <w:rPr>
                <w:rFonts w:ascii="Arial" w:hAnsi="Arial" w:cs="Arial"/>
                <w:noProof/>
                <w:webHidden/>
                <w:sz w:val="24"/>
                <w:szCs w:val="24"/>
              </w:rPr>
              <w:tab/>
            </w:r>
            <w:r w:rsidR="002A07B2" w:rsidRPr="00B12E2B">
              <w:rPr>
                <w:rFonts w:ascii="Arial" w:hAnsi="Arial" w:cs="Arial"/>
                <w:noProof/>
                <w:webHidden/>
                <w:sz w:val="24"/>
                <w:szCs w:val="24"/>
              </w:rPr>
              <w:fldChar w:fldCharType="begin"/>
            </w:r>
            <w:r w:rsidR="002A07B2" w:rsidRPr="00B12E2B">
              <w:rPr>
                <w:rFonts w:ascii="Arial" w:hAnsi="Arial" w:cs="Arial"/>
                <w:noProof/>
                <w:webHidden/>
                <w:sz w:val="24"/>
                <w:szCs w:val="24"/>
              </w:rPr>
              <w:instrText xml:space="preserve"> PAGEREF _Toc228542961 \h </w:instrText>
            </w:r>
            <w:r w:rsidR="002A07B2" w:rsidRPr="00B12E2B">
              <w:rPr>
                <w:rFonts w:ascii="Arial" w:hAnsi="Arial" w:cs="Arial"/>
                <w:noProof/>
                <w:webHidden/>
                <w:sz w:val="24"/>
                <w:szCs w:val="24"/>
              </w:rPr>
            </w:r>
            <w:r w:rsidR="002A07B2" w:rsidRPr="00B12E2B">
              <w:rPr>
                <w:rFonts w:ascii="Arial" w:hAnsi="Arial" w:cs="Arial"/>
                <w:noProof/>
                <w:webHidden/>
                <w:sz w:val="24"/>
                <w:szCs w:val="24"/>
              </w:rPr>
              <w:fldChar w:fldCharType="separate"/>
            </w:r>
            <w:r w:rsidR="00C914B3">
              <w:rPr>
                <w:rFonts w:ascii="Arial" w:hAnsi="Arial" w:cs="Arial"/>
                <w:noProof/>
                <w:webHidden/>
                <w:sz w:val="24"/>
                <w:szCs w:val="24"/>
              </w:rPr>
              <w:t>1</w:t>
            </w:r>
            <w:r w:rsidR="002A07B2" w:rsidRPr="00B12E2B">
              <w:rPr>
                <w:rFonts w:ascii="Arial" w:hAnsi="Arial" w:cs="Arial"/>
                <w:noProof/>
                <w:webHidden/>
                <w:sz w:val="24"/>
                <w:szCs w:val="24"/>
              </w:rPr>
              <w:fldChar w:fldCharType="end"/>
            </w:r>
          </w:hyperlink>
        </w:p>
        <w:p w14:paraId="78156C99" w14:textId="0CAD666D" w:rsidR="002A07B2" w:rsidRPr="00B12E2B" w:rsidRDefault="002A07B2" w:rsidP="00B12E2B">
          <w:pPr>
            <w:pStyle w:val="TOC1"/>
            <w:jc w:val="both"/>
            <w:rPr>
              <w:rFonts w:ascii="Arial" w:eastAsiaTheme="minorEastAsia" w:hAnsi="Arial" w:cs="Arial"/>
              <w:noProof/>
              <w:sz w:val="24"/>
              <w:szCs w:val="24"/>
              <w:lang w:eastAsia="en-GB"/>
            </w:rPr>
          </w:pPr>
          <w:hyperlink w:anchor="_Toc228542962" w:history="1">
            <w:r w:rsidRPr="00B12E2B">
              <w:rPr>
                <w:rStyle w:val="Hyperlink"/>
                <w:rFonts w:ascii="Arial" w:hAnsi="Arial" w:cs="Arial"/>
                <w:noProof/>
                <w:sz w:val="24"/>
                <w:szCs w:val="24"/>
              </w:rPr>
              <w:t>2.0 Relevance and Impact of the Building Safety Act 2022 and Building Safety (Wales) Bill</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_Toc228542962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1</w:t>
            </w:r>
            <w:r w:rsidRPr="00B12E2B">
              <w:rPr>
                <w:rFonts w:ascii="Arial" w:hAnsi="Arial" w:cs="Arial"/>
                <w:noProof/>
                <w:webHidden/>
                <w:sz w:val="24"/>
                <w:szCs w:val="24"/>
              </w:rPr>
              <w:fldChar w:fldCharType="end"/>
            </w:r>
          </w:hyperlink>
        </w:p>
        <w:p w14:paraId="68F416AD" w14:textId="59E8BD18" w:rsidR="002A07B2" w:rsidRPr="00B12E2B" w:rsidRDefault="002A07B2" w:rsidP="00B12E2B">
          <w:pPr>
            <w:pStyle w:val="TOC1"/>
            <w:jc w:val="both"/>
            <w:rPr>
              <w:rFonts w:ascii="Arial" w:eastAsiaTheme="minorEastAsia" w:hAnsi="Arial" w:cs="Arial"/>
              <w:noProof/>
              <w:sz w:val="24"/>
              <w:szCs w:val="24"/>
              <w:lang w:eastAsia="en-GB"/>
            </w:rPr>
          </w:pPr>
          <w:hyperlink w:anchor="_Toc228542963" w:history="1">
            <w:r w:rsidRPr="00B12E2B">
              <w:rPr>
                <w:rStyle w:val="Hyperlink"/>
                <w:rFonts w:ascii="Arial" w:hAnsi="Arial" w:cs="Arial"/>
                <w:noProof/>
                <w:sz w:val="24"/>
                <w:szCs w:val="24"/>
              </w:rPr>
              <w:t>2.1 Regulatory Context</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_Toc228542963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1</w:t>
            </w:r>
            <w:r w:rsidRPr="00B12E2B">
              <w:rPr>
                <w:rFonts w:ascii="Arial" w:hAnsi="Arial" w:cs="Arial"/>
                <w:noProof/>
                <w:webHidden/>
                <w:sz w:val="24"/>
                <w:szCs w:val="24"/>
              </w:rPr>
              <w:fldChar w:fldCharType="end"/>
            </w:r>
          </w:hyperlink>
        </w:p>
        <w:p w14:paraId="7716D6AB" w14:textId="5169764F" w:rsidR="002A07B2" w:rsidRPr="00B12E2B" w:rsidRDefault="002A07B2" w:rsidP="00B12E2B">
          <w:pPr>
            <w:pStyle w:val="TOC1"/>
            <w:jc w:val="both"/>
            <w:rPr>
              <w:rFonts w:ascii="Arial" w:eastAsiaTheme="minorEastAsia" w:hAnsi="Arial" w:cs="Arial"/>
              <w:noProof/>
              <w:sz w:val="24"/>
              <w:szCs w:val="24"/>
              <w:lang w:eastAsia="en-GB"/>
            </w:rPr>
          </w:pPr>
          <w:hyperlink w:anchor="_Toc228542964" w:history="1">
            <w:r w:rsidRPr="00B12E2B">
              <w:rPr>
                <w:rStyle w:val="Hyperlink"/>
                <w:rFonts w:ascii="Arial" w:hAnsi="Arial" w:cs="Arial"/>
                <w:noProof/>
                <w:sz w:val="24"/>
                <w:szCs w:val="24"/>
              </w:rPr>
              <w:t>2.2 Classification of Croft Street Block 2</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_Toc228542964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2</w:t>
            </w:r>
            <w:r w:rsidRPr="00B12E2B">
              <w:rPr>
                <w:rFonts w:ascii="Arial" w:hAnsi="Arial" w:cs="Arial"/>
                <w:noProof/>
                <w:webHidden/>
                <w:sz w:val="24"/>
                <w:szCs w:val="24"/>
              </w:rPr>
              <w:fldChar w:fldCharType="end"/>
            </w:r>
          </w:hyperlink>
        </w:p>
        <w:p w14:paraId="42364692" w14:textId="6DF46383" w:rsidR="002A07B2" w:rsidRPr="00B12E2B" w:rsidRDefault="002A07B2" w:rsidP="00B12E2B">
          <w:pPr>
            <w:pStyle w:val="TOC1"/>
            <w:jc w:val="both"/>
            <w:rPr>
              <w:rFonts w:ascii="Arial" w:eastAsiaTheme="minorEastAsia" w:hAnsi="Arial" w:cs="Arial"/>
              <w:noProof/>
              <w:sz w:val="24"/>
              <w:szCs w:val="24"/>
              <w:lang w:eastAsia="en-GB"/>
            </w:rPr>
          </w:pPr>
          <w:hyperlink w:anchor="_Toc228542965" w:history="1">
            <w:r w:rsidRPr="00B12E2B">
              <w:rPr>
                <w:rStyle w:val="Hyperlink"/>
                <w:rFonts w:ascii="Arial" w:hAnsi="Arial" w:cs="Arial"/>
                <w:noProof/>
                <w:sz w:val="24"/>
                <w:szCs w:val="24"/>
              </w:rPr>
              <w:t>2.3 Gateway Process Specifications</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_Toc228542965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2</w:t>
            </w:r>
            <w:r w:rsidRPr="00B12E2B">
              <w:rPr>
                <w:rFonts w:ascii="Arial" w:hAnsi="Arial" w:cs="Arial"/>
                <w:noProof/>
                <w:webHidden/>
                <w:sz w:val="24"/>
                <w:szCs w:val="24"/>
              </w:rPr>
              <w:fldChar w:fldCharType="end"/>
            </w:r>
          </w:hyperlink>
        </w:p>
        <w:p w14:paraId="373E30F9" w14:textId="694C9EE0" w:rsidR="002A07B2" w:rsidRPr="00B12E2B" w:rsidRDefault="002A07B2" w:rsidP="00B12E2B">
          <w:pPr>
            <w:pStyle w:val="TOC1"/>
            <w:jc w:val="both"/>
            <w:rPr>
              <w:rFonts w:ascii="Arial" w:eastAsiaTheme="minorEastAsia" w:hAnsi="Arial" w:cs="Arial"/>
              <w:noProof/>
              <w:sz w:val="24"/>
              <w:szCs w:val="24"/>
              <w:lang w:eastAsia="en-GB"/>
            </w:rPr>
          </w:pPr>
          <w:hyperlink w:anchor="_Toc228542966" w:history="1">
            <w:r w:rsidRPr="00B12E2B">
              <w:rPr>
                <w:rStyle w:val="Hyperlink"/>
                <w:rFonts w:ascii="Arial" w:hAnsi="Arial" w:cs="Arial"/>
                <w:noProof/>
                <w:sz w:val="24"/>
                <w:szCs w:val="24"/>
              </w:rPr>
              <w:t>2.3.1 Gateway One – Planning Gateway One (PGO)</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_Toc228542966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2</w:t>
            </w:r>
            <w:r w:rsidRPr="00B12E2B">
              <w:rPr>
                <w:rFonts w:ascii="Arial" w:hAnsi="Arial" w:cs="Arial"/>
                <w:noProof/>
                <w:webHidden/>
                <w:sz w:val="24"/>
                <w:szCs w:val="24"/>
              </w:rPr>
              <w:fldChar w:fldCharType="end"/>
            </w:r>
          </w:hyperlink>
        </w:p>
        <w:p w14:paraId="67E98371" w14:textId="01C3F893" w:rsidR="002A07B2" w:rsidRPr="00B12E2B" w:rsidRDefault="002A07B2" w:rsidP="00B12E2B">
          <w:pPr>
            <w:pStyle w:val="TOC1"/>
            <w:jc w:val="both"/>
            <w:rPr>
              <w:rFonts w:ascii="Arial" w:eastAsiaTheme="minorEastAsia" w:hAnsi="Arial" w:cs="Arial"/>
              <w:noProof/>
              <w:sz w:val="24"/>
              <w:szCs w:val="24"/>
              <w:lang w:eastAsia="en-GB"/>
            </w:rPr>
          </w:pPr>
          <w:hyperlink w:anchor="_Toc228542967" w:history="1">
            <w:r w:rsidRPr="00B12E2B">
              <w:rPr>
                <w:rStyle w:val="Hyperlink"/>
                <w:rFonts w:ascii="Arial" w:hAnsi="Arial" w:cs="Arial"/>
                <w:noProof/>
                <w:sz w:val="24"/>
                <w:szCs w:val="24"/>
              </w:rPr>
              <w:t>2.3.2 Gateway Two – Pre-Construction Approval</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_Toc228542967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3</w:t>
            </w:r>
            <w:r w:rsidRPr="00B12E2B">
              <w:rPr>
                <w:rFonts w:ascii="Arial" w:hAnsi="Arial" w:cs="Arial"/>
                <w:noProof/>
                <w:webHidden/>
                <w:sz w:val="24"/>
                <w:szCs w:val="24"/>
              </w:rPr>
              <w:fldChar w:fldCharType="end"/>
            </w:r>
          </w:hyperlink>
        </w:p>
        <w:p w14:paraId="04646EBB" w14:textId="3777B240" w:rsidR="002A07B2" w:rsidRPr="00B12E2B" w:rsidRDefault="002A07B2" w:rsidP="00B12E2B">
          <w:pPr>
            <w:pStyle w:val="TOC1"/>
            <w:jc w:val="both"/>
            <w:rPr>
              <w:rFonts w:ascii="Arial" w:eastAsiaTheme="minorEastAsia" w:hAnsi="Arial" w:cs="Arial"/>
              <w:noProof/>
              <w:sz w:val="24"/>
              <w:szCs w:val="24"/>
              <w:lang w:eastAsia="en-GB"/>
            </w:rPr>
          </w:pPr>
          <w:hyperlink w:anchor="_Toc228542968" w:history="1">
            <w:r w:rsidRPr="00B12E2B">
              <w:rPr>
                <w:rStyle w:val="Hyperlink"/>
                <w:rFonts w:ascii="Arial" w:hAnsi="Arial" w:cs="Arial"/>
                <w:noProof/>
                <w:sz w:val="24"/>
                <w:szCs w:val="24"/>
              </w:rPr>
              <w:t>2.3.3 Gateway Three – Completion and Occupation</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_Toc228542968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3</w:t>
            </w:r>
            <w:r w:rsidRPr="00B12E2B">
              <w:rPr>
                <w:rFonts w:ascii="Arial" w:hAnsi="Arial" w:cs="Arial"/>
                <w:noProof/>
                <w:webHidden/>
                <w:sz w:val="24"/>
                <w:szCs w:val="24"/>
              </w:rPr>
              <w:fldChar w:fldCharType="end"/>
            </w:r>
          </w:hyperlink>
        </w:p>
        <w:p w14:paraId="1BF8A5E5" w14:textId="7E346C1D" w:rsidR="002A07B2" w:rsidRPr="00B12E2B" w:rsidRDefault="002A07B2" w:rsidP="00B12E2B">
          <w:pPr>
            <w:pStyle w:val="TOC1"/>
            <w:jc w:val="both"/>
            <w:rPr>
              <w:rFonts w:ascii="Arial" w:eastAsiaTheme="minorEastAsia" w:hAnsi="Arial" w:cs="Arial"/>
              <w:noProof/>
              <w:sz w:val="24"/>
              <w:szCs w:val="24"/>
              <w:lang w:eastAsia="en-GB"/>
            </w:rPr>
          </w:pPr>
          <w:hyperlink w:anchor="_Toc228542969" w:history="1">
            <w:r w:rsidRPr="00B12E2B">
              <w:rPr>
                <w:rStyle w:val="Hyperlink"/>
                <w:rFonts w:ascii="Arial" w:hAnsi="Arial" w:cs="Arial"/>
                <w:noProof/>
                <w:sz w:val="24"/>
                <w:szCs w:val="24"/>
              </w:rPr>
              <w:t>2.4 Changes to Fire Safety Legislation</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_Toc228542969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4</w:t>
            </w:r>
            <w:r w:rsidRPr="00B12E2B">
              <w:rPr>
                <w:rFonts w:ascii="Arial" w:hAnsi="Arial" w:cs="Arial"/>
                <w:noProof/>
                <w:webHidden/>
                <w:sz w:val="24"/>
                <w:szCs w:val="24"/>
              </w:rPr>
              <w:fldChar w:fldCharType="end"/>
            </w:r>
          </w:hyperlink>
        </w:p>
        <w:p w14:paraId="2D01113E" w14:textId="616DF3C9" w:rsidR="002A07B2" w:rsidRPr="00B12E2B" w:rsidRDefault="002A07B2" w:rsidP="00B12E2B">
          <w:pPr>
            <w:pStyle w:val="TOC1"/>
            <w:jc w:val="both"/>
            <w:rPr>
              <w:rFonts w:ascii="Arial" w:eastAsiaTheme="minorEastAsia" w:hAnsi="Arial" w:cs="Arial"/>
              <w:noProof/>
              <w:sz w:val="24"/>
              <w:szCs w:val="24"/>
              <w:lang w:eastAsia="en-GB"/>
            </w:rPr>
          </w:pPr>
          <w:hyperlink w:anchor="_Toc228542970" w:history="1">
            <w:r w:rsidRPr="00B12E2B">
              <w:rPr>
                <w:rStyle w:val="Hyperlink"/>
                <w:rFonts w:ascii="Arial" w:hAnsi="Arial" w:cs="Arial"/>
                <w:noProof/>
                <w:sz w:val="24"/>
                <w:szCs w:val="24"/>
              </w:rPr>
              <w:t>2.5 The Golden Thread of Information</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_Toc228542970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4</w:t>
            </w:r>
            <w:r w:rsidRPr="00B12E2B">
              <w:rPr>
                <w:rFonts w:ascii="Arial" w:hAnsi="Arial" w:cs="Arial"/>
                <w:noProof/>
                <w:webHidden/>
                <w:sz w:val="24"/>
                <w:szCs w:val="24"/>
              </w:rPr>
              <w:fldChar w:fldCharType="end"/>
            </w:r>
          </w:hyperlink>
        </w:p>
        <w:p w14:paraId="1CFF4334" w14:textId="56E9A356" w:rsidR="002A07B2" w:rsidRPr="00B12E2B" w:rsidRDefault="002A07B2" w:rsidP="00B12E2B">
          <w:pPr>
            <w:pStyle w:val="TOC1"/>
            <w:jc w:val="both"/>
            <w:rPr>
              <w:rFonts w:ascii="Arial" w:eastAsiaTheme="minorEastAsia" w:hAnsi="Arial" w:cs="Arial"/>
              <w:noProof/>
              <w:sz w:val="24"/>
              <w:szCs w:val="24"/>
              <w:lang w:eastAsia="en-GB"/>
            </w:rPr>
          </w:pPr>
          <w:hyperlink w:anchor="_Toc228542971" w:history="1">
            <w:r w:rsidRPr="00B12E2B">
              <w:rPr>
                <w:rStyle w:val="Hyperlink"/>
                <w:rFonts w:ascii="Arial" w:hAnsi="Arial" w:cs="Arial"/>
                <w:noProof/>
                <w:sz w:val="24"/>
                <w:szCs w:val="24"/>
              </w:rPr>
              <w:t>3.0 Compliance with Relevant Health and Safety legislation and management</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_Toc228542971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5</w:t>
            </w:r>
            <w:r w:rsidRPr="00B12E2B">
              <w:rPr>
                <w:rFonts w:ascii="Arial" w:hAnsi="Arial" w:cs="Arial"/>
                <w:noProof/>
                <w:webHidden/>
                <w:sz w:val="24"/>
                <w:szCs w:val="24"/>
              </w:rPr>
              <w:fldChar w:fldCharType="end"/>
            </w:r>
          </w:hyperlink>
        </w:p>
        <w:p w14:paraId="07C1E6E7" w14:textId="21644B95" w:rsidR="002A07B2" w:rsidRPr="00B12E2B" w:rsidRDefault="002A07B2" w:rsidP="00B12E2B">
          <w:pPr>
            <w:pStyle w:val="TOC1"/>
            <w:jc w:val="both"/>
            <w:rPr>
              <w:rFonts w:ascii="Arial" w:eastAsiaTheme="minorEastAsia" w:hAnsi="Arial" w:cs="Arial"/>
              <w:noProof/>
              <w:sz w:val="24"/>
              <w:szCs w:val="24"/>
              <w:lang w:eastAsia="en-GB"/>
            </w:rPr>
          </w:pPr>
          <w:hyperlink w:anchor="_Toc228542972" w:history="1">
            <w:r w:rsidRPr="00B12E2B">
              <w:rPr>
                <w:rStyle w:val="Hyperlink"/>
                <w:rFonts w:ascii="Arial" w:hAnsi="Arial" w:cs="Arial"/>
                <w:noProof/>
                <w:sz w:val="24"/>
                <w:szCs w:val="24"/>
              </w:rPr>
              <w:t>3.1 Health and Safety at Work etc Act 1974</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_Toc228542972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5</w:t>
            </w:r>
            <w:r w:rsidRPr="00B12E2B">
              <w:rPr>
                <w:rFonts w:ascii="Arial" w:hAnsi="Arial" w:cs="Arial"/>
                <w:noProof/>
                <w:webHidden/>
                <w:sz w:val="24"/>
                <w:szCs w:val="24"/>
              </w:rPr>
              <w:fldChar w:fldCharType="end"/>
            </w:r>
          </w:hyperlink>
        </w:p>
        <w:p w14:paraId="34C3EA8F" w14:textId="640802D4" w:rsidR="002A07B2" w:rsidRPr="00B12E2B" w:rsidRDefault="002A07B2" w:rsidP="00B12E2B">
          <w:pPr>
            <w:pStyle w:val="TOC1"/>
            <w:jc w:val="both"/>
            <w:rPr>
              <w:rFonts w:ascii="Arial" w:eastAsiaTheme="minorEastAsia" w:hAnsi="Arial" w:cs="Arial"/>
              <w:noProof/>
              <w:sz w:val="24"/>
              <w:szCs w:val="24"/>
              <w:lang w:eastAsia="en-GB"/>
            </w:rPr>
          </w:pPr>
          <w:hyperlink w:anchor="_Toc228542973" w:history="1">
            <w:r w:rsidRPr="00B12E2B">
              <w:rPr>
                <w:rStyle w:val="Hyperlink"/>
                <w:rFonts w:ascii="Arial" w:hAnsi="Arial" w:cs="Arial"/>
                <w:noProof/>
                <w:sz w:val="24"/>
                <w:szCs w:val="24"/>
              </w:rPr>
              <w:t>3.2 Occupational Health and Safety Management Regulations 1999</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_Toc228542973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5</w:t>
            </w:r>
            <w:r w:rsidRPr="00B12E2B">
              <w:rPr>
                <w:rFonts w:ascii="Arial" w:hAnsi="Arial" w:cs="Arial"/>
                <w:noProof/>
                <w:webHidden/>
                <w:sz w:val="24"/>
                <w:szCs w:val="24"/>
              </w:rPr>
              <w:fldChar w:fldCharType="end"/>
            </w:r>
          </w:hyperlink>
        </w:p>
        <w:p w14:paraId="5B0A4418" w14:textId="0FF8C8ED" w:rsidR="002A07B2" w:rsidRPr="00B12E2B" w:rsidRDefault="002A07B2" w:rsidP="00B12E2B">
          <w:pPr>
            <w:pStyle w:val="TOC1"/>
            <w:jc w:val="both"/>
            <w:rPr>
              <w:rFonts w:ascii="Arial" w:eastAsiaTheme="minorEastAsia" w:hAnsi="Arial" w:cs="Arial"/>
              <w:noProof/>
              <w:sz w:val="24"/>
              <w:szCs w:val="24"/>
              <w:lang w:eastAsia="en-GB"/>
            </w:rPr>
          </w:pPr>
          <w:hyperlink w:anchor="_Toc228542974" w:history="1">
            <w:r w:rsidRPr="00B12E2B">
              <w:rPr>
                <w:rStyle w:val="Hyperlink"/>
                <w:rFonts w:ascii="Arial" w:hAnsi="Arial" w:cs="Arial"/>
                <w:noProof/>
                <w:sz w:val="24"/>
                <w:szCs w:val="24"/>
              </w:rPr>
              <w:t>3.3 Work at Height Regulations 2005</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_Toc228542974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6</w:t>
            </w:r>
            <w:r w:rsidRPr="00B12E2B">
              <w:rPr>
                <w:rFonts w:ascii="Arial" w:hAnsi="Arial" w:cs="Arial"/>
                <w:noProof/>
                <w:webHidden/>
                <w:sz w:val="24"/>
                <w:szCs w:val="24"/>
              </w:rPr>
              <w:fldChar w:fldCharType="end"/>
            </w:r>
          </w:hyperlink>
        </w:p>
        <w:p w14:paraId="33E325E2" w14:textId="12F5EEC2" w:rsidR="002A07B2" w:rsidRPr="00B12E2B" w:rsidRDefault="002A07B2" w:rsidP="00B12E2B">
          <w:pPr>
            <w:pStyle w:val="TOC1"/>
            <w:jc w:val="both"/>
            <w:rPr>
              <w:rFonts w:ascii="Arial" w:eastAsiaTheme="minorEastAsia" w:hAnsi="Arial" w:cs="Arial"/>
              <w:noProof/>
              <w:sz w:val="24"/>
              <w:szCs w:val="24"/>
              <w:lang w:eastAsia="en-GB"/>
            </w:rPr>
          </w:pPr>
          <w:hyperlink w:anchor="_Toc228542975" w:history="1">
            <w:r w:rsidRPr="00B12E2B">
              <w:rPr>
                <w:rStyle w:val="Hyperlink"/>
                <w:rFonts w:ascii="Arial" w:hAnsi="Arial" w:cs="Arial"/>
                <w:noProof/>
                <w:sz w:val="24"/>
                <w:szCs w:val="24"/>
              </w:rPr>
              <w:t>3.4 Control of Substances Hazardous to Health Regulations 2002</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_Toc228542975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6</w:t>
            </w:r>
            <w:r w:rsidRPr="00B12E2B">
              <w:rPr>
                <w:rFonts w:ascii="Arial" w:hAnsi="Arial" w:cs="Arial"/>
                <w:noProof/>
                <w:webHidden/>
                <w:sz w:val="24"/>
                <w:szCs w:val="24"/>
              </w:rPr>
              <w:fldChar w:fldCharType="end"/>
            </w:r>
          </w:hyperlink>
        </w:p>
        <w:p w14:paraId="2C312EC9" w14:textId="31F9B65B" w:rsidR="002A07B2" w:rsidRPr="00B12E2B" w:rsidRDefault="002A07B2" w:rsidP="00B12E2B">
          <w:pPr>
            <w:pStyle w:val="TOC1"/>
            <w:jc w:val="both"/>
            <w:rPr>
              <w:rFonts w:ascii="Arial" w:eastAsiaTheme="minorEastAsia" w:hAnsi="Arial" w:cs="Arial"/>
              <w:noProof/>
              <w:sz w:val="24"/>
              <w:szCs w:val="24"/>
              <w:lang w:eastAsia="en-GB"/>
            </w:rPr>
          </w:pPr>
          <w:hyperlink w:anchor="_Toc228542976" w:history="1">
            <w:r w:rsidRPr="00B12E2B">
              <w:rPr>
                <w:rStyle w:val="Hyperlink"/>
                <w:rFonts w:ascii="Arial" w:hAnsi="Arial" w:cs="Arial"/>
                <w:noProof/>
                <w:sz w:val="24"/>
                <w:szCs w:val="24"/>
              </w:rPr>
              <w:t>3.5 Noise at Work Regulations 2005 Control</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_Toc228542976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6</w:t>
            </w:r>
            <w:r w:rsidRPr="00B12E2B">
              <w:rPr>
                <w:rFonts w:ascii="Arial" w:hAnsi="Arial" w:cs="Arial"/>
                <w:noProof/>
                <w:webHidden/>
                <w:sz w:val="24"/>
                <w:szCs w:val="24"/>
              </w:rPr>
              <w:fldChar w:fldCharType="end"/>
            </w:r>
          </w:hyperlink>
        </w:p>
        <w:p w14:paraId="75DCAD22" w14:textId="45ACAF54" w:rsidR="002A07B2" w:rsidRPr="00B12E2B" w:rsidRDefault="002A07B2" w:rsidP="00B12E2B">
          <w:pPr>
            <w:pStyle w:val="TOC1"/>
            <w:jc w:val="both"/>
            <w:rPr>
              <w:rFonts w:ascii="Arial" w:eastAsiaTheme="minorEastAsia" w:hAnsi="Arial" w:cs="Arial"/>
              <w:noProof/>
              <w:sz w:val="24"/>
              <w:szCs w:val="24"/>
              <w:lang w:eastAsia="en-GB"/>
            </w:rPr>
          </w:pPr>
          <w:hyperlink w:anchor="_Toc228542977" w:history="1">
            <w:r w:rsidRPr="00B12E2B">
              <w:rPr>
                <w:rStyle w:val="Hyperlink"/>
                <w:rFonts w:ascii="Arial" w:hAnsi="Arial" w:cs="Arial"/>
                <w:noProof/>
                <w:sz w:val="24"/>
                <w:szCs w:val="24"/>
              </w:rPr>
              <w:t>3.6 Training and Competency Frameworks</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_Toc228542977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7</w:t>
            </w:r>
            <w:r w:rsidRPr="00B12E2B">
              <w:rPr>
                <w:rFonts w:ascii="Arial" w:hAnsi="Arial" w:cs="Arial"/>
                <w:noProof/>
                <w:webHidden/>
                <w:sz w:val="24"/>
                <w:szCs w:val="24"/>
              </w:rPr>
              <w:fldChar w:fldCharType="end"/>
            </w:r>
          </w:hyperlink>
        </w:p>
        <w:p w14:paraId="2DEAE292" w14:textId="7D5BC4BE" w:rsidR="002A07B2" w:rsidRPr="00B12E2B" w:rsidRDefault="002A07B2" w:rsidP="00B12E2B">
          <w:pPr>
            <w:pStyle w:val="TOC1"/>
            <w:jc w:val="both"/>
            <w:rPr>
              <w:rFonts w:ascii="Arial" w:eastAsiaTheme="minorEastAsia" w:hAnsi="Arial" w:cs="Arial"/>
              <w:noProof/>
              <w:sz w:val="24"/>
              <w:szCs w:val="24"/>
              <w:lang w:eastAsia="en-GB"/>
            </w:rPr>
          </w:pPr>
          <w:hyperlink w:anchor="_Toc228542978" w:history="1">
            <w:r w:rsidRPr="00B12E2B">
              <w:rPr>
                <w:rStyle w:val="Hyperlink"/>
                <w:rFonts w:ascii="Arial" w:hAnsi="Arial" w:cs="Arial"/>
                <w:noProof/>
                <w:sz w:val="24"/>
                <w:szCs w:val="24"/>
              </w:rPr>
              <w:t>4.0 Compliance with the CDM Regulations 2015</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_Toc228542978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7</w:t>
            </w:r>
            <w:r w:rsidRPr="00B12E2B">
              <w:rPr>
                <w:rFonts w:ascii="Arial" w:hAnsi="Arial" w:cs="Arial"/>
                <w:noProof/>
                <w:webHidden/>
                <w:sz w:val="24"/>
                <w:szCs w:val="24"/>
              </w:rPr>
              <w:fldChar w:fldCharType="end"/>
            </w:r>
          </w:hyperlink>
        </w:p>
        <w:p w14:paraId="2702C033" w14:textId="0AF14F68" w:rsidR="002A07B2" w:rsidRPr="00B12E2B" w:rsidRDefault="002A07B2" w:rsidP="00B12E2B">
          <w:pPr>
            <w:pStyle w:val="TOC1"/>
            <w:jc w:val="both"/>
            <w:rPr>
              <w:rFonts w:ascii="Arial" w:eastAsiaTheme="minorEastAsia" w:hAnsi="Arial" w:cs="Arial"/>
              <w:noProof/>
              <w:sz w:val="24"/>
              <w:szCs w:val="24"/>
              <w:lang w:eastAsia="en-GB"/>
            </w:rPr>
          </w:pPr>
          <w:hyperlink w:anchor="_Toc228542979" w:history="1">
            <w:r w:rsidRPr="00B12E2B">
              <w:rPr>
                <w:rStyle w:val="Hyperlink"/>
                <w:rFonts w:ascii="Arial" w:hAnsi="Arial" w:cs="Arial"/>
                <w:noProof/>
                <w:sz w:val="24"/>
                <w:szCs w:val="24"/>
              </w:rPr>
              <w:t>4.1 Application of CDM 2015.</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_Toc228542979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7</w:t>
            </w:r>
            <w:r w:rsidRPr="00B12E2B">
              <w:rPr>
                <w:rFonts w:ascii="Arial" w:hAnsi="Arial" w:cs="Arial"/>
                <w:noProof/>
                <w:webHidden/>
                <w:sz w:val="24"/>
                <w:szCs w:val="24"/>
              </w:rPr>
              <w:fldChar w:fldCharType="end"/>
            </w:r>
          </w:hyperlink>
        </w:p>
        <w:p w14:paraId="2F94311B" w14:textId="562B6B17" w:rsidR="002A07B2" w:rsidRPr="00B12E2B" w:rsidRDefault="002A07B2" w:rsidP="00B12E2B">
          <w:pPr>
            <w:pStyle w:val="TOC1"/>
            <w:jc w:val="both"/>
            <w:rPr>
              <w:rFonts w:ascii="Arial" w:eastAsiaTheme="minorEastAsia" w:hAnsi="Arial" w:cs="Arial"/>
              <w:noProof/>
              <w:sz w:val="24"/>
              <w:szCs w:val="24"/>
              <w:lang w:eastAsia="en-GB"/>
            </w:rPr>
          </w:pPr>
          <w:hyperlink w:anchor="_Toc228542980" w:history="1">
            <w:r w:rsidRPr="00B12E2B">
              <w:rPr>
                <w:rStyle w:val="Hyperlink"/>
                <w:rFonts w:ascii="Arial" w:hAnsi="Arial" w:cs="Arial"/>
                <w:noProof/>
                <w:sz w:val="24"/>
                <w:szCs w:val="24"/>
              </w:rPr>
              <w:t>4.2 Appointment and Qualification of Officers</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_Toc228542980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7</w:t>
            </w:r>
            <w:r w:rsidRPr="00B12E2B">
              <w:rPr>
                <w:rFonts w:ascii="Arial" w:hAnsi="Arial" w:cs="Arial"/>
                <w:noProof/>
                <w:webHidden/>
                <w:sz w:val="24"/>
                <w:szCs w:val="24"/>
              </w:rPr>
              <w:fldChar w:fldCharType="end"/>
            </w:r>
          </w:hyperlink>
        </w:p>
        <w:p w14:paraId="632CA4B6" w14:textId="6563DA16" w:rsidR="002A07B2" w:rsidRPr="00B12E2B" w:rsidRDefault="002A07B2" w:rsidP="00B12E2B">
          <w:pPr>
            <w:pStyle w:val="TOC1"/>
            <w:jc w:val="both"/>
            <w:rPr>
              <w:rFonts w:ascii="Arial" w:eastAsiaTheme="minorEastAsia" w:hAnsi="Arial" w:cs="Arial"/>
              <w:noProof/>
              <w:sz w:val="24"/>
              <w:szCs w:val="24"/>
              <w:lang w:eastAsia="en-GB"/>
            </w:rPr>
          </w:pPr>
          <w:hyperlink w:anchor="_Toc228542981" w:history="1">
            <w:r w:rsidRPr="00B12E2B">
              <w:rPr>
                <w:rStyle w:val="Hyperlink"/>
                <w:rFonts w:ascii="Arial" w:hAnsi="Arial" w:cs="Arial"/>
                <w:noProof/>
                <w:sz w:val="24"/>
                <w:szCs w:val="24"/>
              </w:rPr>
              <w:t>4.3 Construction Phase Plan</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_Toc228542981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8</w:t>
            </w:r>
            <w:r w:rsidRPr="00B12E2B">
              <w:rPr>
                <w:rFonts w:ascii="Arial" w:hAnsi="Arial" w:cs="Arial"/>
                <w:noProof/>
                <w:webHidden/>
                <w:sz w:val="24"/>
                <w:szCs w:val="24"/>
              </w:rPr>
              <w:fldChar w:fldCharType="end"/>
            </w:r>
          </w:hyperlink>
        </w:p>
        <w:p w14:paraId="42B7B408" w14:textId="50CBE1EF" w:rsidR="002A07B2" w:rsidRPr="00B12E2B" w:rsidRDefault="002A07B2" w:rsidP="00B12E2B">
          <w:pPr>
            <w:pStyle w:val="TOC1"/>
            <w:jc w:val="both"/>
            <w:rPr>
              <w:rFonts w:ascii="Arial" w:eastAsiaTheme="minorEastAsia" w:hAnsi="Arial" w:cs="Arial"/>
              <w:noProof/>
              <w:sz w:val="24"/>
              <w:szCs w:val="24"/>
              <w:lang w:eastAsia="en-GB"/>
            </w:rPr>
          </w:pPr>
          <w:hyperlink w:anchor="_Toc228542982" w:history="1">
            <w:r w:rsidRPr="00B12E2B">
              <w:rPr>
                <w:rStyle w:val="Hyperlink"/>
                <w:rFonts w:ascii="Arial" w:hAnsi="Arial" w:cs="Arial"/>
                <w:noProof/>
                <w:sz w:val="24"/>
                <w:szCs w:val="24"/>
              </w:rPr>
              <w:t>4.4 Health and Safety File</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_Toc228542982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8</w:t>
            </w:r>
            <w:r w:rsidRPr="00B12E2B">
              <w:rPr>
                <w:rFonts w:ascii="Arial" w:hAnsi="Arial" w:cs="Arial"/>
                <w:noProof/>
                <w:webHidden/>
                <w:sz w:val="24"/>
                <w:szCs w:val="24"/>
              </w:rPr>
              <w:fldChar w:fldCharType="end"/>
            </w:r>
          </w:hyperlink>
        </w:p>
        <w:p w14:paraId="1C826F8D" w14:textId="0CCFED70" w:rsidR="002A07B2" w:rsidRPr="00B12E2B" w:rsidRDefault="002A07B2" w:rsidP="00B12E2B">
          <w:pPr>
            <w:pStyle w:val="TOC1"/>
            <w:jc w:val="both"/>
            <w:rPr>
              <w:rFonts w:ascii="Arial" w:eastAsiaTheme="minorEastAsia" w:hAnsi="Arial" w:cs="Arial"/>
              <w:noProof/>
              <w:sz w:val="24"/>
              <w:szCs w:val="24"/>
              <w:lang w:eastAsia="en-GB"/>
            </w:rPr>
          </w:pPr>
          <w:hyperlink w:anchor="_Toc228542983" w:history="1">
            <w:r w:rsidRPr="00B12E2B">
              <w:rPr>
                <w:rStyle w:val="Hyperlink"/>
                <w:rFonts w:ascii="Arial" w:hAnsi="Arial" w:cs="Arial"/>
                <w:noProof/>
                <w:sz w:val="24"/>
                <w:szCs w:val="24"/>
              </w:rPr>
              <w:t>4.5 Staff Engagement</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_Toc228542983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8</w:t>
            </w:r>
            <w:r w:rsidRPr="00B12E2B">
              <w:rPr>
                <w:rFonts w:ascii="Arial" w:hAnsi="Arial" w:cs="Arial"/>
                <w:noProof/>
                <w:webHidden/>
                <w:sz w:val="24"/>
                <w:szCs w:val="24"/>
              </w:rPr>
              <w:fldChar w:fldCharType="end"/>
            </w:r>
          </w:hyperlink>
        </w:p>
        <w:p w14:paraId="52FE2320" w14:textId="390C6233" w:rsidR="002A07B2" w:rsidRPr="00B12E2B" w:rsidRDefault="002A07B2" w:rsidP="00B12E2B">
          <w:pPr>
            <w:pStyle w:val="TOC1"/>
            <w:jc w:val="both"/>
            <w:rPr>
              <w:rFonts w:ascii="Arial" w:eastAsiaTheme="minorEastAsia" w:hAnsi="Arial" w:cs="Arial"/>
              <w:noProof/>
              <w:sz w:val="24"/>
              <w:szCs w:val="24"/>
              <w:lang w:eastAsia="en-GB"/>
            </w:rPr>
          </w:pPr>
          <w:hyperlink w:anchor="_Toc228542984" w:history="1">
            <w:r w:rsidRPr="00B12E2B">
              <w:rPr>
                <w:rStyle w:val="Hyperlink"/>
                <w:rFonts w:ascii="Arial" w:hAnsi="Arial" w:cs="Arial"/>
                <w:noProof/>
                <w:sz w:val="24"/>
                <w:szCs w:val="24"/>
              </w:rPr>
              <w:t>4.6 Coordination in an Occupied Building</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_Toc228542984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8</w:t>
            </w:r>
            <w:r w:rsidRPr="00B12E2B">
              <w:rPr>
                <w:rFonts w:ascii="Arial" w:hAnsi="Arial" w:cs="Arial"/>
                <w:noProof/>
                <w:webHidden/>
                <w:sz w:val="24"/>
                <w:szCs w:val="24"/>
              </w:rPr>
              <w:fldChar w:fldCharType="end"/>
            </w:r>
          </w:hyperlink>
        </w:p>
        <w:p w14:paraId="7A967796" w14:textId="06A49EBC" w:rsidR="002A07B2" w:rsidRPr="00B12E2B" w:rsidRDefault="002A07B2" w:rsidP="00B12E2B">
          <w:pPr>
            <w:pStyle w:val="TOC1"/>
            <w:jc w:val="both"/>
            <w:rPr>
              <w:rFonts w:ascii="Arial" w:eastAsiaTheme="minorEastAsia" w:hAnsi="Arial" w:cs="Arial"/>
              <w:noProof/>
              <w:sz w:val="24"/>
              <w:szCs w:val="24"/>
              <w:lang w:eastAsia="en-GB"/>
            </w:rPr>
          </w:pPr>
          <w:hyperlink w:anchor="_Toc228542985" w:history="1">
            <w:r w:rsidRPr="00B12E2B">
              <w:rPr>
                <w:rStyle w:val="Hyperlink"/>
                <w:rFonts w:ascii="Arial" w:hAnsi="Arial" w:cs="Arial"/>
                <w:noProof/>
                <w:sz w:val="24"/>
                <w:szCs w:val="24"/>
              </w:rPr>
              <w:t>5.0 Conclusion</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_Toc228542985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9</w:t>
            </w:r>
            <w:r w:rsidRPr="00B12E2B">
              <w:rPr>
                <w:rFonts w:ascii="Arial" w:hAnsi="Arial" w:cs="Arial"/>
                <w:noProof/>
                <w:webHidden/>
                <w:sz w:val="24"/>
                <w:szCs w:val="24"/>
              </w:rPr>
              <w:fldChar w:fldCharType="end"/>
            </w:r>
          </w:hyperlink>
        </w:p>
        <w:p w14:paraId="7976A415" w14:textId="2A1244FA" w:rsidR="002A07B2" w:rsidRPr="00B12E2B" w:rsidRDefault="002A07B2" w:rsidP="00B12E2B">
          <w:pPr>
            <w:pStyle w:val="TOC1"/>
            <w:jc w:val="both"/>
            <w:rPr>
              <w:rFonts w:ascii="Arial" w:eastAsiaTheme="minorEastAsia" w:hAnsi="Arial" w:cs="Arial"/>
              <w:noProof/>
              <w:sz w:val="24"/>
              <w:szCs w:val="24"/>
              <w:lang w:eastAsia="en-GB"/>
            </w:rPr>
          </w:pPr>
          <w:hyperlink w:anchor="_Toc228542986" w:history="1">
            <w:r w:rsidRPr="00B12E2B">
              <w:rPr>
                <w:rStyle w:val="Hyperlink"/>
                <w:rFonts w:ascii="Arial" w:hAnsi="Arial" w:cs="Arial"/>
                <w:noProof/>
                <w:sz w:val="24"/>
                <w:szCs w:val="24"/>
              </w:rPr>
              <w:t>6.0. References</w:t>
            </w:r>
            <w:r w:rsidRPr="00B12E2B">
              <w:rPr>
                <w:rFonts w:ascii="Arial" w:hAnsi="Arial" w:cs="Arial"/>
                <w:noProof/>
                <w:webHidden/>
                <w:sz w:val="24"/>
                <w:szCs w:val="24"/>
              </w:rPr>
              <w:tab/>
            </w:r>
            <w:r w:rsidRPr="00B12E2B">
              <w:rPr>
                <w:rFonts w:ascii="Arial" w:hAnsi="Arial" w:cs="Arial"/>
                <w:noProof/>
                <w:webHidden/>
                <w:sz w:val="24"/>
                <w:szCs w:val="24"/>
              </w:rPr>
              <w:fldChar w:fldCharType="begin"/>
            </w:r>
            <w:r w:rsidRPr="00B12E2B">
              <w:rPr>
                <w:rFonts w:ascii="Arial" w:hAnsi="Arial" w:cs="Arial"/>
                <w:noProof/>
                <w:webHidden/>
                <w:sz w:val="24"/>
                <w:szCs w:val="24"/>
              </w:rPr>
              <w:instrText xml:space="preserve"> PAGEREF _Toc228542986 \h </w:instrText>
            </w:r>
            <w:r w:rsidRPr="00B12E2B">
              <w:rPr>
                <w:rFonts w:ascii="Arial" w:hAnsi="Arial" w:cs="Arial"/>
                <w:noProof/>
                <w:webHidden/>
                <w:sz w:val="24"/>
                <w:szCs w:val="24"/>
              </w:rPr>
            </w:r>
            <w:r w:rsidRPr="00B12E2B">
              <w:rPr>
                <w:rFonts w:ascii="Arial" w:hAnsi="Arial" w:cs="Arial"/>
                <w:noProof/>
                <w:webHidden/>
                <w:sz w:val="24"/>
                <w:szCs w:val="24"/>
              </w:rPr>
              <w:fldChar w:fldCharType="separate"/>
            </w:r>
            <w:r w:rsidR="00C914B3">
              <w:rPr>
                <w:rFonts w:ascii="Arial" w:hAnsi="Arial" w:cs="Arial"/>
                <w:noProof/>
                <w:webHidden/>
                <w:sz w:val="24"/>
                <w:szCs w:val="24"/>
              </w:rPr>
              <w:t>9</w:t>
            </w:r>
            <w:r w:rsidRPr="00B12E2B">
              <w:rPr>
                <w:rFonts w:ascii="Arial" w:hAnsi="Arial" w:cs="Arial"/>
                <w:noProof/>
                <w:webHidden/>
                <w:sz w:val="24"/>
                <w:szCs w:val="24"/>
              </w:rPr>
              <w:fldChar w:fldCharType="end"/>
            </w:r>
          </w:hyperlink>
        </w:p>
        <w:p w14:paraId="09E65193" w14:textId="5781BDBA" w:rsidR="004D2EA7" w:rsidRPr="00B12E2B" w:rsidRDefault="005421EC" w:rsidP="00B12E2B">
          <w:pPr>
            <w:spacing w:line="360" w:lineRule="auto"/>
            <w:jc w:val="both"/>
            <w:rPr>
              <w:rFonts w:ascii="Arial" w:hAnsi="Arial" w:cs="Arial"/>
              <w:sz w:val="24"/>
              <w:szCs w:val="24"/>
            </w:rPr>
            <w:sectPr w:rsidR="004D2EA7" w:rsidRPr="00B12E2B">
              <w:pgSz w:w="11906" w:h="16838"/>
              <w:pgMar w:top="1440" w:right="1440" w:bottom="1440" w:left="1440" w:header="708" w:footer="708" w:gutter="0"/>
              <w:cols w:space="708"/>
              <w:docGrid w:linePitch="360"/>
            </w:sectPr>
          </w:pPr>
          <w:r w:rsidRPr="00B12E2B">
            <w:rPr>
              <w:rFonts w:ascii="Arial" w:hAnsi="Arial" w:cs="Arial"/>
              <w:noProof/>
              <w:sz w:val="24"/>
              <w:szCs w:val="24"/>
            </w:rPr>
            <w:fldChar w:fldCharType="end"/>
          </w:r>
        </w:p>
      </w:sdtContent>
    </w:sdt>
    <w:p w14:paraId="42D44506" w14:textId="40769371" w:rsidR="004D2EA7" w:rsidRPr="00B12E2B" w:rsidRDefault="004D2EA7" w:rsidP="00B12E2B">
      <w:pPr>
        <w:pStyle w:val="Heading1"/>
        <w:spacing w:line="360" w:lineRule="auto"/>
        <w:jc w:val="both"/>
        <w:rPr>
          <w:rFonts w:ascii="Arial" w:hAnsi="Arial" w:cs="Arial"/>
          <w:sz w:val="24"/>
          <w:szCs w:val="24"/>
        </w:rPr>
      </w:pPr>
      <w:bookmarkStart w:id="0" w:name="_Toc228542961"/>
      <w:r w:rsidRPr="00B12E2B">
        <w:rPr>
          <w:rFonts w:ascii="Arial" w:hAnsi="Arial" w:cs="Arial"/>
          <w:sz w:val="24"/>
          <w:szCs w:val="24"/>
        </w:rPr>
        <w:lastRenderedPageBreak/>
        <w:t>1.0 Introduction</w:t>
      </w:r>
      <w:bookmarkEnd w:id="0"/>
    </w:p>
    <w:p w14:paraId="0532D3ED" w14:textId="1B0C52E1" w:rsidR="00182929" w:rsidRPr="00B12E2B" w:rsidRDefault="00E367E1" w:rsidP="00B12E2B">
      <w:pPr>
        <w:spacing w:line="360" w:lineRule="auto"/>
        <w:jc w:val="both"/>
        <w:rPr>
          <w:rFonts w:ascii="Arial" w:hAnsi="Arial" w:cs="Arial"/>
          <w:sz w:val="24"/>
          <w:szCs w:val="24"/>
        </w:rPr>
      </w:pPr>
      <w:r w:rsidRPr="00B12E2B">
        <w:rPr>
          <w:rFonts w:ascii="Arial" w:hAnsi="Arial" w:cs="Arial"/>
          <w:sz w:val="24"/>
          <w:szCs w:val="24"/>
        </w:rPr>
        <w:t xml:space="preserve">This report will outline the main health and safety issues associated with the proposed large scale retrofit of Croft Street Block 2, a residential tower block in Swansea. The project involves substantial refurbishment works to an occupied multistorey residential building, including the installation of new kitchens and bathrooms, the fitting of fire sprinkler systems and the addition of weather-proof external cladding to improve energy efficiency. These activities present major health and safety challenges, particularly due to working at height, fire risk, construction within occupied dwellings and interaction with residents and the public. </w:t>
      </w:r>
    </w:p>
    <w:p w14:paraId="19D8AB54" w14:textId="6D9F4393" w:rsidR="00F15315" w:rsidRPr="00B12E2B" w:rsidRDefault="00E367E1" w:rsidP="00B12E2B">
      <w:pPr>
        <w:spacing w:line="360" w:lineRule="auto"/>
        <w:jc w:val="both"/>
        <w:rPr>
          <w:rFonts w:ascii="Arial" w:hAnsi="Arial" w:cs="Arial"/>
          <w:sz w:val="24"/>
          <w:szCs w:val="24"/>
        </w:rPr>
      </w:pPr>
      <w:r w:rsidRPr="00B12E2B">
        <w:rPr>
          <w:rFonts w:ascii="Arial" w:hAnsi="Arial" w:cs="Arial"/>
          <w:sz w:val="24"/>
          <w:szCs w:val="24"/>
        </w:rPr>
        <w:t>The report therefore considers the importance of building safety legislation, wider health and safety law and compliance with the Construction Design and Management Regulations 2015 in ensuring the effective planning, management and safe delivery of the project.</w:t>
      </w:r>
    </w:p>
    <w:p w14:paraId="28316A0B" w14:textId="77777777" w:rsidR="00F15315" w:rsidRPr="00B12E2B" w:rsidRDefault="00F15315" w:rsidP="00B12E2B">
      <w:pPr>
        <w:pStyle w:val="Heading1"/>
        <w:spacing w:line="360" w:lineRule="auto"/>
        <w:jc w:val="both"/>
        <w:rPr>
          <w:rFonts w:ascii="Arial" w:hAnsi="Arial" w:cs="Arial"/>
          <w:sz w:val="24"/>
          <w:szCs w:val="24"/>
        </w:rPr>
      </w:pPr>
      <w:bookmarkStart w:id="1" w:name="_Toc228542962"/>
      <w:r w:rsidRPr="00B12E2B">
        <w:rPr>
          <w:rFonts w:ascii="Arial" w:hAnsi="Arial" w:cs="Arial"/>
          <w:sz w:val="24"/>
          <w:szCs w:val="24"/>
        </w:rPr>
        <w:t>2.0 Relevance and Impact of the Building Safety Act 2022 and Building Safety (Wales) Bill</w:t>
      </w:r>
      <w:bookmarkEnd w:id="1"/>
    </w:p>
    <w:p w14:paraId="596BD671" w14:textId="61502B2F" w:rsidR="00D90070" w:rsidRPr="00B12E2B" w:rsidRDefault="00B12E2B" w:rsidP="00B12E2B">
      <w:pPr>
        <w:spacing w:line="360" w:lineRule="auto"/>
        <w:jc w:val="both"/>
        <w:rPr>
          <w:rFonts w:ascii="Arial" w:hAnsi="Arial" w:cs="Arial"/>
          <w:sz w:val="24"/>
          <w:szCs w:val="24"/>
        </w:rPr>
      </w:pPr>
      <w:r w:rsidRPr="00B12E2B">
        <w:rPr>
          <w:rFonts w:ascii="Arial" w:hAnsi="Arial" w:cs="Arial"/>
          <w:sz w:val="24"/>
          <w:szCs w:val="24"/>
        </w:rPr>
        <w:t xml:space="preserve">The Building Safety Act 2022 and Building Safety (Wales) Bill are a </w:t>
      </w:r>
      <w:r w:rsidR="000B2A39">
        <w:rPr>
          <w:rFonts w:ascii="Arial" w:hAnsi="Arial" w:cs="Arial"/>
          <w:sz w:val="24"/>
          <w:szCs w:val="24"/>
        </w:rPr>
        <w:t>major change</w:t>
      </w:r>
      <w:r w:rsidRPr="00B12E2B">
        <w:rPr>
          <w:rFonts w:ascii="Arial" w:hAnsi="Arial" w:cs="Arial"/>
          <w:sz w:val="24"/>
          <w:szCs w:val="24"/>
        </w:rPr>
        <w:t xml:space="preserve"> in how building safety is regulated across the UK and Wales. These legal frameworks apply directly to the Croft Street Block 2 project with the introduction of stricter controls, greater accountability and compulsory safety processes for high-risk residential buildings. The net effect of these influences is to impact on design decisions, construction management, fire safety responsibilities and the </w:t>
      </w:r>
      <w:r w:rsidRPr="00B12E2B">
        <w:rPr>
          <w:rFonts w:ascii="Arial" w:hAnsi="Arial" w:cs="Arial"/>
          <w:sz w:val="24"/>
          <w:szCs w:val="24"/>
        </w:rPr>
        <w:t>long-term</w:t>
      </w:r>
      <w:r w:rsidRPr="00B12E2B">
        <w:rPr>
          <w:rFonts w:ascii="Arial" w:hAnsi="Arial" w:cs="Arial"/>
          <w:sz w:val="24"/>
          <w:szCs w:val="24"/>
        </w:rPr>
        <w:t xml:space="preserve"> occupation of the building, promoting safety throughout the entire lifecycle of the building rather than addressing it retrospectively</w:t>
      </w:r>
      <w:r w:rsidRPr="00B12E2B">
        <w:rPr>
          <w:rFonts w:ascii="Arial" w:hAnsi="Arial" w:cs="Arial"/>
          <w:sz w:val="24"/>
          <w:szCs w:val="24"/>
        </w:rPr>
        <w:t xml:space="preserve"> </w:t>
      </w:r>
      <w:r w:rsidRPr="00B12E2B">
        <w:rPr>
          <w:rFonts w:ascii="Arial" w:hAnsi="Arial" w:cs="Arial"/>
          <w:sz w:val="24"/>
          <w:szCs w:val="24"/>
        </w:rPr>
        <w:t>(Legislation.gov.uk, 2022).</w:t>
      </w:r>
    </w:p>
    <w:p w14:paraId="0ABDE823" w14:textId="77777777" w:rsidR="00F15315" w:rsidRPr="00B12E2B" w:rsidRDefault="00F15315" w:rsidP="00B12E2B">
      <w:pPr>
        <w:pStyle w:val="Heading1"/>
        <w:spacing w:line="360" w:lineRule="auto"/>
        <w:jc w:val="both"/>
        <w:rPr>
          <w:rFonts w:ascii="Arial" w:hAnsi="Arial" w:cs="Arial"/>
          <w:sz w:val="24"/>
          <w:szCs w:val="24"/>
        </w:rPr>
      </w:pPr>
      <w:bookmarkStart w:id="2" w:name="_Toc228542963"/>
      <w:r w:rsidRPr="00B12E2B">
        <w:rPr>
          <w:rFonts w:ascii="Arial" w:hAnsi="Arial" w:cs="Arial"/>
          <w:sz w:val="24"/>
          <w:szCs w:val="24"/>
        </w:rPr>
        <w:t>2.1 Regulatory Context</w:t>
      </w:r>
      <w:bookmarkEnd w:id="2"/>
    </w:p>
    <w:p w14:paraId="327F4CC6" w14:textId="77777777"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After the Grenfell Tower tragedy in 2017, the UK government enacted major reforms to the building safety regulatory framework. The Building Safety Act 2022 (BSA) is a major change in the way building safety is regulated, bringing in clearer accountability, stronger building control processes and additional safety requirements for higher-risk buildings (Legislation.gov.uk, 2022).</w:t>
      </w:r>
    </w:p>
    <w:p w14:paraId="1D74FF3C" w14:textId="776F1115"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lastRenderedPageBreak/>
        <w:t>There are further developments introduced in Wales through the Building Safety (Wales) Bill, presented to the Senedd on 7 July 2025. The Welsh Bill makes provision for occupation-phase provisions of the BSA but establishes a Wales-specific regulatory regime. This maintains the core principles of improved safety and accountability, while working with Welsh housing structures (GOV.WALES, 2025).</w:t>
      </w:r>
    </w:p>
    <w:p w14:paraId="225B6F6B" w14:textId="77777777" w:rsidR="000511B7" w:rsidRPr="00B12E2B" w:rsidRDefault="00F15315" w:rsidP="00B12E2B">
      <w:pPr>
        <w:pStyle w:val="Heading1"/>
        <w:spacing w:line="360" w:lineRule="auto"/>
        <w:jc w:val="both"/>
        <w:rPr>
          <w:rFonts w:ascii="Arial" w:hAnsi="Arial" w:cs="Arial"/>
          <w:sz w:val="24"/>
          <w:szCs w:val="24"/>
        </w:rPr>
      </w:pPr>
      <w:bookmarkStart w:id="3" w:name="_Toc228542964"/>
      <w:r w:rsidRPr="00B12E2B">
        <w:rPr>
          <w:rFonts w:ascii="Arial" w:hAnsi="Arial" w:cs="Arial"/>
          <w:sz w:val="24"/>
          <w:szCs w:val="24"/>
        </w:rPr>
        <w:t>2.2 Classification of Croft Street Block 2</w:t>
      </w:r>
      <w:bookmarkEnd w:id="3"/>
      <w:r w:rsidRPr="00B12E2B">
        <w:rPr>
          <w:rFonts w:ascii="Arial" w:hAnsi="Arial" w:cs="Arial"/>
          <w:sz w:val="24"/>
          <w:szCs w:val="24"/>
        </w:rPr>
        <w:t xml:space="preserve"> </w:t>
      </w:r>
    </w:p>
    <w:p w14:paraId="2C7058D8" w14:textId="13EEFD5A"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 xml:space="preserve">Croft Street Block 2 is within the scope of the Building Safety Act 2022 and Welsh building safety legislation. The classification of the proposed </w:t>
      </w:r>
      <w:r w:rsidR="001A3FA2" w:rsidRPr="00B12E2B">
        <w:rPr>
          <w:rFonts w:ascii="Arial" w:hAnsi="Arial" w:cs="Arial"/>
          <w:sz w:val="24"/>
          <w:szCs w:val="24"/>
        </w:rPr>
        <w:t>extensive retrofit</w:t>
      </w:r>
      <w:r w:rsidRPr="00B12E2B">
        <w:rPr>
          <w:rFonts w:ascii="Arial" w:hAnsi="Arial" w:cs="Arial"/>
          <w:sz w:val="24"/>
          <w:szCs w:val="24"/>
        </w:rPr>
        <w:t xml:space="preserve"> works has a significant influence on the regulatory controls applied.</w:t>
      </w:r>
    </w:p>
    <w:p w14:paraId="6C46DAD0" w14:textId="1C182F84" w:rsidR="000511B7" w:rsidRPr="00B12E2B" w:rsidRDefault="00F15315" w:rsidP="00B12E2B">
      <w:pPr>
        <w:pStyle w:val="ListParagraph"/>
        <w:numPr>
          <w:ilvl w:val="0"/>
          <w:numId w:val="51"/>
        </w:numPr>
        <w:spacing w:line="360" w:lineRule="auto"/>
        <w:jc w:val="both"/>
        <w:rPr>
          <w:rFonts w:ascii="Arial" w:hAnsi="Arial" w:cs="Arial"/>
          <w:sz w:val="24"/>
          <w:szCs w:val="24"/>
        </w:rPr>
      </w:pPr>
      <w:r w:rsidRPr="00B12E2B">
        <w:rPr>
          <w:rFonts w:ascii="Arial" w:hAnsi="Arial" w:cs="Arial"/>
          <w:sz w:val="24"/>
          <w:szCs w:val="24"/>
        </w:rPr>
        <w:t>Higher-risk buildings are defined by the Building Safety (Definition of Higher-Risk Building) (Design and Construction Phase) (Wales) Regulations 2023 as</w:t>
      </w:r>
      <w:r w:rsidRPr="00B12E2B">
        <w:rPr>
          <w:rFonts w:ascii="Arial" w:hAnsi="Arial" w:cs="Arial"/>
          <w:sz w:val="24"/>
          <w:szCs w:val="24"/>
        </w:rPr>
        <w:cr/>
        <w:t xml:space="preserve"> At least 18 metres in height or seven storeys in height</w:t>
      </w:r>
      <w:r w:rsidR="00A0326D">
        <w:rPr>
          <w:rFonts w:ascii="Arial" w:hAnsi="Arial" w:cs="Arial"/>
          <w:sz w:val="24"/>
          <w:szCs w:val="24"/>
        </w:rPr>
        <w:t xml:space="preserve"> </w:t>
      </w:r>
      <w:r w:rsidRPr="00B12E2B">
        <w:rPr>
          <w:rFonts w:ascii="Arial" w:hAnsi="Arial" w:cs="Arial"/>
          <w:sz w:val="24"/>
          <w:szCs w:val="24"/>
        </w:rPr>
        <w:t>and</w:t>
      </w:r>
    </w:p>
    <w:p w14:paraId="6D0D2B36" w14:textId="75456063" w:rsidR="00F15315" w:rsidRPr="00B12E2B" w:rsidRDefault="000511B7" w:rsidP="00B12E2B">
      <w:pPr>
        <w:pStyle w:val="ListParagraph"/>
        <w:numPr>
          <w:ilvl w:val="0"/>
          <w:numId w:val="51"/>
        </w:numPr>
        <w:spacing w:line="360" w:lineRule="auto"/>
        <w:jc w:val="both"/>
        <w:rPr>
          <w:rFonts w:ascii="Arial" w:hAnsi="Arial" w:cs="Arial"/>
          <w:sz w:val="24"/>
          <w:szCs w:val="24"/>
        </w:rPr>
      </w:pPr>
      <w:r w:rsidRPr="00B12E2B">
        <w:rPr>
          <w:rFonts w:ascii="Arial" w:hAnsi="Arial" w:cs="Arial"/>
          <w:sz w:val="24"/>
          <w:szCs w:val="24"/>
        </w:rPr>
        <w:t>I</w:t>
      </w:r>
      <w:r w:rsidR="00F15315" w:rsidRPr="00B12E2B">
        <w:rPr>
          <w:rFonts w:ascii="Arial" w:hAnsi="Arial" w:cs="Arial"/>
          <w:sz w:val="24"/>
          <w:szCs w:val="24"/>
        </w:rPr>
        <w:t>ncluding one or more residential dwellings (Frost &amp; Abuzaid, 2024).</w:t>
      </w:r>
    </w:p>
    <w:p w14:paraId="7D16AD7C" w14:textId="30E8F353"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As Croft Street Block 2 is a residential tower block, we can be almost certain that it meets this definition. Consequently, the project faces stricter regulatory requirements throughout the design and construction phase, and also during occupation after completion.</w:t>
      </w:r>
    </w:p>
    <w:p w14:paraId="6A0A5718" w14:textId="77777777" w:rsidR="00F15315" w:rsidRPr="00B12E2B" w:rsidRDefault="00F15315" w:rsidP="00B12E2B">
      <w:pPr>
        <w:pStyle w:val="Heading1"/>
        <w:spacing w:line="360" w:lineRule="auto"/>
        <w:jc w:val="both"/>
        <w:rPr>
          <w:rFonts w:ascii="Arial" w:hAnsi="Arial" w:cs="Arial"/>
          <w:sz w:val="24"/>
          <w:szCs w:val="24"/>
        </w:rPr>
      </w:pPr>
      <w:bookmarkStart w:id="4" w:name="_Toc228542965"/>
      <w:r w:rsidRPr="00B12E2B">
        <w:rPr>
          <w:rFonts w:ascii="Arial" w:hAnsi="Arial" w:cs="Arial"/>
          <w:sz w:val="24"/>
          <w:szCs w:val="24"/>
        </w:rPr>
        <w:t>2.3 Gateway Process Specifications</w:t>
      </w:r>
      <w:bookmarkEnd w:id="4"/>
    </w:p>
    <w:p w14:paraId="32324CA7" w14:textId="5801C8F2"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 xml:space="preserve">The </w:t>
      </w:r>
      <w:r w:rsidR="001A3FA2" w:rsidRPr="00B12E2B">
        <w:rPr>
          <w:rFonts w:ascii="Arial" w:hAnsi="Arial" w:cs="Arial"/>
          <w:sz w:val="24"/>
          <w:szCs w:val="24"/>
        </w:rPr>
        <w:t>building</w:t>
      </w:r>
      <w:r w:rsidRPr="00B12E2B">
        <w:rPr>
          <w:rFonts w:ascii="Arial" w:hAnsi="Arial" w:cs="Arial"/>
          <w:sz w:val="24"/>
          <w:szCs w:val="24"/>
        </w:rPr>
        <w:t xml:space="preserve"> (Higher-Risk Buildings Procedures) (Wales) Regulations 2025, which are expected to come into force on 1 July 2026, provide for mandatory gateway approval points for higher-risk buildings. The Croft Street Block 2 </w:t>
      </w:r>
      <w:r w:rsidR="001A3FA2" w:rsidRPr="00B12E2B">
        <w:rPr>
          <w:rFonts w:ascii="Arial" w:hAnsi="Arial" w:cs="Arial"/>
          <w:sz w:val="24"/>
          <w:szCs w:val="24"/>
        </w:rPr>
        <w:t>extensive retrofit</w:t>
      </w:r>
      <w:r w:rsidRPr="00B12E2B">
        <w:rPr>
          <w:rFonts w:ascii="Arial" w:hAnsi="Arial" w:cs="Arial"/>
          <w:sz w:val="24"/>
          <w:szCs w:val="24"/>
        </w:rPr>
        <w:t xml:space="preserve"> project may be assessed against this framework, as it is likely to be implemented during the project lifecycle, although not yet in force.</w:t>
      </w:r>
    </w:p>
    <w:p w14:paraId="4EB367FA" w14:textId="77777777" w:rsidR="00F15315" w:rsidRPr="00B12E2B" w:rsidRDefault="00F15315" w:rsidP="00B12E2B">
      <w:pPr>
        <w:pStyle w:val="Heading1"/>
        <w:spacing w:line="360" w:lineRule="auto"/>
        <w:jc w:val="both"/>
        <w:rPr>
          <w:rFonts w:ascii="Arial" w:hAnsi="Arial" w:cs="Arial"/>
          <w:sz w:val="24"/>
          <w:szCs w:val="24"/>
        </w:rPr>
      </w:pPr>
      <w:bookmarkStart w:id="5" w:name="_Toc228542966"/>
      <w:r w:rsidRPr="00B12E2B">
        <w:rPr>
          <w:rFonts w:ascii="Arial" w:hAnsi="Arial" w:cs="Arial"/>
          <w:sz w:val="24"/>
          <w:szCs w:val="24"/>
        </w:rPr>
        <w:t>2.3.1 Gateway One – Planning Gateway One (PGO)</w:t>
      </w:r>
      <w:bookmarkEnd w:id="5"/>
      <w:r w:rsidRPr="00B12E2B">
        <w:rPr>
          <w:rFonts w:ascii="Arial" w:hAnsi="Arial" w:cs="Arial"/>
          <w:sz w:val="24"/>
          <w:szCs w:val="24"/>
        </w:rPr>
        <w:t xml:space="preserve"> </w:t>
      </w:r>
    </w:p>
    <w:p w14:paraId="01DD8120" w14:textId="77777777" w:rsidR="004561AD"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Planning Gateway One ensures fire safety is considered at the earliest stage of the planning process for higher-risk residential developments. It covers buildings over 18 metres or seven storeys high and therefore includes Croft Street Block 2.</w:t>
      </w:r>
    </w:p>
    <w:p w14:paraId="76BB8D92" w14:textId="4B868D19" w:rsidR="001A3FA2" w:rsidRPr="00B12E2B" w:rsidRDefault="004561AD" w:rsidP="00B12E2B">
      <w:pPr>
        <w:pStyle w:val="ListParagraph"/>
        <w:numPr>
          <w:ilvl w:val="0"/>
          <w:numId w:val="73"/>
        </w:numPr>
        <w:spacing w:line="360" w:lineRule="auto"/>
        <w:jc w:val="both"/>
        <w:rPr>
          <w:rFonts w:ascii="Arial" w:hAnsi="Arial" w:cs="Arial"/>
          <w:sz w:val="24"/>
          <w:szCs w:val="24"/>
        </w:rPr>
      </w:pPr>
      <w:r w:rsidRPr="00B12E2B">
        <w:rPr>
          <w:rFonts w:ascii="Arial" w:hAnsi="Arial" w:cs="Arial"/>
          <w:sz w:val="24"/>
          <w:szCs w:val="24"/>
        </w:rPr>
        <w:t xml:space="preserve">At this point, </w:t>
      </w:r>
      <w:r w:rsidR="00F15315" w:rsidRPr="00B12E2B">
        <w:rPr>
          <w:rFonts w:ascii="Arial" w:hAnsi="Arial" w:cs="Arial"/>
          <w:sz w:val="24"/>
          <w:szCs w:val="24"/>
        </w:rPr>
        <w:t>The Building Safety Regulator is a statutory consultee to the Local Planning Authority.</w:t>
      </w:r>
    </w:p>
    <w:p w14:paraId="5A69C805" w14:textId="3514B6F4" w:rsidR="000511B7" w:rsidRPr="00B12E2B" w:rsidRDefault="00F15315" w:rsidP="00B12E2B">
      <w:pPr>
        <w:pStyle w:val="ListParagraph"/>
        <w:numPr>
          <w:ilvl w:val="0"/>
          <w:numId w:val="71"/>
        </w:numPr>
        <w:spacing w:line="360" w:lineRule="auto"/>
        <w:jc w:val="both"/>
        <w:rPr>
          <w:rFonts w:ascii="Arial" w:hAnsi="Arial" w:cs="Arial"/>
          <w:sz w:val="24"/>
          <w:szCs w:val="24"/>
        </w:rPr>
      </w:pPr>
      <w:r w:rsidRPr="00B12E2B">
        <w:rPr>
          <w:rFonts w:ascii="Arial" w:hAnsi="Arial" w:cs="Arial"/>
          <w:sz w:val="24"/>
          <w:szCs w:val="24"/>
        </w:rPr>
        <w:lastRenderedPageBreak/>
        <w:t>Developers must submit a Fire Statement showing how fire safety risks have been addressed within the design.</w:t>
      </w:r>
    </w:p>
    <w:p w14:paraId="0B4DF2E8" w14:textId="272E9F33" w:rsidR="00F15315" w:rsidRPr="00B12E2B" w:rsidRDefault="00F15315" w:rsidP="00B12E2B">
      <w:pPr>
        <w:pStyle w:val="ListParagraph"/>
        <w:numPr>
          <w:ilvl w:val="0"/>
          <w:numId w:val="52"/>
        </w:numPr>
        <w:spacing w:line="360" w:lineRule="auto"/>
        <w:jc w:val="both"/>
        <w:rPr>
          <w:rFonts w:ascii="Arial" w:hAnsi="Arial" w:cs="Arial"/>
          <w:sz w:val="24"/>
          <w:szCs w:val="24"/>
        </w:rPr>
      </w:pPr>
      <w:r w:rsidRPr="00B12E2B">
        <w:rPr>
          <w:rFonts w:ascii="Arial" w:hAnsi="Arial" w:cs="Arial"/>
          <w:sz w:val="24"/>
          <w:szCs w:val="24"/>
        </w:rPr>
        <w:t xml:space="preserve">Fire safety early in the design process allows unsafe design elements to be eliminated before </w:t>
      </w:r>
      <w:r w:rsidR="004561AD" w:rsidRPr="00B12E2B">
        <w:rPr>
          <w:rFonts w:ascii="Arial" w:hAnsi="Arial" w:cs="Arial"/>
          <w:sz w:val="24"/>
          <w:szCs w:val="24"/>
        </w:rPr>
        <w:t>construction and</w:t>
      </w:r>
      <w:r w:rsidRPr="00B12E2B">
        <w:rPr>
          <w:rFonts w:ascii="Arial" w:hAnsi="Arial" w:cs="Arial"/>
          <w:sz w:val="24"/>
          <w:szCs w:val="24"/>
        </w:rPr>
        <w:t xml:space="preserve"> reduces long-term risks and cost.</w:t>
      </w:r>
    </w:p>
    <w:p w14:paraId="446B1A35" w14:textId="77777777" w:rsidR="000511B7"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Embedding fire safety into planning decisions allows for safer design outcomes before works start, managing risk proactively rather than retrospectively (Planning Portal, n.d.).</w:t>
      </w:r>
    </w:p>
    <w:p w14:paraId="486C6295" w14:textId="272B5510" w:rsidR="00F15315" w:rsidRPr="00B12E2B" w:rsidRDefault="00F15315" w:rsidP="00B12E2B">
      <w:pPr>
        <w:pStyle w:val="Heading1"/>
        <w:spacing w:line="360" w:lineRule="auto"/>
        <w:jc w:val="both"/>
        <w:rPr>
          <w:rFonts w:ascii="Arial" w:hAnsi="Arial" w:cs="Arial"/>
          <w:sz w:val="24"/>
          <w:szCs w:val="24"/>
        </w:rPr>
      </w:pPr>
      <w:r w:rsidRPr="00B12E2B">
        <w:rPr>
          <w:rFonts w:ascii="Arial" w:hAnsi="Arial" w:cs="Arial"/>
          <w:sz w:val="24"/>
          <w:szCs w:val="24"/>
        </w:rPr>
        <w:t xml:space="preserve"> </w:t>
      </w:r>
      <w:bookmarkStart w:id="6" w:name="_Toc228542967"/>
      <w:r w:rsidRPr="00B12E2B">
        <w:rPr>
          <w:rFonts w:ascii="Arial" w:hAnsi="Arial" w:cs="Arial"/>
          <w:sz w:val="24"/>
          <w:szCs w:val="24"/>
        </w:rPr>
        <w:t>2.3.2 Gateway Two – Pre-Construction Approval</w:t>
      </w:r>
      <w:bookmarkEnd w:id="6"/>
    </w:p>
    <w:p w14:paraId="010EBFBB" w14:textId="77777777"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Gateway Two is the pre-construction approval stage and is a major control point for higher risk building work. Work cannot start until approval has been given by the Building Safety Regulator, imposing a formal "hard stop" on the programme.</w:t>
      </w:r>
    </w:p>
    <w:p w14:paraId="633BBC9A" w14:textId="4994A454" w:rsidR="000511B7" w:rsidRPr="00B12E2B" w:rsidRDefault="00F15315" w:rsidP="00B12E2B">
      <w:pPr>
        <w:pStyle w:val="ListParagraph"/>
        <w:numPr>
          <w:ilvl w:val="0"/>
          <w:numId w:val="54"/>
        </w:numPr>
        <w:spacing w:line="360" w:lineRule="auto"/>
        <w:jc w:val="both"/>
        <w:rPr>
          <w:rFonts w:ascii="Arial" w:hAnsi="Arial" w:cs="Arial"/>
          <w:sz w:val="24"/>
          <w:szCs w:val="24"/>
        </w:rPr>
      </w:pPr>
      <w:r w:rsidRPr="00B12E2B">
        <w:rPr>
          <w:rFonts w:ascii="Arial" w:hAnsi="Arial" w:cs="Arial"/>
          <w:sz w:val="24"/>
          <w:szCs w:val="24"/>
        </w:rPr>
        <w:t>Submission of detailed designs must also show compliance with Building Regulations, in particular those covering fire and structural safety.</w:t>
      </w:r>
    </w:p>
    <w:p w14:paraId="2F9AD6D5" w14:textId="77777777" w:rsidR="000511B7" w:rsidRPr="00B12E2B" w:rsidRDefault="00F15315" w:rsidP="00B12E2B">
      <w:pPr>
        <w:pStyle w:val="ListParagraph"/>
        <w:numPr>
          <w:ilvl w:val="0"/>
          <w:numId w:val="54"/>
        </w:numPr>
        <w:spacing w:line="360" w:lineRule="auto"/>
        <w:jc w:val="both"/>
        <w:rPr>
          <w:rFonts w:ascii="Arial" w:hAnsi="Arial" w:cs="Arial"/>
          <w:sz w:val="24"/>
          <w:szCs w:val="24"/>
        </w:rPr>
      </w:pPr>
      <w:r w:rsidRPr="00B12E2B">
        <w:rPr>
          <w:rFonts w:ascii="Arial" w:hAnsi="Arial" w:cs="Arial"/>
          <w:sz w:val="24"/>
          <w:szCs w:val="24"/>
        </w:rPr>
        <w:t>Duty holders must submit competence declarations confirming they have the required skills, knowledge and experience.</w:t>
      </w:r>
    </w:p>
    <w:p w14:paraId="6EDDAEDC" w14:textId="62306672" w:rsidR="00F15315" w:rsidRPr="00B12E2B" w:rsidRDefault="00F15315" w:rsidP="00B12E2B">
      <w:pPr>
        <w:pStyle w:val="ListParagraph"/>
        <w:numPr>
          <w:ilvl w:val="0"/>
          <w:numId w:val="54"/>
        </w:numPr>
        <w:spacing w:line="360" w:lineRule="auto"/>
        <w:jc w:val="both"/>
        <w:rPr>
          <w:rFonts w:ascii="Arial" w:hAnsi="Arial" w:cs="Arial"/>
          <w:sz w:val="24"/>
          <w:szCs w:val="24"/>
        </w:rPr>
      </w:pPr>
      <w:r w:rsidRPr="00B12E2B">
        <w:rPr>
          <w:rFonts w:ascii="Arial" w:hAnsi="Arial" w:cs="Arial"/>
          <w:sz w:val="24"/>
          <w:szCs w:val="24"/>
        </w:rPr>
        <w:t>Low-quality submissions are at risk of rejection, delays and additional project costs.</w:t>
      </w:r>
    </w:p>
    <w:p w14:paraId="6E4E78A3" w14:textId="1A5F1962"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Gateway Two ensures that the construction starts only when the safety risks are clearly identified, controlled and competently managed (Sutton, 2025).</w:t>
      </w:r>
    </w:p>
    <w:p w14:paraId="537709B0" w14:textId="77777777" w:rsidR="00F15315" w:rsidRPr="00B12E2B" w:rsidRDefault="00F15315" w:rsidP="00B12E2B">
      <w:pPr>
        <w:pStyle w:val="Heading1"/>
        <w:spacing w:line="360" w:lineRule="auto"/>
        <w:jc w:val="both"/>
        <w:rPr>
          <w:rFonts w:ascii="Arial" w:hAnsi="Arial" w:cs="Arial"/>
          <w:sz w:val="24"/>
          <w:szCs w:val="24"/>
        </w:rPr>
      </w:pPr>
      <w:bookmarkStart w:id="7" w:name="_Toc228542968"/>
      <w:r w:rsidRPr="00B12E2B">
        <w:rPr>
          <w:rFonts w:ascii="Arial" w:hAnsi="Arial" w:cs="Arial"/>
          <w:sz w:val="24"/>
          <w:szCs w:val="24"/>
        </w:rPr>
        <w:t>2.3.3 Gateway Three – Completion and Occupation</w:t>
      </w:r>
      <w:bookmarkEnd w:id="7"/>
      <w:r w:rsidRPr="00B12E2B">
        <w:rPr>
          <w:rFonts w:ascii="Arial" w:hAnsi="Arial" w:cs="Arial"/>
          <w:sz w:val="24"/>
          <w:szCs w:val="24"/>
        </w:rPr>
        <w:t xml:space="preserve"> </w:t>
      </w:r>
    </w:p>
    <w:p w14:paraId="7C9B5C40" w14:textId="23C34205" w:rsidR="002B66C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Gateway Three is the last gate before building occupancy. The Building Safety Regulator must issue a completion certificate before residents can move in.</w:t>
      </w:r>
      <w:r w:rsidR="003D246A" w:rsidRPr="00B12E2B">
        <w:rPr>
          <w:rFonts w:ascii="Arial" w:hAnsi="Arial" w:cs="Arial"/>
          <w:sz w:val="24"/>
          <w:szCs w:val="24"/>
        </w:rPr>
        <w:t xml:space="preserve"> </w:t>
      </w:r>
      <w:r w:rsidRPr="00B12E2B">
        <w:rPr>
          <w:rFonts w:ascii="Arial" w:hAnsi="Arial" w:cs="Arial"/>
          <w:sz w:val="24"/>
          <w:szCs w:val="24"/>
        </w:rPr>
        <w:t>The requirements are:</w:t>
      </w:r>
    </w:p>
    <w:p w14:paraId="1FBF1BA9" w14:textId="72212528" w:rsidR="000511B7" w:rsidRPr="00B12E2B" w:rsidRDefault="00F15315" w:rsidP="00B12E2B">
      <w:pPr>
        <w:pStyle w:val="ListParagraph"/>
        <w:numPr>
          <w:ilvl w:val="0"/>
          <w:numId w:val="56"/>
        </w:numPr>
        <w:spacing w:line="360" w:lineRule="auto"/>
        <w:jc w:val="both"/>
        <w:rPr>
          <w:rFonts w:ascii="Arial" w:hAnsi="Arial" w:cs="Arial"/>
          <w:sz w:val="24"/>
          <w:szCs w:val="24"/>
        </w:rPr>
      </w:pPr>
      <w:r w:rsidRPr="00B12E2B">
        <w:rPr>
          <w:rFonts w:ascii="Arial" w:hAnsi="Arial" w:cs="Arial"/>
          <w:sz w:val="24"/>
          <w:szCs w:val="24"/>
        </w:rPr>
        <w:t>Submission of as-built drawings, fire safety information and safety case reports.</w:t>
      </w:r>
    </w:p>
    <w:p w14:paraId="42B06F47" w14:textId="77777777" w:rsidR="002B66C5" w:rsidRPr="00B12E2B" w:rsidRDefault="00F15315" w:rsidP="00B12E2B">
      <w:pPr>
        <w:pStyle w:val="ListParagraph"/>
        <w:numPr>
          <w:ilvl w:val="0"/>
          <w:numId w:val="55"/>
        </w:numPr>
        <w:spacing w:line="360" w:lineRule="auto"/>
        <w:jc w:val="both"/>
        <w:rPr>
          <w:rFonts w:ascii="Arial" w:hAnsi="Arial" w:cs="Arial"/>
          <w:sz w:val="24"/>
          <w:szCs w:val="24"/>
        </w:rPr>
      </w:pPr>
      <w:r w:rsidRPr="00B12E2B">
        <w:rPr>
          <w:rFonts w:ascii="Arial" w:hAnsi="Arial" w:cs="Arial"/>
          <w:sz w:val="24"/>
          <w:szCs w:val="24"/>
        </w:rPr>
        <w:t>Demonstration of the golden thread of information showing how safety has been managed across the project lifecycle.</w:t>
      </w:r>
    </w:p>
    <w:p w14:paraId="6CCA60A7" w14:textId="302CD33C" w:rsidR="00F15315" w:rsidRPr="00B12E2B" w:rsidRDefault="00F15315" w:rsidP="00B12E2B">
      <w:pPr>
        <w:pStyle w:val="ListParagraph"/>
        <w:numPr>
          <w:ilvl w:val="0"/>
          <w:numId w:val="55"/>
        </w:numPr>
        <w:spacing w:line="360" w:lineRule="auto"/>
        <w:jc w:val="both"/>
        <w:rPr>
          <w:rFonts w:ascii="Arial" w:hAnsi="Arial" w:cs="Arial"/>
          <w:sz w:val="24"/>
          <w:szCs w:val="24"/>
        </w:rPr>
      </w:pPr>
      <w:r w:rsidRPr="00B12E2B">
        <w:rPr>
          <w:rFonts w:ascii="Arial" w:hAnsi="Arial" w:cs="Arial"/>
          <w:sz w:val="24"/>
          <w:szCs w:val="24"/>
        </w:rPr>
        <w:t>Confirmation that an Accountable Person is willing to assume responsibility for ongoing oversight of building safety after handover.</w:t>
      </w:r>
    </w:p>
    <w:p w14:paraId="0C5DBC2A" w14:textId="5462EB62"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lastRenderedPageBreak/>
        <w:t>Gateway Three ensures that the building is demonstrably safe for occupation and has effective long-term safety management (Sutton, 2025).</w:t>
      </w:r>
    </w:p>
    <w:p w14:paraId="0308529B" w14:textId="77777777" w:rsidR="00F15315" w:rsidRPr="00B12E2B" w:rsidRDefault="00F15315" w:rsidP="00B12E2B">
      <w:pPr>
        <w:pStyle w:val="Heading1"/>
        <w:spacing w:line="360" w:lineRule="auto"/>
        <w:jc w:val="both"/>
        <w:rPr>
          <w:rFonts w:ascii="Arial" w:hAnsi="Arial" w:cs="Arial"/>
          <w:sz w:val="24"/>
          <w:szCs w:val="24"/>
        </w:rPr>
      </w:pPr>
      <w:bookmarkStart w:id="8" w:name="_Toc228542969"/>
      <w:r w:rsidRPr="00B12E2B">
        <w:rPr>
          <w:rFonts w:ascii="Arial" w:hAnsi="Arial" w:cs="Arial"/>
          <w:sz w:val="24"/>
          <w:szCs w:val="24"/>
        </w:rPr>
        <w:t>2.4 Changes to Fire Safety Legislation</w:t>
      </w:r>
      <w:bookmarkEnd w:id="8"/>
    </w:p>
    <w:p w14:paraId="1B30DD71" w14:textId="77777777" w:rsidR="002B66C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The Building Safety Act section 156, which is now in force in Wales, amends the Regulatory Reform (Fire Safety) Order 2005. Key requirements are:</w:t>
      </w:r>
    </w:p>
    <w:p w14:paraId="409335E8" w14:textId="77777777" w:rsidR="002B66C5" w:rsidRPr="00B12E2B" w:rsidRDefault="00F15315" w:rsidP="00B12E2B">
      <w:pPr>
        <w:pStyle w:val="ListParagraph"/>
        <w:numPr>
          <w:ilvl w:val="0"/>
          <w:numId w:val="57"/>
        </w:numPr>
        <w:spacing w:line="360" w:lineRule="auto"/>
        <w:jc w:val="both"/>
        <w:rPr>
          <w:rFonts w:ascii="Arial" w:hAnsi="Arial" w:cs="Arial"/>
          <w:sz w:val="24"/>
          <w:szCs w:val="24"/>
        </w:rPr>
      </w:pPr>
      <w:r w:rsidRPr="00B12E2B">
        <w:rPr>
          <w:rFonts w:ascii="Arial" w:hAnsi="Arial" w:cs="Arial"/>
          <w:sz w:val="24"/>
          <w:szCs w:val="24"/>
        </w:rPr>
        <w:t>Fire risk assessments for all relevant buildings.</w:t>
      </w:r>
    </w:p>
    <w:p w14:paraId="56FA86D8" w14:textId="77777777" w:rsidR="002B66C5" w:rsidRPr="00B12E2B" w:rsidRDefault="00F15315" w:rsidP="00B12E2B">
      <w:pPr>
        <w:pStyle w:val="ListParagraph"/>
        <w:numPr>
          <w:ilvl w:val="0"/>
          <w:numId w:val="57"/>
        </w:numPr>
        <w:spacing w:line="360" w:lineRule="auto"/>
        <w:jc w:val="both"/>
        <w:rPr>
          <w:rFonts w:ascii="Arial" w:hAnsi="Arial" w:cs="Arial"/>
          <w:sz w:val="24"/>
          <w:szCs w:val="24"/>
        </w:rPr>
      </w:pPr>
      <w:r w:rsidRPr="00B12E2B">
        <w:rPr>
          <w:rFonts w:ascii="Arial" w:hAnsi="Arial" w:cs="Arial"/>
          <w:sz w:val="24"/>
          <w:szCs w:val="24"/>
        </w:rPr>
        <w:t>The appointment of competent persons to carry out and assist with risk assessments.</w:t>
      </w:r>
    </w:p>
    <w:p w14:paraId="4FBBA867" w14:textId="77777777" w:rsidR="002B66C5" w:rsidRPr="00B12E2B" w:rsidRDefault="00F15315" w:rsidP="00B12E2B">
      <w:pPr>
        <w:pStyle w:val="ListParagraph"/>
        <w:numPr>
          <w:ilvl w:val="0"/>
          <w:numId w:val="57"/>
        </w:numPr>
        <w:spacing w:line="360" w:lineRule="auto"/>
        <w:jc w:val="both"/>
        <w:rPr>
          <w:rFonts w:ascii="Arial" w:hAnsi="Arial" w:cs="Arial"/>
          <w:sz w:val="24"/>
          <w:szCs w:val="24"/>
        </w:rPr>
      </w:pPr>
      <w:r w:rsidRPr="00B12E2B">
        <w:rPr>
          <w:rFonts w:ascii="Arial" w:hAnsi="Arial" w:cs="Arial"/>
          <w:sz w:val="24"/>
          <w:szCs w:val="24"/>
        </w:rPr>
        <w:t>Giving residents clear information on fire safety.</w:t>
      </w:r>
    </w:p>
    <w:p w14:paraId="51413F9A" w14:textId="5A4CCF5A" w:rsidR="00F15315" w:rsidRPr="00B12E2B" w:rsidRDefault="00F15315" w:rsidP="00B12E2B">
      <w:pPr>
        <w:pStyle w:val="ListParagraph"/>
        <w:numPr>
          <w:ilvl w:val="0"/>
          <w:numId w:val="57"/>
        </w:numPr>
        <w:spacing w:line="360" w:lineRule="auto"/>
        <w:jc w:val="both"/>
        <w:rPr>
          <w:rFonts w:ascii="Arial" w:hAnsi="Arial" w:cs="Arial"/>
          <w:sz w:val="24"/>
          <w:szCs w:val="24"/>
        </w:rPr>
      </w:pPr>
      <w:r w:rsidRPr="00B12E2B">
        <w:rPr>
          <w:rFonts w:ascii="Arial" w:hAnsi="Arial" w:cs="Arial"/>
          <w:sz w:val="24"/>
          <w:szCs w:val="24"/>
        </w:rPr>
        <w:t>Facilitating collaboration between various responsible parties where applicable (GOV.WALES, 2023).</w:t>
      </w:r>
    </w:p>
    <w:p w14:paraId="1DF2FC2F" w14:textId="635BF3BF" w:rsidR="002B66C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 xml:space="preserve">Given that Croft Street Block 2 may be partially occupied during </w:t>
      </w:r>
      <w:r w:rsidR="001A3FA2" w:rsidRPr="00B12E2B">
        <w:rPr>
          <w:rFonts w:ascii="Arial" w:hAnsi="Arial" w:cs="Arial"/>
          <w:sz w:val="24"/>
          <w:szCs w:val="24"/>
        </w:rPr>
        <w:t>extensive retrofit</w:t>
      </w:r>
      <w:r w:rsidRPr="00B12E2B">
        <w:rPr>
          <w:rFonts w:ascii="Arial" w:hAnsi="Arial" w:cs="Arial"/>
          <w:sz w:val="24"/>
          <w:szCs w:val="24"/>
        </w:rPr>
        <w:t>, UWTSD Construction must work closely with the Responsible Person for the building to ensure that fire safety arrangements remain effective throughout construction.</w:t>
      </w:r>
    </w:p>
    <w:p w14:paraId="0118A42C" w14:textId="77777777" w:rsidR="00F15315" w:rsidRPr="00B12E2B" w:rsidRDefault="00F15315" w:rsidP="00B12E2B">
      <w:pPr>
        <w:pStyle w:val="Heading1"/>
        <w:spacing w:line="360" w:lineRule="auto"/>
        <w:jc w:val="both"/>
        <w:rPr>
          <w:rFonts w:ascii="Arial" w:hAnsi="Arial" w:cs="Arial"/>
          <w:sz w:val="24"/>
          <w:szCs w:val="24"/>
        </w:rPr>
      </w:pPr>
      <w:bookmarkStart w:id="9" w:name="_Toc228542970"/>
      <w:r w:rsidRPr="00B12E2B">
        <w:rPr>
          <w:rFonts w:ascii="Arial" w:hAnsi="Arial" w:cs="Arial"/>
          <w:sz w:val="24"/>
          <w:szCs w:val="24"/>
        </w:rPr>
        <w:t>2.5 The Golden Thread of Information</w:t>
      </w:r>
      <w:bookmarkEnd w:id="9"/>
    </w:p>
    <w:p w14:paraId="295EEC6D" w14:textId="77777777"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The Building Safety Act 2022, as well as Welsh legislation, require a ‘golden thread’ of building safety information to be maintained. It is a complete digital record of safety-critical information used to manage fire and structural risks throughout the life of the building.</w:t>
      </w:r>
    </w:p>
    <w:p w14:paraId="524A717A" w14:textId="77777777" w:rsidR="002B66C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For Croft Street Block 2 this means:</w:t>
      </w:r>
    </w:p>
    <w:p w14:paraId="68DB4384" w14:textId="77777777" w:rsidR="002B66C5" w:rsidRPr="00B12E2B" w:rsidRDefault="00F15315" w:rsidP="00B12E2B">
      <w:pPr>
        <w:pStyle w:val="ListParagraph"/>
        <w:numPr>
          <w:ilvl w:val="0"/>
          <w:numId w:val="58"/>
        </w:numPr>
        <w:spacing w:line="360" w:lineRule="auto"/>
        <w:jc w:val="both"/>
        <w:rPr>
          <w:rFonts w:ascii="Arial" w:hAnsi="Arial" w:cs="Arial"/>
          <w:sz w:val="24"/>
          <w:szCs w:val="24"/>
        </w:rPr>
      </w:pPr>
      <w:r w:rsidRPr="00B12E2B">
        <w:rPr>
          <w:rFonts w:ascii="Arial" w:hAnsi="Arial" w:cs="Arial"/>
          <w:sz w:val="24"/>
          <w:szCs w:val="24"/>
        </w:rPr>
        <w:t>Keeping digital records accurate, current and accessible.</w:t>
      </w:r>
    </w:p>
    <w:p w14:paraId="763DCBB4" w14:textId="77777777" w:rsidR="002B66C5" w:rsidRPr="00B12E2B" w:rsidRDefault="00F15315" w:rsidP="00B12E2B">
      <w:pPr>
        <w:pStyle w:val="ListParagraph"/>
        <w:numPr>
          <w:ilvl w:val="0"/>
          <w:numId w:val="58"/>
        </w:numPr>
        <w:spacing w:line="360" w:lineRule="auto"/>
        <w:jc w:val="both"/>
        <w:rPr>
          <w:rFonts w:ascii="Arial" w:hAnsi="Arial" w:cs="Arial"/>
          <w:sz w:val="24"/>
          <w:szCs w:val="24"/>
        </w:rPr>
      </w:pPr>
      <w:r w:rsidRPr="00B12E2B">
        <w:rPr>
          <w:rFonts w:ascii="Arial" w:hAnsi="Arial" w:cs="Arial"/>
          <w:sz w:val="24"/>
          <w:szCs w:val="24"/>
        </w:rPr>
        <w:t>Compliance with Building Regulations at all stages.</w:t>
      </w:r>
    </w:p>
    <w:p w14:paraId="7A2E98F6" w14:textId="77777777" w:rsidR="002B66C5" w:rsidRPr="00B12E2B" w:rsidRDefault="00F15315" w:rsidP="00B12E2B">
      <w:pPr>
        <w:pStyle w:val="ListParagraph"/>
        <w:numPr>
          <w:ilvl w:val="0"/>
          <w:numId w:val="58"/>
        </w:numPr>
        <w:spacing w:line="360" w:lineRule="auto"/>
        <w:jc w:val="both"/>
        <w:rPr>
          <w:rFonts w:ascii="Arial" w:hAnsi="Arial" w:cs="Arial"/>
          <w:sz w:val="24"/>
          <w:szCs w:val="24"/>
        </w:rPr>
      </w:pPr>
      <w:r w:rsidRPr="00B12E2B">
        <w:rPr>
          <w:rFonts w:ascii="Arial" w:hAnsi="Arial" w:cs="Arial"/>
          <w:sz w:val="24"/>
          <w:szCs w:val="24"/>
        </w:rPr>
        <w:t>Updating information during construction and handover of responsibility at occupation.</w:t>
      </w:r>
    </w:p>
    <w:p w14:paraId="39A0CD2B" w14:textId="383C3E4B" w:rsidR="00F15315" w:rsidRPr="00B12E2B" w:rsidRDefault="00F15315" w:rsidP="00B12E2B">
      <w:pPr>
        <w:pStyle w:val="ListParagraph"/>
        <w:numPr>
          <w:ilvl w:val="0"/>
          <w:numId w:val="58"/>
        </w:numPr>
        <w:spacing w:line="360" w:lineRule="auto"/>
        <w:jc w:val="both"/>
        <w:rPr>
          <w:rFonts w:ascii="Arial" w:hAnsi="Arial" w:cs="Arial"/>
          <w:sz w:val="24"/>
          <w:szCs w:val="24"/>
        </w:rPr>
      </w:pPr>
      <w:r w:rsidRPr="00B12E2B">
        <w:rPr>
          <w:rFonts w:ascii="Arial" w:hAnsi="Arial" w:cs="Arial"/>
          <w:sz w:val="24"/>
          <w:szCs w:val="24"/>
        </w:rPr>
        <w:t>Allowing the Accountable Person to manage safety after completion (GOV.UK, 2023).</w:t>
      </w:r>
    </w:p>
    <w:p w14:paraId="36293818" w14:textId="1E597C0A"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The classification of Croft Street Block 2 as a higher risk building introduces increased documentation, coordination and programme risk. However, these measures significantly enhance accountability and safety results for residents and workers.</w:t>
      </w:r>
    </w:p>
    <w:p w14:paraId="6659D126" w14:textId="77777777" w:rsidR="00F15315" w:rsidRPr="00B12E2B" w:rsidRDefault="00F15315" w:rsidP="00B12E2B">
      <w:pPr>
        <w:pStyle w:val="Heading1"/>
        <w:spacing w:line="360" w:lineRule="auto"/>
        <w:jc w:val="both"/>
        <w:rPr>
          <w:rFonts w:ascii="Arial" w:hAnsi="Arial" w:cs="Arial"/>
          <w:sz w:val="24"/>
          <w:szCs w:val="24"/>
        </w:rPr>
      </w:pPr>
      <w:bookmarkStart w:id="10" w:name="_Toc228542971"/>
      <w:r w:rsidRPr="00B12E2B">
        <w:rPr>
          <w:rFonts w:ascii="Arial" w:hAnsi="Arial" w:cs="Arial"/>
          <w:sz w:val="24"/>
          <w:szCs w:val="24"/>
        </w:rPr>
        <w:lastRenderedPageBreak/>
        <w:t>3.0 Compliance with Relevant Health and Safety legislation and management</w:t>
      </w:r>
      <w:bookmarkEnd w:id="10"/>
    </w:p>
    <w:p w14:paraId="50C59087" w14:textId="03D43EDD"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Good health and safety compliance depends on strong leadership, clear responsibilities, competent supervision and continuous performance monitoring. Senior management commitment and worker involvement are critical to the maintenance of a positive safety culture.</w:t>
      </w:r>
    </w:p>
    <w:p w14:paraId="46467A3D" w14:textId="77777777" w:rsidR="00F15315" w:rsidRPr="00B12E2B" w:rsidRDefault="00F15315" w:rsidP="00B12E2B">
      <w:pPr>
        <w:pStyle w:val="Heading1"/>
        <w:spacing w:line="360" w:lineRule="auto"/>
        <w:jc w:val="both"/>
        <w:rPr>
          <w:rFonts w:ascii="Arial" w:hAnsi="Arial" w:cs="Arial"/>
          <w:sz w:val="24"/>
          <w:szCs w:val="24"/>
        </w:rPr>
      </w:pPr>
      <w:bookmarkStart w:id="11" w:name="_Toc228542972"/>
      <w:r w:rsidRPr="00B12E2B">
        <w:rPr>
          <w:rFonts w:ascii="Arial" w:hAnsi="Arial" w:cs="Arial"/>
          <w:sz w:val="24"/>
          <w:szCs w:val="24"/>
        </w:rPr>
        <w:t>3.1 Health and Safety at Work etc Act 1974</w:t>
      </w:r>
      <w:bookmarkEnd w:id="11"/>
    </w:p>
    <w:p w14:paraId="18CC3EEB" w14:textId="77777777"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Health and Safety at Work etc. The 1974 Act places a general duty on employers to ensure, so far as is reasonably practicable, the health, safety and welfare of their employees and others affected by their operations.</w:t>
      </w:r>
    </w:p>
    <w:p w14:paraId="30BAE425" w14:textId="77777777" w:rsidR="002B66C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Higher risk retrofit for Croft Street Block 2 because:</w:t>
      </w:r>
    </w:p>
    <w:p w14:paraId="0D42DE60" w14:textId="77777777" w:rsidR="002B66C5" w:rsidRPr="00B12E2B" w:rsidRDefault="00F15315" w:rsidP="00B12E2B">
      <w:pPr>
        <w:pStyle w:val="ListParagraph"/>
        <w:numPr>
          <w:ilvl w:val="0"/>
          <w:numId w:val="59"/>
        </w:numPr>
        <w:spacing w:line="360" w:lineRule="auto"/>
        <w:jc w:val="both"/>
        <w:rPr>
          <w:rFonts w:ascii="Arial" w:hAnsi="Arial" w:cs="Arial"/>
          <w:sz w:val="24"/>
          <w:szCs w:val="24"/>
        </w:rPr>
      </w:pPr>
      <w:r w:rsidRPr="00B12E2B">
        <w:rPr>
          <w:rFonts w:ascii="Arial" w:hAnsi="Arial" w:cs="Arial"/>
          <w:sz w:val="24"/>
          <w:szCs w:val="24"/>
        </w:rPr>
        <w:t>Working at height;</w:t>
      </w:r>
    </w:p>
    <w:p w14:paraId="500A9042" w14:textId="77777777" w:rsidR="002B66C5" w:rsidRPr="00B12E2B" w:rsidRDefault="00F15315" w:rsidP="00B12E2B">
      <w:pPr>
        <w:pStyle w:val="ListParagraph"/>
        <w:numPr>
          <w:ilvl w:val="0"/>
          <w:numId w:val="59"/>
        </w:numPr>
        <w:spacing w:line="360" w:lineRule="auto"/>
        <w:jc w:val="both"/>
        <w:rPr>
          <w:rFonts w:ascii="Arial" w:hAnsi="Arial" w:cs="Arial"/>
          <w:sz w:val="24"/>
          <w:szCs w:val="24"/>
        </w:rPr>
      </w:pPr>
      <w:r w:rsidRPr="00B12E2B">
        <w:rPr>
          <w:rFonts w:ascii="Arial" w:hAnsi="Arial" w:cs="Arial"/>
          <w:sz w:val="24"/>
          <w:szCs w:val="24"/>
        </w:rPr>
        <w:t>Interaction with residents and the public;</w:t>
      </w:r>
    </w:p>
    <w:p w14:paraId="1E990DCE" w14:textId="36AAC313" w:rsidR="00F15315" w:rsidRPr="00B12E2B" w:rsidRDefault="00F15315" w:rsidP="00B12E2B">
      <w:pPr>
        <w:pStyle w:val="ListParagraph"/>
        <w:numPr>
          <w:ilvl w:val="0"/>
          <w:numId w:val="59"/>
        </w:numPr>
        <w:spacing w:line="360" w:lineRule="auto"/>
        <w:jc w:val="both"/>
        <w:rPr>
          <w:rFonts w:ascii="Arial" w:hAnsi="Arial" w:cs="Arial"/>
          <w:sz w:val="24"/>
          <w:szCs w:val="24"/>
        </w:rPr>
      </w:pPr>
      <w:r w:rsidRPr="00B12E2B">
        <w:rPr>
          <w:rFonts w:ascii="Arial" w:hAnsi="Arial" w:cs="Arial"/>
          <w:sz w:val="24"/>
          <w:szCs w:val="24"/>
        </w:rPr>
        <w:t>Complex construction activities in an occupied building.</w:t>
      </w:r>
    </w:p>
    <w:p w14:paraId="2C14AE70" w14:textId="4F6615D4"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As a trainee Health and Safety Officer for UWTSD Construction, it is important to understand statutory duties and implement effective management systems through supervision, training and procedures (Ryder, 2025).</w:t>
      </w:r>
    </w:p>
    <w:p w14:paraId="3074D83A" w14:textId="77777777" w:rsidR="00F15315" w:rsidRPr="00B12E2B" w:rsidRDefault="00F15315" w:rsidP="00B12E2B">
      <w:pPr>
        <w:pStyle w:val="Heading1"/>
        <w:spacing w:line="360" w:lineRule="auto"/>
        <w:jc w:val="both"/>
        <w:rPr>
          <w:rFonts w:ascii="Arial" w:hAnsi="Arial" w:cs="Arial"/>
          <w:sz w:val="24"/>
          <w:szCs w:val="24"/>
        </w:rPr>
      </w:pPr>
      <w:bookmarkStart w:id="12" w:name="_Toc228542973"/>
      <w:r w:rsidRPr="00B12E2B">
        <w:rPr>
          <w:rFonts w:ascii="Arial" w:hAnsi="Arial" w:cs="Arial"/>
          <w:sz w:val="24"/>
          <w:szCs w:val="24"/>
        </w:rPr>
        <w:t>3.2 Occupational Health and Safety Management Regulations 1999</w:t>
      </w:r>
      <w:bookmarkEnd w:id="12"/>
    </w:p>
    <w:p w14:paraId="3A92E7C6" w14:textId="3C0B6C10" w:rsidR="000733A6"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These Regulations require employers to carry out suitable and sufficient risk assessments and to implement appropriate control measures</w:t>
      </w:r>
      <w:r w:rsidR="00052706">
        <w:rPr>
          <w:rFonts w:ascii="Arial" w:hAnsi="Arial" w:cs="Arial"/>
          <w:sz w:val="24"/>
          <w:szCs w:val="24"/>
        </w:rPr>
        <w:t xml:space="preserve"> </w:t>
      </w:r>
      <w:r w:rsidR="007A6105">
        <w:rPr>
          <w:rFonts w:ascii="Arial" w:hAnsi="Arial" w:cs="Arial"/>
          <w:sz w:val="24"/>
          <w:szCs w:val="24"/>
        </w:rPr>
        <w:t>which will be involving in</w:t>
      </w:r>
      <w:r w:rsidRPr="00B12E2B">
        <w:rPr>
          <w:rFonts w:ascii="Arial" w:hAnsi="Arial" w:cs="Arial"/>
          <w:sz w:val="24"/>
          <w:szCs w:val="24"/>
        </w:rPr>
        <w:t xml:space="preserve"> Croft Street</w:t>
      </w:r>
      <w:r w:rsidR="007A6105">
        <w:rPr>
          <w:rFonts w:ascii="Arial" w:hAnsi="Arial" w:cs="Arial"/>
          <w:sz w:val="24"/>
          <w:szCs w:val="24"/>
        </w:rPr>
        <w:t xml:space="preserve"> </w:t>
      </w:r>
      <w:r w:rsidR="0081744B">
        <w:rPr>
          <w:rFonts w:ascii="Arial" w:hAnsi="Arial" w:cs="Arial"/>
          <w:sz w:val="24"/>
          <w:szCs w:val="24"/>
        </w:rPr>
        <w:t xml:space="preserve">block 2 </w:t>
      </w:r>
      <w:r w:rsidR="007A6105">
        <w:rPr>
          <w:rFonts w:ascii="Arial" w:hAnsi="Arial" w:cs="Arial"/>
          <w:sz w:val="24"/>
          <w:szCs w:val="24"/>
        </w:rPr>
        <w:t>retrofit</w:t>
      </w:r>
      <w:r w:rsidR="000733A6" w:rsidRPr="00B12E2B">
        <w:rPr>
          <w:rFonts w:ascii="Arial" w:hAnsi="Arial" w:cs="Arial"/>
          <w:sz w:val="24"/>
          <w:szCs w:val="24"/>
        </w:rPr>
        <w:t>,</w:t>
      </w:r>
    </w:p>
    <w:p w14:paraId="28F9C90F" w14:textId="77777777" w:rsidR="000733A6" w:rsidRPr="00B12E2B" w:rsidRDefault="00F15315" w:rsidP="00B12E2B">
      <w:pPr>
        <w:pStyle w:val="ListParagraph"/>
        <w:numPr>
          <w:ilvl w:val="0"/>
          <w:numId w:val="74"/>
        </w:numPr>
        <w:spacing w:line="360" w:lineRule="auto"/>
        <w:jc w:val="both"/>
        <w:rPr>
          <w:rFonts w:ascii="Arial" w:hAnsi="Arial" w:cs="Arial"/>
          <w:sz w:val="24"/>
          <w:szCs w:val="24"/>
        </w:rPr>
      </w:pPr>
      <w:r w:rsidRPr="00B12E2B">
        <w:rPr>
          <w:rFonts w:ascii="Arial" w:hAnsi="Arial" w:cs="Arial"/>
          <w:sz w:val="24"/>
          <w:szCs w:val="24"/>
        </w:rPr>
        <w:t>Identify the risks to workers, residents and visitors.</w:t>
      </w:r>
    </w:p>
    <w:p w14:paraId="3D53646F" w14:textId="77777777" w:rsidR="000733A6" w:rsidRPr="00B12E2B" w:rsidRDefault="00F15315" w:rsidP="00B12E2B">
      <w:pPr>
        <w:pStyle w:val="ListParagraph"/>
        <w:numPr>
          <w:ilvl w:val="0"/>
          <w:numId w:val="74"/>
        </w:numPr>
        <w:spacing w:line="360" w:lineRule="auto"/>
        <w:jc w:val="both"/>
        <w:rPr>
          <w:rFonts w:ascii="Arial" w:hAnsi="Arial" w:cs="Arial"/>
          <w:sz w:val="24"/>
          <w:szCs w:val="24"/>
        </w:rPr>
      </w:pPr>
      <w:r w:rsidRPr="00B12E2B">
        <w:rPr>
          <w:rFonts w:ascii="Arial" w:hAnsi="Arial" w:cs="Arial"/>
          <w:sz w:val="24"/>
          <w:szCs w:val="24"/>
        </w:rPr>
        <w:t>Prioritising elimination and collective measures in line with the hierarchy of control.</w:t>
      </w:r>
    </w:p>
    <w:p w14:paraId="707ACA40" w14:textId="77777777" w:rsidR="000733A6" w:rsidRPr="00B12E2B" w:rsidRDefault="00F15315" w:rsidP="00B12E2B">
      <w:pPr>
        <w:pStyle w:val="ListParagraph"/>
        <w:numPr>
          <w:ilvl w:val="0"/>
          <w:numId w:val="74"/>
        </w:numPr>
        <w:spacing w:line="360" w:lineRule="auto"/>
        <w:jc w:val="both"/>
        <w:rPr>
          <w:rFonts w:ascii="Arial" w:hAnsi="Arial" w:cs="Arial"/>
          <w:sz w:val="24"/>
          <w:szCs w:val="24"/>
        </w:rPr>
      </w:pPr>
      <w:r w:rsidRPr="00B12E2B">
        <w:rPr>
          <w:rFonts w:ascii="Arial" w:hAnsi="Arial" w:cs="Arial"/>
          <w:sz w:val="24"/>
          <w:szCs w:val="24"/>
        </w:rPr>
        <w:t>Designating competent persons with authority to handle risks.</w:t>
      </w:r>
    </w:p>
    <w:p w14:paraId="58D3BD27" w14:textId="77777777" w:rsidR="000733A6" w:rsidRPr="00B12E2B" w:rsidRDefault="00F15315" w:rsidP="00B12E2B">
      <w:pPr>
        <w:pStyle w:val="ListParagraph"/>
        <w:numPr>
          <w:ilvl w:val="0"/>
          <w:numId w:val="74"/>
        </w:numPr>
        <w:spacing w:line="360" w:lineRule="auto"/>
        <w:jc w:val="both"/>
        <w:rPr>
          <w:rFonts w:ascii="Arial" w:hAnsi="Arial" w:cs="Arial"/>
          <w:sz w:val="24"/>
          <w:szCs w:val="24"/>
        </w:rPr>
      </w:pPr>
      <w:r w:rsidRPr="00B12E2B">
        <w:rPr>
          <w:rFonts w:ascii="Arial" w:hAnsi="Arial" w:cs="Arial"/>
          <w:sz w:val="24"/>
          <w:szCs w:val="24"/>
        </w:rPr>
        <w:t>Providing information, instruction and training to all workers.</w:t>
      </w:r>
    </w:p>
    <w:p w14:paraId="0D98053C" w14:textId="6773997A" w:rsidR="00F15315" w:rsidRPr="00B12E2B" w:rsidRDefault="00F15315" w:rsidP="00B12E2B">
      <w:pPr>
        <w:pStyle w:val="ListParagraph"/>
        <w:numPr>
          <w:ilvl w:val="0"/>
          <w:numId w:val="74"/>
        </w:numPr>
        <w:spacing w:line="360" w:lineRule="auto"/>
        <w:jc w:val="both"/>
        <w:rPr>
          <w:rFonts w:ascii="Arial" w:hAnsi="Arial" w:cs="Arial"/>
          <w:sz w:val="24"/>
          <w:szCs w:val="24"/>
        </w:rPr>
      </w:pPr>
      <w:r w:rsidRPr="00B12E2B">
        <w:rPr>
          <w:rFonts w:ascii="Arial" w:hAnsi="Arial" w:cs="Arial"/>
          <w:sz w:val="24"/>
          <w:szCs w:val="24"/>
        </w:rPr>
        <w:t>Review and update controls as works progress, particularly where residents may be affected.</w:t>
      </w:r>
    </w:p>
    <w:p w14:paraId="3DB53098" w14:textId="77777777" w:rsidR="002B66C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 xml:space="preserve">Risk management needs to be dynamic and responsive to changing site conditions during the retrofit (Work Accident Advice Centre, n.d.). </w:t>
      </w:r>
    </w:p>
    <w:p w14:paraId="1C0D924F" w14:textId="1C77DF10" w:rsidR="00F15315" w:rsidRPr="00B12E2B" w:rsidRDefault="00F15315" w:rsidP="00B12E2B">
      <w:pPr>
        <w:pStyle w:val="Heading1"/>
        <w:spacing w:line="360" w:lineRule="auto"/>
        <w:jc w:val="both"/>
        <w:rPr>
          <w:rFonts w:ascii="Arial" w:hAnsi="Arial" w:cs="Arial"/>
          <w:sz w:val="24"/>
          <w:szCs w:val="24"/>
        </w:rPr>
      </w:pPr>
      <w:bookmarkStart w:id="13" w:name="_Toc228542974"/>
      <w:r w:rsidRPr="00B12E2B">
        <w:rPr>
          <w:rFonts w:ascii="Arial" w:hAnsi="Arial" w:cs="Arial"/>
          <w:sz w:val="24"/>
          <w:szCs w:val="24"/>
        </w:rPr>
        <w:lastRenderedPageBreak/>
        <w:t>3.3 Work at Height Regulations 2005</w:t>
      </w:r>
      <w:bookmarkEnd w:id="13"/>
    </w:p>
    <w:p w14:paraId="4FB2AD6D" w14:textId="2D04E943"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 xml:space="preserve">The Work at Height Regulations 2005 directly apply to the </w:t>
      </w:r>
      <w:r w:rsidR="001A3FA2" w:rsidRPr="00B12E2B">
        <w:rPr>
          <w:rFonts w:ascii="Arial" w:hAnsi="Arial" w:cs="Arial"/>
          <w:sz w:val="24"/>
          <w:szCs w:val="24"/>
        </w:rPr>
        <w:t>extensive retrofit</w:t>
      </w:r>
      <w:r w:rsidRPr="00B12E2B">
        <w:rPr>
          <w:rFonts w:ascii="Arial" w:hAnsi="Arial" w:cs="Arial"/>
          <w:sz w:val="24"/>
          <w:szCs w:val="24"/>
        </w:rPr>
        <w:t xml:space="preserve"> of a high-rise building such as Croft Street Block 2. The management duties are:</w:t>
      </w:r>
    </w:p>
    <w:p w14:paraId="2F63D141" w14:textId="640BE79F" w:rsidR="002B66C5" w:rsidRPr="00B12E2B" w:rsidRDefault="00F15315" w:rsidP="00B12E2B">
      <w:pPr>
        <w:pStyle w:val="ListParagraph"/>
        <w:numPr>
          <w:ilvl w:val="0"/>
          <w:numId w:val="60"/>
        </w:numPr>
        <w:spacing w:line="360" w:lineRule="auto"/>
        <w:jc w:val="both"/>
        <w:rPr>
          <w:rFonts w:ascii="Arial" w:hAnsi="Arial" w:cs="Arial"/>
          <w:sz w:val="24"/>
          <w:szCs w:val="24"/>
        </w:rPr>
      </w:pPr>
      <w:r w:rsidRPr="00B12E2B">
        <w:rPr>
          <w:rFonts w:ascii="Arial" w:hAnsi="Arial" w:cs="Arial"/>
          <w:sz w:val="24"/>
          <w:szCs w:val="24"/>
        </w:rPr>
        <w:t xml:space="preserve">Avoid work at height </w:t>
      </w:r>
      <w:r w:rsidR="000733A6" w:rsidRPr="00B12E2B">
        <w:rPr>
          <w:rFonts w:ascii="Arial" w:hAnsi="Arial" w:cs="Arial"/>
          <w:sz w:val="24"/>
          <w:szCs w:val="24"/>
        </w:rPr>
        <w:t>where</w:t>
      </w:r>
      <w:r w:rsidRPr="00B12E2B">
        <w:rPr>
          <w:rFonts w:ascii="Arial" w:hAnsi="Arial" w:cs="Arial"/>
          <w:sz w:val="24"/>
          <w:szCs w:val="24"/>
        </w:rPr>
        <w:t xml:space="preserve"> reasonably practicable.</w:t>
      </w:r>
    </w:p>
    <w:p w14:paraId="4C8C17EE" w14:textId="77777777" w:rsidR="002B66C5" w:rsidRPr="00B12E2B" w:rsidRDefault="00F15315" w:rsidP="00B12E2B">
      <w:pPr>
        <w:pStyle w:val="ListParagraph"/>
        <w:numPr>
          <w:ilvl w:val="0"/>
          <w:numId w:val="60"/>
        </w:numPr>
        <w:spacing w:line="360" w:lineRule="auto"/>
        <w:jc w:val="both"/>
        <w:rPr>
          <w:rFonts w:ascii="Arial" w:hAnsi="Arial" w:cs="Arial"/>
          <w:sz w:val="24"/>
          <w:szCs w:val="24"/>
        </w:rPr>
      </w:pPr>
      <w:r w:rsidRPr="00B12E2B">
        <w:rPr>
          <w:rFonts w:ascii="Arial" w:hAnsi="Arial" w:cs="Arial"/>
          <w:sz w:val="24"/>
          <w:szCs w:val="24"/>
        </w:rPr>
        <w:t>Utilizing collective protection measures, such as guardrails and scaffolding.</w:t>
      </w:r>
    </w:p>
    <w:p w14:paraId="3D2722A5" w14:textId="77777777" w:rsidR="002B66C5" w:rsidRPr="00B12E2B" w:rsidRDefault="00F15315" w:rsidP="00B12E2B">
      <w:pPr>
        <w:pStyle w:val="ListParagraph"/>
        <w:numPr>
          <w:ilvl w:val="0"/>
          <w:numId w:val="60"/>
        </w:numPr>
        <w:spacing w:line="360" w:lineRule="auto"/>
        <w:jc w:val="both"/>
        <w:rPr>
          <w:rFonts w:ascii="Arial" w:hAnsi="Arial" w:cs="Arial"/>
          <w:sz w:val="24"/>
          <w:szCs w:val="24"/>
        </w:rPr>
      </w:pPr>
      <w:r w:rsidRPr="00B12E2B">
        <w:rPr>
          <w:rFonts w:ascii="Arial" w:hAnsi="Arial" w:cs="Arial"/>
          <w:sz w:val="24"/>
          <w:szCs w:val="24"/>
        </w:rPr>
        <w:t>Competent persons to conduct height specific risk assessments.</w:t>
      </w:r>
    </w:p>
    <w:p w14:paraId="67569578" w14:textId="77777777" w:rsidR="002B66C5" w:rsidRPr="00B12E2B" w:rsidRDefault="00F15315" w:rsidP="00B12E2B">
      <w:pPr>
        <w:pStyle w:val="ListParagraph"/>
        <w:numPr>
          <w:ilvl w:val="0"/>
          <w:numId w:val="60"/>
        </w:numPr>
        <w:spacing w:line="360" w:lineRule="auto"/>
        <w:jc w:val="both"/>
        <w:rPr>
          <w:rFonts w:ascii="Arial" w:hAnsi="Arial" w:cs="Arial"/>
          <w:sz w:val="24"/>
          <w:szCs w:val="24"/>
        </w:rPr>
      </w:pPr>
      <w:r w:rsidRPr="00B12E2B">
        <w:rPr>
          <w:rFonts w:ascii="Arial" w:hAnsi="Arial" w:cs="Arial"/>
          <w:sz w:val="24"/>
          <w:szCs w:val="24"/>
        </w:rPr>
        <w:t>Training and certification to verify competence.</w:t>
      </w:r>
    </w:p>
    <w:p w14:paraId="14B40871" w14:textId="09A70424" w:rsidR="00F15315" w:rsidRPr="00B12E2B" w:rsidRDefault="00F15315" w:rsidP="00B12E2B">
      <w:pPr>
        <w:pStyle w:val="ListParagraph"/>
        <w:numPr>
          <w:ilvl w:val="0"/>
          <w:numId w:val="60"/>
        </w:numPr>
        <w:spacing w:line="360" w:lineRule="auto"/>
        <w:jc w:val="both"/>
        <w:rPr>
          <w:rFonts w:ascii="Arial" w:hAnsi="Arial" w:cs="Arial"/>
          <w:sz w:val="24"/>
          <w:szCs w:val="24"/>
        </w:rPr>
      </w:pPr>
      <w:r w:rsidRPr="00B12E2B">
        <w:rPr>
          <w:rFonts w:ascii="Arial" w:hAnsi="Arial" w:cs="Arial"/>
          <w:sz w:val="24"/>
          <w:szCs w:val="24"/>
        </w:rPr>
        <w:t>Checking and maintaining access equipment such as scaffolds and MEWPs.</w:t>
      </w:r>
    </w:p>
    <w:p w14:paraId="7CF9DCCF" w14:textId="4D914E93"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Relevant training such as PASMA, IPAF and harness inspection training (Gard, 2025).</w:t>
      </w:r>
    </w:p>
    <w:p w14:paraId="1898E5CA" w14:textId="77777777" w:rsidR="00F15315" w:rsidRPr="00B12E2B" w:rsidRDefault="00F15315" w:rsidP="00B12E2B">
      <w:pPr>
        <w:pStyle w:val="Heading1"/>
        <w:spacing w:line="360" w:lineRule="auto"/>
        <w:jc w:val="both"/>
        <w:rPr>
          <w:rFonts w:ascii="Arial" w:hAnsi="Arial" w:cs="Arial"/>
          <w:sz w:val="24"/>
          <w:szCs w:val="24"/>
        </w:rPr>
      </w:pPr>
      <w:bookmarkStart w:id="14" w:name="_Toc228542975"/>
      <w:r w:rsidRPr="00B12E2B">
        <w:rPr>
          <w:rFonts w:ascii="Arial" w:hAnsi="Arial" w:cs="Arial"/>
          <w:sz w:val="24"/>
          <w:szCs w:val="24"/>
        </w:rPr>
        <w:t>3.4 Control of Substances Hazardous to Health Regulations 2002</w:t>
      </w:r>
      <w:bookmarkEnd w:id="14"/>
      <w:r w:rsidRPr="00B12E2B">
        <w:rPr>
          <w:rFonts w:ascii="Arial" w:hAnsi="Arial" w:cs="Arial"/>
          <w:sz w:val="24"/>
          <w:szCs w:val="24"/>
        </w:rPr>
        <w:t xml:space="preserve"> </w:t>
      </w:r>
    </w:p>
    <w:p w14:paraId="67451EF7" w14:textId="77777777" w:rsidR="002B66C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Retrofit activities may produce hazardous substances such as silica dust, cement, solvents and fumes. COSHH management responsibilities include:</w:t>
      </w:r>
    </w:p>
    <w:p w14:paraId="79FD906B" w14:textId="77777777" w:rsidR="002B66C5" w:rsidRPr="00B12E2B" w:rsidRDefault="00F15315" w:rsidP="00B12E2B">
      <w:pPr>
        <w:pStyle w:val="ListParagraph"/>
        <w:numPr>
          <w:ilvl w:val="0"/>
          <w:numId w:val="61"/>
        </w:numPr>
        <w:spacing w:line="360" w:lineRule="auto"/>
        <w:jc w:val="both"/>
        <w:rPr>
          <w:rFonts w:ascii="Arial" w:hAnsi="Arial" w:cs="Arial"/>
          <w:sz w:val="24"/>
          <w:szCs w:val="24"/>
        </w:rPr>
      </w:pPr>
      <w:r w:rsidRPr="00B12E2B">
        <w:rPr>
          <w:rFonts w:ascii="Arial" w:hAnsi="Arial" w:cs="Arial"/>
          <w:sz w:val="24"/>
          <w:szCs w:val="24"/>
        </w:rPr>
        <w:t>Identify and evaluate hazardous substances.</w:t>
      </w:r>
    </w:p>
    <w:p w14:paraId="0E1DF007" w14:textId="77777777" w:rsidR="002B66C5" w:rsidRPr="00B12E2B" w:rsidRDefault="00F15315" w:rsidP="00B12E2B">
      <w:pPr>
        <w:pStyle w:val="ListParagraph"/>
        <w:numPr>
          <w:ilvl w:val="0"/>
          <w:numId w:val="61"/>
        </w:numPr>
        <w:spacing w:line="360" w:lineRule="auto"/>
        <w:jc w:val="both"/>
        <w:rPr>
          <w:rFonts w:ascii="Arial" w:hAnsi="Arial" w:cs="Arial"/>
          <w:sz w:val="24"/>
          <w:szCs w:val="24"/>
        </w:rPr>
      </w:pPr>
      <w:r w:rsidRPr="00B12E2B">
        <w:rPr>
          <w:rFonts w:ascii="Arial" w:hAnsi="Arial" w:cs="Arial"/>
          <w:sz w:val="24"/>
          <w:szCs w:val="24"/>
        </w:rPr>
        <w:t>Implementing hierarchy of control.</w:t>
      </w:r>
    </w:p>
    <w:p w14:paraId="7DC16579" w14:textId="77777777" w:rsidR="002B66C5" w:rsidRPr="00B12E2B" w:rsidRDefault="00F15315" w:rsidP="00B12E2B">
      <w:pPr>
        <w:pStyle w:val="ListParagraph"/>
        <w:numPr>
          <w:ilvl w:val="0"/>
          <w:numId w:val="61"/>
        </w:numPr>
        <w:spacing w:line="360" w:lineRule="auto"/>
        <w:jc w:val="both"/>
        <w:rPr>
          <w:rFonts w:ascii="Arial" w:hAnsi="Arial" w:cs="Arial"/>
          <w:sz w:val="24"/>
          <w:szCs w:val="24"/>
        </w:rPr>
      </w:pPr>
      <w:r w:rsidRPr="00B12E2B">
        <w:rPr>
          <w:rFonts w:ascii="Arial" w:hAnsi="Arial" w:cs="Arial"/>
          <w:sz w:val="24"/>
          <w:szCs w:val="24"/>
        </w:rPr>
        <w:t>Informing workers of the findings of COSHH assessments.</w:t>
      </w:r>
    </w:p>
    <w:p w14:paraId="00F2EFD9" w14:textId="77777777" w:rsidR="002B66C5" w:rsidRPr="00B12E2B" w:rsidRDefault="00F15315" w:rsidP="00B12E2B">
      <w:pPr>
        <w:pStyle w:val="ListParagraph"/>
        <w:numPr>
          <w:ilvl w:val="0"/>
          <w:numId w:val="61"/>
        </w:numPr>
        <w:spacing w:line="360" w:lineRule="auto"/>
        <w:jc w:val="both"/>
        <w:rPr>
          <w:rFonts w:ascii="Arial" w:hAnsi="Arial" w:cs="Arial"/>
          <w:sz w:val="24"/>
          <w:szCs w:val="24"/>
        </w:rPr>
      </w:pPr>
      <w:r w:rsidRPr="00B12E2B">
        <w:rPr>
          <w:rFonts w:ascii="Arial" w:hAnsi="Arial" w:cs="Arial"/>
          <w:sz w:val="24"/>
          <w:szCs w:val="24"/>
        </w:rPr>
        <w:t>Training on hazards and emergency procedures.</w:t>
      </w:r>
    </w:p>
    <w:p w14:paraId="71191773" w14:textId="3DA1BD96" w:rsidR="00F15315" w:rsidRPr="00B12E2B" w:rsidRDefault="00F15315" w:rsidP="00B12E2B">
      <w:pPr>
        <w:pStyle w:val="ListParagraph"/>
        <w:numPr>
          <w:ilvl w:val="0"/>
          <w:numId w:val="61"/>
        </w:numPr>
        <w:spacing w:line="360" w:lineRule="auto"/>
        <w:jc w:val="both"/>
        <w:rPr>
          <w:rFonts w:ascii="Arial" w:hAnsi="Arial" w:cs="Arial"/>
          <w:sz w:val="24"/>
          <w:szCs w:val="24"/>
        </w:rPr>
      </w:pPr>
      <w:r w:rsidRPr="00B12E2B">
        <w:rPr>
          <w:rFonts w:ascii="Arial" w:hAnsi="Arial" w:cs="Arial"/>
          <w:sz w:val="24"/>
          <w:szCs w:val="24"/>
        </w:rPr>
        <w:t>Establishing exposure monitoring and health surveillance as needed.</w:t>
      </w:r>
    </w:p>
    <w:p w14:paraId="1A72DB30" w14:textId="283D3D43"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Effective COSHH management protects workers and residents (Team, 2026).</w:t>
      </w:r>
    </w:p>
    <w:p w14:paraId="434F6E98" w14:textId="77777777" w:rsidR="00F15315" w:rsidRPr="00B12E2B" w:rsidRDefault="00F15315" w:rsidP="00B12E2B">
      <w:pPr>
        <w:pStyle w:val="Heading1"/>
        <w:spacing w:line="360" w:lineRule="auto"/>
        <w:jc w:val="both"/>
        <w:rPr>
          <w:rFonts w:ascii="Arial" w:hAnsi="Arial" w:cs="Arial"/>
          <w:sz w:val="24"/>
          <w:szCs w:val="24"/>
        </w:rPr>
      </w:pPr>
      <w:bookmarkStart w:id="15" w:name="_Toc228542976"/>
      <w:r w:rsidRPr="00B12E2B">
        <w:rPr>
          <w:rFonts w:ascii="Arial" w:hAnsi="Arial" w:cs="Arial"/>
          <w:sz w:val="24"/>
          <w:szCs w:val="24"/>
        </w:rPr>
        <w:t>3.5 Noise at Work Regulations 2005 Control</w:t>
      </w:r>
      <w:bookmarkEnd w:id="15"/>
    </w:p>
    <w:p w14:paraId="42B7C596" w14:textId="77777777" w:rsidR="002B66C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Additional risks are posed by noise-generating activities such as drilling and cutting in occupied buildings. Managers shall be:</w:t>
      </w:r>
    </w:p>
    <w:p w14:paraId="69D6B2DD" w14:textId="77777777" w:rsidR="002B66C5" w:rsidRPr="00B12E2B" w:rsidRDefault="00F15315" w:rsidP="00B12E2B">
      <w:pPr>
        <w:pStyle w:val="ListParagraph"/>
        <w:numPr>
          <w:ilvl w:val="0"/>
          <w:numId w:val="62"/>
        </w:numPr>
        <w:spacing w:line="360" w:lineRule="auto"/>
        <w:jc w:val="both"/>
        <w:rPr>
          <w:rFonts w:ascii="Arial" w:hAnsi="Arial" w:cs="Arial"/>
          <w:sz w:val="24"/>
          <w:szCs w:val="24"/>
        </w:rPr>
      </w:pPr>
      <w:r w:rsidRPr="00B12E2B">
        <w:rPr>
          <w:rFonts w:ascii="Arial" w:hAnsi="Arial" w:cs="Arial"/>
          <w:sz w:val="24"/>
          <w:szCs w:val="24"/>
        </w:rPr>
        <w:t>Evaluate noise exposure levels.</w:t>
      </w:r>
    </w:p>
    <w:p w14:paraId="3E08E234" w14:textId="77777777" w:rsidR="002B66C5" w:rsidRPr="00B12E2B" w:rsidRDefault="00F15315" w:rsidP="00B12E2B">
      <w:pPr>
        <w:pStyle w:val="ListParagraph"/>
        <w:numPr>
          <w:ilvl w:val="0"/>
          <w:numId w:val="62"/>
        </w:numPr>
        <w:spacing w:line="360" w:lineRule="auto"/>
        <w:jc w:val="both"/>
        <w:rPr>
          <w:rFonts w:ascii="Arial" w:hAnsi="Arial" w:cs="Arial"/>
          <w:sz w:val="24"/>
          <w:szCs w:val="24"/>
        </w:rPr>
      </w:pPr>
      <w:r w:rsidRPr="00B12E2B">
        <w:rPr>
          <w:rFonts w:ascii="Arial" w:hAnsi="Arial" w:cs="Arial"/>
          <w:sz w:val="24"/>
          <w:szCs w:val="24"/>
        </w:rPr>
        <w:t>Minimise noise at source through planning and choice of equipment.</w:t>
      </w:r>
    </w:p>
    <w:p w14:paraId="7D44F690" w14:textId="77777777" w:rsidR="002B66C5" w:rsidRPr="00B12E2B" w:rsidRDefault="00F15315" w:rsidP="00B12E2B">
      <w:pPr>
        <w:pStyle w:val="ListParagraph"/>
        <w:numPr>
          <w:ilvl w:val="0"/>
          <w:numId w:val="62"/>
        </w:numPr>
        <w:spacing w:line="360" w:lineRule="auto"/>
        <w:jc w:val="both"/>
        <w:rPr>
          <w:rFonts w:ascii="Arial" w:hAnsi="Arial" w:cs="Arial"/>
          <w:sz w:val="24"/>
          <w:szCs w:val="24"/>
        </w:rPr>
      </w:pPr>
      <w:r w:rsidRPr="00B12E2B">
        <w:rPr>
          <w:rFonts w:ascii="Arial" w:hAnsi="Arial" w:cs="Arial"/>
          <w:sz w:val="24"/>
          <w:szCs w:val="24"/>
        </w:rPr>
        <w:t>Implement hearing protection zones where required.</w:t>
      </w:r>
    </w:p>
    <w:p w14:paraId="4FD8F35D" w14:textId="615FC113" w:rsidR="00F15315" w:rsidRPr="00B12E2B" w:rsidRDefault="00F15315" w:rsidP="00B12E2B">
      <w:pPr>
        <w:pStyle w:val="ListParagraph"/>
        <w:numPr>
          <w:ilvl w:val="0"/>
          <w:numId w:val="62"/>
        </w:numPr>
        <w:spacing w:line="360" w:lineRule="auto"/>
        <w:jc w:val="both"/>
        <w:rPr>
          <w:rFonts w:ascii="Arial" w:hAnsi="Arial" w:cs="Arial"/>
          <w:sz w:val="24"/>
          <w:szCs w:val="24"/>
        </w:rPr>
      </w:pPr>
      <w:r w:rsidRPr="00B12E2B">
        <w:rPr>
          <w:rFonts w:ascii="Arial" w:hAnsi="Arial" w:cs="Arial"/>
          <w:sz w:val="24"/>
          <w:szCs w:val="24"/>
        </w:rPr>
        <w:t>Provide training and health surveillance where risk is identified (Team, 2026).</w:t>
      </w:r>
    </w:p>
    <w:p w14:paraId="50FD10C6" w14:textId="77777777" w:rsidR="00F15315" w:rsidRPr="00B12E2B" w:rsidRDefault="00F15315" w:rsidP="00B12E2B">
      <w:pPr>
        <w:pStyle w:val="Heading1"/>
        <w:spacing w:line="360" w:lineRule="auto"/>
        <w:jc w:val="both"/>
        <w:rPr>
          <w:rFonts w:ascii="Arial" w:hAnsi="Arial" w:cs="Arial"/>
          <w:sz w:val="24"/>
          <w:szCs w:val="24"/>
        </w:rPr>
      </w:pPr>
      <w:bookmarkStart w:id="16" w:name="_Toc228542977"/>
      <w:r w:rsidRPr="00B12E2B">
        <w:rPr>
          <w:rFonts w:ascii="Arial" w:hAnsi="Arial" w:cs="Arial"/>
          <w:sz w:val="24"/>
          <w:szCs w:val="24"/>
        </w:rPr>
        <w:t>3.6 Training and Competency Frameworks</w:t>
      </w:r>
      <w:bookmarkEnd w:id="16"/>
    </w:p>
    <w:p w14:paraId="57603D64" w14:textId="77777777" w:rsidR="002B66C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Competence needs to be recorded in a structured training matrix showing compliance. Key training includes the following:</w:t>
      </w:r>
    </w:p>
    <w:p w14:paraId="4656A7B8" w14:textId="77777777" w:rsidR="002B66C5" w:rsidRPr="00B12E2B" w:rsidRDefault="00F15315" w:rsidP="00B12E2B">
      <w:pPr>
        <w:pStyle w:val="ListParagraph"/>
        <w:numPr>
          <w:ilvl w:val="0"/>
          <w:numId w:val="63"/>
        </w:numPr>
        <w:spacing w:line="360" w:lineRule="auto"/>
        <w:jc w:val="both"/>
        <w:rPr>
          <w:rFonts w:ascii="Arial" w:hAnsi="Arial" w:cs="Arial"/>
          <w:sz w:val="24"/>
          <w:szCs w:val="24"/>
        </w:rPr>
      </w:pPr>
      <w:r w:rsidRPr="00B12E2B">
        <w:rPr>
          <w:rFonts w:ascii="Arial" w:hAnsi="Arial" w:cs="Arial"/>
          <w:sz w:val="24"/>
          <w:szCs w:val="24"/>
        </w:rPr>
        <w:lastRenderedPageBreak/>
        <w:t>Induction to site and emergency procedures.</w:t>
      </w:r>
    </w:p>
    <w:p w14:paraId="1259837A" w14:textId="77777777" w:rsidR="002B66C5" w:rsidRPr="00B12E2B" w:rsidRDefault="00F15315" w:rsidP="00B12E2B">
      <w:pPr>
        <w:pStyle w:val="ListParagraph"/>
        <w:numPr>
          <w:ilvl w:val="0"/>
          <w:numId w:val="63"/>
        </w:numPr>
        <w:spacing w:line="360" w:lineRule="auto"/>
        <w:jc w:val="both"/>
        <w:rPr>
          <w:rFonts w:ascii="Arial" w:hAnsi="Arial" w:cs="Arial"/>
          <w:sz w:val="24"/>
          <w:szCs w:val="24"/>
        </w:rPr>
      </w:pPr>
      <w:r w:rsidRPr="00B12E2B">
        <w:rPr>
          <w:rFonts w:ascii="Arial" w:hAnsi="Arial" w:cs="Arial"/>
          <w:sz w:val="24"/>
          <w:szCs w:val="24"/>
        </w:rPr>
        <w:t>High-risk task training.</w:t>
      </w:r>
    </w:p>
    <w:p w14:paraId="16F494BC" w14:textId="77777777" w:rsidR="002B66C5" w:rsidRPr="00B12E2B" w:rsidRDefault="00F15315" w:rsidP="00B12E2B">
      <w:pPr>
        <w:pStyle w:val="ListParagraph"/>
        <w:numPr>
          <w:ilvl w:val="0"/>
          <w:numId w:val="63"/>
        </w:numPr>
        <w:spacing w:line="360" w:lineRule="auto"/>
        <w:jc w:val="both"/>
        <w:rPr>
          <w:rFonts w:ascii="Arial" w:hAnsi="Arial" w:cs="Arial"/>
          <w:sz w:val="24"/>
          <w:szCs w:val="24"/>
        </w:rPr>
      </w:pPr>
      <w:r w:rsidRPr="00B12E2B">
        <w:rPr>
          <w:rFonts w:ascii="Arial" w:hAnsi="Arial" w:cs="Arial"/>
          <w:sz w:val="24"/>
          <w:szCs w:val="24"/>
        </w:rPr>
        <w:t>Training of supervisors and management on legal duties.</w:t>
      </w:r>
    </w:p>
    <w:p w14:paraId="17795B8A" w14:textId="6BF3FB2A" w:rsidR="00F15315" w:rsidRPr="00B12E2B" w:rsidRDefault="00F15315" w:rsidP="00B12E2B">
      <w:pPr>
        <w:pStyle w:val="ListParagraph"/>
        <w:numPr>
          <w:ilvl w:val="0"/>
          <w:numId w:val="63"/>
        </w:numPr>
        <w:spacing w:line="360" w:lineRule="auto"/>
        <w:jc w:val="both"/>
        <w:rPr>
          <w:rFonts w:ascii="Arial" w:hAnsi="Arial" w:cs="Arial"/>
          <w:sz w:val="24"/>
          <w:szCs w:val="24"/>
        </w:rPr>
      </w:pPr>
      <w:r w:rsidRPr="00B12E2B">
        <w:rPr>
          <w:rFonts w:ascii="Arial" w:hAnsi="Arial" w:cs="Arial"/>
          <w:sz w:val="24"/>
          <w:szCs w:val="24"/>
        </w:rPr>
        <w:t xml:space="preserve">Refreshers and toolbox </w:t>
      </w:r>
      <w:r w:rsidR="000934E1" w:rsidRPr="00B12E2B">
        <w:rPr>
          <w:rFonts w:ascii="Arial" w:hAnsi="Arial" w:cs="Arial"/>
          <w:sz w:val="24"/>
          <w:szCs w:val="24"/>
        </w:rPr>
        <w:t>talk</w:t>
      </w:r>
      <w:r w:rsidRPr="00B12E2B">
        <w:rPr>
          <w:rFonts w:ascii="Arial" w:hAnsi="Arial" w:cs="Arial"/>
          <w:sz w:val="24"/>
          <w:szCs w:val="24"/>
        </w:rPr>
        <w:t xml:space="preserve"> at regular period.</w:t>
      </w:r>
    </w:p>
    <w:p w14:paraId="5A942F21" w14:textId="1D9BB276"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Verification of competence is a requirement before work starts (Financial Conduct Authority, 2015).</w:t>
      </w:r>
    </w:p>
    <w:p w14:paraId="01E0F011" w14:textId="77777777" w:rsidR="00F15315" w:rsidRPr="00B12E2B" w:rsidRDefault="00F15315" w:rsidP="00B12E2B">
      <w:pPr>
        <w:pStyle w:val="Heading1"/>
        <w:spacing w:line="360" w:lineRule="auto"/>
        <w:jc w:val="both"/>
        <w:rPr>
          <w:rFonts w:ascii="Arial" w:hAnsi="Arial" w:cs="Arial"/>
          <w:sz w:val="24"/>
          <w:szCs w:val="24"/>
        </w:rPr>
      </w:pPr>
      <w:bookmarkStart w:id="17" w:name="_Toc228542978"/>
      <w:r w:rsidRPr="00B12E2B">
        <w:rPr>
          <w:rFonts w:ascii="Arial" w:hAnsi="Arial" w:cs="Arial"/>
          <w:sz w:val="24"/>
          <w:szCs w:val="24"/>
        </w:rPr>
        <w:t>4.0 Compliance with the CDM Regulations 2015</w:t>
      </w:r>
      <w:bookmarkEnd w:id="17"/>
    </w:p>
    <w:p w14:paraId="4B55282E" w14:textId="1EF1FA57"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Construction (Design and Management) Regulations 2015 (CDM 2015) is the main regulation for health and safety in construction in the UK. Health and safety must be planned, managed and monitored throughout the project lifecycle (HSE, 2015).</w:t>
      </w:r>
    </w:p>
    <w:p w14:paraId="1CF35B62" w14:textId="77777777" w:rsidR="00F15315" w:rsidRPr="00B12E2B" w:rsidRDefault="00F15315" w:rsidP="00B12E2B">
      <w:pPr>
        <w:pStyle w:val="Heading1"/>
        <w:spacing w:line="360" w:lineRule="auto"/>
        <w:jc w:val="both"/>
        <w:rPr>
          <w:rFonts w:ascii="Arial" w:hAnsi="Arial" w:cs="Arial"/>
          <w:sz w:val="24"/>
          <w:szCs w:val="24"/>
        </w:rPr>
      </w:pPr>
      <w:bookmarkStart w:id="18" w:name="_Toc228542979"/>
      <w:r w:rsidRPr="00B12E2B">
        <w:rPr>
          <w:rFonts w:ascii="Arial" w:hAnsi="Arial" w:cs="Arial"/>
          <w:sz w:val="24"/>
          <w:szCs w:val="24"/>
        </w:rPr>
        <w:t>4.1 Application of CDM 2015.</w:t>
      </w:r>
      <w:bookmarkEnd w:id="18"/>
    </w:p>
    <w:p w14:paraId="3C00F4AD" w14:textId="77777777" w:rsidR="002B66C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 xml:space="preserve">As the Croft Street Block 2 retrofit involves construction work on an existing high-rise residential building, CDM 2015 applies fully. The Regulations: </w:t>
      </w:r>
    </w:p>
    <w:p w14:paraId="5E20D234" w14:textId="77777777" w:rsidR="002B66C5" w:rsidRPr="00B12E2B" w:rsidRDefault="00F15315" w:rsidP="00B12E2B">
      <w:pPr>
        <w:pStyle w:val="ListParagraph"/>
        <w:numPr>
          <w:ilvl w:val="0"/>
          <w:numId w:val="64"/>
        </w:numPr>
        <w:spacing w:line="360" w:lineRule="auto"/>
        <w:jc w:val="both"/>
        <w:rPr>
          <w:rFonts w:ascii="Arial" w:hAnsi="Arial" w:cs="Arial"/>
          <w:sz w:val="24"/>
          <w:szCs w:val="24"/>
        </w:rPr>
      </w:pPr>
      <w:r w:rsidRPr="00B12E2B">
        <w:rPr>
          <w:rFonts w:ascii="Arial" w:hAnsi="Arial" w:cs="Arial"/>
          <w:sz w:val="24"/>
          <w:szCs w:val="24"/>
        </w:rPr>
        <w:t>Integrate safety into design, planning and construction.</w:t>
      </w:r>
    </w:p>
    <w:p w14:paraId="722DF43C" w14:textId="77777777" w:rsidR="002B66C5" w:rsidRPr="00B12E2B" w:rsidRDefault="00F15315" w:rsidP="00B12E2B">
      <w:pPr>
        <w:pStyle w:val="ListParagraph"/>
        <w:numPr>
          <w:ilvl w:val="0"/>
          <w:numId w:val="64"/>
        </w:numPr>
        <w:spacing w:line="360" w:lineRule="auto"/>
        <w:jc w:val="both"/>
        <w:rPr>
          <w:rFonts w:ascii="Arial" w:hAnsi="Arial" w:cs="Arial"/>
          <w:sz w:val="24"/>
          <w:szCs w:val="24"/>
        </w:rPr>
      </w:pPr>
      <w:r w:rsidRPr="00B12E2B">
        <w:rPr>
          <w:rFonts w:ascii="Arial" w:hAnsi="Arial" w:cs="Arial"/>
          <w:sz w:val="24"/>
          <w:szCs w:val="24"/>
        </w:rPr>
        <w:t>Ensure competent duty holders</w:t>
      </w:r>
    </w:p>
    <w:p w14:paraId="3F057CF1" w14:textId="4E7824F0" w:rsidR="00F15315" w:rsidRPr="00B12E2B" w:rsidRDefault="00F15315" w:rsidP="00B12E2B">
      <w:pPr>
        <w:pStyle w:val="ListParagraph"/>
        <w:numPr>
          <w:ilvl w:val="0"/>
          <w:numId w:val="64"/>
        </w:numPr>
        <w:spacing w:line="360" w:lineRule="auto"/>
        <w:jc w:val="both"/>
        <w:rPr>
          <w:rFonts w:ascii="Arial" w:hAnsi="Arial" w:cs="Arial"/>
          <w:sz w:val="24"/>
          <w:szCs w:val="24"/>
        </w:rPr>
      </w:pPr>
      <w:r w:rsidRPr="00B12E2B">
        <w:rPr>
          <w:rFonts w:ascii="Arial" w:hAnsi="Arial" w:cs="Arial"/>
          <w:sz w:val="24"/>
          <w:szCs w:val="24"/>
        </w:rPr>
        <w:t>Fit with the Building Safety Act 2022 principles.</w:t>
      </w:r>
    </w:p>
    <w:p w14:paraId="4D21DCB9" w14:textId="224BA5C5"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Strong CDM compliance is essential to obtain gateway approvals and avoid enforcement action (Mark, 2026).</w:t>
      </w:r>
    </w:p>
    <w:p w14:paraId="271D8365" w14:textId="108CD28C" w:rsidR="00F15315" w:rsidRPr="00B12E2B" w:rsidRDefault="00F15315" w:rsidP="00B12E2B">
      <w:pPr>
        <w:pStyle w:val="Heading1"/>
        <w:spacing w:line="360" w:lineRule="auto"/>
        <w:jc w:val="both"/>
        <w:rPr>
          <w:rFonts w:ascii="Arial" w:hAnsi="Arial" w:cs="Arial"/>
          <w:sz w:val="24"/>
          <w:szCs w:val="24"/>
        </w:rPr>
      </w:pPr>
      <w:bookmarkStart w:id="19" w:name="_Toc228542980"/>
      <w:r w:rsidRPr="00B12E2B">
        <w:rPr>
          <w:rFonts w:ascii="Arial" w:hAnsi="Arial" w:cs="Arial"/>
          <w:sz w:val="24"/>
          <w:szCs w:val="24"/>
        </w:rPr>
        <w:t>4.2 Appointment and Qualification of Officers</w:t>
      </w:r>
      <w:bookmarkEnd w:id="19"/>
    </w:p>
    <w:p w14:paraId="0D6D9D7A" w14:textId="77777777" w:rsidR="00972F94"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CDM needs:</w:t>
      </w:r>
    </w:p>
    <w:p w14:paraId="3992D292" w14:textId="77777777" w:rsidR="00972F94" w:rsidRPr="00B12E2B" w:rsidRDefault="00F15315" w:rsidP="00B12E2B">
      <w:pPr>
        <w:pStyle w:val="ListParagraph"/>
        <w:numPr>
          <w:ilvl w:val="0"/>
          <w:numId w:val="65"/>
        </w:numPr>
        <w:spacing w:line="360" w:lineRule="auto"/>
        <w:jc w:val="both"/>
        <w:rPr>
          <w:rFonts w:ascii="Arial" w:hAnsi="Arial" w:cs="Arial"/>
          <w:sz w:val="24"/>
          <w:szCs w:val="24"/>
        </w:rPr>
      </w:pPr>
      <w:r w:rsidRPr="00B12E2B">
        <w:rPr>
          <w:rFonts w:ascii="Arial" w:hAnsi="Arial" w:cs="Arial"/>
          <w:sz w:val="24"/>
          <w:szCs w:val="24"/>
        </w:rPr>
        <w:t>Written appointments of Client, Principal Designer, Principal Contractor and contractors.</w:t>
      </w:r>
    </w:p>
    <w:p w14:paraId="06167562" w14:textId="415A2038" w:rsidR="00F15315" w:rsidRPr="00B12E2B" w:rsidRDefault="00F15315" w:rsidP="00B12E2B">
      <w:pPr>
        <w:pStyle w:val="ListParagraph"/>
        <w:numPr>
          <w:ilvl w:val="0"/>
          <w:numId w:val="65"/>
        </w:numPr>
        <w:spacing w:line="360" w:lineRule="auto"/>
        <w:jc w:val="both"/>
        <w:rPr>
          <w:rFonts w:ascii="Arial" w:hAnsi="Arial" w:cs="Arial"/>
          <w:sz w:val="24"/>
          <w:szCs w:val="24"/>
        </w:rPr>
      </w:pPr>
      <w:r w:rsidRPr="00B12E2B">
        <w:rPr>
          <w:rFonts w:ascii="Arial" w:hAnsi="Arial" w:cs="Arial"/>
          <w:sz w:val="24"/>
          <w:szCs w:val="24"/>
        </w:rPr>
        <w:t>Showing skills, knowledge, experience and organisational capability.</w:t>
      </w:r>
    </w:p>
    <w:p w14:paraId="2B304299" w14:textId="68A4A691"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Clear accountability is essential due to the increased risks associated with fire, height and resident exposure (SteveWalsh@ansteyhorne.co.uk, 2025).</w:t>
      </w:r>
    </w:p>
    <w:p w14:paraId="7577A6E5" w14:textId="77777777" w:rsidR="00F15315" w:rsidRPr="00B12E2B" w:rsidRDefault="00F15315" w:rsidP="00B12E2B">
      <w:pPr>
        <w:pStyle w:val="Heading1"/>
        <w:spacing w:line="360" w:lineRule="auto"/>
        <w:jc w:val="both"/>
        <w:rPr>
          <w:rFonts w:ascii="Arial" w:hAnsi="Arial" w:cs="Arial"/>
          <w:sz w:val="24"/>
          <w:szCs w:val="24"/>
        </w:rPr>
      </w:pPr>
      <w:bookmarkStart w:id="20" w:name="_Toc228542981"/>
      <w:r w:rsidRPr="00B12E2B">
        <w:rPr>
          <w:rFonts w:ascii="Arial" w:hAnsi="Arial" w:cs="Arial"/>
          <w:sz w:val="24"/>
          <w:szCs w:val="24"/>
        </w:rPr>
        <w:lastRenderedPageBreak/>
        <w:t>4.3 Construction Phase Plan</w:t>
      </w:r>
      <w:bookmarkEnd w:id="20"/>
      <w:r w:rsidRPr="00B12E2B">
        <w:rPr>
          <w:rFonts w:ascii="Arial" w:hAnsi="Arial" w:cs="Arial"/>
          <w:sz w:val="24"/>
          <w:szCs w:val="24"/>
        </w:rPr>
        <w:t xml:space="preserve"> </w:t>
      </w:r>
    </w:p>
    <w:p w14:paraId="1192150E" w14:textId="77777777" w:rsidR="00972F94"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 xml:space="preserve">Before works commence, a </w:t>
      </w:r>
      <w:r w:rsidR="00972F94" w:rsidRPr="00B12E2B">
        <w:rPr>
          <w:rFonts w:ascii="Arial" w:hAnsi="Arial" w:cs="Arial"/>
          <w:sz w:val="24"/>
          <w:szCs w:val="24"/>
        </w:rPr>
        <w:t>site-specific</w:t>
      </w:r>
      <w:r w:rsidRPr="00B12E2B">
        <w:rPr>
          <w:rFonts w:ascii="Arial" w:hAnsi="Arial" w:cs="Arial"/>
          <w:sz w:val="24"/>
          <w:szCs w:val="24"/>
        </w:rPr>
        <w:t xml:space="preserve"> Construction Phase Plan must be prepared. It is:</w:t>
      </w:r>
    </w:p>
    <w:p w14:paraId="1E14DB92" w14:textId="77777777" w:rsidR="00972F94" w:rsidRPr="00B12E2B" w:rsidRDefault="00F15315" w:rsidP="00B12E2B">
      <w:pPr>
        <w:pStyle w:val="ListParagraph"/>
        <w:numPr>
          <w:ilvl w:val="0"/>
          <w:numId w:val="66"/>
        </w:numPr>
        <w:spacing w:line="360" w:lineRule="auto"/>
        <w:jc w:val="both"/>
        <w:rPr>
          <w:rFonts w:ascii="Arial" w:hAnsi="Arial" w:cs="Arial"/>
          <w:sz w:val="24"/>
          <w:szCs w:val="24"/>
        </w:rPr>
      </w:pPr>
      <w:r w:rsidRPr="00B12E2B">
        <w:rPr>
          <w:rFonts w:ascii="Arial" w:hAnsi="Arial" w:cs="Arial"/>
          <w:sz w:val="24"/>
          <w:szCs w:val="24"/>
        </w:rPr>
        <w:t>Discuss working at height, fire safety, noise, dust and resident protection.</w:t>
      </w:r>
    </w:p>
    <w:p w14:paraId="1E390A7A" w14:textId="77777777" w:rsidR="00972F94" w:rsidRPr="00B12E2B" w:rsidRDefault="00F15315" w:rsidP="00B12E2B">
      <w:pPr>
        <w:pStyle w:val="ListParagraph"/>
        <w:numPr>
          <w:ilvl w:val="0"/>
          <w:numId w:val="66"/>
        </w:numPr>
        <w:spacing w:line="360" w:lineRule="auto"/>
        <w:jc w:val="both"/>
        <w:rPr>
          <w:rFonts w:ascii="Arial" w:hAnsi="Arial" w:cs="Arial"/>
          <w:sz w:val="24"/>
          <w:szCs w:val="24"/>
        </w:rPr>
      </w:pPr>
      <w:r w:rsidRPr="00B12E2B">
        <w:rPr>
          <w:rFonts w:ascii="Arial" w:hAnsi="Arial" w:cs="Arial"/>
          <w:sz w:val="24"/>
          <w:szCs w:val="24"/>
        </w:rPr>
        <w:t>Don’t use generic documentation.</w:t>
      </w:r>
    </w:p>
    <w:p w14:paraId="78590C23" w14:textId="462F4363" w:rsidR="00F15315" w:rsidRPr="00B12E2B" w:rsidRDefault="00F15315" w:rsidP="00B12E2B">
      <w:pPr>
        <w:pStyle w:val="ListParagraph"/>
        <w:numPr>
          <w:ilvl w:val="0"/>
          <w:numId w:val="66"/>
        </w:numPr>
        <w:spacing w:line="360" w:lineRule="auto"/>
        <w:jc w:val="both"/>
        <w:rPr>
          <w:rFonts w:ascii="Arial" w:hAnsi="Arial" w:cs="Arial"/>
          <w:sz w:val="24"/>
          <w:szCs w:val="24"/>
        </w:rPr>
      </w:pPr>
      <w:r w:rsidRPr="00B12E2B">
        <w:rPr>
          <w:rFonts w:ascii="Arial" w:hAnsi="Arial" w:cs="Arial"/>
          <w:sz w:val="24"/>
          <w:szCs w:val="24"/>
        </w:rPr>
        <w:t>Stay alive and updated as risks evolve.</w:t>
      </w:r>
    </w:p>
    <w:p w14:paraId="1D1D7AEF" w14:textId="7E59083D"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The CPP must be in line with CDM and Gateway Two obligations (Parrott, 2025).</w:t>
      </w:r>
    </w:p>
    <w:p w14:paraId="0F01DB40" w14:textId="77777777" w:rsidR="00F15315" w:rsidRPr="00B12E2B" w:rsidRDefault="00F15315" w:rsidP="00B12E2B">
      <w:pPr>
        <w:pStyle w:val="Heading1"/>
        <w:spacing w:line="360" w:lineRule="auto"/>
        <w:jc w:val="both"/>
        <w:rPr>
          <w:rFonts w:ascii="Arial" w:hAnsi="Arial" w:cs="Arial"/>
          <w:sz w:val="24"/>
          <w:szCs w:val="24"/>
        </w:rPr>
      </w:pPr>
      <w:bookmarkStart w:id="21" w:name="_Toc228542982"/>
      <w:r w:rsidRPr="00B12E2B">
        <w:rPr>
          <w:rFonts w:ascii="Arial" w:hAnsi="Arial" w:cs="Arial"/>
          <w:sz w:val="24"/>
          <w:szCs w:val="24"/>
        </w:rPr>
        <w:t>4.4 Health and Safety File</w:t>
      </w:r>
      <w:bookmarkEnd w:id="21"/>
    </w:p>
    <w:p w14:paraId="71A8FA3E" w14:textId="77777777" w:rsidR="00972F94"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The Health and Safety File is to support safe future occupation and maintenance and includes:</w:t>
      </w:r>
    </w:p>
    <w:p w14:paraId="261F9E15" w14:textId="77777777" w:rsidR="00972F94" w:rsidRPr="00B12E2B" w:rsidRDefault="00F15315" w:rsidP="00B12E2B">
      <w:pPr>
        <w:pStyle w:val="ListParagraph"/>
        <w:numPr>
          <w:ilvl w:val="0"/>
          <w:numId w:val="67"/>
        </w:numPr>
        <w:spacing w:line="360" w:lineRule="auto"/>
        <w:jc w:val="both"/>
        <w:rPr>
          <w:rFonts w:ascii="Arial" w:hAnsi="Arial" w:cs="Arial"/>
          <w:sz w:val="24"/>
          <w:szCs w:val="24"/>
        </w:rPr>
      </w:pPr>
      <w:r w:rsidRPr="00B12E2B">
        <w:rPr>
          <w:rFonts w:ascii="Arial" w:hAnsi="Arial" w:cs="Arial"/>
          <w:sz w:val="24"/>
          <w:szCs w:val="24"/>
        </w:rPr>
        <w:t>Residual risks and key design decisions.</w:t>
      </w:r>
    </w:p>
    <w:p w14:paraId="3E17C2E4" w14:textId="77777777" w:rsidR="00972F94" w:rsidRPr="00B12E2B" w:rsidRDefault="00F15315" w:rsidP="00B12E2B">
      <w:pPr>
        <w:pStyle w:val="ListParagraph"/>
        <w:numPr>
          <w:ilvl w:val="0"/>
          <w:numId w:val="67"/>
        </w:numPr>
        <w:spacing w:line="360" w:lineRule="auto"/>
        <w:jc w:val="both"/>
        <w:rPr>
          <w:rFonts w:ascii="Arial" w:hAnsi="Arial" w:cs="Arial"/>
          <w:sz w:val="24"/>
          <w:szCs w:val="24"/>
        </w:rPr>
      </w:pPr>
      <w:r w:rsidRPr="00B12E2B">
        <w:rPr>
          <w:rFonts w:ascii="Arial" w:hAnsi="Arial" w:cs="Arial"/>
          <w:sz w:val="24"/>
          <w:szCs w:val="24"/>
        </w:rPr>
        <w:t>Information about fire and structural safety.</w:t>
      </w:r>
    </w:p>
    <w:p w14:paraId="3FEBD725" w14:textId="7337C89A" w:rsidR="00F15315" w:rsidRPr="00B12E2B" w:rsidRDefault="00F15315" w:rsidP="00B12E2B">
      <w:pPr>
        <w:pStyle w:val="ListParagraph"/>
        <w:numPr>
          <w:ilvl w:val="0"/>
          <w:numId w:val="67"/>
        </w:numPr>
        <w:spacing w:line="360" w:lineRule="auto"/>
        <w:jc w:val="both"/>
        <w:rPr>
          <w:rFonts w:ascii="Arial" w:hAnsi="Arial" w:cs="Arial"/>
          <w:sz w:val="24"/>
          <w:szCs w:val="24"/>
        </w:rPr>
      </w:pPr>
      <w:r w:rsidRPr="00B12E2B">
        <w:rPr>
          <w:rFonts w:ascii="Arial" w:hAnsi="Arial" w:cs="Arial"/>
          <w:sz w:val="24"/>
          <w:szCs w:val="24"/>
        </w:rPr>
        <w:t>Golden thread data controlled by the Building Safety Regulator.</w:t>
      </w:r>
    </w:p>
    <w:p w14:paraId="27C6407D" w14:textId="726D3147"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Effective handover allows the Accountable Person to manage safety (Mark, 2026).</w:t>
      </w:r>
    </w:p>
    <w:p w14:paraId="7BA4C4E9" w14:textId="77777777" w:rsidR="00F15315" w:rsidRPr="00B12E2B" w:rsidRDefault="00F15315" w:rsidP="00B12E2B">
      <w:pPr>
        <w:pStyle w:val="Heading1"/>
        <w:spacing w:line="360" w:lineRule="auto"/>
        <w:jc w:val="both"/>
        <w:rPr>
          <w:rFonts w:ascii="Arial" w:hAnsi="Arial" w:cs="Arial"/>
          <w:sz w:val="24"/>
          <w:szCs w:val="24"/>
        </w:rPr>
      </w:pPr>
      <w:bookmarkStart w:id="22" w:name="_Toc228542983"/>
      <w:r w:rsidRPr="00B12E2B">
        <w:rPr>
          <w:rFonts w:ascii="Arial" w:hAnsi="Arial" w:cs="Arial"/>
          <w:sz w:val="24"/>
          <w:szCs w:val="24"/>
        </w:rPr>
        <w:t>4.5 Staff Engagement</w:t>
      </w:r>
      <w:bookmarkEnd w:id="22"/>
    </w:p>
    <w:p w14:paraId="3DCB7EA2" w14:textId="77777777" w:rsidR="00972F94"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Active engagement with workers promotes safety culture and compliance. CDM requirements:</w:t>
      </w:r>
    </w:p>
    <w:p w14:paraId="18135EE5" w14:textId="77777777" w:rsidR="00972F94" w:rsidRPr="00B12E2B" w:rsidRDefault="00F15315" w:rsidP="00B12E2B">
      <w:pPr>
        <w:pStyle w:val="ListParagraph"/>
        <w:numPr>
          <w:ilvl w:val="0"/>
          <w:numId w:val="68"/>
        </w:numPr>
        <w:spacing w:line="360" w:lineRule="auto"/>
        <w:jc w:val="both"/>
        <w:rPr>
          <w:rFonts w:ascii="Arial" w:hAnsi="Arial" w:cs="Arial"/>
          <w:sz w:val="24"/>
          <w:szCs w:val="24"/>
        </w:rPr>
      </w:pPr>
      <w:r w:rsidRPr="00B12E2B">
        <w:rPr>
          <w:rFonts w:ascii="Arial" w:hAnsi="Arial" w:cs="Arial"/>
          <w:sz w:val="24"/>
          <w:szCs w:val="24"/>
        </w:rPr>
        <w:t>Identify site hazards and controls.</w:t>
      </w:r>
    </w:p>
    <w:p w14:paraId="7617670C" w14:textId="77777777" w:rsidR="00972F94" w:rsidRPr="00B12E2B" w:rsidRDefault="00F15315" w:rsidP="00B12E2B">
      <w:pPr>
        <w:pStyle w:val="ListParagraph"/>
        <w:numPr>
          <w:ilvl w:val="0"/>
          <w:numId w:val="68"/>
        </w:numPr>
        <w:spacing w:line="360" w:lineRule="auto"/>
        <w:jc w:val="both"/>
        <w:rPr>
          <w:rFonts w:ascii="Arial" w:hAnsi="Arial" w:cs="Arial"/>
          <w:sz w:val="24"/>
          <w:szCs w:val="24"/>
        </w:rPr>
      </w:pPr>
      <w:r w:rsidRPr="00B12E2B">
        <w:rPr>
          <w:rFonts w:ascii="Arial" w:hAnsi="Arial" w:cs="Arial"/>
          <w:sz w:val="24"/>
          <w:szCs w:val="24"/>
        </w:rPr>
        <w:t>Toolbox talks / briefings</w:t>
      </w:r>
    </w:p>
    <w:p w14:paraId="0E7A0FF6" w14:textId="6470FBBC" w:rsidR="00F15315" w:rsidRPr="00B12E2B" w:rsidRDefault="00F15315" w:rsidP="00B12E2B">
      <w:pPr>
        <w:pStyle w:val="ListParagraph"/>
        <w:numPr>
          <w:ilvl w:val="0"/>
          <w:numId w:val="68"/>
        </w:numPr>
        <w:spacing w:line="360" w:lineRule="auto"/>
        <w:jc w:val="both"/>
        <w:rPr>
          <w:rFonts w:ascii="Arial" w:hAnsi="Arial" w:cs="Arial"/>
          <w:sz w:val="24"/>
          <w:szCs w:val="24"/>
        </w:rPr>
      </w:pPr>
      <w:r w:rsidRPr="00B12E2B">
        <w:rPr>
          <w:rFonts w:ascii="Arial" w:hAnsi="Arial" w:cs="Arial"/>
          <w:sz w:val="24"/>
          <w:szCs w:val="24"/>
        </w:rPr>
        <w:t>Efficient hazard and near-miss reporting systems (Mark, 2026).</w:t>
      </w:r>
    </w:p>
    <w:p w14:paraId="7BC319B8" w14:textId="77777777" w:rsidR="00F15315" w:rsidRPr="00B12E2B" w:rsidRDefault="00F15315" w:rsidP="00B12E2B">
      <w:pPr>
        <w:pStyle w:val="Heading1"/>
        <w:spacing w:line="360" w:lineRule="auto"/>
        <w:jc w:val="both"/>
        <w:rPr>
          <w:rFonts w:ascii="Arial" w:hAnsi="Arial" w:cs="Arial"/>
          <w:sz w:val="24"/>
          <w:szCs w:val="24"/>
        </w:rPr>
      </w:pPr>
      <w:bookmarkStart w:id="23" w:name="_Toc228542984"/>
      <w:r w:rsidRPr="00B12E2B">
        <w:rPr>
          <w:rFonts w:ascii="Arial" w:hAnsi="Arial" w:cs="Arial"/>
          <w:sz w:val="24"/>
          <w:szCs w:val="24"/>
        </w:rPr>
        <w:t>4.6 Coordination in an Occupied Building</w:t>
      </w:r>
      <w:bookmarkEnd w:id="23"/>
    </w:p>
    <w:p w14:paraId="272B5E08" w14:textId="77777777" w:rsidR="00972F94"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The presence of additional risks is associated with retrofit work in an occupied residential building. For coordination to be effective, the following is required:</w:t>
      </w:r>
    </w:p>
    <w:p w14:paraId="0BF4F3B8" w14:textId="77777777" w:rsidR="00972F94" w:rsidRPr="00B12E2B" w:rsidRDefault="00F15315"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Interaction with building management.</w:t>
      </w:r>
    </w:p>
    <w:p w14:paraId="477FE8B2" w14:textId="77777777" w:rsidR="00972F94" w:rsidRPr="00B12E2B" w:rsidRDefault="00F15315"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Fire exits and emergency access routes to be protected.</w:t>
      </w:r>
    </w:p>
    <w:p w14:paraId="09E1C459" w14:textId="4601A0BA" w:rsidR="00F15315" w:rsidRPr="00B12E2B" w:rsidRDefault="00F15315"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Clear communication with residents to minimise complaints and risk.</w:t>
      </w:r>
    </w:p>
    <w:p w14:paraId="2A1649C5" w14:textId="76B13159" w:rsidR="00F15315"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lastRenderedPageBreak/>
        <w:t>A well-coordinated planning protects residents and provides programme certainty (Mark, 2026).</w:t>
      </w:r>
    </w:p>
    <w:p w14:paraId="3418D592" w14:textId="1A376BE1" w:rsidR="00F15315" w:rsidRPr="00B12E2B" w:rsidRDefault="00F15315" w:rsidP="00B12E2B">
      <w:pPr>
        <w:pStyle w:val="Heading1"/>
        <w:spacing w:line="360" w:lineRule="auto"/>
        <w:jc w:val="both"/>
        <w:rPr>
          <w:rFonts w:ascii="Arial" w:hAnsi="Arial" w:cs="Arial"/>
          <w:sz w:val="24"/>
          <w:szCs w:val="24"/>
        </w:rPr>
      </w:pPr>
      <w:bookmarkStart w:id="24" w:name="_Toc228542985"/>
      <w:r w:rsidRPr="00B12E2B">
        <w:rPr>
          <w:rFonts w:ascii="Arial" w:hAnsi="Arial" w:cs="Arial"/>
          <w:sz w:val="24"/>
          <w:szCs w:val="24"/>
        </w:rPr>
        <w:t xml:space="preserve">5.0 </w:t>
      </w:r>
      <w:r w:rsidR="000934E1" w:rsidRPr="00B12E2B">
        <w:rPr>
          <w:rFonts w:ascii="Arial" w:hAnsi="Arial" w:cs="Arial"/>
          <w:sz w:val="24"/>
          <w:szCs w:val="24"/>
        </w:rPr>
        <w:t>Conclusion</w:t>
      </w:r>
      <w:bookmarkEnd w:id="24"/>
    </w:p>
    <w:p w14:paraId="4B179D3D" w14:textId="06F23530" w:rsidR="005421EC" w:rsidRPr="00B12E2B" w:rsidRDefault="00F15315" w:rsidP="00B12E2B">
      <w:pPr>
        <w:spacing w:line="360" w:lineRule="auto"/>
        <w:jc w:val="both"/>
        <w:rPr>
          <w:rFonts w:ascii="Arial" w:hAnsi="Arial" w:cs="Arial"/>
          <w:sz w:val="24"/>
          <w:szCs w:val="24"/>
        </w:rPr>
      </w:pPr>
      <w:r w:rsidRPr="00B12E2B">
        <w:rPr>
          <w:rFonts w:ascii="Arial" w:hAnsi="Arial" w:cs="Arial"/>
          <w:sz w:val="24"/>
          <w:szCs w:val="24"/>
        </w:rPr>
        <w:t>The Croft Street Block 2 retrofit is subject to strict adherence to building safety, health and safety and CDM regulations. A successful delivery depends on early regulator engagement, robust risk management, competent duty holder appointments, effective coordination within an occupied building and clear documentation through the golden thread to ensure safety, compliance and programme certainty. By taking these steps, UWTSD Construction can complete this project safely, and in doing so meet its statutory obligations and contribute to the improvement of building safety standards in Wales.</w:t>
      </w:r>
    </w:p>
    <w:p w14:paraId="3BC8E86C" w14:textId="43AC7BD6" w:rsidR="00835F71" w:rsidRPr="00B12E2B" w:rsidRDefault="00630E5B" w:rsidP="00B12E2B">
      <w:pPr>
        <w:pStyle w:val="Heading1"/>
        <w:spacing w:line="360" w:lineRule="auto"/>
        <w:jc w:val="both"/>
        <w:rPr>
          <w:rFonts w:ascii="Arial" w:hAnsi="Arial" w:cs="Arial"/>
          <w:sz w:val="24"/>
          <w:szCs w:val="24"/>
        </w:rPr>
      </w:pPr>
      <w:bookmarkStart w:id="25" w:name="_Toc228542986"/>
      <w:r w:rsidRPr="00B12E2B">
        <w:rPr>
          <w:rFonts w:ascii="Arial" w:hAnsi="Arial" w:cs="Arial"/>
          <w:sz w:val="24"/>
          <w:szCs w:val="24"/>
        </w:rPr>
        <w:t xml:space="preserve">6.0. </w:t>
      </w:r>
      <w:r w:rsidR="00835F71" w:rsidRPr="00B12E2B">
        <w:rPr>
          <w:rFonts w:ascii="Arial" w:hAnsi="Arial" w:cs="Arial"/>
          <w:sz w:val="24"/>
          <w:szCs w:val="24"/>
        </w:rPr>
        <w:t>References</w:t>
      </w:r>
      <w:bookmarkEnd w:id="25"/>
    </w:p>
    <w:p w14:paraId="09570C4B" w14:textId="64403F35"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Financial Conduct Authority (FCA) (2015). </w:t>
      </w:r>
      <w:r w:rsidRPr="00B12E2B">
        <w:rPr>
          <w:rFonts w:ascii="Arial" w:hAnsi="Arial" w:cs="Arial"/>
          <w:i/>
          <w:iCs/>
          <w:sz w:val="24"/>
          <w:szCs w:val="24"/>
        </w:rPr>
        <w:t>Training and competence</w:t>
      </w:r>
      <w:r w:rsidRPr="00B12E2B">
        <w:rPr>
          <w:rFonts w:ascii="Arial" w:hAnsi="Arial" w:cs="Arial"/>
          <w:sz w:val="24"/>
          <w:szCs w:val="24"/>
        </w:rPr>
        <w:t xml:space="preserve">. [online] Available at: </w:t>
      </w:r>
      <w:hyperlink r:id="rId10" w:history="1">
        <w:r w:rsidR="000934E1" w:rsidRPr="00B12E2B">
          <w:rPr>
            <w:rStyle w:val="Hyperlink"/>
            <w:rFonts w:ascii="Arial" w:hAnsi="Arial" w:cs="Arial"/>
            <w:sz w:val="24"/>
            <w:szCs w:val="24"/>
          </w:rPr>
          <w:t>https://www.fca.org.uk/firms/training-competence</w:t>
        </w:r>
      </w:hyperlink>
      <w:r w:rsidRPr="00B12E2B">
        <w:rPr>
          <w:rFonts w:ascii="Arial" w:hAnsi="Arial" w:cs="Arial"/>
          <w:sz w:val="24"/>
          <w:szCs w:val="24"/>
        </w:rPr>
        <w:t>.</w:t>
      </w:r>
      <w:r w:rsidR="000934E1" w:rsidRPr="00B12E2B">
        <w:rPr>
          <w:rFonts w:ascii="Arial" w:hAnsi="Arial" w:cs="Arial"/>
          <w:sz w:val="24"/>
          <w:szCs w:val="24"/>
        </w:rPr>
        <w:t xml:space="preserve"> </w:t>
      </w:r>
    </w:p>
    <w:p w14:paraId="6B7F55A3" w14:textId="0255FF1B"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Frost, A. and Abuzaid, S. (2025). </w:t>
      </w:r>
      <w:r w:rsidRPr="00B12E2B">
        <w:rPr>
          <w:rFonts w:ascii="Arial" w:hAnsi="Arial" w:cs="Arial"/>
          <w:i/>
          <w:iCs/>
          <w:sz w:val="24"/>
          <w:szCs w:val="24"/>
        </w:rPr>
        <w:t>Building Safety in Wales</w:t>
      </w:r>
      <w:r w:rsidRPr="00B12E2B">
        <w:rPr>
          <w:rFonts w:ascii="Arial" w:hAnsi="Arial" w:cs="Arial"/>
          <w:sz w:val="24"/>
          <w:szCs w:val="24"/>
        </w:rPr>
        <w:t xml:space="preserve">. [online] CRS. Available at: </w:t>
      </w:r>
      <w:hyperlink r:id="rId11" w:history="1">
        <w:r w:rsidR="000934E1" w:rsidRPr="00B12E2B">
          <w:rPr>
            <w:rStyle w:val="Hyperlink"/>
            <w:rFonts w:ascii="Arial" w:hAnsi="Arial" w:cs="Arial"/>
            <w:sz w:val="24"/>
            <w:szCs w:val="24"/>
          </w:rPr>
          <w:t>https://www.charlesrussellspeechlys.com/en/insights/expert-insights/construction-engineering-and-projects/2025/building-safety-in-wales/</w:t>
        </w:r>
      </w:hyperlink>
      <w:r w:rsidRPr="00B12E2B">
        <w:rPr>
          <w:rFonts w:ascii="Arial" w:hAnsi="Arial" w:cs="Arial"/>
          <w:sz w:val="24"/>
          <w:szCs w:val="24"/>
        </w:rPr>
        <w:t>.</w:t>
      </w:r>
      <w:r w:rsidR="000934E1" w:rsidRPr="00B12E2B">
        <w:rPr>
          <w:rFonts w:ascii="Arial" w:hAnsi="Arial" w:cs="Arial"/>
          <w:sz w:val="24"/>
          <w:szCs w:val="24"/>
        </w:rPr>
        <w:t xml:space="preserve"> </w:t>
      </w:r>
    </w:p>
    <w:p w14:paraId="0F05377E" w14:textId="10704DD3"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Gard, R. (2025). </w:t>
      </w:r>
      <w:r w:rsidRPr="00B12E2B">
        <w:rPr>
          <w:rFonts w:ascii="Arial" w:hAnsi="Arial" w:cs="Arial"/>
          <w:i/>
          <w:iCs/>
          <w:sz w:val="24"/>
          <w:szCs w:val="24"/>
        </w:rPr>
        <w:t>Complete Guide to Work at Height Regulations 2005</w:t>
      </w:r>
      <w:r w:rsidRPr="00B12E2B">
        <w:rPr>
          <w:rFonts w:ascii="Arial" w:hAnsi="Arial" w:cs="Arial"/>
          <w:sz w:val="24"/>
          <w:szCs w:val="24"/>
        </w:rPr>
        <w:t xml:space="preserve">. [online] FallAngel. Available at: </w:t>
      </w:r>
      <w:hyperlink r:id="rId12" w:history="1">
        <w:r w:rsidR="000934E1" w:rsidRPr="00B12E2B">
          <w:rPr>
            <w:rStyle w:val="Hyperlink"/>
            <w:rFonts w:ascii="Arial" w:hAnsi="Arial" w:cs="Arial"/>
            <w:sz w:val="24"/>
            <w:szCs w:val="24"/>
          </w:rPr>
          <w:t>https://fallangel.co.uk/complete-guide-to-work-at-height-regulations-2005/</w:t>
        </w:r>
      </w:hyperlink>
      <w:r w:rsidRPr="00B12E2B">
        <w:rPr>
          <w:rFonts w:ascii="Arial" w:hAnsi="Arial" w:cs="Arial"/>
          <w:sz w:val="24"/>
          <w:szCs w:val="24"/>
        </w:rPr>
        <w:t>.</w:t>
      </w:r>
      <w:r w:rsidR="000934E1" w:rsidRPr="00B12E2B">
        <w:rPr>
          <w:rFonts w:ascii="Arial" w:hAnsi="Arial" w:cs="Arial"/>
          <w:sz w:val="24"/>
          <w:szCs w:val="24"/>
        </w:rPr>
        <w:t xml:space="preserve"> </w:t>
      </w:r>
    </w:p>
    <w:p w14:paraId="562E9831" w14:textId="531166DD"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GOV.UK (2023). </w:t>
      </w:r>
      <w:r w:rsidRPr="00B12E2B">
        <w:rPr>
          <w:rFonts w:ascii="Arial" w:hAnsi="Arial" w:cs="Arial"/>
          <w:i/>
          <w:iCs/>
          <w:sz w:val="24"/>
          <w:szCs w:val="24"/>
        </w:rPr>
        <w:t>Understanding the golden thread – Making Buildings Safer</w:t>
      </w:r>
      <w:r w:rsidRPr="00B12E2B">
        <w:rPr>
          <w:rFonts w:ascii="Arial" w:hAnsi="Arial" w:cs="Arial"/>
          <w:sz w:val="24"/>
          <w:szCs w:val="24"/>
        </w:rPr>
        <w:t xml:space="preserve">. [online] Making Buildings Safer. Available at: </w:t>
      </w:r>
      <w:hyperlink r:id="rId13" w:history="1">
        <w:r w:rsidR="000934E1" w:rsidRPr="00B12E2B">
          <w:rPr>
            <w:rStyle w:val="Hyperlink"/>
            <w:rFonts w:ascii="Arial" w:hAnsi="Arial" w:cs="Arial"/>
            <w:sz w:val="24"/>
            <w:szCs w:val="24"/>
          </w:rPr>
          <w:t>https://buildingsafety.campaign.gov.uk/building-safety-regulator-making-buildings-safer/building-safety-regulator-news/understanding-the-golden-thread/</w:t>
        </w:r>
      </w:hyperlink>
      <w:r w:rsidRPr="00B12E2B">
        <w:rPr>
          <w:rFonts w:ascii="Arial" w:hAnsi="Arial" w:cs="Arial"/>
          <w:sz w:val="24"/>
          <w:szCs w:val="24"/>
        </w:rPr>
        <w:t>.</w:t>
      </w:r>
      <w:r w:rsidR="000934E1" w:rsidRPr="00B12E2B">
        <w:rPr>
          <w:rFonts w:ascii="Arial" w:hAnsi="Arial" w:cs="Arial"/>
          <w:sz w:val="24"/>
          <w:szCs w:val="24"/>
        </w:rPr>
        <w:t xml:space="preserve"> </w:t>
      </w:r>
    </w:p>
    <w:p w14:paraId="54916B36" w14:textId="1DB76313"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GOV.WALES (2023). </w:t>
      </w:r>
      <w:r w:rsidRPr="00B12E2B">
        <w:rPr>
          <w:rFonts w:ascii="Arial" w:hAnsi="Arial" w:cs="Arial"/>
          <w:i/>
          <w:iCs/>
          <w:sz w:val="24"/>
          <w:szCs w:val="24"/>
        </w:rPr>
        <w:t>Commencement of section 156 of the UK Building Safety Act 2022 in Wales</w:t>
      </w:r>
      <w:r w:rsidRPr="00B12E2B">
        <w:rPr>
          <w:rFonts w:ascii="Arial" w:hAnsi="Arial" w:cs="Arial"/>
          <w:sz w:val="24"/>
          <w:szCs w:val="24"/>
        </w:rPr>
        <w:t xml:space="preserve">. [online] Available at: </w:t>
      </w:r>
      <w:hyperlink r:id="rId14" w:history="1">
        <w:r w:rsidR="000934E1" w:rsidRPr="00B12E2B">
          <w:rPr>
            <w:rStyle w:val="Hyperlink"/>
            <w:rFonts w:ascii="Arial" w:hAnsi="Arial" w:cs="Arial"/>
            <w:sz w:val="24"/>
            <w:szCs w:val="24"/>
          </w:rPr>
          <w:t>https://www.gov.wales/commencement-section-156-uk-building-safety-act-2022-wales-html</w:t>
        </w:r>
      </w:hyperlink>
      <w:r w:rsidRPr="00B12E2B">
        <w:rPr>
          <w:rFonts w:ascii="Arial" w:hAnsi="Arial" w:cs="Arial"/>
          <w:sz w:val="24"/>
          <w:szCs w:val="24"/>
        </w:rPr>
        <w:t>.</w:t>
      </w:r>
      <w:r w:rsidR="000934E1" w:rsidRPr="00B12E2B">
        <w:rPr>
          <w:rFonts w:ascii="Arial" w:hAnsi="Arial" w:cs="Arial"/>
          <w:sz w:val="24"/>
          <w:szCs w:val="24"/>
        </w:rPr>
        <w:t xml:space="preserve"> </w:t>
      </w:r>
    </w:p>
    <w:p w14:paraId="69CAE788" w14:textId="2F1DC27B"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GOV.WALES (2025). </w:t>
      </w:r>
      <w:r w:rsidRPr="00B12E2B">
        <w:rPr>
          <w:rFonts w:ascii="Arial" w:hAnsi="Arial" w:cs="Arial"/>
          <w:i/>
          <w:iCs/>
          <w:sz w:val="24"/>
          <w:szCs w:val="24"/>
        </w:rPr>
        <w:t>Building Safety Programme</w:t>
      </w:r>
      <w:r w:rsidRPr="00B12E2B">
        <w:rPr>
          <w:rFonts w:ascii="Arial" w:hAnsi="Arial" w:cs="Arial"/>
          <w:sz w:val="24"/>
          <w:szCs w:val="24"/>
        </w:rPr>
        <w:t xml:space="preserve">. [online] Available at: </w:t>
      </w:r>
      <w:hyperlink r:id="rId15" w:history="1">
        <w:r w:rsidR="000934E1" w:rsidRPr="00B12E2B">
          <w:rPr>
            <w:rStyle w:val="Hyperlink"/>
            <w:rFonts w:ascii="Arial" w:hAnsi="Arial" w:cs="Arial"/>
            <w:sz w:val="24"/>
            <w:szCs w:val="24"/>
          </w:rPr>
          <w:t>https://www.gov.wales/building-safety-programme</w:t>
        </w:r>
      </w:hyperlink>
      <w:r w:rsidRPr="00B12E2B">
        <w:rPr>
          <w:rFonts w:ascii="Arial" w:hAnsi="Arial" w:cs="Arial"/>
          <w:sz w:val="24"/>
          <w:szCs w:val="24"/>
        </w:rPr>
        <w:t>.</w:t>
      </w:r>
      <w:r w:rsidR="000934E1" w:rsidRPr="00B12E2B">
        <w:rPr>
          <w:rFonts w:ascii="Arial" w:hAnsi="Arial" w:cs="Arial"/>
          <w:sz w:val="24"/>
          <w:szCs w:val="24"/>
        </w:rPr>
        <w:t xml:space="preserve"> </w:t>
      </w:r>
    </w:p>
    <w:p w14:paraId="28214258" w14:textId="48E4ABF5"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lastRenderedPageBreak/>
        <w:t xml:space="preserve">Health and Safety Executive (HSE) (2015). </w:t>
      </w:r>
      <w:r w:rsidRPr="00B12E2B">
        <w:rPr>
          <w:rFonts w:ascii="Arial" w:hAnsi="Arial" w:cs="Arial"/>
          <w:i/>
          <w:iCs/>
          <w:sz w:val="24"/>
          <w:szCs w:val="24"/>
        </w:rPr>
        <w:t>The Construction (Design and Management) Regulations 2015: Overview</w:t>
      </w:r>
      <w:r w:rsidRPr="00B12E2B">
        <w:rPr>
          <w:rFonts w:ascii="Arial" w:hAnsi="Arial" w:cs="Arial"/>
          <w:sz w:val="24"/>
          <w:szCs w:val="24"/>
        </w:rPr>
        <w:t xml:space="preserve">. [online] Available at: </w:t>
      </w:r>
      <w:hyperlink r:id="rId16" w:history="1">
        <w:r w:rsidR="000934E1" w:rsidRPr="00B12E2B">
          <w:rPr>
            <w:rStyle w:val="Hyperlink"/>
            <w:rFonts w:ascii="Arial" w:hAnsi="Arial" w:cs="Arial"/>
            <w:sz w:val="24"/>
            <w:szCs w:val="24"/>
          </w:rPr>
          <w:t>https://www.hse.gov.uk/construction/cdm/2015/overview.htm</w:t>
        </w:r>
      </w:hyperlink>
      <w:r w:rsidRPr="00B12E2B">
        <w:rPr>
          <w:rFonts w:ascii="Arial" w:hAnsi="Arial" w:cs="Arial"/>
          <w:sz w:val="24"/>
          <w:szCs w:val="24"/>
        </w:rPr>
        <w:t>.</w:t>
      </w:r>
      <w:r w:rsidR="000934E1" w:rsidRPr="00B12E2B">
        <w:rPr>
          <w:rFonts w:ascii="Arial" w:hAnsi="Arial" w:cs="Arial"/>
          <w:sz w:val="24"/>
          <w:szCs w:val="24"/>
        </w:rPr>
        <w:t xml:space="preserve"> </w:t>
      </w:r>
    </w:p>
    <w:p w14:paraId="1EFB0010" w14:textId="6658804B"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Health and Safety Executive (HSE) (2023). </w:t>
      </w:r>
      <w:r w:rsidRPr="00B12E2B">
        <w:rPr>
          <w:rFonts w:ascii="Arial" w:hAnsi="Arial" w:cs="Arial"/>
          <w:i/>
          <w:iCs/>
          <w:sz w:val="24"/>
          <w:szCs w:val="24"/>
        </w:rPr>
        <w:t>Information about health and safety at work</w:t>
      </w:r>
      <w:r w:rsidRPr="00B12E2B">
        <w:rPr>
          <w:rFonts w:ascii="Arial" w:hAnsi="Arial" w:cs="Arial"/>
          <w:sz w:val="24"/>
          <w:szCs w:val="24"/>
        </w:rPr>
        <w:t xml:space="preserve">. [online] Available at: </w:t>
      </w:r>
      <w:hyperlink r:id="rId17" w:history="1">
        <w:r w:rsidR="000934E1" w:rsidRPr="00B12E2B">
          <w:rPr>
            <w:rStyle w:val="Hyperlink"/>
            <w:rFonts w:ascii="Arial" w:hAnsi="Arial" w:cs="Arial"/>
            <w:sz w:val="24"/>
            <w:szCs w:val="24"/>
          </w:rPr>
          <w:t>https://www.hse.gov.uk/</w:t>
        </w:r>
      </w:hyperlink>
      <w:r w:rsidRPr="00B12E2B">
        <w:rPr>
          <w:rFonts w:ascii="Arial" w:hAnsi="Arial" w:cs="Arial"/>
          <w:sz w:val="24"/>
          <w:szCs w:val="24"/>
        </w:rPr>
        <w:t>.</w:t>
      </w:r>
      <w:r w:rsidR="000934E1" w:rsidRPr="00B12E2B">
        <w:rPr>
          <w:rFonts w:ascii="Arial" w:hAnsi="Arial" w:cs="Arial"/>
          <w:sz w:val="24"/>
          <w:szCs w:val="24"/>
        </w:rPr>
        <w:t xml:space="preserve"> </w:t>
      </w:r>
    </w:p>
    <w:p w14:paraId="1E3E3457" w14:textId="0AC2E60F"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Legislation.gov.uk (2022). </w:t>
      </w:r>
      <w:r w:rsidRPr="00B12E2B">
        <w:rPr>
          <w:rFonts w:ascii="Arial" w:hAnsi="Arial" w:cs="Arial"/>
          <w:i/>
          <w:iCs/>
          <w:sz w:val="24"/>
          <w:szCs w:val="24"/>
        </w:rPr>
        <w:t>Building Safety Act 2022</w:t>
      </w:r>
      <w:r w:rsidRPr="00B12E2B">
        <w:rPr>
          <w:rFonts w:ascii="Arial" w:hAnsi="Arial" w:cs="Arial"/>
          <w:sz w:val="24"/>
          <w:szCs w:val="24"/>
        </w:rPr>
        <w:t xml:space="preserve">. [online] Available at: </w:t>
      </w:r>
      <w:hyperlink r:id="rId18" w:history="1">
        <w:r w:rsidR="000934E1" w:rsidRPr="00B12E2B">
          <w:rPr>
            <w:rStyle w:val="Hyperlink"/>
            <w:rFonts w:ascii="Arial" w:hAnsi="Arial" w:cs="Arial"/>
            <w:sz w:val="24"/>
            <w:szCs w:val="24"/>
          </w:rPr>
          <w:t>https://www.legislation.gov.uk/ukpga/2022/30</w:t>
        </w:r>
      </w:hyperlink>
      <w:r w:rsidRPr="00B12E2B">
        <w:rPr>
          <w:rFonts w:ascii="Arial" w:hAnsi="Arial" w:cs="Arial"/>
          <w:sz w:val="24"/>
          <w:szCs w:val="24"/>
        </w:rPr>
        <w:t>.</w:t>
      </w:r>
      <w:r w:rsidR="000934E1" w:rsidRPr="00B12E2B">
        <w:rPr>
          <w:rFonts w:ascii="Arial" w:hAnsi="Arial" w:cs="Arial"/>
          <w:sz w:val="24"/>
          <w:szCs w:val="24"/>
        </w:rPr>
        <w:t xml:space="preserve"> </w:t>
      </w:r>
    </w:p>
    <w:p w14:paraId="536AAEDE" w14:textId="4FAB1E88"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Legislation.gov.uk (2025). </w:t>
      </w:r>
      <w:r w:rsidRPr="00B12E2B">
        <w:rPr>
          <w:rFonts w:ascii="Arial" w:hAnsi="Arial" w:cs="Arial"/>
          <w:i/>
          <w:iCs/>
          <w:sz w:val="24"/>
          <w:szCs w:val="24"/>
        </w:rPr>
        <w:t>The Building (Higher Risk Buildings Procedures) (Wales) Regulations 2025</w:t>
      </w:r>
      <w:r w:rsidRPr="00B12E2B">
        <w:rPr>
          <w:rFonts w:ascii="Arial" w:hAnsi="Arial" w:cs="Arial"/>
          <w:sz w:val="24"/>
          <w:szCs w:val="24"/>
        </w:rPr>
        <w:t xml:space="preserve">. [online] Available at: </w:t>
      </w:r>
      <w:hyperlink r:id="rId19" w:history="1">
        <w:r w:rsidR="000934E1" w:rsidRPr="00B12E2B">
          <w:rPr>
            <w:rStyle w:val="Hyperlink"/>
            <w:rFonts w:ascii="Arial" w:hAnsi="Arial" w:cs="Arial"/>
            <w:sz w:val="24"/>
            <w:szCs w:val="24"/>
          </w:rPr>
          <w:t>https://www.legislation.gov.uk/wsi/2025/1321/body/made</w:t>
        </w:r>
      </w:hyperlink>
      <w:r w:rsidRPr="00B12E2B">
        <w:rPr>
          <w:rFonts w:ascii="Arial" w:hAnsi="Arial" w:cs="Arial"/>
          <w:sz w:val="24"/>
          <w:szCs w:val="24"/>
        </w:rPr>
        <w:t>.</w:t>
      </w:r>
      <w:r w:rsidR="000934E1" w:rsidRPr="00B12E2B">
        <w:rPr>
          <w:rFonts w:ascii="Arial" w:hAnsi="Arial" w:cs="Arial"/>
          <w:sz w:val="24"/>
          <w:szCs w:val="24"/>
        </w:rPr>
        <w:t xml:space="preserve"> </w:t>
      </w:r>
    </w:p>
    <w:p w14:paraId="3EC35C81" w14:textId="66158570"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Mark (2026). </w:t>
      </w:r>
      <w:r w:rsidRPr="00B12E2B">
        <w:rPr>
          <w:rFonts w:ascii="Arial" w:hAnsi="Arial" w:cs="Arial"/>
          <w:i/>
          <w:iCs/>
          <w:sz w:val="24"/>
          <w:szCs w:val="24"/>
        </w:rPr>
        <w:t>CDM 2015 Compliance in the Post Building Safety Act Era</w:t>
      </w:r>
      <w:r w:rsidRPr="00B12E2B">
        <w:rPr>
          <w:rFonts w:ascii="Arial" w:hAnsi="Arial" w:cs="Arial"/>
          <w:sz w:val="24"/>
          <w:szCs w:val="24"/>
        </w:rPr>
        <w:t xml:space="preserve">. [online] The Building Safety Group. Available at: </w:t>
      </w:r>
      <w:hyperlink r:id="rId20" w:history="1">
        <w:r w:rsidR="000934E1" w:rsidRPr="00B12E2B">
          <w:rPr>
            <w:rStyle w:val="Hyperlink"/>
            <w:rFonts w:ascii="Arial" w:hAnsi="Arial" w:cs="Arial"/>
            <w:sz w:val="24"/>
            <w:szCs w:val="24"/>
          </w:rPr>
          <w:t>https://www.bsgltd.co.uk/news/cdm-2015-compliance-in-the-post-building-safety-act-era/</w:t>
        </w:r>
      </w:hyperlink>
      <w:r w:rsidR="000934E1" w:rsidRPr="00B12E2B">
        <w:rPr>
          <w:rFonts w:ascii="Arial" w:hAnsi="Arial" w:cs="Arial"/>
          <w:sz w:val="24"/>
          <w:szCs w:val="24"/>
        </w:rPr>
        <w:t xml:space="preserve"> </w:t>
      </w:r>
      <w:r w:rsidRPr="00B12E2B">
        <w:rPr>
          <w:rFonts w:ascii="Arial" w:hAnsi="Arial" w:cs="Arial"/>
          <w:sz w:val="24"/>
          <w:szCs w:val="24"/>
        </w:rPr>
        <w:t xml:space="preserve"> [Accessed 1 May 2026].</w:t>
      </w:r>
    </w:p>
    <w:p w14:paraId="67C0A33E" w14:textId="3F990F43"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Parrott, K. (2025). </w:t>
      </w:r>
      <w:r w:rsidRPr="00B12E2B">
        <w:rPr>
          <w:rFonts w:ascii="Arial" w:hAnsi="Arial" w:cs="Arial"/>
          <w:i/>
          <w:iCs/>
          <w:sz w:val="24"/>
          <w:szCs w:val="24"/>
        </w:rPr>
        <w:t>What is a Construction Phase Plan (CPP) and Why is it Important?</w:t>
      </w:r>
      <w:r w:rsidRPr="00B12E2B">
        <w:rPr>
          <w:rFonts w:ascii="Arial" w:hAnsi="Arial" w:cs="Arial"/>
          <w:sz w:val="24"/>
          <w:szCs w:val="24"/>
        </w:rPr>
        <w:t xml:space="preserve"> [online] CDM 2015 REGS. Available at: https://www.cdm2015regs.co.uk/construction-phase-plan-cdm-2015-guide/.</w:t>
      </w:r>
    </w:p>
    <w:p w14:paraId="64436E51" w14:textId="412302B5"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Planning Portal (n.d.). </w:t>
      </w:r>
      <w:r w:rsidRPr="00B12E2B">
        <w:rPr>
          <w:rFonts w:ascii="Arial" w:hAnsi="Arial" w:cs="Arial"/>
          <w:i/>
          <w:iCs/>
          <w:sz w:val="24"/>
          <w:szCs w:val="24"/>
        </w:rPr>
        <w:t>Purpose of Planning Gateway One</w:t>
      </w:r>
      <w:r w:rsidRPr="00B12E2B">
        <w:rPr>
          <w:rFonts w:ascii="Arial" w:hAnsi="Arial" w:cs="Arial"/>
          <w:sz w:val="24"/>
          <w:szCs w:val="24"/>
        </w:rPr>
        <w:t xml:space="preserve">. [online] Available at: </w:t>
      </w:r>
      <w:hyperlink r:id="rId21" w:history="1">
        <w:r w:rsidR="000934E1" w:rsidRPr="00B12E2B">
          <w:rPr>
            <w:rStyle w:val="Hyperlink"/>
            <w:rFonts w:ascii="Arial" w:hAnsi="Arial" w:cs="Arial"/>
            <w:sz w:val="24"/>
            <w:szCs w:val="24"/>
          </w:rPr>
          <w:t>https://www.planningportal.co.uk/planning/planning-and-fire-safety/planning-gateway-one-summary/purpose-of-planning-gateway-one</w:t>
        </w:r>
      </w:hyperlink>
      <w:r w:rsidRPr="00B12E2B">
        <w:rPr>
          <w:rFonts w:ascii="Arial" w:hAnsi="Arial" w:cs="Arial"/>
          <w:sz w:val="24"/>
          <w:szCs w:val="24"/>
        </w:rPr>
        <w:t>.</w:t>
      </w:r>
      <w:r w:rsidR="000934E1" w:rsidRPr="00B12E2B">
        <w:rPr>
          <w:rFonts w:ascii="Arial" w:hAnsi="Arial" w:cs="Arial"/>
          <w:sz w:val="24"/>
          <w:szCs w:val="24"/>
        </w:rPr>
        <w:t xml:space="preserve"> </w:t>
      </w:r>
    </w:p>
    <w:p w14:paraId="09EC0FBE" w14:textId="2B0B1E92"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Ryder, A. (2025). </w:t>
      </w:r>
      <w:r w:rsidRPr="00B12E2B">
        <w:rPr>
          <w:rFonts w:ascii="Arial" w:hAnsi="Arial" w:cs="Arial"/>
          <w:i/>
          <w:iCs/>
          <w:sz w:val="24"/>
          <w:szCs w:val="24"/>
        </w:rPr>
        <w:t>Health and Safety at Work Act 1974 Explained</w:t>
      </w:r>
      <w:r w:rsidRPr="00B12E2B">
        <w:rPr>
          <w:rFonts w:ascii="Arial" w:hAnsi="Arial" w:cs="Arial"/>
          <w:sz w:val="24"/>
          <w:szCs w:val="24"/>
        </w:rPr>
        <w:t xml:space="preserve">. [online] Constructionline. Available at: </w:t>
      </w:r>
      <w:hyperlink r:id="rId22" w:history="1">
        <w:r w:rsidR="000934E1" w:rsidRPr="00B12E2B">
          <w:rPr>
            <w:rStyle w:val="Hyperlink"/>
            <w:rFonts w:ascii="Arial" w:hAnsi="Arial" w:cs="Arial"/>
            <w:sz w:val="24"/>
            <w:szCs w:val="24"/>
          </w:rPr>
          <w:t>https://www.constructionline.co.uk/insights/blog/health-and-safety-at-work-act-1974-regulations-explained/</w:t>
        </w:r>
      </w:hyperlink>
      <w:r w:rsidRPr="00B12E2B">
        <w:rPr>
          <w:rFonts w:ascii="Arial" w:hAnsi="Arial" w:cs="Arial"/>
          <w:sz w:val="24"/>
          <w:szCs w:val="24"/>
        </w:rPr>
        <w:t>.</w:t>
      </w:r>
      <w:r w:rsidR="000934E1" w:rsidRPr="00B12E2B">
        <w:rPr>
          <w:rFonts w:ascii="Arial" w:hAnsi="Arial" w:cs="Arial"/>
          <w:sz w:val="24"/>
          <w:szCs w:val="24"/>
        </w:rPr>
        <w:t xml:space="preserve"> </w:t>
      </w:r>
    </w:p>
    <w:p w14:paraId="4024983B" w14:textId="5FFB426D"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Steve Walsh (Anstey Horne) (2025). </w:t>
      </w:r>
      <w:r w:rsidRPr="00B12E2B">
        <w:rPr>
          <w:rFonts w:ascii="Arial" w:hAnsi="Arial" w:cs="Arial"/>
          <w:i/>
          <w:iCs/>
          <w:sz w:val="24"/>
          <w:szCs w:val="24"/>
        </w:rPr>
        <w:t>Building regulations dutyholders explained: Who Does What?</w:t>
      </w:r>
      <w:r w:rsidRPr="00B12E2B">
        <w:rPr>
          <w:rFonts w:ascii="Arial" w:hAnsi="Arial" w:cs="Arial"/>
          <w:sz w:val="24"/>
          <w:szCs w:val="24"/>
        </w:rPr>
        <w:t xml:space="preserve"> [online] Available at: </w:t>
      </w:r>
      <w:hyperlink r:id="rId23" w:history="1">
        <w:r w:rsidR="000934E1" w:rsidRPr="00B12E2B">
          <w:rPr>
            <w:rStyle w:val="Hyperlink"/>
            <w:rFonts w:ascii="Arial" w:hAnsi="Arial" w:cs="Arial"/>
            <w:sz w:val="24"/>
            <w:szCs w:val="24"/>
          </w:rPr>
          <w:t>https://www.ansteyhorne.co.uk/news/building-regulations-dutyholders-explained</w:t>
        </w:r>
      </w:hyperlink>
      <w:r w:rsidR="000934E1" w:rsidRPr="00B12E2B">
        <w:rPr>
          <w:rFonts w:ascii="Arial" w:hAnsi="Arial" w:cs="Arial"/>
          <w:sz w:val="24"/>
          <w:szCs w:val="24"/>
        </w:rPr>
        <w:t xml:space="preserve"> </w:t>
      </w:r>
      <w:r w:rsidRPr="00B12E2B">
        <w:rPr>
          <w:rFonts w:ascii="Arial" w:hAnsi="Arial" w:cs="Arial"/>
          <w:sz w:val="24"/>
          <w:szCs w:val="24"/>
        </w:rPr>
        <w:t xml:space="preserve"> [Accessed 1 May 2026].</w:t>
      </w:r>
    </w:p>
    <w:p w14:paraId="56F0EFB7" w14:textId="67D5EB86"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Sutton, K. (2025). </w:t>
      </w:r>
      <w:r w:rsidRPr="00B12E2B">
        <w:rPr>
          <w:rFonts w:ascii="Arial" w:hAnsi="Arial" w:cs="Arial"/>
          <w:i/>
          <w:iCs/>
          <w:sz w:val="24"/>
          <w:szCs w:val="24"/>
        </w:rPr>
        <w:t>Gateway 2 Explained: What Architects and Contractors Need to Know</w:t>
      </w:r>
      <w:r w:rsidRPr="00B12E2B">
        <w:rPr>
          <w:rFonts w:ascii="Arial" w:hAnsi="Arial" w:cs="Arial"/>
          <w:sz w:val="24"/>
          <w:szCs w:val="24"/>
        </w:rPr>
        <w:t xml:space="preserve">. [online] BENX. Available at: </w:t>
      </w:r>
      <w:hyperlink r:id="rId24" w:history="1">
        <w:r w:rsidR="000934E1" w:rsidRPr="00B12E2B">
          <w:rPr>
            <w:rStyle w:val="Hyperlink"/>
            <w:rFonts w:ascii="Arial" w:hAnsi="Arial" w:cs="Arial"/>
            <w:sz w:val="24"/>
            <w:szCs w:val="24"/>
          </w:rPr>
          <w:t>https://benx.co.uk/gateway-2-explained-what-architects-and-contractors-need-to-know/</w:t>
        </w:r>
      </w:hyperlink>
      <w:r w:rsidRPr="00B12E2B">
        <w:rPr>
          <w:rFonts w:ascii="Arial" w:hAnsi="Arial" w:cs="Arial"/>
          <w:sz w:val="24"/>
          <w:szCs w:val="24"/>
        </w:rPr>
        <w:t>.</w:t>
      </w:r>
      <w:r w:rsidR="000934E1" w:rsidRPr="00B12E2B">
        <w:rPr>
          <w:rFonts w:ascii="Arial" w:hAnsi="Arial" w:cs="Arial"/>
          <w:sz w:val="24"/>
          <w:szCs w:val="24"/>
        </w:rPr>
        <w:t xml:space="preserve"> </w:t>
      </w:r>
    </w:p>
    <w:p w14:paraId="742928FA" w14:textId="5B879804"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lastRenderedPageBreak/>
        <w:t xml:space="preserve">Sutton, K. (2025). </w:t>
      </w:r>
      <w:r w:rsidRPr="00B12E2B">
        <w:rPr>
          <w:rFonts w:ascii="Arial" w:hAnsi="Arial" w:cs="Arial"/>
          <w:i/>
          <w:iCs/>
          <w:sz w:val="24"/>
          <w:szCs w:val="24"/>
        </w:rPr>
        <w:t>Understanding Gateway 3: What It Means for Your Building Project</w:t>
      </w:r>
      <w:r w:rsidRPr="00B12E2B">
        <w:rPr>
          <w:rFonts w:ascii="Arial" w:hAnsi="Arial" w:cs="Arial"/>
          <w:sz w:val="24"/>
          <w:szCs w:val="24"/>
        </w:rPr>
        <w:t xml:space="preserve">. [online] BENX. Available at: </w:t>
      </w:r>
      <w:hyperlink r:id="rId25" w:history="1">
        <w:r w:rsidR="000934E1" w:rsidRPr="00B12E2B">
          <w:rPr>
            <w:rStyle w:val="Hyperlink"/>
            <w:rFonts w:ascii="Arial" w:hAnsi="Arial" w:cs="Arial"/>
            <w:sz w:val="24"/>
            <w:szCs w:val="24"/>
          </w:rPr>
          <w:t>https://benx.co.uk/understanding-gateway-3-what-it-means-for-your-building-project/</w:t>
        </w:r>
      </w:hyperlink>
      <w:r w:rsidRPr="00B12E2B">
        <w:rPr>
          <w:rFonts w:ascii="Arial" w:hAnsi="Arial" w:cs="Arial"/>
          <w:sz w:val="24"/>
          <w:szCs w:val="24"/>
        </w:rPr>
        <w:t>.</w:t>
      </w:r>
      <w:r w:rsidR="000934E1" w:rsidRPr="00B12E2B">
        <w:rPr>
          <w:rFonts w:ascii="Arial" w:hAnsi="Arial" w:cs="Arial"/>
          <w:sz w:val="24"/>
          <w:szCs w:val="24"/>
        </w:rPr>
        <w:t xml:space="preserve"> </w:t>
      </w:r>
    </w:p>
    <w:p w14:paraId="6A15F56E" w14:textId="1A6146E9"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Team, swiftRAMS (2026). </w:t>
      </w:r>
      <w:r w:rsidRPr="00B12E2B">
        <w:rPr>
          <w:rFonts w:ascii="Arial" w:hAnsi="Arial" w:cs="Arial"/>
          <w:i/>
          <w:iCs/>
          <w:sz w:val="24"/>
          <w:szCs w:val="24"/>
        </w:rPr>
        <w:t>COSHH Regulations UK: The Complete Guide to Compliance</w:t>
      </w:r>
      <w:r w:rsidRPr="00B12E2B">
        <w:rPr>
          <w:rFonts w:ascii="Arial" w:hAnsi="Arial" w:cs="Arial"/>
          <w:sz w:val="24"/>
          <w:szCs w:val="24"/>
        </w:rPr>
        <w:t xml:space="preserve">. [online] Available at: </w:t>
      </w:r>
      <w:hyperlink r:id="rId26" w:history="1">
        <w:r w:rsidR="000934E1" w:rsidRPr="00B12E2B">
          <w:rPr>
            <w:rStyle w:val="Hyperlink"/>
            <w:rFonts w:ascii="Arial" w:hAnsi="Arial" w:cs="Arial"/>
            <w:sz w:val="24"/>
            <w:szCs w:val="24"/>
          </w:rPr>
          <w:t>https://swiftrms.co.uk/blog/coshh-regulations-uk-complete-guide</w:t>
        </w:r>
      </w:hyperlink>
      <w:r w:rsidRPr="00B12E2B">
        <w:rPr>
          <w:rFonts w:ascii="Arial" w:hAnsi="Arial" w:cs="Arial"/>
          <w:sz w:val="24"/>
          <w:szCs w:val="24"/>
        </w:rPr>
        <w:t>.</w:t>
      </w:r>
      <w:r w:rsidR="000934E1" w:rsidRPr="00B12E2B">
        <w:rPr>
          <w:rFonts w:ascii="Arial" w:hAnsi="Arial" w:cs="Arial"/>
          <w:sz w:val="24"/>
          <w:szCs w:val="24"/>
        </w:rPr>
        <w:t xml:space="preserve"> </w:t>
      </w:r>
    </w:p>
    <w:p w14:paraId="67756B7A" w14:textId="1D2D4770" w:rsidR="005421EC" w:rsidRPr="00B12E2B" w:rsidRDefault="005421EC" w:rsidP="00B12E2B">
      <w:pPr>
        <w:pStyle w:val="ListParagraph"/>
        <w:numPr>
          <w:ilvl w:val="0"/>
          <w:numId w:val="69"/>
        </w:numPr>
        <w:spacing w:line="360" w:lineRule="auto"/>
        <w:jc w:val="both"/>
        <w:rPr>
          <w:rFonts w:ascii="Arial" w:hAnsi="Arial" w:cs="Arial"/>
          <w:sz w:val="24"/>
          <w:szCs w:val="24"/>
        </w:rPr>
      </w:pPr>
      <w:r w:rsidRPr="00B12E2B">
        <w:rPr>
          <w:rFonts w:ascii="Arial" w:hAnsi="Arial" w:cs="Arial"/>
          <w:sz w:val="24"/>
          <w:szCs w:val="24"/>
        </w:rPr>
        <w:t xml:space="preserve">Work Accident Advice Centre (n.d.). </w:t>
      </w:r>
      <w:r w:rsidRPr="00B12E2B">
        <w:rPr>
          <w:rFonts w:ascii="Arial" w:hAnsi="Arial" w:cs="Arial"/>
          <w:i/>
          <w:iCs/>
          <w:sz w:val="24"/>
          <w:szCs w:val="24"/>
        </w:rPr>
        <w:t>The Management of Health &amp; Safety at Work Regulations 1999</w:t>
      </w:r>
      <w:r w:rsidRPr="00B12E2B">
        <w:rPr>
          <w:rFonts w:ascii="Arial" w:hAnsi="Arial" w:cs="Arial"/>
          <w:sz w:val="24"/>
          <w:szCs w:val="24"/>
        </w:rPr>
        <w:t xml:space="preserve">. [online] Available at: </w:t>
      </w:r>
      <w:hyperlink r:id="rId27" w:history="1">
        <w:r w:rsidR="000934E1" w:rsidRPr="00B12E2B">
          <w:rPr>
            <w:rStyle w:val="Hyperlink"/>
            <w:rFonts w:ascii="Arial" w:hAnsi="Arial" w:cs="Arial"/>
            <w:sz w:val="24"/>
            <w:szCs w:val="24"/>
          </w:rPr>
          <w:t>https://www.workaccidentadvicecentre.com/the-management-of-health-safety-at-work-regulations-1999</w:t>
        </w:r>
      </w:hyperlink>
      <w:r w:rsidRPr="00B12E2B">
        <w:rPr>
          <w:rFonts w:ascii="Arial" w:hAnsi="Arial" w:cs="Arial"/>
          <w:sz w:val="24"/>
          <w:szCs w:val="24"/>
        </w:rPr>
        <w:t>.</w:t>
      </w:r>
      <w:r w:rsidR="000934E1" w:rsidRPr="00B12E2B">
        <w:rPr>
          <w:rFonts w:ascii="Arial" w:hAnsi="Arial" w:cs="Arial"/>
          <w:sz w:val="24"/>
          <w:szCs w:val="24"/>
        </w:rPr>
        <w:t xml:space="preserve"> </w:t>
      </w:r>
    </w:p>
    <w:p w14:paraId="62C1E470" w14:textId="09FD3530" w:rsidR="003D6D04" w:rsidRPr="00B12E2B" w:rsidRDefault="008C5BF7" w:rsidP="00B12E2B">
      <w:pPr>
        <w:spacing w:line="360" w:lineRule="auto"/>
        <w:jc w:val="both"/>
        <w:rPr>
          <w:rFonts w:ascii="Arial" w:hAnsi="Arial" w:cs="Arial"/>
          <w:sz w:val="24"/>
          <w:szCs w:val="24"/>
        </w:rPr>
      </w:pPr>
      <w:r w:rsidRPr="00B12E2B">
        <w:rPr>
          <w:rFonts w:ascii="Arial" w:hAnsi="Arial" w:cs="Arial"/>
          <w:sz w:val="24"/>
          <w:szCs w:val="24"/>
        </w:rPr>
        <w:t>‌</w:t>
      </w:r>
    </w:p>
    <w:p w14:paraId="21A1F4A0" w14:textId="43657733" w:rsidR="000E35D5" w:rsidRPr="00B12E2B" w:rsidRDefault="000E35D5" w:rsidP="00B12E2B">
      <w:pPr>
        <w:spacing w:line="360" w:lineRule="auto"/>
        <w:jc w:val="both"/>
        <w:rPr>
          <w:rFonts w:ascii="Arial" w:hAnsi="Arial" w:cs="Arial"/>
          <w:sz w:val="24"/>
          <w:szCs w:val="24"/>
        </w:rPr>
      </w:pPr>
    </w:p>
    <w:p w14:paraId="366CC209" w14:textId="27B32FEA" w:rsidR="009E2279" w:rsidRPr="00B12E2B" w:rsidRDefault="009E2279" w:rsidP="00B12E2B">
      <w:pPr>
        <w:spacing w:line="360" w:lineRule="auto"/>
        <w:jc w:val="both"/>
        <w:rPr>
          <w:rFonts w:ascii="Arial" w:hAnsi="Arial" w:cs="Arial"/>
          <w:sz w:val="24"/>
          <w:szCs w:val="24"/>
        </w:rPr>
      </w:pPr>
    </w:p>
    <w:p w14:paraId="150956FF" w14:textId="055CB08F" w:rsidR="00C515F4" w:rsidRPr="00B12E2B" w:rsidRDefault="00C515F4" w:rsidP="00B12E2B">
      <w:pPr>
        <w:spacing w:line="360" w:lineRule="auto"/>
        <w:jc w:val="both"/>
        <w:rPr>
          <w:rFonts w:ascii="Arial" w:hAnsi="Arial" w:cs="Arial"/>
          <w:sz w:val="24"/>
          <w:szCs w:val="24"/>
        </w:rPr>
      </w:pPr>
    </w:p>
    <w:p w14:paraId="0693E773" w14:textId="225B3766" w:rsidR="007D4503" w:rsidRPr="00B12E2B" w:rsidRDefault="007D4503" w:rsidP="00B12E2B">
      <w:pPr>
        <w:spacing w:line="360" w:lineRule="auto"/>
        <w:jc w:val="both"/>
        <w:rPr>
          <w:rFonts w:ascii="Arial" w:hAnsi="Arial" w:cs="Arial"/>
          <w:sz w:val="24"/>
          <w:szCs w:val="24"/>
        </w:rPr>
      </w:pPr>
    </w:p>
    <w:p w14:paraId="3507F47A" w14:textId="7322D1B5" w:rsidR="007D4503" w:rsidRPr="00B12E2B" w:rsidRDefault="007D4503" w:rsidP="00B12E2B">
      <w:pPr>
        <w:spacing w:line="360" w:lineRule="auto"/>
        <w:jc w:val="both"/>
        <w:rPr>
          <w:rFonts w:ascii="Arial" w:hAnsi="Arial" w:cs="Arial"/>
          <w:sz w:val="24"/>
          <w:szCs w:val="24"/>
        </w:rPr>
      </w:pPr>
    </w:p>
    <w:p w14:paraId="62E8608B" w14:textId="322403ED" w:rsidR="00C37D88" w:rsidRPr="00B12E2B" w:rsidRDefault="00C37D88" w:rsidP="00B12E2B">
      <w:pPr>
        <w:spacing w:line="360" w:lineRule="auto"/>
        <w:jc w:val="both"/>
        <w:rPr>
          <w:rFonts w:ascii="Arial" w:hAnsi="Arial" w:cs="Arial"/>
          <w:sz w:val="24"/>
          <w:szCs w:val="24"/>
        </w:rPr>
      </w:pPr>
    </w:p>
    <w:p w14:paraId="00D3AAC5" w14:textId="07CC990E" w:rsidR="005450D2" w:rsidRPr="00B12E2B" w:rsidRDefault="005450D2" w:rsidP="00B12E2B">
      <w:pPr>
        <w:spacing w:line="360" w:lineRule="auto"/>
        <w:jc w:val="both"/>
        <w:rPr>
          <w:rFonts w:ascii="Arial" w:hAnsi="Arial" w:cs="Arial"/>
          <w:sz w:val="24"/>
          <w:szCs w:val="24"/>
        </w:rPr>
      </w:pPr>
    </w:p>
    <w:p w14:paraId="35C3A81D" w14:textId="37A8F149" w:rsidR="00343BFD" w:rsidRPr="00B12E2B" w:rsidRDefault="00343BFD" w:rsidP="00B12E2B">
      <w:pPr>
        <w:spacing w:line="360" w:lineRule="auto"/>
        <w:jc w:val="both"/>
        <w:rPr>
          <w:rFonts w:ascii="Arial" w:hAnsi="Arial" w:cs="Arial"/>
          <w:sz w:val="24"/>
          <w:szCs w:val="24"/>
        </w:rPr>
      </w:pPr>
    </w:p>
    <w:sectPr w:rsidR="00343BFD" w:rsidRPr="00B12E2B" w:rsidSect="004D2EA7">
      <w:footerReference w:type="default" r:id="rId2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5B9BB" w14:textId="77777777" w:rsidR="00270811" w:rsidRDefault="00270811" w:rsidP="00BD13F7">
      <w:pPr>
        <w:spacing w:after="0" w:line="240" w:lineRule="auto"/>
      </w:pPr>
      <w:r>
        <w:separator/>
      </w:r>
    </w:p>
  </w:endnote>
  <w:endnote w:type="continuationSeparator" w:id="0">
    <w:p w14:paraId="707CF360" w14:textId="77777777" w:rsidR="00270811" w:rsidRDefault="00270811" w:rsidP="00BD1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32134" w14:textId="77777777" w:rsidR="004D2EA7" w:rsidRDefault="004D2EA7">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52FD736C" w14:textId="77777777" w:rsidR="004D2EA7" w:rsidRDefault="004D2E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06DD0" w14:textId="77777777" w:rsidR="00270811" w:rsidRDefault="00270811" w:rsidP="00BD13F7">
      <w:pPr>
        <w:spacing w:after="0" w:line="240" w:lineRule="auto"/>
      </w:pPr>
      <w:r>
        <w:separator/>
      </w:r>
    </w:p>
  </w:footnote>
  <w:footnote w:type="continuationSeparator" w:id="0">
    <w:p w14:paraId="03F386E8" w14:textId="77777777" w:rsidR="00270811" w:rsidRDefault="00270811" w:rsidP="00BD13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0446B"/>
    <w:multiLevelType w:val="multilevel"/>
    <w:tmpl w:val="E91A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0025F"/>
    <w:multiLevelType w:val="multilevel"/>
    <w:tmpl w:val="5D587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F94444"/>
    <w:multiLevelType w:val="hybridMultilevel"/>
    <w:tmpl w:val="7262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6A1857"/>
    <w:multiLevelType w:val="hybridMultilevel"/>
    <w:tmpl w:val="D8D86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6132E2"/>
    <w:multiLevelType w:val="hybridMultilevel"/>
    <w:tmpl w:val="A3E2B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2B6323"/>
    <w:multiLevelType w:val="hybridMultilevel"/>
    <w:tmpl w:val="E402D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CE6F58"/>
    <w:multiLevelType w:val="multilevel"/>
    <w:tmpl w:val="30604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bullet"/>
      <w:lvlText w:val="-"/>
      <w:lvlJc w:val="left"/>
      <w:pPr>
        <w:ind w:left="2160" w:hanging="360"/>
      </w:pPr>
      <w:rPr>
        <w:rFonts w:ascii="Arial" w:eastAsiaTheme="minorHAnsi"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3E1490"/>
    <w:multiLevelType w:val="hybridMultilevel"/>
    <w:tmpl w:val="3EFE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8B01D3"/>
    <w:multiLevelType w:val="multilevel"/>
    <w:tmpl w:val="5948B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39594E"/>
    <w:multiLevelType w:val="multilevel"/>
    <w:tmpl w:val="30604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bullet"/>
      <w:lvlText w:val="-"/>
      <w:lvlJc w:val="left"/>
      <w:pPr>
        <w:ind w:left="2160" w:hanging="360"/>
      </w:pPr>
      <w:rPr>
        <w:rFonts w:ascii="Arial" w:eastAsiaTheme="minorHAnsi"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DC5034"/>
    <w:multiLevelType w:val="hybridMultilevel"/>
    <w:tmpl w:val="3EBAE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CC35D4"/>
    <w:multiLevelType w:val="hybridMultilevel"/>
    <w:tmpl w:val="84D09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4F75FA"/>
    <w:multiLevelType w:val="multilevel"/>
    <w:tmpl w:val="30604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bullet"/>
      <w:lvlText w:val="-"/>
      <w:lvlJc w:val="left"/>
      <w:pPr>
        <w:ind w:left="2160" w:hanging="360"/>
      </w:pPr>
      <w:rPr>
        <w:rFonts w:ascii="Arial" w:eastAsiaTheme="minorHAnsi"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F74C9F"/>
    <w:multiLevelType w:val="multilevel"/>
    <w:tmpl w:val="30604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bullet"/>
      <w:lvlText w:val="-"/>
      <w:lvlJc w:val="left"/>
      <w:pPr>
        <w:ind w:left="2160" w:hanging="360"/>
      </w:pPr>
      <w:rPr>
        <w:rFonts w:ascii="Arial" w:eastAsiaTheme="minorHAnsi"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3205AB"/>
    <w:multiLevelType w:val="multilevel"/>
    <w:tmpl w:val="5D8E9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7E73780"/>
    <w:multiLevelType w:val="hybridMultilevel"/>
    <w:tmpl w:val="EE76B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08410C"/>
    <w:multiLevelType w:val="hybridMultilevel"/>
    <w:tmpl w:val="70504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7239BD"/>
    <w:multiLevelType w:val="hybridMultilevel"/>
    <w:tmpl w:val="84705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C920EF"/>
    <w:multiLevelType w:val="multilevel"/>
    <w:tmpl w:val="3E8CF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1380BCB"/>
    <w:multiLevelType w:val="multilevel"/>
    <w:tmpl w:val="30604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bullet"/>
      <w:lvlText w:val="-"/>
      <w:lvlJc w:val="left"/>
      <w:pPr>
        <w:ind w:left="2160" w:hanging="360"/>
      </w:pPr>
      <w:rPr>
        <w:rFonts w:ascii="Arial" w:eastAsiaTheme="minorHAnsi"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D3574D"/>
    <w:multiLevelType w:val="hybridMultilevel"/>
    <w:tmpl w:val="EE20F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753121"/>
    <w:multiLevelType w:val="hybridMultilevel"/>
    <w:tmpl w:val="F67222D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2" w15:restartNumberingAfterBreak="0">
    <w:nsid w:val="2B7F6F66"/>
    <w:multiLevelType w:val="multilevel"/>
    <w:tmpl w:val="CABA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943CBB"/>
    <w:multiLevelType w:val="multilevel"/>
    <w:tmpl w:val="3D46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DD21FC0"/>
    <w:multiLevelType w:val="hybridMultilevel"/>
    <w:tmpl w:val="26CCE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C21031"/>
    <w:multiLevelType w:val="multilevel"/>
    <w:tmpl w:val="9DD0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3494118"/>
    <w:multiLevelType w:val="hybridMultilevel"/>
    <w:tmpl w:val="D5EEC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253963"/>
    <w:multiLevelType w:val="hybridMultilevel"/>
    <w:tmpl w:val="0E44A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BA685C"/>
    <w:multiLevelType w:val="multilevel"/>
    <w:tmpl w:val="30604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bullet"/>
      <w:lvlText w:val="-"/>
      <w:lvlJc w:val="left"/>
      <w:pPr>
        <w:ind w:left="2160" w:hanging="360"/>
      </w:pPr>
      <w:rPr>
        <w:rFonts w:ascii="Arial" w:eastAsiaTheme="minorHAnsi"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DA3CC6"/>
    <w:multiLevelType w:val="multilevel"/>
    <w:tmpl w:val="30604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bullet"/>
      <w:lvlText w:val="-"/>
      <w:lvlJc w:val="left"/>
      <w:pPr>
        <w:ind w:left="2160" w:hanging="360"/>
      </w:pPr>
      <w:rPr>
        <w:rFonts w:ascii="Arial" w:eastAsiaTheme="minorHAnsi"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F20D3B"/>
    <w:multiLevelType w:val="hybridMultilevel"/>
    <w:tmpl w:val="6052A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C1629C"/>
    <w:multiLevelType w:val="hybridMultilevel"/>
    <w:tmpl w:val="ABE28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6E4E8A"/>
    <w:multiLevelType w:val="multilevel"/>
    <w:tmpl w:val="945C3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7F6227"/>
    <w:multiLevelType w:val="multilevel"/>
    <w:tmpl w:val="96F8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0C0EFE"/>
    <w:multiLevelType w:val="hybridMultilevel"/>
    <w:tmpl w:val="D2D0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62F342F"/>
    <w:multiLevelType w:val="multilevel"/>
    <w:tmpl w:val="4F40D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771061F"/>
    <w:multiLevelType w:val="hybridMultilevel"/>
    <w:tmpl w:val="1688E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836025D"/>
    <w:multiLevelType w:val="hybridMultilevel"/>
    <w:tmpl w:val="C338C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9546D6E"/>
    <w:multiLevelType w:val="hybridMultilevel"/>
    <w:tmpl w:val="C31CB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9234C7"/>
    <w:multiLevelType w:val="hybridMultilevel"/>
    <w:tmpl w:val="B2E0D1F2"/>
    <w:lvl w:ilvl="0" w:tplc="4168B50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E247FFC"/>
    <w:multiLevelType w:val="multilevel"/>
    <w:tmpl w:val="5088D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1D40330"/>
    <w:multiLevelType w:val="hybridMultilevel"/>
    <w:tmpl w:val="013E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28D4321"/>
    <w:multiLevelType w:val="multilevel"/>
    <w:tmpl w:val="0916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1E3ED8"/>
    <w:multiLevelType w:val="multilevel"/>
    <w:tmpl w:val="4FDC1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9E7FDD"/>
    <w:multiLevelType w:val="multilevel"/>
    <w:tmpl w:val="2214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6A17EA"/>
    <w:multiLevelType w:val="hybridMultilevel"/>
    <w:tmpl w:val="598A7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84C14C9"/>
    <w:multiLevelType w:val="hybridMultilevel"/>
    <w:tmpl w:val="31260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9153424"/>
    <w:multiLevelType w:val="multilevel"/>
    <w:tmpl w:val="EDDE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BB17CA"/>
    <w:multiLevelType w:val="multilevel"/>
    <w:tmpl w:val="8872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AD27154"/>
    <w:multiLevelType w:val="multilevel"/>
    <w:tmpl w:val="08FE6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523789"/>
    <w:multiLevelType w:val="multilevel"/>
    <w:tmpl w:val="71D44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29829DC"/>
    <w:multiLevelType w:val="hybridMultilevel"/>
    <w:tmpl w:val="2E086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3FC0AC5"/>
    <w:multiLevelType w:val="hybridMultilevel"/>
    <w:tmpl w:val="8EE0B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68C45CD"/>
    <w:multiLevelType w:val="multilevel"/>
    <w:tmpl w:val="1516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80E375D"/>
    <w:multiLevelType w:val="multilevel"/>
    <w:tmpl w:val="5BC0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AEB1254"/>
    <w:multiLevelType w:val="multilevel"/>
    <w:tmpl w:val="CA78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C7B0596"/>
    <w:multiLevelType w:val="multilevel"/>
    <w:tmpl w:val="0986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DB1710B"/>
    <w:multiLevelType w:val="multilevel"/>
    <w:tmpl w:val="30604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bullet"/>
      <w:lvlText w:val="-"/>
      <w:lvlJc w:val="left"/>
      <w:pPr>
        <w:ind w:left="2160" w:hanging="360"/>
      </w:pPr>
      <w:rPr>
        <w:rFonts w:ascii="Arial" w:eastAsiaTheme="minorHAnsi"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E64395B"/>
    <w:multiLevelType w:val="hybridMultilevel"/>
    <w:tmpl w:val="4CD26AF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9" w15:restartNumberingAfterBreak="0">
    <w:nsid w:val="6E686804"/>
    <w:multiLevelType w:val="hybridMultilevel"/>
    <w:tmpl w:val="3C2A8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F351228"/>
    <w:multiLevelType w:val="multilevel"/>
    <w:tmpl w:val="88FC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1523719"/>
    <w:multiLevelType w:val="hybridMultilevel"/>
    <w:tmpl w:val="F1C0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17C6895"/>
    <w:multiLevelType w:val="hybridMultilevel"/>
    <w:tmpl w:val="C324B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1C7340F"/>
    <w:multiLevelType w:val="hybridMultilevel"/>
    <w:tmpl w:val="E2EC1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2A0427D"/>
    <w:multiLevelType w:val="hybridMultilevel"/>
    <w:tmpl w:val="8528B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5E21DF5"/>
    <w:multiLevelType w:val="hybridMultilevel"/>
    <w:tmpl w:val="D7EADF1E"/>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6" w15:restartNumberingAfterBreak="0">
    <w:nsid w:val="764621E7"/>
    <w:multiLevelType w:val="hybridMultilevel"/>
    <w:tmpl w:val="80E20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7E263CF"/>
    <w:multiLevelType w:val="multilevel"/>
    <w:tmpl w:val="B6D0E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A6A79EF"/>
    <w:multiLevelType w:val="hybridMultilevel"/>
    <w:tmpl w:val="1DCC9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AF97302"/>
    <w:multiLevelType w:val="multilevel"/>
    <w:tmpl w:val="B0F06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B722064"/>
    <w:multiLevelType w:val="hybridMultilevel"/>
    <w:tmpl w:val="C0F2A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D6F4CB6"/>
    <w:multiLevelType w:val="hybridMultilevel"/>
    <w:tmpl w:val="68AE5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F7927D8"/>
    <w:multiLevelType w:val="multilevel"/>
    <w:tmpl w:val="84BA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F8735F2"/>
    <w:multiLevelType w:val="hybridMultilevel"/>
    <w:tmpl w:val="A9AE126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869755758">
    <w:abstractNumId w:val="54"/>
  </w:num>
  <w:num w:numId="2" w16cid:durableId="1034496582">
    <w:abstractNumId w:val="1"/>
  </w:num>
  <w:num w:numId="3" w16cid:durableId="1130052357">
    <w:abstractNumId w:val="67"/>
  </w:num>
  <w:num w:numId="4" w16cid:durableId="1767261999">
    <w:abstractNumId w:val="50"/>
  </w:num>
  <w:num w:numId="5" w16cid:durableId="651717711">
    <w:abstractNumId w:val="14"/>
  </w:num>
  <w:num w:numId="6" w16cid:durableId="7558979">
    <w:abstractNumId w:val="53"/>
  </w:num>
  <w:num w:numId="7" w16cid:durableId="1745301900">
    <w:abstractNumId w:val="55"/>
  </w:num>
  <w:num w:numId="8" w16cid:durableId="1614706463">
    <w:abstractNumId w:val="72"/>
  </w:num>
  <w:num w:numId="9" w16cid:durableId="698622873">
    <w:abstractNumId w:val="23"/>
  </w:num>
  <w:num w:numId="10" w16cid:durableId="479812365">
    <w:abstractNumId w:val="40"/>
  </w:num>
  <w:num w:numId="11" w16cid:durableId="171533261">
    <w:abstractNumId w:val="35"/>
  </w:num>
  <w:num w:numId="12" w16cid:durableId="1652976144">
    <w:abstractNumId w:val="56"/>
  </w:num>
  <w:num w:numId="13" w16cid:durableId="1929577996">
    <w:abstractNumId w:val="25"/>
  </w:num>
  <w:num w:numId="14" w16cid:durableId="1570267004">
    <w:abstractNumId w:val="18"/>
  </w:num>
  <w:num w:numId="15" w16cid:durableId="1676494761">
    <w:abstractNumId w:val="47"/>
  </w:num>
  <w:num w:numId="16" w16cid:durableId="205877557">
    <w:abstractNumId w:val="48"/>
  </w:num>
  <w:num w:numId="17" w16cid:durableId="1241714281">
    <w:abstractNumId w:val="32"/>
  </w:num>
  <w:num w:numId="18" w16cid:durableId="171459671">
    <w:abstractNumId w:val="8"/>
  </w:num>
  <w:num w:numId="19" w16cid:durableId="1193349248">
    <w:abstractNumId w:val="28"/>
  </w:num>
  <w:num w:numId="20" w16cid:durableId="1192764430">
    <w:abstractNumId w:val="22"/>
  </w:num>
  <w:num w:numId="21" w16cid:durableId="2065830581">
    <w:abstractNumId w:val="49"/>
  </w:num>
  <w:num w:numId="22" w16cid:durableId="1325742770">
    <w:abstractNumId w:val="42"/>
  </w:num>
  <w:num w:numId="23" w16cid:durableId="1170295272">
    <w:abstractNumId w:val="0"/>
  </w:num>
  <w:num w:numId="24" w16cid:durableId="1224024464">
    <w:abstractNumId w:val="69"/>
  </w:num>
  <w:num w:numId="25" w16cid:durableId="748766597">
    <w:abstractNumId w:val="43"/>
  </w:num>
  <w:num w:numId="26" w16cid:durableId="1008141144">
    <w:abstractNumId w:val="65"/>
  </w:num>
  <w:num w:numId="27" w16cid:durableId="709845479">
    <w:abstractNumId w:val="24"/>
  </w:num>
  <w:num w:numId="28" w16cid:durableId="933054694">
    <w:abstractNumId w:val="57"/>
  </w:num>
  <w:num w:numId="29" w16cid:durableId="2083670721">
    <w:abstractNumId w:val="19"/>
  </w:num>
  <w:num w:numId="30" w16cid:durableId="1922790340">
    <w:abstractNumId w:val="6"/>
  </w:num>
  <w:num w:numId="31" w16cid:durableId="379213129">
    <w:abstractNumId w:val="13"/>
  </w:num>
  <w:num w:numId="32" w16cid:durableId="2039774124">
    <w:abstractNumId w:val="29"/>
  </w:num>
  <w:num w:numId="33" w16cid:durableId="519322427">
    <w:abstractNumId w:val="12"/>
  </w:num>
  <w:num w:numId="34" w16cid:durableId="222764379">
    <w:abstractNumId w:val="44"/>
  </w:num>
  <w:num w:numId="35" w16cid:durableId="1403261937">
    <w:abstractNumId w:val="60"/>
  </w:num>
  <w:num w:numId="36" w16cid:durableId="701443719">
    <w:abstractNumId w:val="33"/>
  </w:num>
  <w:num w:numId="37" w16cid:durableId="1708026473">
    <w:abstractNumId w:val="9"/>
  </w:num>
  <w:num w:numId="38" w16cid:durableId="483548476">
    <w:abstractNumId w:val="39"/>
  </w:num>
  <w:num w:numId="39" w16cid:durableId="1918514412">
    <w:abstractNumId w:val="7"/>
  </w:num>
  <w:num w:numId="40" w16cid:durableId="459884482">
    <w:abstractNumId w:val="20"/>
  </w:num>
  <w:num w:numId="41" w16cid:durableId="2030913785">
    <w:abstractNumId w:val="31"/>
  </w:num>
  <w:num w:numId="42" w16cid:durableId="1460415992">
    <w:abstractNumId w:val="26"/>
  </w:num>
  <w:num w:numId="43" w16cid:durableId="575045276">
    <w:abstractNumId w:val="4"/>
  </w:num>
  <w:num w:numId="44" w16cid:durableId="1392921868">
    <w:abstractNumId w:val="2"/>
  </w:num>
  <w:num w:numId="45" w16cid:durableId="1937325025">
    <w:abstractNumId w:val="64"/>
  </w:num>
  <w:num w:numId="46" w16cid:durableId="703288464">
    <w:abstractNumId w:val="63"/>
  </w:num>
  <w:num w:numId="47" w16cid:durableId="1300039718">
    <w:abstractNumId w:val="27"/>
  </w:num>
  <w:num w:numId="48" w16cid:durableId="53743008">
    <w:abstractNumId w:val="61"/>
  </w:num>
  <w:num w:numId="49" w16cid:durableId="211771895">
    <w:abstractNumId w:val="71"/>
  </w:num>
  <w:num w:numId="50" w16cid:durableId="159977607">
    <w:abstractNumId w:val="38"/>
  </w:num>
  <w:num w:numId="51" w16cid:durableId="1878590764">
    <w:abstractNumId w:val="17"/>
  </w:num>
  <w:num w:numId="52" w16cid:durableId="1027297290">
    <w:abstractNumId w:val="36"/>
  </w:num>
  <w:num w:numId="53" w16cid:durableId="157157151">
    <w:abstractNumId w:val="62"/>
  </w:num>
  <w:num w:numId="54" w16cid:durableId="1419257236">
    <w:abstractNumId w:val="46"/>
  </w:num>
  <w:num w:numId="55" w16cid:durableId="698821063">
    <w:abstractNumId w:val="52"/>
  </w:num>
  <w:num w:numId="56" w16cid:durableId="717127264">
    <w:abstractNumId w:val="10"/>
  </w:num>
  <w:num w:numId="57" w16cid:durableId="1825315507">
    <w:abstractNumId w:val="58"/>
  </w:num>
  <w:num w:numId="58" w16cid:durableId="935596026">
    <w:abstractNumId w:val="21"/>
  </w:num>
  <w:num w:numId="59" w16cid:durableId="1229538498">
    <w:abstractNumId w:val="66"/>
  </w:num>
  <w:num w:numId="60" w16cid:durableId="519516650">
    <w:abstractNumId w:val="11"/>
  </w:num>
  <w:num w:numId="61" w16cid:durableId="759640213">
    <w:abstractNumId w:val="59"/>
  </w:num>
  <w:num w:numId="62" w16cid:durableId="424115538">
    <w:abstractNumId w:val="70"/>
  </w:num>
  <w:num w:numId="63" w16cid:durableId="111362531">
    <w:abstractNumId w:val="51"/>
  </w:num>
  <w:num w:numId="64" w16cid:durableId="87118016">
    <w:abstractNumId w:val="16"/>
  </w:num>
  <w:num w:numId="65" w16cid:durableId="690188349">
    <w:abstractNumId w:val="15"/>
  </w:num>
  <w:num w:numId="66" w16cid:durableId="1995450045">
    <w:abstractNumId w:val="45"/>
  </w:num>
  <w:num w:numId="67" w16cid:durableId="1634024972">
    <w:abstractNumId w:val="3"/>
  </w:num>
  <w:num w:numId="68" w16cid:durableId="174346174">
    <w:abstractNumId w:val="68"/>
  </w:num>
  <w:num w:numId="69" w16cid:durableId="1829322283">
    <w:abstractNumId w:val="30"/>
  </w:num>
  <w:num w:numId="70" w16cid:durableId="964387712">
    <w:abstractNumId w:val="73"/>
  </w:num>
  <w:num w:numId="71" w16cid:durableId="1902717809">
    <w:abstractNumId w:val="37"/>
  </w:num>
  <w:num w:numId="72" w16cid:durableId="555355948">
    <w:abstractNumId w:val="34"/>
  </w:num>
  <w:num w:numId="73" w16cid:durableId="298845335">
    <w:abstractNumId w:val="41"/>
  </w:num>
  <w:num w:numId="74" w16cid:durableId="12399434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F71"/>
    <w:rsid w:val="00027C77"/>
    <w:rsid w:val="00046832"/>
    <w:rsid w:val="000511B7"/>
    <w:rsid w:val="00052706"/>
    <w:rsid w:val="00062A7D"/>
    <w:rsid w:val="00065147"/>
    <w:rsid w:val="000733A6"/>
    <w:rsid w:val="00076FED"/>
    <w:rsid w:val="00084D99"/>
    <w:rsid w:val="000934E1"/>
    <w:rsid w:val="000B2A39"/>
    <w:rsid w:val="000D4B5F"/>
    <w:rsid w:val="000E35D5"/>
    <w:rsid w:val="001075EE"/>
    <w:rsid w:val="00110484"/>
    <w:rsid w:val="00132BA4"/>
    <w:rsid w:val="001730EF"/>
    <w:rsid w:val="00177765"/>
    <w:rsid w:val="001804B4"/>
    <w:rsid w:val="00182929"/>
    <w:rsid w:val="001A3FA2"/>
    <w:rsid w:val="001A4253"/>
    <w:rsid w:val="001E04FD"/>
    <w:rsid w:val="001F259A"/>
    <w:rsid w:val="001F3568"/>
    <w:rsid w:val="00211929"/>
    <w:rsid w:val="00213781"/>
    <w:rsid w:val="00221C89"/>
    <w:rsid w:val="00264F43"/>
    <w:rsid w:val="00270811"/>
    <w:rsid w:val="00282ACE"/>
    <w:rsid w:val="00292899"/>
    <w:rsid w:val="002A07B2"/>
    <w:rsid w:val="002A0D01"/>
    <w:rsid w:val="002B66C5"/>
    <w:rsid w:val="002D0382"/>
    <w:rsid w:val="002E0B4A"/>
    <w:rsid w:val="003060AB"/>
    <w:rsid w:val="00316B32"/>
    <w:rsid w:val="003177B7"/>
    <w:rsid w:val="0033455E"/>
    <w:rsid w:val="003405B1"/>
    <w:rsid w:val="00343BFD"/>
    <w:rsid w:val="00373CC8"/>
    <w:rsid w:val="00384A01"/>
    <w:rsid w:val="003C0EF9"/>
    <w:rsid w:val="003D1F21"/>
    <w:rsid w:val="003D246A"/>
    <w:rsid w:val="003D6D04"/>
    <w:rsid w:val="003E211B"/>
    <w:rsid w:val="003F0CB8"/>
    <w:rsid w:val="004074C5"/>
    <w:rsid w:val="004561AD"/>
    <w:rsid w:val="00494E4A"/>
    <w:rsid w:val="004951D4"/>
    <w:rsid w:val="004B5EDC"/>
    <w:rsid w:val="004D2EA7"/>
    <w:rsid w:val="004E469E"/>
    <w:rsid w:val="005109CD"/>
    <w:rsid w:val="00520DB9"/>
    <w:rsid w:val="0052374A"/>
    <w:rsid w:val="005264DE"/>
    <w:rsid w:val="00526C39"/>
    <w:rsid w:val="005421EC"/>
    <w:rsid w:val="005450D2"/>
    <w:rsid w:val="00583F1A"/>
    <w:rsid w:val="005A5FC0"/>
    <w:rsid w:val="005B462A"/>
    <w:rsid w:val="005E091F"/>
    <w:rsid w:val="0060269A"/>
    <w:rsid w:val="00610DCF"/>
    <w:rsid w:val="00623C2C"/>
    <w:rsid w:val="00630E5B"/>
    <w:rsid w:val="00640765"/>
    <w:rsid w:val="00660770"/>
    <w:rsid w:val="00683BDC"/>
    <w:rsid w:val="006D42F4"/>
    <w:rsid w:val="006D5CA0"/>
    <w:rsid w:val="00720121"/>
    <w:rsid w:val="0078411F"/>
    <w:rsid w:val="007A6105"/>
    <w:rsid w:val="007D4503"/>
    <w:rsid w:val="007E1A57"/>
    <w:rsid w:val="007E69E4"/>
    <w:rsid w:val="0081744B"/>
    <w:rsid w:val="00832F57"/>
    <w:rsid w:val="00835F71"/>
    <w:rsid w:val="008503B5"/>
    <w:rsid w:val="008777F6"/>
    <w:rsid w:val="008A60CD"/>
    <w:rsid w:val="008B6D55"/>
    <w:rsid w:val="008C5BF7"/>
    <w:rsid w:val="008C5EE2"/>
    <w:rsid w:val="00923F59"/>
    <w:rsid w:val="00972F94"/>
    <w:rsid w:val="009A0C8B"/>
    <w:rsid w:val="009B20AA"/>
    <w:rsid w:val="009B39A9"/>
    <w:rsid w:val="009D4FBD"/>
    <w:rsid w:val="009E2279"/>
    <w:rsid w:val="00A00773"/>
    <w:rsid w:val="00A0326D"/>
    <w:rsid w:val="00A16BB4"/>
    <w:rsid w:val="00A65FE2"/>
    <w:rsid w:val="00A948EB"/>
    <w:rsid w:val="00A965EB"/>
    <w:rsid w:val="00AE05AE"/>
    <w:rsid w:val="00B12E2B"/>
    <w:rsid w:val="00B138C4"/>
    <w:rsid w:val="00B17977"/>
    <w:rsid w:val="00B66F30"/>
    <w:rsid w:val="00BD13F7"/>
    <w:rsid w:val="00BD5F48"/>
    <w:rsid w:val="00C06918"/>
    <w:rsid w:val="00C13E99"/>
    <w:rsid w:val="00C37C37"/>
    <w:rsid w:val="00C37D88"/>
    <w:rsid w:val="00C45CD1"/>
    <w:rsid w:val="00C515F4"/>
    <w:rsid w:val="00C914B3"/>
    <w:rsid w:val="00CB2CAE"/>
    <w:rsid w:val="00CE1D48"/>
    <w:rsid w:val="00CF0D4D"/>
    <w:rsid w:val="00D03A33"/>
    <w:rsid w:val="00D3151D"/>
    <w:rsid w:val="00D56DEF"/>
    <w:rsid w:val="00D90070"/>
    <w:rsid w:val="00DA5500"/>
    <w:rsid w:val="00DB2E9D"/>
    <w:rsid w:val="00DF2F3F"/>
    <w:rsid w:val="00E14BBE"/>
    <w:rsid w:val="00E15DA9"/>
    <w:rsid w:val="00E309DA"/>
    <w:rsid w:val="00E367E1"/>
    <w:rsid w:val="00E57BCD"/>
    <w:rsid w:val="00E76239"/>
    <w:rsid w:val="00E94FD4"/>
    <w:rsid w:val="00EC0FAB"/>
    <w:rsid w:val="00F03648"/>
    <w:rsid w:val="00F15315"/>
    <w:rsid w:val="00F2277B"/>
    <w:rsid w:val="00F43663"/>
    <w:rsid w:val="00F636B8"/>
    <w:rsid w:val="00F6697C"/>
    <w:rsid w:val="00F80A2C"/>
    <w:rsid w:val="00FB2797"/>
    <w:rsid w:val="00FD7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EEB96"/>
  <w15:chartTrackingRefBased/>
  <w15:docId w15:val="{96F16693-8ED0-43DB-985A-1BF5B0792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8EB"/>
  </w:style>
  <w:style w:type="paragraph" w:styleId="Heading1">
    <w:name w:val="heading 1"/>
    <w:basedOn w:val="Normal"/>
    <w:next w:val="Normal"/>
    <w:link w:val="Heading1Char"/>
    <w:uiPriority w:val="9"/>
    <w:qFormat/>
    <w:rsid w:val="00835F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5F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5F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5F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5F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5F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5F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5F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5F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F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5F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5F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5F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5F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5F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5F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5F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5F71"/>
    <w:rPr>
      <w:rFonts w:eastAsiaTheme="majorEastAsia" w:cstheme="majorBidi"/>
      <w:color w:val="272727" w:themeColor="text1" w:themeTint="D8"/>
    </w:rPr>
  </w:style>
  <w:style w:type="paragraph" w:styleId="Title">
    <w:name w:val="Title"/>
    <w:basedOn w:val="Normal"/>
    <w:next w:val="Normal"/>
    <w:link w:val="TitleChar"/>
    <w:uiPriority w:val="10"/>
    <w:qFormat/>
    <w:rsid w:val="00835F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F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5F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5F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5F71"/>
    <w:pPr>
      <w:spacing w:before="160"/>
      <w:jc w:val="center"/>
    </w:pPr>
    <w:rPr>
      <w:i/>
      <w:iCs/>
      <w:color w:val="404040" w:themeColor="text1" w:themeTint="BF"/>
    </w:rPr>
  </w:style>
  <w:style w:type="character" w:customStyle="1" w:styleId="QuoteChar">
    <w:name w:val="Quote Char"/>
    <w:basedOn w:val="DefaultParagraphFont"/>
    <w:link w:val="Quote"/>
    <w:uiPriority w:val="29"/>
    <w:rsid w:val="00835F71"/>
    <w:rPr>
      <w:i/>
      <w:iCs/>
      <w:color w:val="404040" w:themeColor="text1" w:themeTint="BF"/>
    </w:rPr>
  </w:style>
  <w:style w:type="paragraph" w:styleId="ListParagraph">
    <w:name w:val="List Paragraph"/>
    <w:basedOn w:val="Normal"/>
    <w:uiPriority w:val="34"/>
    <w:qFormat/>
    <w:rsid w:val="00835F71"/>
    <w:pPr>
      <w:ind w:left="720"/>
      <w:contextualSpacing/>
    </w:pPr>
  </w:style>
  <w:style w:type="character" w:styleId="IntenseEmphasis">
    <w:name w:val="Intense Emphasis"/>
    <w:basedOn w:val="DefaultParagraphFont"/>
    <w:uiPriority w:val="21"/>
    <w:qFormat/>
    <w:rsid w:val="00835F71"/>
    <w:rPr>
      <w:i/>
      <w:iCs/>
      <w:color w:val="0F4761" w:themeColor="accent1" w:themeShade="BF"/>
    </w:rPr>
  </w:style>
  <w:style w:type="paragraph" w:styleId="IntenseQuote">
    <w:name w:val="Intense Quote"/>
    <w:basedOn w:val="Normal"/>
    <w:next w:val="Normal"/>
    <w:link w:val="IntenseQuoteChar"/>
    <w:uiPriority w:val="30"/>
    <w:qFormat/>
    <w:rsid w:val="00835F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5F71"/>
    <w:rPr>
      <w:i/>
      <w:iCs/>
      <w:color w:val="0F4761" w:themeColor="accent1" w:themeShade="BF"/>
    </w:rPr>
  </w:style>
  <w:style w:type="character" w:styleId="IntenseReference">
    <w:name w:val="Intense Reference"/>
    <w:basedOn w:val="DefaultParagraphFont"/>
    <w:uiPriority w:val="32"/>
    <w:qFormat/>
    <w:rsid w:val="00835F71"/>
    <w:rPr>
      <w:b/>
      <w:bCs/>
      <w:smallCaps/>
      <w:color w:val="0F4761" w:themeColor="accent1" w:themeShade="BF"/>
      <w:spacing w:val="5"/>
    </w:rPr>
  </w:style>
  <w:style w:type="character" w:styleId="Hyperlink">
    <w:name w:val="Hyperlink"/>
    <w:basedOn w:val="DefaultParagraphFont"/>
    <w:uiPriority w:val="99"/>
    <w:unhideWhenUsed/>
    <w:rsid w:val="00835F71"/>
    <w:rPr>
      <w:color w:val="467886" w:themeColor="hyperlink"/>
      <w:u w:val="single"/>
    </w:rPr>
  </w:style>
  <w:style w:type="character" w:styleId="UnresolvedMention">
    <w:name w:val="Unresolved Mention"/>
    <w:basedOn w:val="DefaultParagraphFont"/>
    <w:uiPriority w:val="99"/>
    <w:semiHidden/>
    <w:unhideWhenUsed/>
    <w:rsid w:val="00835F71"/>
    <w:rPr>
      <w:color w:val="605E5C"/>
      <w:shd w:val="clear" w:color="auto" w:fill="E1DFDD"/>
    </w:rPr>
  </w:style>
  <w:style w:type="character" w:styleId="FollowedHyperlink">
    <w:name w:val="FollowedHyperlink"/>
    <w:basedOn w:val="DefaultParagraphFont"/>
    <w:uiPriority w:val="99"/>
    <w:semiHidden/>
    <w:unhideWhenUsed/>
    <w:rsid w:val="00110484"/>
    <w:rPr>
      <w:color w:val="96607D" w:themeColor="followedHyperlink"/>
      <w:u w:val="single"/>
    </w:rPr>
  </w:style>
  <w:style w:type="paragraph" w:styleId="NormalWeb">
    <w:name w:val="Normal (Web)"/>
    <w:basedOn w:val="Normal"/>
    <w:uiPriority w:val="99"/>
    <w:semiHidden/>
    <w:unhideWhenUsed/>
    <w:rsid w:val="00C37D88"/>
    <w:rPr>
      <w:rFonts w:ascii="Times New Roman" w:hAnsi="Times New Roman" w:cs="Times New Roman"/>
      <w:sz w:val="24"/>
      <w:szCs w:val="24"/>
    </w:rPr>
  </w:style>
  <w:style w:type="paragraph" w:styleId="Header">
    <w:name w:val="header"/>
    <w:basedOn w:val="Normal"/>
    <w:link w:val="HeaderChar"/>
    <w:uiPriority w:val="99"/>
    <w:unhideWhenUsed/>
    <w:rsid w:val="00BD13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3F7"/>
  </w:style>
  <w:style w:type="paragraph" w:styleId="Footer">
    <w:name w:val="footer"/>
    <w:basedOn w:val="Normal"/>
    <w:link w:val="FooterChar"/>
    <w:uiPriority w:val="99"/>
    <w:unhideWhenUsed/>
    <w:rsid w:val="00BD13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3F7"/>
  </w:style>
  <w:style w:type="paragraph" w:styleId="TOCHeading">
    <w:name w:val="TOC Heading"/>
    <w:basedOn w:val="Heading1"/>
    <w:next w:val="Normal"/>
    <w:uiPriority w:val="39"/>
    <w:unhideWhenUsed/>
    <w:qFormat/>
    <w:rsid w:val="00BD13F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A07B2"/>
    <w:pPr>
      <w:tabs>
        <w:tab w:val="right" w:leader="dot" w:pos="9016"/>
      </w:tabs>
      <w:spacing w:after="100" w:line="360" w:lineRule="auto"/>
    </w:pPr>
  </w:style>
  <w:style w:type="paragraph" w:styleId="NoSpacing">
    <w:name w:val="No Spacing"/>
    <w:link w:val="NoSpacingChar"/>
    <w:uiPriority w:val="1"/>
    <w:qFormat/>
    <w:rsid w:val="004B5ED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B5EDC"/>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uildingsafety.campaign.gov.uk/building-safety-regulator-making-buildings-safer/building-safety-regulator-news/understanding-the-golden-thread/" TargetMode="External"/><Relationship Id="rId18" Type="http://schemas.openxmlformats.org/officeDocument/2006/relationships/hyperlink" Target="https://www.legislation.gov.uk/ukpga/2022/30" TargetMode="External"/><Relationship Id="rId26" Type="http://schemas.openxmlformats.org/officeDocument/2006/relationships/hyperlink" Target="https://swiftrms.co.uk/blog/coshh-regulations-uk-complete-guide" TargetMode="External"/><Relationship Id="rId3" Type="http://schemas.openxmlformats.org/officeDocument/2006/relationships/styles" Target="styles.xml"/><Relationship Id="rId21" Type="http://schemas.openxmlformats.org/officeDocument/2006/relationships/hyperlink" Target="https://www.planningportal.co.uk/planning/planning-and-fire-safety/planning-gateway-one-summary/purpose-of-planning-gateway-one" TargetMode="External"/><Relationship Id="rId7" Type="http://schemas.openxmlformats.org/officeDocument/2006/relationships/endnotes" Target="endnotes.xml"/><Relationship Id="rId12" Type="http://schemas.openxmlformats.org/officeDocument/2006/relationships/hyperlink" Target="https://fallangel.co.uk/complete-guide-to-work-at-height-regulations-2005/" TargetMode="External"/><Relationship Id="rId17" Type="http://schemas.openxmlformats.org/officeDocument/2006/relationships/hyperlink" Target="https://www.hse.gov.uk/" TargetMode="External"/><Relationship Id="rId25" Type="http://schemas.openxmlformats.org/officeDocument/2006/relationships/hyperlink" Target="https://benx.co.uk/understanding-gateway-3-what-it-means-for-your-building-project/" TargetMode="External"/><Relationship Id="rId2" Type="http://schemas.openxmlformats.org/officeDocument/2006/relationships/numbering" Target="numbering.xml"/><Relationship Id="rId16" Type="http://schemas.openxmlformats.org/officeDocument/2006/relationships/hyperlink" Target="https://www.hse.gov.uk/construction/cdm/2015/overview.htm" TargetMode="External"/><Relationship Id="rId20" Type="http://schemas.openxmlformats.org/officeDocument/2006/relationships/hyperlink" Target="https://www.bsgltd.co.uk/news/cdm-2015-compliance-in-the-post-building-safety-act-er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arlesrussellspeechlys.com/en/insights/expert-insights/construction-engineering-and-projects/2025/building-safety-in-wales/" TargetMode="External"/><Relationship Id="rId24" Type="http://schemas.openxmlformats.org/officeDocument/2006/relationships/hyperlink" Target="https://benx.co.uk/gateway-2-explained-what-architects-and-contractors-need-to-know/" TargetMode="External"/><Relationship Id="rId5" Type="http://schemas.openxmlformats.org/officeDocument/2006/relationships/webSettings" Target="webSettings.xml"/><Relationship Id="rId15" Type="http://schemas.openxmlformats.org/officeDocument/2006/relationships/hyperlink" Target="https://www.gov.wales/building-safety-programme" TargetMode="External"/><Relationship Id="rId23" Type="http://schemas.openxmlformats.org/officeDocument/2006/relationships/hyperlink" Target="https://www.ansteyhorne.co.uk/news/building-regulations-dutyholders-explained" TargetMode="External"/><Relationship Id="rId28" Type="http://schemas.openxmlformats.org/officeDocument/2006/relationships/footer" Target="footer1.xml"/><Relationship Id="rId10" Type="http://schemas.openxmlformats.org/officeDocument/2006/relationships/hyperlink" Target="https://www.fca.org.uk/firms/training-competence" TargetMode="External"/><Relationship Id="rId19" Type="http://schemas.openxmlformats.org/officeDocument/2006/relationships/hyperlink" Target="https://www.legislation.gov.uk/wsi/2025/1321/body/mad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gov.wales/commencement-section-156-uk-building-safety-act-2022-wales-html" TargetMode="External"/><Relationship Id="rId22" Type="http://schemas.openxmlformats.org/officeDocument/2006/relationships/hyperlink" Target="https://www.constructionline.co.uk/insights/blog/health-and-safety-at-work-act-1974-regulations-explained/" TargetMode="External"/><Relationship Id="rId27" Type="http://schemas.openxmlformats.org/officeDocument/2006/relationships/hyperlink" Target="https://www.workaccidentadvicecentre.com/the-management-of-health-safety-at-work-regulations-1999"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CE498-2880-49E5-80BD-3D4488AAD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13</Pages>
  <Words>2970</Words>
  <Characters>19603</Characters>
  <Application>Microsoft Office Word</Application>
  <DocSecurity>0</DocSecurity>
  <Lines>426</Lines>
  <Paragraphs>250</Paragraphs>
  <ScaleCrop>false</ScaleCrop>
  <Company/>
  <LinksUpToDate>false</LinksUpToDate>
  <CharactersWithSpaces>22323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Health, Safety and welfare (ACBA4023)</dc:subject>
  <dc:creator>Bibek Khatri</dc:creator>
  <cp:keywords/>
  <dc:description/>
  <cp:lastModifiedBy>Bibek Khatri</cp:lastModifiedBy>
  <cp:revision>143</cp:revision>
  <cp:lastPrinted>2026-05-06T14:09:00Z</cp:lastPrinted>
  <dcterms:created xsi:type="dcterms:W3CDTF">2026-05-01T10:02:00Z</dcterms:created>
  <dcterms:modified xsi:type="dcterms:W3CDTF">2026-05-06T14:20:00Z</dcterms:modified>
</cp:coreProperties>
</file>