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85E89A" w14:textId="4F07C39B" w:rsidR="00E86F81" w:rsidRPr="00513C65" w:rsidRDefault="00E86F81" w:rsidP="00513C65">
      <w:pPr>
        <w:spacing w:line="360" w:lineRule="auto"/>
        <w:rPr>
          <w:rFonts w:ascii="Arial" w:hAnsi="Arial" w:cs="Arial"/>
          <w:b/>
          <w:bCs/>
          <w:u w:val="single"/>
        </w:rPr>
      </w:pPr>
      <w:r w:rsidRPr="00513C65">
        <w:rPr>
          <w:rFonts w:ascii="Arial" w:hAnsi="Arial" w:cs="Arial"/>
          <w:b/>
          <w:bCs/>
          <w:u w:val="single"/>
        </w:rPr>
        <w:t xml:space="preserve">Title 1: </w:t>
      </w:r>
    </w:p>
    <w:p w14:paraId="259FAA4F" w14:textId="05A1E2C9" w:rsidR="00E86F81" w:rsidRPr="00513C65" w:rsidRDefault="00E86F81" w:rsidP="00513C65">
      <w:pPr>
        <w:spacing w:line="360" w:lineRule="auto"/>
        <w:rPr>
          <w:rFonts w:ascii="Arial" w:hAnsi="Arial" w:cs="Arial"/>
        </w:rPr>
      </w:pPr>
      <w:r w:rsidRPr="00513C65">
        <w:rPr>
          <w:rFonts w:ascii="Arial" w:hAnsi="Arial" w:cs="Arial"/>
        </w:rPr>
        <w:t xml:space="preserve">In 2014 the College of Policing introduced the Code of Ethics into policing, this included 9 policing principles and 10 standards of professional behaviour. The first of the policing principles is ‘Accountability’, this states that all officers are answerable for any actions taken or decisions they make (Home Office 2014). This principle can be key in maintaining the willing participation of engagement between the police and the communities and is the first step in maintaining public confidence. Research conducted by The Audit Commission (2003) around the public’s perception of police accountability indicated that organisational trust is based upon personal experiences and those of their family and friends, as well as the existence of external agencies who monitor the effectiveness of these organisations. These external agencies such as the Independent Office for Police Conduct have a duty to the public to uphold these ethics and ensure accountability is met when police misconduct occurs. </w:t>
      </w:r>
    </w:p>
    <w:p w14:paraId="79554EDF" w14:textId="77777777" w:rsidR="00E86F81" w:rsidRPr="00513C65" w:rsidRDefault="00E86F81" w:rsidP="00513C65">
      <w:pPr>
        <w:spacing w:line="360" w:lineRule="auto"/>
        <w:rPr>
          <w:rFonts w:ascii="Arial" w:hAnsi="Arial" w:cs="Arial"/>
        </w:rPr>
      </w:pPr>
      <w:r w:rsidRPr="00513C65">
        <w:rPr>
          <w:rFonts w:ascii="Arial" w:hAnsi="Arial" w:cs="Arial"/>
        </w:rPr>
        <w:t xml:space="preserve">     Since the UK’s first modern police force was created in 1829, it been subject to the highest levels of scrutiny. Throughout its history critical incidents have had a detrimental effect on policing as they </w:t>
      </w:r>
      <w:proofErr w:type="gramStart"/>
      <w:r w:rsidRPr="00513C65">
        <w:rPr>
          <w:rFonts w:ascii="Arial" w:hAnsi="Arial" w:cs="Arial"/>
        </w:rPr>
        <w:t>are capable of undermining</w:t>
      </w:r>
      <w:proofErr w:type="gramEnd"/>
      <w:r w:rsidRPr="00513C65">
        <w:rPr>
          <w:rFonts w:ascii="Arial" w:hAnsi="Arial" w:cs="Arial"/>
        </w:rPr>
        <w:t xml:space="preserve"> the public’s confidence in the police. A critical incident is defined as “any incident where the effectiveness of the police response is likely to have a significant impact on the confidence of the victim or the community” (College of Policing 2013). Such incidents where a negative outcome occurs has a long term, damaging impact on the police service and resonate within the communities. It is imperative that forces learn from these mistakes and adapt accordingly to suit the needs of the public.</w:t>
      </w:r>
    </w:p>
    <w:p w14:paraId="58BFA75D" w14:textId="77777777" w:rsidR="00E86F81" w:rsidRPr="00513C65" w:rsidRDefault="00E86F81" w:rsidP="00513C65">
      <w:pPr>
        <w:spacing w:line="360" w:lineRule="auto"/>
        <w:rPr>
          <w:rFonts w:ascii="Arial" w:hAnsi="Arial" w:cs="Arial"/>
        </w:rPr>
      </w:pPr>
    </w:p>
    <w:p w14:paraId="4B84796B" w14:textId="77777777" w:rsidR="00E86F81" w:rsidRPr="00513C65" w:rsidRDefault="00E86F81" w:rsidP="00513C65">
      <w:pPr>
        <w:spacing w:line="360" w:lineRule="auto"/>
        <w:rPr>
          <w:rFonts w:ascii="Arial" w:hAnsi="Arial" w:cs="Arial"/>
        </w:rPr>
      </w:pPr>
      <w:r w:rsidRPr="00513C65">
        <w:rPr>
          <w:rFonts w:ascii="Arial" w:hAnsi="Arial" w:cs="Arial"/>
        </w:rPr>
        <w:t xml:space="preserve">     In 2007 Fiona Pilkington took her own and her disabled daughter’s life and suffering from years of abuse from a gang of youths. This anti-social behaviour was reported to police 33 times between 1997 – 2007 and the lack of action by police drove Pilkington to despair before the tragic end of her life (Walker 2011). Police failed to link these incidents and understand the vulnerabilities in the family and therefore there was no structured response to the anti-social behaviour. This example has had </w:t>
      </w:r>
      <w:proofErr w:type="gramStart"/>
      <w:r w:rsidRPr="00513C65">
        <w:rPr>
          <w:rFonts w:ascii="Arial" w:hAnsi="Arial" w:cs="Arial"/>
        </w:rPr>
        <w:t>long term</w:t>
      </w:r>
      <w:proofErr w:type="gramEnd"/>
      <w:r w:rsidRPr="00513C65">
        <w:rPr>
          <w:rFonts w:ascii="Arial" w:hAnsi="Arial" w:cs="Arial"/>
        </w:rPr>
        <w:t xml:space="preserve"> damaging effects on the relationship between the police and the public and had led to several changes within the force. In 2014 the Anti-social crime and policing act was introduced and included a ‘community trigger’. This trigger gave a power to repeat victims of anti-social behaviour to request a case review. This review is discussed by partner agencies with the goal of forming a strategy to deal with the present issues. </w:t>
      </w:r>
    </w:p>
    <w:p w14:paraId="3432E785" w14:textId="77777777" w:rsidR="00E86F81" w:rsidRPr="00513C65" w:rsidRDefault="00E86F81" w:rsidP="00513C65">
      <w:pPr>
        <w:spacing w:line="360" w:lineRule="auto"/>
        <w:rPr>
          <w:rFonts w:ascii="Arial" w:hAnsi="Arial" w:cs="Arial"/>
        </w:rPr>
      </w:pPr>
    </w:p>
    <w:p w14:paraId="1FE8B781" w14:textId="77777777" w:rsidR="00E86F81" w:rsidRPr="00513C65" w:rsidRDefault="00E86F81" w:rsidP="00513C65">
      <w:pPr>
        <w:spacing w:line="360" w:lineRule="auto"/>
        <w:rPr>
          <w:rFonts w:ascii="Arial" w:hAnsi="Arial" w:cs="Arial"/>
        </w:rPr>
      </w:pPr>
      <w:r w:rsidRPr="00513C65">
        <w:rPr>
          <w:rFonts w:ascii="Arial" w:hAnsi="Arial" w:cs="Arial"/>
        </w:rPr>
        <w:t xml:space="preserve">     The willingness of communities to engage with police is a crucial part of policing, without this engagement, information in which police rely on from the public can suffer short-falls and police are no longer able to predict changes in community dynamics. Public provide police with intelligence relating to local crime and vulnerability issues, without this connection it places the community at further risk due to lack of action from the police service. Fiona Pilkington is one example of many in the failings of police, the effects on the public can be explained by ‘vicarious learning theory’. Bandura (1963) explained that some learnt behaviours can occur through observing other’s behaviour and witnessing the consequences for behaving in that manner. He noted that a lack feedback for the one being observed resulted in reinforced learning for the observer. Applying this to a policing perspective, the public can hear of negative incidents involving the police through their own associations or through sources like the media. This can cause them to withdraw engagement with the police as they are less likely to see the benefits of these interactions. </w:t>
      </w:r>
    </w:p>
    <w:p w14:paraId="3DD48FB4" w14:textId="77777777" w:rsidR="00E86F81" w:rsidRPr="00513C65" w:rsidRDefault="00E86F81" w:rsidP="00513C65">
      <w:pPr>
        <w:spacing w:line="360" w:lineRule="auto"/>
        <w:rPr>
          <w:rFonts w:ascii="Arial" w:hAnsi="Arial" w:cs="Arial"/>
        </w:rPr>
      </w:pPr>
    </w:p>
    <w:p w14:paraId="1E99BCF1" w14:textId="3AD7D0BB" w:rsidR="00E86F81" w:rsidRPr="00513C65" w:rsidRDefault="00E86F81" w:rsidP="00513C65">
      <w:pPr>
        <w:spacing w:line="360" w:lineRule="auto"/>
        <w:rPr>
          <w:rFonts w:ascii="Arial" w:hAnsi="Arial" w:cs="Arial"/>
        </w:rPr>
      </w:pPr>
      <w:r w:rsidRPr="00513C65">
        <w:rPr>
          <w:rFonts w:ascii="Arial" w:hAnsi="Arial" w:cs="Arial"/>
        </w:rPr>
        <w:t xml:space="preserve">     Community policing plays a vital role in maintaining cohesion within the community and engagement with the police. Pollock and Paterson (2011) explain community policing as a range of strategies, and the primary aims are to improve engagement between police and public, provide reassurance, improve quality of service, and reduce crime and disorder.  Lowndes and Thorp (2011) note that a cohesive community is one where people have a common sense of belonging, their diversities in backgrounds and circumstances are positively valued, equal life opportunities, and there exists strong, positive relationships between people and neighbourhood organisations. Neighbourhood policing teams exist for the betterment of the community and the benefits it provides the police.  They are able to focus their attention </w:t>
      </w:r>
      <w:proofErr w:type="gramStart"/>
      <w:r w:rsidRPr="00513C65">
        <w:rPr>
          <w:rFonts w:ascii="Arial" w:hAnsi="Arial" w:cs="Arial"/>
        </w:rPr>
        <w:t>toward</w:t>
      </w:r>
      <w:proofErr w:type="gramEnd"/>
      <w:r w:rsidRPr="00513C65">
        <w:rPr>
          <w:rFonts w:ascii="Arial" w:hAnsi="Arial" w:cs="Arial"/>
        </w:rPr>
        <w:t xml:space="preserve"> community problems and apply collaborative problem solving techniques. Using problem solving frameworks such as ‘SARA’ (Scanning, Analysis, Response, and Assessment) they </w:t>
      </w:r>
      <w:proofErr w:type="gramStart"/>
      <w:r w:rsidRPr="00513C65">
        <w:rPr>
          <w:rFonts w:ascii="Arial" w:hAnsi="Arial" w:cs="Arial"/>
        </w:rPr>
        <w:t>are able to</w:t>
      </w:r>
      <w:proofErr w:type="gramEnd"/>
      <w:r w:rsidRPr="00513C65">
        <w:rPr>
          <w:rFonts w:ascii="Arial" w:hAnsi="Arial" w:cs="Arial"/>
        </w:rPr>
        <w:t xml:space="preserve"> provide a more tailored and structured response to complex neighbourhood issues to address them at the source and furthering the trust in police (</w:t>
      </w:r>
      <w:r w:rsidR="00410740" w:rsidRPr="00513C65">
        <w:rPr>
          <w:rFonts w:ascii="Arial" w:hAnsi="Arial" w:cs="Arial"/>
        </w:rPr>
        <w:t>Bryant</w:t>
      </w:r>
      <w:r w:rsidRPr="00513C65">
        <w:rPr>
          <w:rFonts w:ascii="Arial" w:hAnsi="Arial" w:cs="Arial"/>
        </w:rPr>
        <w:t xml:space="preserve"> et al</w:t>
      </w:r>
      <w:r w:rsidRPr="00513C65">
        <w:rPr>
          <w:rFonts w:ascii="Arial" w:hAnsi="Arial" w:cs="Arial"/>
        </w:rPr>
        <w:t xml:space="preserve">, 2019, p. 55). Goldstein coined the phrase ‘problem-oriented policing’, this is a method of community policing in which addresses the early recognition of underlying issues within a community. It allows for the identification of repeat victims and prevention of incidents by dealing with the problem at its source (Goldstein, 1979). Fostering this method allows community teams to be proactive rather than reactive in their policing style, decreasing the visible presence of crime and disorder and </w:t>
      </w:r>
      <w:r w:rsidRPr="00513C65">
        <w:rPr>
          <w:rFonts w:ascii="Arial" w:hAnsi="Arial" w:cs="Arial"/>
        </w:rPr>
        <w:lastRenderedPageBreak/>
        <w:t>restoring faith in the communities. Sir Robert Peel’s 9 policing principles explains that the test of police efficiency is the absence of crime and disorder, not the visible evidence of police action in dealing with it (College of Policing, 2014)</w:t>
      </w:r>
    </w:p>
    <w:p w14:paraId="0AF22725" w14:textId="77777777" w:rsidR="00E86F81" w:rsidRPr="00513C65" w:rsidRDefault="00E86F81" w:rsidP="00513C65">
      <w:pPr>
        <w:spacing w:line="360" w:lineRule="auto"/>
        <w:rPr>
          <w:rFonts w:ascii="Arial" w:hAnsi="Arial" w:cs="Arial"/>
        </w:rPr>
      </w:pPr>
    </w:p>
    <w:p w14:paraId="06D475C2" w14:textId="77777777" w:rsidR="00E86F81" w:rsidRPr="00513C65" w:rsidRDefault="00E86F81" w:rsidP="00513C65">
      <w:pPr>
        <w:spacing w:line="360" w:lineRule="auto"/>
        <w:rPr>
          <w:rFonts w:ascii="Arial" w:hAnsi="Arial" w:cs="Arial"/>
        </w:rPr>
      </w:pPr>
      <w:r w:rsidRPr="00513C65">
        <w:rPr>
          <w:rFonts w:ascii="Arial" w:hAnsi="Arial" w:cs="Arial"/>
        </w:rPr>
        <w:t xml:space="preserve">     Another role of the Neighbourhood policing team is to gather information and intelligence to help better understand the community tensions. Community tension is described as “a state of community dynamics with the potential to lead to disorder, threatening the peace and stability of communities or raise the levels of fear and anxiety in the whole, or a part of the local community.” (Institute of Community Cohesion, 2010). The way in which police </w:t>
      </w:r>
      <w:proofErr w:type="gramStart"/>
      <w:r w:rsidRPr="00513C65">
        <w:rPr>
          <w:rFonts w:ascii="Arial" w:hAnsi="Arial" w:cs="Arial"/>
        </w:rPr>
        <w:t>are able to</w:t>
      </w:r>
      <w:proofErr w:type="gramEnd"/>
      <w:r w:rsidRPr="00513C65">
        <w:rPr>
          <w:rFonts w:ascii="Arial" w:hAnsi="Arial" w:cs="Arial"/>
        </w:rPr>
        <w:t xml:space="preserve"> engage with the community is to integrate themselves within and maintain professionalism, transparency and openness in the way they are tackling local issues. A key tool is the community impact assessment, this allows police to identify community issues and needs, thereby enhancing their response which is more suitable to the public’s needs.  </w:t>
      </w:r>
    </w:p>
    <w:p w14:paraId="1FB6599D" w14:textId="77777777" w:rsidR="00E86F81" w:rsidRPr="00513C65" w:rsidRDefault="00E86F81" w:rsidP="00513C65">
      <w:pPr>
        <w:spacing w:line="360" w:lineRule="auto"/>
        <w:rPr>
          <w:rFonts w:ascii="Arial" w:hAnsi="Arial" w:cs="Arial"/>
        </w:rPr>
      </w:pPr>
    </w:p>
    <w:p w14:paraId="4BD48CC7" w14:textId="494B48EC" w:rsidR="00E86F81" w:rsidRPr="00513C65" w:rsidRDefault="00E86F81" w:rsidP="00513C65">
      <w:pPr>
        <w:spacing w:line="360" w:lineRule="auto"/>
        <w:rPr>
          <w:rFonts w:ascii="Arial" w:hAnsi="Arial" w:cs="Arial"/>
        </w:rPr>
      </w:pPr>
      <w:r w:rsidRPr="00513C65">
        <w:rPr>
          <w:rFonts w:ascii="Arial" w:hAnsi="Arial" w:cs="Arial"/>
        </w:rPr>
        <w:t xml:space="preserve">     In summary, through utilisation of community policing and the strategies involved, police can further understand the needs of a community. This allows for the identification of vulnerabilities within the community and the implementation of an enhanced, tailored response. Overall, increasing the public’s perception of safety, reducing crime, disorder, and anti-social behaviour all through the ability to collaborate successfully with the public, maintaining their trust and confidence. </w:t>
      </w:r>
    </w:p>
    <w:p w14:paraId="37753C3E" w14:textId="77AA9F0D" w:rsidR="00E86F81" w:rsidRPr="00513C65" w:rsidRDefault="00E86F81" w:rsidP="00513C65">
      <w:pPr>
        <w:spacing w:line="360" w:lineRule="auto"/>
        <w:rPr>
          <w:rFonts w:ascii="Arial" w:hAnsi="Arial" w:cs="Arial"/>
        </w:rPr>
      </w:pPr>
      <w:r w:rsidRPr="00513C65">
        <w:rPr>
          <w:rFonts w:ascii="Arial" w:hAnsi="Arial" w:cs="Arial"/>
        </w:rPr>
        <w:t>Word count: 1087</w:t>
      </w:r>
    </w:p>
    <w:p w14:paraId="67A49E3F" w14:textId="77777777" w:rsidR="000011AB" w:rsidRPr="00513C65" w:rsidRDefault="000011AB" w:rsidP="00513C65">
      <w:pPr>
        <w:spacing w:line="360" w:lineRule="auto"/>
        <w:rPr>
          <w:rFonts w:ascii="Arial" w:hAnsi="Arial" w:cs="Arial"/>
        </w:rPr>
      </w:pPr>
    </w:p>
    <w:p w14:paraId="5675B58E" w14:textId="77777777" w:rsidR="00E86F81" w:rsidRPr="00513C65" w:rsidRDefault="00E86F81" w:rsidP="00513C65">
      <w:pPr>
        <w:spacing w:line="360" w:lineRule="auto"/>
        <w:rPr>
          <w:rFonts w:ascii="Arial" w:hAnsi="Arial" w:cs="Arial"/>
        </w:rPr>
      </w:pPr>
      <w:r w:rsidRPr="00513C65">
        <w:rPr>
          <w:rFonts w:ascii="Arial" w:hAnsi="Arial" w:cs="Arial"/>
          <w:b/>
          <w:bCs/>
          <w:u w:val="single"/>
        </w:rPr>
        <w:t>Bibliography:</w:t>
      </w:r>
      <w:r w:rsidRPr="00513C65">
        <w:rPr>
          <w:rFonts w:ascii="Arial" w:hAnsi="Arial" w:cs="Arial"/>
        </w:rPr>
        <w:t xml:space="preserve"> </w:t>
      </w:r>
    </w:p>
    <w:p w14:paraId="320556A8" w14:textId="70138F0C" w:rsidR="00E86F81" w:rsidRPr="00513C65" w:rsidRDefault="00E86F81" w:rsidP="00513C65">
      <w:pPr>
        <w:spacing w:line="240" w:lineRule="auto"/>
        <w:rPr>
          <w:rFonts w:ascii="Arial" w:hAnsi="Arial" w:cs="Arial"/>
        </w:rPr>
      </w:pPr>
      <w:r w:rsidRPr="00513C65">
        <w:rPr>
          <w:rFonts w:ascii="Arial" w:hAnsi="Arial" w:cs="Arial"/>
        </w:rPr>
        <w:t xml:space="preserve">Audit Commission (2003) </w:t>
      </w:r>
      <w:r w:rsidRPr="00513C65">
        <w:rPr>
          <w:rFonts w:ascii="Arial" w:hAnsi="Arial" w:cs="Arial"/>
          <w:i/>
          <w:iCs/>
        </w:rPr>
        <w:t>Trust in the Public Sector</w:t>
      </w:r>
      <w:r w:rsidRPr="00513C65">
        <w:rPr>
          <w:rFonts w:ascii="Arial" w:hAnsi="Arial" w:cs="Arial"/>
        </w:rPr>
        <w:t>. London: Audit Commission Public Sector Briefing.</w:t>
      </w:r>
    </w:p>
    <w:p w14:paraId="3963A08B" w14:textId="77777777" w:rsidR="004D04A3" w:rsidRPr="00513C65" w:rsidRDefault="004D04A3" w:rsidP="00513C65">
      <w:pPr>
        <w:spacing w:line="240" w:lineRule="auto"/>
        <w:rPr>
          <w:rFonts w:ascii="Arial" w:hAnsi="Arial" w:cs="Arial"/>
        </w:rPr>
      </w:pPr>
    </w:p>
    <w:p w14:paraId="70744DB7" w14:textId="4D547252" w:rsidR="00E86F81" w:rsidRPr="00513C65" w:rsidRDefault="00E86F81" w:rsidP="00513C65">
      <w:pPr>
        <w:spacing w:line="240" w:lineRule="auto"/>
        <w:rPr>
          <w:rFonts w:ascii="Arial" w:hAnsi="Arial" w:cs="Arial"/>
        </w:rPr>
      </w:pPr>
      <w:r w:rsidRPr="00513C65">
        <w:rPr>
          <w:rFonts w:ascii="Arial" w:hAnsi="Arial" w:cs="Arial"/>
        </w:rPr>
        <w:t xml:space="preserve">Bandura, A. Ross, D. Ross, S (1963) Vicarious Reinforcement and Imitative Learning. </w:t>
      </w:r>
      <w:r w:rsidRPr="00513C65">
        <w:rPr>
          <w:rFonts w:ascii="Arial" w:hAnsi="Arial" w:cs="Arial"/>
          <w:i/>
          <w:iCs/>
        </w:rPr>
        <w:t>Journal of Abnormal and Social Psychology</w:t>
      </w:r>
      <w:r w:rsidRPr="00513C65">
        <w:rPr>
          <w:rFonts w:ascii="Arial" w:hAnsi="Arial" w:cs="Arial"/>
        </w:rPr>
        <w:t>, 67(6), pp.601-607.</w:t>
      </w:r>
    </w:p>
    <w:p w14:paraId="3BB293EC" w14:textId="4CE1A04C" w:rsidR="00E86F81" w:rsidRPr="00513C65" w:rsidRDefault="00E86F81" w:rsidP="00513C65">
      <w:pPr>
        <w:spacing w:line="240" w:lineRule="auto"/>
        <w:rPr>
          <w:rFonts w:ascii="Arial" w:hAnsi="Arial" w:cs="Arial"/>
        </w:rPr>
      </w:pPr>
    </w:p>
    <w:p w14:paraId="04EFF063" w14:textId="77777777" w:rsidR="00C70711" w:rsidRPr="00513C65" w:rsidRDefault="00E86F81" w:rsidP="00513C65">
      <w:pPr>
        <w:spacing w:line="240" w:lineRule="auto"/>
        <w:rPr>
          <w:rFonts w:ascii="Arial" w:hAnsi="Arial" w:cs="Arial"/>
        </w:rPr>
      </w:pPr>
      <w:r w:rsidRPr="00513C65">
        <w:rPr>
          <w:rFonts w:ascii="Arial" w:hAnsi="Arial" w:cs="Arial"/>
        </w:rPr>
        <w:t>Bryant, R and Bryant, S (2019). Blackstone’s Handbook for Policing Students. New York: Oxford University Press, page 5</w:t>
      </w:r>
      <w:r w:rsidRPr="00513C65">
        <w:rPr>
          <w:rFonts w:ascii="Arial" w:hAnsi="Arial" w:cs="Arial"/>
        </w:rPr>
        <w:t>5</w:t>
      </w:r>
      <w:r w:rsidRPr="00513C65">
        <w:rPr>
          <w:rFonts w:ascii="Arial" w:hAnsi="Arial" w:cs="Arial"/>
        </w:rPr>
        <w:t>.</w:t>
      </w:r>
    </w:p>
    <w:p w14:paraId="115B9B1B" w14:textId="365543C4" w:rsidR="00E86F81" w:rsidRPr="00513C65" w:rsidRDefault="00E86F81" w:rsidP="00513C65">
      <w:pPr>
        <w:spacing w:line="240" w:lineRule="auto"/>
        <w:rPr>
          <w:rFonts w:ascii="Arial" w:hAnsi="Arial" w:cs="Arial"/>
        </w:rPr>
      </w:pPr>
      <w:r w:rsidRPr="00513C65">
        <w:rPr>
          <w:rFonts w:ascii="Arial" w:hAnsi="Arial" w:cs="Arial"/>
        </w:rPr>
        <w:lastRenderedPageBreak/>
        <w:t xml:space="preserve">College of Policing (2013) </w:t>
      </w:r>
      <w:r w:rsidRPr="00513C65">
        <w:rPr>
          <w:rFonts w:ascii="Arial" w:hAnsi="Arial" w:cs="Arial"/>
          <w:i/>
          <w:iCs/>
        </w:rPr>
        <w:t>Critical Incident Management.</w:t>
      </w:r>
      <w:r w:rsidRPr="00513C65">
        <w:rPr>
          <w:rFonts w:ascii="Arial" w:hAnsi="Arial" w:cs="Arial"/>
        </w:rPr>
        <w:t xml:space="preserve"> Available at: </w:t>
      </w:r>
      <w:hyperlink r:id="rId5" w:history="1">
        <w:r w:rsidRPr="00513C65">
          <w:rPr>
            <w:rStyle w:val="Hyperlink"/>
            <w:rFonts w:ascii="Arial" w:hAnsi="Arial" w:cs="Arial"/>
          </w:rPr>
          <w:t>https://www.app.college.police.uk/app-content/critical-incident-management/types-of-critical-incident/</w:t>
        </w:r>
      </w:hyperlink>
      <w:r w:rsidRPr="00513C65">
        <w:rPr>
          <w:rFonts w:ascii="Arial" w:hAnsi="Arial" w:cs="Arial"/>
        </w:rPr>
        <w:t xml:space="preserve"> (Accessed 11</w:t>
      </w:r>
      <w:r w:rsidRPr="00513C65">
        <w:rPr>
          <w:rFonts w:ascii="Arial" w:hAnsi="Arial" w:cs="Arial"/>
          <w:vertAlign w:val="superscript"/>
        </w:rPr>
        <w:t>th</w:t>
      </w:r>
      <w:r w:rsidRPr="00513C65">
        <w:rPr>
          <w:rFonts w:ascii="Arial" w:hAnsi="Arial" w:cs="Arial"/>
        </w:rPr>
        <w:t xml:space="preserve"> November 2020)</w:t>
      </w:r>
    </w:p>
    <w:p w14:paraId="00157931" w14:textId="52D70F1D" w:rsidR="004D04A3" w:rsidRPr="00513C65" w:rsidRDefault="004D04A3" w:rsidP="00513C65">
      <w:pPr>
        <w:spacing w:line="240" w:lineRule="auto"/>
        <w:rPr>
          <w:rFonts w:ascii="Arial" w:hAnsi="Arial" w:cs="Arial"/>
        </w:rPr>
      </w:pPr>
    </w:p>
    <w:p w14:paraId="1F6B9BDD" w14:textId="16E81CA4" w:rsidR="004D04A3" w:rsidRPr="00513C65" w:rsidRDefault="004D04A3" w:rsidP="00513C65">
      <w:pPr>
        <w:spacing w:line="240" w:lineRule="auto"/>
        <w:rPr>
          <w:rFonts w:ascii="Arial" w:hAnsi="Arial" w:cs="Arial"/>
        </w:rPr>
      </w:pPr>
      <w:r w:rsidRPr="00513C65">
        <w:rPr>
          <w:rFonts w:ascii="Arial" w:hAnsi="Arial" w:cs="Arial"/>
        </w:rPr>
        <w:t xml:space="preserve">College of Policing (2014) Peel Principles, p.5. Available at: </w:t>
      </w:r>
      <w:hyperlink r:id="rId6" w:history="1">
        <w:r w:rsidRPr="00513C65">
          <w:rPr>
            <w:rStyle w:val="Hyperlink"/>
            <w:rFonts w:ascii="Arial" w:hAnsi="Arial" w:cs="Arial"/>
          </w:rPr>
          <w:t>https://www.college.police.uk/What-we-do/Ethics/Ethics-home/Documents/Code_of_Ethics_ReadingList.pdf</w:t>
        </w:r>
      </w:hyperlink>
    </w:p>
    <w:p w14:paraId="24C1DD02" w14:textId="6AAFA328" w:rsidR="004D04A3" w:rsidRPr="00513C65" w:rsidRDefault="004D04A3" w:rsidP="00513C65">
      <w:pPr>
        <w:spacing w:line="240" w:lineRule="auto"/>
        <w:rPr>
          <w:rFonts w:ascii="Arial" w:hAnsi="Arial" w:cs="Arial"/>
        </w:rPr>
      </w:pPr>
      <w:r w:rsidRPr="00513C65">
        <w:rPr>
          <w:rFonts w:ascii="Arial" w:hAnsi="Arial" w:cs="Arial"/>
        </w:rPr>
        <w:t>(Accessed 11</w:t>
      </w:r>
      <w:r w:rsidRPr="00513C65">
        <w:rPr>
          <w:rFonts w:ascii="Arial" w:hAnsi="Arial" w:cs="Arial"/>
          <w:vertAlign w:val="superscript"/>
        </w:rPr>
        <w:t>th</w:t>
      </w:r>
      <w:r w:rsidRPr="00513C65">
        <w:rPr>
          <w:rFonts w:ascii="Arial" w:hAnsi="Arial" w:cs="Arial"/>
        </w:rPr>
        <w:t xml:space="preserve"> November 2020)</w:t>
      </w:r>
    </w:p>
    <w:p w14:paraId="245BD933" w14:textId="77777777" w:rsidR="00C70711" w:rsidRPr="00513C65" w:rsidRDefault="00C70711" w:rsidP="00513C65">
      <w:pPr>
        <w:spacing w:line="240" w:lineRule="auto"/>
        <w:rPr>
          <w:rFonts w:ascii="Arial" w:hAnsi="Arial" w:cs="Arial"/>
        </w:rPr>
      </w:pPr>
    </w:p>
    <w:p w14:paraId="478E2FB6" w14:textId="5656B5C3" w:rsidR="00C70711" w:rsidRPr="00513C65" w:rsidRDefault="00C70711" w:rsidP="00513C65">
      <w:pPr>
        <w:keepNext/>
        <w:spacing w:line="240" w:lineRule="auto"/>
        <w:ind w:right="237"/>
        <w:rPr>
          <w:rFonts w:ascii="Arial" w:hAnsi="Arial" w:cs="Arial"/>
        </w:rPr>
      </w:pPr>
      <w:r w:rsidRPr="00513C65">
        <w:rPr>
          <w:rFonts w:ascii="Arial" w:hAnsi="Arial" w:cs="Arial"/>
        </w:rPr>
        <w:t>Goldstein, H. (1979). Improving Policing: A Problem-Oriented Approach. </w:t>
      </w:r>
      <w:r w:rsidRPr="00513C65">
        <w:rPr>
          <w:rFonts w:ascii="Arial" w:hAnsi="Arial" w:cs="Arial"/>
          <w:i/>
          <w:iCs/>
        </w:rPr>
        <w:t>Crime and Delinquency.</w:t>
      </w:r>
      <w:r w:rsidRPr="00513C65">
        <w:rPr>
          <w:rFonts w:ascii="Arial" w:hAnsi="Arial" w:cs="Arial"/>
        </w:rPr>
        <w:t xml:space="preserve"> Volume 25 (2), p236-258.</w:t>
      </w:r>
    </w:p>
    <w:p w14:paraId="5787D733" w14:textId="1157A5CF" w:rsidR="00C70711" w:rsidRPr="00513C65" w:rsidRDefault="00C70711" w:rsidP="00513C65">
      <w:pPr>
        <w:keepNext/>
        <w:spacing w:line="240" w:lineRule="auto"/>
        <w:ind w:right="237"/>
        <w:rPr>
          <w:rFonts w:ascii="Arial" w:hAnsi="Arial" w:cs="Arial"/>
        </w:rPr>
      </w:pPr>
    </w:p>
    <w:p w14:paraId="2FE375EC" w14:textId="4A5E6318" w:rsidR="00C70711" w:rsidRPr="00513C65" w:rsidRDefault="00C70711" w:rsidP="00513C65">
      <w:pPr>
        <w:spacing w:line="240" w:lineRule="auto"/>
        <w:rPr>
          <w:rFonts w:ascii="Arial" w:hAnsi="Arial" w:cs="Arial"/>
        </w:rPr>
      </w:pPr>
      <w:r w:rsidRPr="00513C65">
        <w:rPr>
          <w:rFonts w:ascii="Arial" w:hAnsi="Arial" w:cs="Arial"/>
        </w:rPr>
        <w:t xml:space="preserve">Home Office (2014) </w:t>
      </w:r>
      <w:r w:rsidRPr="00513C65">
        <w:rPr>
          <w:rFonts w:ascii="Arial" w:hAnsi="Arial" w:cs="Arial"/>
          <w:i/>
          <w:iCs/>
        </w:rPr>
        <w:t>Code of Ethics Launched</w:t>
      </w:r>
      <w:r w:rsidRPr="00513C65">
        <w:rPr>
          <w:rFonts w:ascii="Arial" w:hAnsi="Arial" w:cs="Arial"/>
        </w:rPr>
        <w:t>. Available at:</w:t>
      </w:r>
      <w:r w:rsidRPr="00513C65">
        <w:rPr>
          <w:rFonts w:ascii="Arial" w:hAnsi="Arial" w:cs="Arial"/>
        </w:rPr>
        <w:t xml:space="preserve"> </w:t>
      </w:r>
      <w:hyperlink r:id="rId7" w:history="1">
        <w:r w:rsidRPr="00513C65">
          <w:rPr>
            <w:rStyle w:val="Hyperlink"/>
            <w:rFonts w:ascii="Arial" w:hAnsi="Arial" w:cs="Arial"/>
          </w:rPr>
          <w:t>https://www.gov.uk/government/news/code-of-ethics-launched</w:t>
        </w:r>
      </w:hyperlink>
      <w:r w:rsidRPr="00513C65">
        <w:rPr>
          <w:rFonts w:ascii="Arial" w:hAnsi="Arial" w:cs="Arial"/>
        </w:rPr>
        <w:t xml:space="preserve"> </w:t>
      </w:r>
      <w:r w:rsidRPr="00513C65">
        <w:rPr>
          <w:rFonts w:ascii="Arial" w:hAnsi="Arial" w:cs="Arial"/>
        </w:rPr>
        <w:t>(Accessed 11</w:t>
      </w:r>
      <w:r w:rsidRPr="00513C65">
        <w:rPr>
          <w:rFonts w:ascii="Arial" w:hAnsi="Arial" w:cs="Arial"/>
          <w:vertAlign w:val="superscript"/>
        </w:rPr>
        <w:t>th</w:t>
      </w:r>
      <w:r w:rsidRPr="00513C65">
        <w:rPr>
          <w:rFonts w:ascii="Arial" w:hAnsi="Arial" w:cs="Arial"/>
        </w:rPr>
        <w:t xml:space="preserve"> November 2020)</w:t>
      </w:r>
      <w:r w:rsidR="00C12404" w:rsidRPr="00513C65">
        <w:rPr>
          <w:rFonts w:ascii="Arial" w:hAnsi="Arial" w:cs="Arial"/>
        </w:rPr>
        <w:t>.</w:t>
      </w:r>
    </w:p>
    <w:p w14:paraId="4555F89A" w14:textId="77777777" w:rsidR="00C70711" w:rsidRPr="00513C65" w:rsidRDefault="00C70711" w:rsidP="00513C65">
      <w:pPr>
        <w:spacing w:line="240" w:lineRule="auto"/>
        <w:rPr>
          <w:rFonts w:ascii="Arial" w:hAnsi="Arial" w:cs="Arial"/>
        </w:rPr>
      </w:pPr>
    </w:p>
    <w:p w14:paraId="2ABBD229" w14:textId="1C339651" w:rsidR="00C70711" w:rsidRPr="00513C65" w:rsidRDefault="00C70711" w:rsidP="00513C65">
      <w:pPr>
        <w:keepNext/>
        <w:spacing w:line="240" w:lineRule="auto"/>
        <w:ind w:right="237"/>
        <w:rPr>
          <w:rFonts w:ascii="Arial" w:hAnsi="Arial" w:cs="Arial"/>
        </w:rPr>
      </w:pPr>
      <w:r w:rsidRPr="00513C65">
        <w:rPr>
          <w:rFonts w:ascii="Arial" w:hAnsi="Arial" w:cs="Arial"/>
        </w:rPr>
        <w:t xml:space="preserve">Institute of Community Cohesion (2010) </w:t>
      </w:r>
      <w:r w:rsidRPr="00513C65">
        <w:rPr>
          <w:rFonts w:ascii="Arial" w:hAnsi="Arial" w:cs="Arial"/>
          <w:i/>
          <w:iCs/>
        </w:rPr>
        <w:t>Understanding and monitoring tension and conflict in local communities</w:t>
      </w:r>
      <w:r w:rsidRPr="00513C65">
        <w:rPr>
          <w:rFonts w:ascii="Arial" w:hAnsi="Arial" w:cs="Arial"/>
        </w:rPr>
        <w:t xml:space="preserve">. Available at: </w:t>
      </w:r>
      <w:hyperlink r:id="rId8" w:history="1">
        <w:r w:rsidRPr="00513C65">
          <w:rPr>
            <w:rStyle w:val="Hyperlink"/>
            <w:rFonts w:ascii="Arial" w:hAnsi="Arial" w:cs="Arial"/>
          </w:rPr>
          <w:t>http://www.tedcantle.co.uk/publication</w:t>
        </w:r>
        <w:r w:rsidRPr="00513C65">
          <w:rPr>
            <w:rStyle w:val="Hyperlink"/>
            <w:rFonts w:ascii="Arial" w:hAnsi="Arial" w:cs="Arial"/>
          </w:rPr>
          <w:t>s</w:t>
        </w:r>
        <w:r w:rsidRPr="00513C65">
          <w:rPr>
            <w:rStyle w:val="Hyperlink"/>
            <w:rFonts w:ascii="Arial" w:hAnsi="Arial" w:cs="Arial"/>
          </w:rPr>
          <w:t>/033%20Tension%20monitoring%20guidance%20iCoCo%202010.pdf</w:t>
        </w:r>
      </w:hyperlink>
      <w:r w:rsidRPr="00513C65">
        <w:rPr>
          <w:rFonts w:ascii="Arial" w:hAnsi="Arial" w:cs="Arial"/>
        </w:rPr>
        <w:t xml:space="preserve"> </w:t>
      </w:r>
      <w:r w:rsidRPr="00513C65">
        <w:rPr>
          <w:rFonts w:ascii="Arial" w:hAnsi="Arial" w:cs="Arial"/>
        </w:rPr>
        <w:t>(Accessed 11</w:t>
      </w:r>
      <w:r w:rsidRPr="00513C65">
        <w:rPr>
          <w:rFonts w:ascii="Arial" w:hAnsi="Arial" w:cs="Arial"/>
          <w:vertAlign w:val="superscript"/>
        </w:rPr>
        <w:t>th</w:t>
      </w:r>
      <w:r w:rsidRPr="00513C65">
        <w:rPr>
          <w:rFonts w:ascii="Arial" w:hAnsi="Arial" w:cs="Arial"/>
        </w:rPr>
        <w:t xml:space="preserve"> November 2020)</w:t>
      </w:r>
    </w:p>
    <w:p w14:paraId="1F552F5C" w14:textId="77777777" w:rsidR="004D04A3" w:rsidRPr="00513C65" w:rsidRDefault="004D04A3" w:rsidP="00513C65">
      <w:pPr>
        <w:spacing w:line="240" w:lineRule="auto"/>
        <w:rPr>
          <w:rFonts w:ascii="Arial" w:hAnsi="Arial" w:cs="Arial"/>
        </w:rPr>
      </w:pPr>
    </w:p>
    <w:p w14:paraId="2206A8C7" w14:textId="4A43BE7C" w:rsidR="004D04A3" w:rsidRPr="00513C65" w:rsidRDefault="004D04A3" w:rsidP="00513C65">
      <w:pPr>
        <w:spacing w:line="240" w:lineRule="auto"/>
        <w:rPr>
          <w:rFonts w:ascii="Arial" w:hAnsi="Arial" w:cs="Arial"/>
        </w:rPr>
      </w:pPr>
      <w:r w:rsidRPr="00513C65">
        <w:rPr>
          <w:rFonts w:ascii="Arial" w:hAnsi="Arial" w:cs="Arial"/>
        </w:rPr>
        <w:t xml:space="preserve">Lowndes, V. Thorpe, L (2011) Interpreting community cohesion: modes, means and mixes. </w:t>
      </w:r>
      <w:r w:rsidRPr="00513C65">
        <w:rPr>
          <w:rFonts w:ascii="Arial" w:hAnsi="Arial" w:cs="Arial"/>
          <w:i/>
          <w:iCs/>
        </w:rPr>
        <w:t xml:space="preserve">Policy and Politics, </w:t>
      </w:r>
      <w:r w:rsidRPr="00513C65">
        <w:rPr>
          <w:rFonts w:ascii="Arial" w:hAnsi="Arial" w:cs="Arial"/>
        </w:rPr>
        <w:t>39(4), pp.513-533</w:t>
      </w:r>
    </w:p>
    <w:p w14:paraId="23EF81DA" w14:textId="77777777" w:rsidR="004D04A3" w:rsidRPr="00513C65" w:rsidRDefault="004D04A3" w:rsidP="00513C65">
      <w:pPr>
        <w:spacing w:line="240" w:lineRule="auto"/>
        <w:rPr>
          <w:rFonts w:ascii="Arial" w:hAnsi="Arial" w:cs="Arial"/>
        </w:rPr>
      </w:pPr>
    </w:p>
    <w:p w14:paraId="4323AA29" w14:textId="77777777" w:rsidR="004D04A3" w:rsidRPr="00513C65" w:rsidRDefault="004D04A3" w:rsidP="00513C65">
      <w:pPr>
        <w:keepNext/>
        <w:spacing w:line="240" w:lineRule="auto"/>
        <w:ind w:right="237"/>
        <w:rPr>
          <w:rFonts w:ascii="Arial" w:hAnsi="Arial" w:cs="Arial"/>
        </w:rPr>
      </w:pPr>
      <w:r w:rsidRPr="00513C65">
        <w:rPr>
          <w:rFonts w:ascii="Arial" w:hAnsi="Arial" w:cs="Arial"/>
        </w:rPr>
        <w:t xml:space="preserve">Paterson, C. Pollock, E (2011) </w:t>
      </w:r>
      <w:r w:rsidRPr="00513C65">
        <w:rPr>
          <w:rFonts w:ascii="Arial" w:hAnsi="Arial" w:cs="Arial"/>
          <w:i/>
          <w:iCs/>
        </w:rPr>
        <w:t>Policing and Criminology</w:t>
      </w:r>
      <w:r w:rsidRPr="00513C65">
        <w:rPr>
          <w:rFonts w:ascii="Arial" w:hAnsi="Arial" w:cs="Arial"/>
        </w:rPr>
        <w:t>. Exeter: Learning Matters Ltd.</w:t>
      </w:r>
    </w:p>
    <w:p w14:paraId="0C5440EB" w14:textId="77777777" w:rsidR="00C70711" w:rsidRPr="00513C65" w:rsidRDefault="00C70711" w:rsidP="00513C65">
      <w:pPr>
        <w:spacing w:line="240" w:lineRule="auto"/>
        <w:rPr>
          <w:rFonts w:ascii="Arial" w:hAnsi="Arial" w:cs="Arial"/>
        </w:rPr>
      </w:pPr>
    </w:p>
    <w:p w14:paraId="37FFCC4B" w14:textId="085DAAD2" w:rsidR="00C70711" w:rsidRPr="00513C65" w:rsidRDefault="00C70711" w:rsidP="00513C65">
      <w:pPr>
        <w:spacing w:line="240" w:lineRule="auto"/>
        <w:rPr>
          <w:rFonts w:ascii="Arial" w:hAnsi="Arial" w:cs="Arial"/>
        </w:rPr>
      </w:pPr>
      <w:r w:rsidRPr="00513C65">
        <w:rPr>
          <w:rFonts w:ascii="Arial" w:hAnsi="Arial" w:cs="Arial"/>
        </w:rPr>
        <w:t xml:space="preserve">Walker, P (2011) ‘Fiona Pilkington case: police face misconduct proceedings’ </w:t>
      </w:r>
      <w:r w:rsidRPr="00513C65">
        <w:rPr>
          <w:rFonts w:ascii="Arial" w:hAnsi="Arial" w:cs="Arial"/>
          <w:i/>
          <w:iCs/>
        </w:rPr>
        <w:t>The Guardian</w:t>
      </w:r>
      <w:r w:rsidRPr="00513C65">
        <w:rPr>
          <w:rFonts w:ascii="Arial" w:hAnsi="Arial" w:cs="Arial"/>
        </w:rPr>
        <w:t>, 24</w:t>
      </w:r>
      <w:r w:rsidRPr="00513C65">
        <w:rPr>
          <w:rFonts w:ascii="Arial" w:hAnsi="Arial" w:cs="Arial"/>
          <w:vertAlign w:val="superscript"/>
        </w:rPr>
        <w:t>th</w:t>
      </w:r>
      <w:r w:rsidRPr="00513C65">
        <w:rPr>
          <w:rFonts w:ascii="Arial" w:hAnsi="Arial" w:cs="Arial"/>
        </w:rPr>
        <w:t xml:space="preserve"> May. Available at: </w:t>
      </w:r>
      <w:hyperlink r:id="rId9" w:history="1">
        <w:r w:rsidRPr="00513C65">
          <w:rPr>
            <w:rStyle w:val="Hyperlink"/>
            <w:rFonts w:ascii="Arial" w:hAnsi="Arial" w:cs="Arial"/>
          </w:rPr>
          <w:t>https://www.theguardian.com/uk/2011/may/24/fiona-pilkington-police-misconduct-proceedings</w:t>
        </w:r>
      </w:hyperlink>
      <w:r w:rsidRPr="00513C65">
        <w:rPr>
          <w:rFonts w:ascii="Arial" w:hAnsi="Arial" w:cs="Arial"/>
        </w:rPr>
        <w:t xml:space="preserve"> </w:t>
      </w:r>
      <w:r w:rsidRPr="00513C65">
        <w:rPr>
          <w:rFonts w:ascii="Arial" w:hAnsi="Arial" w:cs="Arial"/>
        </w:rPr>
        <w:t>(Accessed 11</w:t>
      </w:r>
      <w:r w:rsidRPr="00513C65">
        <w:rPr>
          <w:rFonts w:ascii="Arial" w:hAnsi="Arial" w:cs="Arial"/>
          <w:vertAlign w:val="superscript"/>
        </w:rPr>
        <w:t>th</w:t>
      </w:r>
      <w:r w:rsidRPr="00513C65">
        <w:rPr>
          <w:rFonts w:ascii="Arial" w:hAnsi="Arial" w:cs="Arial"/>
        </w:rPr>
        <w:t xml:space="preserve"> November 2020)</w:t>
      </w:r>
    </w:p>
    <w:p w14:paraId="7C5A7EA6" w14:textId="36B996C6" w:rsidR="00E86F81" w:rsidRPr="00513C65" w:rsidRDefault="00E86F81" w:rsidP="00513C65">
      <w:pPr>
        <w:spacing w:line="360" w:lineRule="auto"/>
        <w:rPr>
          <w:rFonts w:ascii="Arial" w:hAnsi="Arial" w:cs="Arial"/>
        </w:rPr>
      </w:pPr>
    </w:p>
    <w:p w14:paraId="08D9F623" w14:textId="77777777" w:rsidR="00E86F81" w:rsidRPr="00513C65" w:rsidRDefault="00E86F81" w:rsidP="00513C65">
      <w:pPr>
        <w:spacing w:line="360" w:lineRule="auto"/>
        <w:rPr>
          <w:rFonts w:ascii="Arial" w:hAnsi="Arial" w:cs="Arial"/>
        </w:rPr>
      </w:pPr>
    </w:p>
    <w:p w14:paraId="7AE3B53E" w14:textId="269C16F5" w:rsidR="00E86F81" w:rsidRPr="00513C65" w:rsidRDefault="000011AB" w:rsidP="00513C65">
      <w:pPr>
        <w:spacing w:line="360" w:lineRule="auto"/>
        <w:rPr>
          <w:rFonts w:ascii="Arial" w:hAnsi="Arial" w:cs="Arial"/>
          <w:b/>
          <w:bCs/>
          <w:u w:val="single"/>
        </w:rPr>
      </w:pPr>
      <w:r w:rsidRPr="00513C65">
        <w:rPr>
          <w:rFonts w:ascii="Arial" w:hAnsi="Arial" w:cs="Arial"/>
          <w:b/>
          <w:bCs/>
          <w:u w:val="single"/>
        </w:rPr>
        <w:t xml:space="preserve">Title 2: </w:t>
      </w:r>
    </w:p>
    <w:p w14:paraId="06F757EA" w14:textId="77777777" w:rsidR="000011AB" w:rsidRPr="00513C65" w:rsidRDefault="000011AB" w:rsidP="00513C65">
      <w:pPr>
        <w:overflowPunct w:val="0"/>
        <w:autoSpaceDE w:val="0"/>
        <w:autoSpaceDN w:val="0"/>
        <w:adjustRightInd w:val="0"/>
        <w:spacing w:before="240" w:after="0" w:line="360" w:lineRule="auto"/>
        <w:textAlignment w:val="baseline"/>
        <w:rPr>
          <w:rFonts w:ascii="Arial" w:eastAsia="Times New Roman" w:hAnsi="Arial" w:cs="Arial"/>
          <w:lang w:eastAsia="en-GB"/>
        </w:rPr>
      </w:pPr>
      <w:r w:rsidRPr="00513C65">
        <w:rPr>
          <w:rFonts w:ascii="Arial" w:eastAsia="Times New Roman" w:hAnsi="Arial" w:cs="Arial"/>
          <w:lang w:eastAsia="en-GB"/>
        </w:rPr>
        <w:t xml:space="preserve">Understanding crime has been a highly covered topic between scholars as the public have always had an interest on what drives a person to commit a crime. This could be due to a human’s need to for security and by understanding this, they may feel they are better able to prevent crime occurring around them. In this effort, many crime prevention theories have been developed many of which share similar underlying themes but often fail to account at an </w:t>
      </w:r>
      <w:r w:rsidRPr="00513C65">
        <w:rPr>
          <w:rFonts w:ascii="Arial" w:eastAsia="Times New Roman" w:hAnsi="Arial" w:cs="Arial"/>
          <w:lang w:eastAsia="en-GB"/>
        </w:rPr>
        <w:lastRenderedPageBreak/>
        <w:t>individual level. These models are often based around statistical information which has been collated by police intelligence analysts. Collating this information is imperative to modern policing as it allows forces to detect trends in crime and identify repeat and vulnerable victims. This provides the forces with a platform to base a structured and targeted response to tackling the most prevalent crime and safeguard those most at risk of these offenders. During an investigation, the intelligence analysts can compare the ‘modus operandi’ which demonstrates the method in which the crime had been committed. This allows investigators to identify potential suspects based on previous crimes with similar modus operandi as well as understanding how or why they have been committed.</w:t>
      </w:r>
    </w:p>
    <w:p w14:paraId="59F45A03" w14:textId="77777777" w:rsidR="000011AB" w:rsidRPr="00513C65" w:rsidRDefault="000011AB" w:rsidP="00513C65">
      <w:pPr>
        <w:overflowPunct w:val="0"/>
        <w:autoSpaceDE w:val="0"/>
        <w:autoSpaceDN w:val="0"/>
        <w:adjustRightInd w:val="0"/>
        <w:spacing w:before="240" w:after="0" w:line="360" w:lineRule="auto"/>
        <w:ind w:left="360"/>
        <w:textAlignment w:val="baseline"/>
        <w:rPr>
          <w:rFonts w:ascii="Arial" w:eastAsia="Times New Roman" w:hAnsi="Arial" w:cs="Arial"/>
          <w:lang w:eastAsia="en-GB"/>
        </w:rPr>
      </w:pPr>
    </w:p>
    <w:p w14:paraId="0E2E132A" w14:textId="77777777" w:rsidR="000011AB" w:rsidRPr="00513C65" w:rsidRDefault="000011AB" w:rsidP="00513C65">
      <w:pPr>
        <w:overflowPunct w:val="0"/>
        <w:autoSpaceDE w:val="0"/>
        <w:autoSpaceDN w:val="0"/>
        <w:adjustRightInd w:val="0"/>
        <w:spacing w:before="240" w:after="0" w:line="360" w:lineRule="auto"/>
        <w:textAlignment w:val="baseline"/>
        <w:rPr>
          <w:rFonts w:ascii="Arial" w:eastAsia="Times New Roman" w:hAnsi="Arial" w:cs="Arial"/>
          <w:lang w:eastAsia="en-GB"/>
        </w:rPr>
      </w:pPr>
      <w:r w:rsidRPr="00513C65">
        <w:rPr>
          <w:rFonts w:ascii="Arial" w:eastAsia="Times New Roman" w:hAnsi="Arial" w:cs="Arial"/>
          <w:lang w:eastAsia="en-GB"/>
        </w:rPr>
        <w:t xml:space="preserve">      Criminologists regularly see crime as being driven by opportunity rather than active motivation or planning. The Routine Activity Theory (RAT) developed by Cohen and Felson (1980) uses a triangular approach made up of three components: a motivated offender, a potential victim, and the absence of a capable guardian. When all three of these factors are met, it becomes more likely for a crime to occur. This model demonstrates a good basic approach to the detection of crimes and </w:t>
      </w:r>
      <w:proofErr w:type="spellStart"/>
      <w:r w:rsidRPr="00513C65">
        <w:rPr>
          <w:rFonts w:ascii="Arial" w:eastAsia="Times New Roman" w:hAnsi="Arial" w:cs="Arial"/>
          <w:lang w:eastAsia="en-GB"/>
        </w:rPr>
        <w:t>its</w:t>
      </w:r>
      <w:proofErr w:type="spellEnd"/>
      <w:r w:rsidRPr="00513C65">
        <w:rPr>
          <w:rFonts w:ascii="Arial" w:eastAsia="Times New Roman" w:hAnsi="Arial" w:cs="Arial"/>
          <w:lang w:eastAsia="en-GB"/>
        </w:rPr>
        <w:t xml:space="preserve"> likely that without police identifying these factors, the crime may never be detected and addressed appropriately. With specific crimes, the police </w:t>
      </w:r>
      <w:proofErr w:type="gramStart"/>
      <w:r w:rsidRPr="00513C65">
        <w:rPr>
          <w:rFonts w:ascii="Arial" w:eastAsia="Times New Roman" w:hAnsi="Arial" w:cs="Arial"/>
          <w:lang w:eastAsia="en-GB"/>
        </w:rPr>
        <w:t>can be seen as</w:t>
      </w:r>
      <w:proofErr w:type="gramEnd"/>
      <w:r w:rsidRPr="00513C65">
        <w:rPr>
          <w:rFonts w:ascii="Arial" w:eastAsia="Times New Roman" w:hAnsi="Arial" w:cs="Arial"/>
          <w:lang w:eastAsia="en-GB"/>
        </w:rPr>
        <w:t xml:space="preserve"> the ‘capable guardian’, with active patrols in the areas of these potential victims it can act as a deterrent for the offender making it far less likely for the crime to occur. The theory suggests that removing one of these factors will also decrease the likelihood of a crime occurring and the police can adapt this approach by rehabilitating offenders or preventing victimisation. While the theory does have its advantages, it is also highly criticised as it applies too much rationality to the offender’s motivations and does not address it at an individual level. A large portion of offenders commit low level crimes such as shoplifting, </w:t>
      </w:r>
      <w:proofErr w:type="gramStart"/>
      <w:r w:rsidRPr="00513C65">
        <w:rPr>
          <w:rFonts w:ascii="Arial" w:eastAsia="Times New Roman" w:hAnsi="Arial" w:cs="Arial"/>
          <w:lang w:eastAsia="en-GB"/>
        </w:rPr>
        <w:t>in order to</w:t>
      </w:r>
      <w:proofErr w:type="gramEnd"/>
      <w:r w:rsidRPr="00513C65">
        <w:rPr>
          <w:rFonts w:ascii="Arial" w:eastAsia="Times New Roman" w:hAnsi="Arial" w:cs="Arial"/>
          <w:lang w:eastAsia="en-GB"/>
        </w:rPr>
        <w:t xml:space="preserve"> pay for their drug addiction (</w:t>
      </w:r>
      <w:proofErr w:type="spellStart"/>
      <w:r w:rsidRPr="00513C65">
        <w:rPr>
          <w:rFonts w:ascii="Arial" w:eastAsia="Times New Roman" w:hAnsi="Arial" w:cs="Arial"/>
          <w:lang w:eastAsia="en-GB"/>
        </w:rPr>
        <w:t>Nurco</w:t>
      </w:r>
      <w:proofErr w:type="spellEnd"/>
      <w:r w:rsidRPr="00513C65">
        <w:rPr>
          <w:rFonts w:ascii="Arial" w:eastAsia="Times New Roman" w:hAnsi="Arial" w:cs="Arial"/>
          <w:lang w:eastAsia="en-GB"/>
        </w:rPr>
        <w:t xml:space="preserve"> 1987). These offenders may be under the influence at the time and despite a capable guardian being present, they still make efforts to commit the crime as no deterrent is strong enough whilst the addiction is present. In summary, this model addresses the who, how and where but not the why. Understanding the offender’s motives is often a greater tool in crime reduction than the ability to identify the occurrence of a crime.  </w:t>
      </w:r>
    </w:p>
    <w:p w14:paraId="18A1DF38" w14:textId="77777777" w:rsidR="000011AB" w:rsidRPr="00513C65" w:rsidRDefault="000011AB" w:rsidP="00513C65">
      <w:pPr>
        <w:overflowPunct w:val="0"/>
        <w:autoSpaceDE w:val="0"/>
        <w:autoSpaceDN w:val="0"/>
        <w:adjustRightInd w:val="0"/>
        <w:spacing w:before="240" w:after="0" w:line="360" w:lineRule="auto"/>
        <w:ind w:left="360"/>
        <w:textAlignment w:val="baseline"/>
        <w:rPr>
          <w:rFonts w:ascii="Arial" w:eastAsia="Times New Roman" w:hAnsi="Arial" w:cs="Arial"/>
          <w:lang w:eastAsia="en-GB"/>
        </w:rPr>
      </w:pPr>
    </w:p>
    <w:p w14:paraId="14FD1A39" w14:textId="77777777" w:rsidR="000011AB" w:rsidRPr="00513C65" w:rsidRDefault="000011AB" w:rsidP="00513C65">
      <w:pPr>
        <w:overflowPunct w:val="0"/>
        <w:autoSpaceDE w:val="0"/>
        <w:autoSpaceDN w:val="0"/>
        <w:adjustRightInd w:val="0"/>
        <w:spacing w:before="240" w:after="0" w:line="360" w:lineRule="auto"/>
        <w:textAlignment w:val="baseline"/>
        <w:rPr>
          <w:rFonts w:ascii="Arial" w:eastAsia="Times New Roman" w:hAnsi="Arial" w:cs="Arial"/>
          <w:lang w:eastAsia="en-GB"/>
        </w:rPr>
      </w:pPr>
      <w:r w:rsidRPr="00513C65">
        <w:rPr>
          <w:rFonts w:ascii="Arial" w:eastAsia="Times New Roman" w:hAnsi="Arial" w:cs="Arial"/>
          <w:lang w:eastAsia="en-GB"/>
        </w:rPr>
        <w:lastRenderedPageBreak/>
        <w:t xml:space="preserve">     The Situational Crime Prevention theory (SDPT) takes a more methodical approach to this issue. This model is based around making strategic changes to the environment making it more difficult and less appealing for offenders to commit their crimes (Clarke, 1980). Clarke notes ‘offenders will choose to commit a crime based on their perception of available opportunities’. This theory focuses on the reduction of crime rather than its displacement and operates in the same fashion as ‘target hardening’. This is where the responsible guardian makes it more difficult for an offender to commit the crime, this can include installation of security measures such as gates, </w:t>
      </w:r>
      <w:proofErr w:type="gramStart"/>
      <w:r w:rsidRPr="00513C65">
        <w:rPr>
          <w:rFonts w:ascii="Arial" w:eastAsia="Times New Roman" w:hAnsi="Arial" w:cs="Arial"/>
          <w:lang w:eastAsia="en-GB"/>
        </w:rPr>
        <w:t>locks</w:t>
      </w:r>
      <w:proofErr w:type="gramEnd"/>
      <w:r w:rsidRPr="00513C65">
        <w:rPr>
          <w:rFonts w:ascii="Arial" w:eastAsia="Times New Roman" w:hAnsi="Arial" w:cs="Arial"/>
          <w:lang w:eastAsia="en-GB"/>
        </w:rPr>
        <w:t xml:space="preserve"> and CCTV. Furthermore, the removal of the target is equally as effective as without prior knowledge, it prevents the offender the opportunity, usually by concealing the target creating an unknown risk for the offender. Situational Crime Prevention is often a low cost/effort approach which requires little to no maintenance and has a clear impact on the crime or behaviour through making these environmental changes. The effectiveness of this approach has led to it being adopted by businesses who bring innovative security solutions as an incentive for a consumer to purchase their product. For example, a car manufacturer creating an automatic locking system to account for human error when securing their vehicle and thus preventing the opportunity for a crime to occur. Police and local authorities have also adapted this approach to address specific issues within communities. Using evidence-based policing they can tailor the solution to target crime and anti-social behaviour, especially to protect the people and locations which are most vulnerable to repeat victimisation.</w:t>
      </w:r>
    </w:p>
    <w:p w14:paraId="4CE3BCFF" w14:textId="77777777" w:rsidR="000011AB" w:rsidRPr="00513C65" w:rsidRDefault="000011AB" w:rsidP="00513C65">
      <w:pPr>
        <w:overflowPunct w:val="0"/>
        <w:autoSpaceDE w:val="0"/>
        <w:autoSpaceDN w:val="0"/>
        <w:adjustRightInd w:val="0"/>
        <w:spacing w:before="240" w:after="0" w:line="360" w:lineRule="auto"/>
        <w:ind w:left="360"/>
        <w:textAlignment w:val="baseline"/>
        <w:rPr>
          <w:rFonts w:ascii="Arial" w:eastAsia="Times New Roman" w:hAnsi="Arial" w:cs="Arial"/>
          <w:lang w:eastAsia="en-GB"/>
        </w:rPr>
      </w:pPr>
    </w:p>
    <w:p w14:paraId="57D656A1" w14:textId="77777777" w:rsidR="000011AB" w:rsidRPr="00513C65" w:rsidRDefault="000011AB" w:rsidP="00513C65">
      <w:pPr>
        <w:overflowPunct w:val="0"/>
        <w:autoSpaceDE w:val="0"/>
        <w:autoSpaceDN w:val="0"/>
        <w:adjustRightInd w:val="0"/>
        <w:spacing w:before="240" w:after="0" w:line="360" w:lineRule="auto"/>
        <w:textAlignment w:val="baseline"/>
        <w:rPr>
          <w:rFonts w:ascii="Arial" w:eastAsia="Times New Roman" w:hAnsi="Arial" w:cs="Arial"/>
          <w:lang w:eastAsia="en-GB"/>
        </w:rPr>
      </w:pPr>
      <w:r w:rsidRPr="00513C65">
        <w:rPr>
          <w:rFonts w:ascii="Arial" w:eastAsia="Times New Roman" w:hAnsi="Arial" w:cs="Arial"/>
          <w:lang w:eastAsia="en-GB"/>
        </w:rPr>
        <w:t xml:space="preserve">     Huisman and Van </w:t>
      </w:r>
      <w:proofErr w:type="spellStart"/>
      <w:r w:rsidRPr="00513C65">
        <w:rPr>
          <w:rFonts w:ascii="Arial" w:eastAsia="Times New Roman" w:hAnsi="Arial" w:cs="Arial"/>
          <w:lang w:eastAsia="en-GB"/>
        </w:rPr>
        <w:t>Erp</w:t>
      </w:r>
      <w:proofErr w:type="spellEnd"/>
      <w:r w:rsidRPr="00513C65">
        <w:rPr>
          <w:rFonts w:ascii="Arial" w:eastAsia="Times New Roman" w:hAnsi="Arial" w:cs="Arial"/>
          <w:lang w:eastAsia="en-GB"/>
        </w:rPr>
        <w:t xml:space="preserve"> (2013) provide an insightful into the effectiveness of this theory. They explain how SDPT provides a short-term solution to problems but fail to account for the social-economic and infrastructural impact upon the offenders who often commit crimes due to a lack of opportunities in life and therefore a lack of liveable income. This further supports the argument that crime needs to be addressed at a personal level and each offender has different motivations for offending. </w:t>
      </w:r>
      <w:proofErr w:type="gramStart"/>
      <w:r w:rsidRPr="00513C65">
        <w:rPr>
          <w:rFonts w:ascii="Arial" w:eastAsia="Times New Roman" w:hAnsi="Arial" w:cs="Arial"/>
          <w:lang w:eastAsia="en-GB"/>
        </w:rPr>
        <w:t>It’s</w:t>
      </w:r>
      <w:proofErr w:type="gramEnd"/>
      <w:r w:rsidRPr="00513C65">
        <w:rPr>
          <w:rFonts w:ascii="Arial" w:eastAsia="Times New Roman" w:hAnsi="Arial" w:cs="Arial"/>
          <w:lang w:eastAsia="en-GB"/>
        </w:rPr>
        <w:t xml:space="preserve"> clear that one of the most effective ways to reduce crime is through effective rehabilitation using methods that are proven to work. However, this also needs to be balanced within the criminal justice system with convictions providing firm sentences to act as a deterrent to the crime occurring in the first instance. The prior knowledge of low sentence in favour of rehabilitation may provide more motivation for offenders to commit these crimes, safe in the knowledge that they will receive a light punishment. </w:t>
      </w:r>
    </w:p>
    <w:p w14:paraId="54C65014" w14:textId="77777777" w:rsidR="000011AB" w:rsidRPr="00513C65" w:rsidRDefault="000011AB" w:rsidP="00513C65">
      <w:pPr>
        <w:overflowPunct w:val="0"/>
        <w:autoSpaceDE w:val="0"/>
        <w:autoSpaceDN w:val="0"/>
        <w:adjustRightInd w:val="0"/>
        <w:spacing w:before="240" w:after="0" w:line="360" w:lineRule="auto"/>
        <w:textAlignment w:val="baseline"/>
        <w:rPr>
          <w:rFonts w:ascii="Arial" w:eastAsia="Times New Roman" w:hAnsi="Arial" w:cs="Arial"/>
          <w:lang w:eastAsia="en-GB"/>
        </w:rPr>
      </w:pPr>
      <w:r w:rsidRPr="00513C65">
        <w:rPr>
          <w:rFonts w:ascii="Arial" w:eastAsia="Times New Roman" w:hAnsi="Arial" w:cs="Arial"/>
          <w:lang w:eastAsia="en-GB"/>
        </w:rPr>
        <w:lastRenderedPageBreak/>
        <w:t xml:space="preserve">The college of Policing provides a useful toolkit based on analytical research to show what works in tackling crime and anti-social behaviour as well as the rehabilitation methods used to prevent reoffending. This toolkit relies on feedback from the communities and local authorities and provides statistics into the most successful approach. Police </w:t>
      </w:r>
      <w:proofErr w:type="gramStart"/>
      <w:r w:rsidRPr="00513C65">
        <w:rPr>
          <w:rFonts w:ascii="Arial" w:eastAsia="Times New Roman" w:hAnsi="Arial" w:cs="Arial"/>
          <w:lang w:eastAsia="en-GB"/>
        </w:rPr>
        <w:t>are able to</w:t>
      </w:r>
      <w:proofErr w:type="gramEnd"/>
      <w:r w:rsidRPr="00513C65">
        <w:rPr>
          <w:rFonts w:ascii="Arial" w:eastAsia="Times New Roman" w:hAnsi="Arial" w:cs="Arial"/>
          <w:lang w:eastAsia="en-GB"/>
        </w:rPr>
        <w:t xml:space="preserve"> adapt this information and share it within the community using evidence-based policing in order to strategically prevent crime from reoccurring. </w:t>
      </w:r>
    </w:p>
    <w:p w14:paraId="14D0B440" w14:textId="607CC752" w:rsidR="00E86F81" w:rsidRPr="00513C65" w:rsidRDefault="00E86F81" w:rsidP="00513C65">
      <w:pPr>
        <w:spacing w:line="360" w:lineRule="auto"/>
        <w:rPr>
          <w:rFonts w:ascii="Arial" w:eastAsia="Times New Roman" w:hAnsi="Arial" w:cs="Arial"/>
          <w:lang w:eastAsia="en-GB"/>
        </w:rPr>
      </w:pPr>
    </w:p>
    <w:p w14:paraId="2DF783FC" w14:textId="435FA3FA" w:rsidR="000011AB" w:rsidRPr="00513C65" w:rsidRDefault="000011AB" w:rsidP="00513C65">
      <w:pPr>
        <w:spacing w:line="360" w:lineRule="auto"/>
        <w:rPr>
          <w:rFonts w:ascii="Arial" w:eastAsia="Times New Roman" w:hAnsi="Arial" w:cs="Arial"/>
          <w:lang w:eastAsia="en-GB"/>
        </w:rPr>
      </w:pPr>
      <w:r w:rsidRPr="00513C65">
        <w:rPr>
          <w:rFonts w:ascii="Arial" w:eastAsia="Times New Roman" w:hAnsi="Arial" w:cs="Arial"/>
          <w:lang w:eastAsia="en-GB"/>
        </w:rPr>
        <w:t>Word count: 996</w:t>
      </w:r>
    </w:p>
    <w:p w14:paraId="4722802B" w14:textId="119BBD01" w:rsidR="00104DF7" w:rsidRPr="00513C65" w:rsidRDefault="00104DF7" w:rsidP="00513C65">
      <w:pPr>
        <w:spacing w:line="360" w:lineRule="auto"/>
        <w:rPr>
          <w:rFonts w:ascii="Arial" w:eastAsia="Times New Roman" w:hAnsi="Arial" w:cs="Arial"/>
          <w:lang w:eastAsia="en-GB"/>
        </w:rPr>
      </w:pPr>
    </w:p>
    <w:p w14:paraId="668FAEFC" w14:textId="2C1FA538" w:rsidR="00104DF7" w:rsidRPr="00513C65" w:rsidRDefault="00104DF7" w:rsidP="00513C65">
      <w:pPr>
        <w:spacing w:line="360" w:lineRule="auto"/>
        <w:rPr>
          <w:rFonts w:ascii="Arial" w:eastAsia="Times New Roman" w:hAnsi="Arial" w:cs="Arial"/>
          <w:lang w:eastAsia="en-GB"/>
        </w:rPr>
      </w:pPr>
      <w:r w:rsidRPr="00513C65">
        <w:rPr>
          <w:rFonts w:ascii="Arial" w:eastAsia="Times New Roman" w:hAnsi="Arial" w:cs="Arial"/>
          <w:b/>
          <w:bCs/>
          <w:u w:val="single"/>
          <w:lang w:eastAsia="en-GB"/>
        </w:rPr>
        <w:t>Bibliography</w:t>
      </w:r>
      <w:r w:rsidRPr="00513C65">
        <w:rPr>
          <w:rFonts w:ascii="Arial" w:eastAsia="Times New Roman" w:hAnsi="Arial" w:cs="Arial"/>
          <w:lang w:eastAsia="en-GB"/>
        </w:rPr>
        <w:t xml:space="preserve">: </w:t>
      </w:r>
    </w:p>
    <w:p w14:paraId="32F17ECB" w14:textId="77777777" w:rsidR="00104DF7" w:rsidRPr="00513C65" w:rsidRDefault="00104DF7" w:rsidP="00513C6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513C65">
        <w:rPr>
          <w:rFonts w:ascii="Arial" w:eastAsia="Times New Roman" w:hAnsi="Arial" w:cs="Arial"/>
          <w:lang w:eastAsia="en-GB"/>
        </w:rPr>
        <w:t>Cohen, L. Felson, M (1980) ‘</w:t>
      </w:r>
      <w:r w:rsidRPr="00513C65">
        <w:rPr>
          <w:rFonts w:ascii="Arial" w:hAnsi="Arial" w:cs="Arial"/>
          <w:color w:val="202122"/>
          <w:shd w:val="clear" w:color="auto" w:fill="FFFFFF"/>
        </w:rPr>
        <w:t xml:space="preserve">Human Ecology and Crime: A Routine Activity Approach’, </w:t>
      </w:r>
      <w:r w:rsidRPr="00513C65">
        <w:rPr>
          <w:rFonts w:ascii="Arial" w:hAnsi="Arial" w:cs="Arial"/>
          <w:i/>
          <w:iCs/>
          <w:color w:val="202122"/>
          <w:shd w:val="clear" w:color="auto" w:fill="FFFFFF"/>
        </w:rPr>
        <w:t>Human Ecology</w:t>
      </w:r>
      <w:r w:rsidRPr="00513C65">
        <w:rPr>
          <w:rFonts w:ascii="Arial" w:hAnsi="Arial" w:cs="Arial"/>
          <w:color w:val="202122"/>
          <w:shd w:val="clear" w:color="auto" w:fill="FFFFFF"/>
        </w:rPr>
        <w:t>, 8 (4), pp. 389-406</w:t>
      </w:r>
    </w:p>
    <w:p w14:paraId="5512164E" w14:textId="5FAC0324" w:rsidR="00104DF7" w:rsidRPr="00513C65" w:rsidRDefault="00104DF7" w:rsidP="00513C65">
      <w:pPr>
        <w:spacing w:line="240" w:lineRule="auto"/>
        <w:rPr>
          <w:rFonts w:ascii="Arial" w:eastAsia="Times New Roman" w:hAnsi="Arial" w:cs="Arial"/>
          <w:lang w:eastAsia="en-GB"/>
        </w:rPr>
      </w:pPr>
    </w:p>
    <w:p w14:paraId="4D35B28B" w14:textId="77777777" w:rsidR="00104DF7" w:rsidRPr="00513C65" w:rsidRDefault="00104DF7" w:rsidP="00513C6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513C65">
        <w:rPr>
          <w:rFonts w:ascii="Arial" w:eastAsia="Times New Roman" w:hAnsi="Arial" w:cs="Arial"/>
          <w:lang w:eastAsia="en-GB"/>
        </w:rPr>
        <w:t xml:space="preserve">College of Policing (not </w:t>
      </w:r>
      <w:proofErr w:type="spellStart"/>
      <w:r w:rsidRPr="00513C65">
        <w:rPr>
          <w:rFonts w:ascii="Arial" w:eastAsia="Times New Roman" w:hAnsi="Arial" w:cs="Arial"/>
          <w:lang w:eastAsia="en-GB"/>
        </w:rPr>
        <w:t>dated</w:t>
      </w:r>
      <w:proofErr w:type="spellEnd"/>
      <w:r w:rsidRPr="00513C65">
        <w:rPr>
          <w:rFonts w:ascii="Arial" w:eastAsia="Times New Roman" w:hAnsi="Arial" w:cs="Arial"/>
          <w:lang w:eastAsia="en-GB"/>
        </w:rPr>
        <w:t xml:space="preserve">) ‘Crime Reduction Toolkit’, Available at: </w:t>
      </w:r>
      <w:hyperlink r:id="rId10" w:history="1">
        <w:r w:rsidRPr="00513C65">
          <w:rPr>
            <w:rStyle w:val="Hyperlink"/>
            <w:rFonts w:ascii="Arial" w:eastAsia="Times New Roman" w:hAnsi="Arial" w:cs="Arial"/>
            <w:lang w:eastAsia="en-GB"/>
          </w:rPr>
          <w:t>https://whatworks.college.police.uk/toolkit/Pages/Welcome.aspx</w:t>
        </w:r>
      </w:hyperlink>
    </w:p>
    <w:p w14:paraId="2989C14B" w14:textId="2CB05375" w:rsidR="00104DF7" w:rsidRPr="00513C65" w:rsidRDefault="00104DF7" w:rsidP="00513C6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513C65">
        <w:rPr>
          <w:rFonts w:ascii="Arial" w:eastAsia="Times New Roman" w:hAnsi="Arial" w:cs="Arial"/>
          <w:lang w:eastAsia="en-GB"/>
        </w:rPr>
        <w:t>(Accessed 1</w:t>
      </w:r>
      <w:r w:rsidRPr="00513C65">
        <w:rPr>
          <w:rFonts w:ascii="Arial" w:eastAsia="Times New Roman" w:hAnsi="Arial" w:cs="Arial"/>
          <w:vertAlign w:val="superscript"/>
          <w:lang w:eastAsia="en-GB"/>
        </w:rPr>
        <w:t>st</w:t>
      </w:r>
      <w:r w:rsidRPr="00513C65">
        <w:rPr>
          <w:rFonts w:ascii="Arial" w:eastAsia="Times New Roman" w:hAnsi="Arial" w:cs="Arial"/>
          <w:lang w:eastAsia="en-GB"/>
        </w:rPr>
        <w:t xml:space="preserve"> December 2020)</w:t>
      </w:r>
    </w:p>
    <w:p w14:paraId="04E7E228" w14:textId="77777777" w:rsidR="00104DF7" w:rsidRPr="00513C65" w:rsidRDefault="00104DF7" w:rsidP="00513C65">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254B8A77" w14:textId="5E0BC741" w:rsidR="00104DF7" w:rsidRPr="00513C65" w:rsidRDefault="00104DF7" w:rsidP="00513C6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513C65">
        <w:rPr>
          <w:rFonts w:ascii="Arial" w:eastAsia="Times New Roman" w:hAnsi="Arial" w:cs="Arial"/>
          <w:lang w:eastAsia="en-GB"/>
        </w:rPr>
        <w:t xml:space="preserve">The Crime Prevention Website (not </w:t>
      </w:r>
      <w:proofErr w:type="spellStart"/>
      <w:r w:rsidRPr="00513C65">
        <w:rPr>
          <w:rFonts w:ascii="Arial" w:eastAsia="Times New Roman" w:hAnsi="Arial" w:cs="Arial"/>
          <w:lang w:eastAsia="en-GB"/>
        </w:rPr>
        <w:t>dated</w:t>
      </w:r>
      <w:proofErr w:type="spellEnd"/>
      <w:r w:rsidRPr="00513C65">
        <w:rPr>
          <w:rFonts w:ascii="Arial" w:eastAsia="Times New Roman" w:hAnsi="Arial" w:cs="Arial"/>
          <w:lang w:eastAsia="en-GB"/>
        </w:rPr>
        <w:t xml:space="preserve">) ‘Ten </w:t>
      </w:r>
      <w:proofErr w:type="spellStart"/>
      <w:r w:rsidRPr="00513C65">
        <w:rPr>
          <w:rFonts w:ascii="Arial" w:eastAsia="Times New Roman" w:hAnsi="Arial" w:cs="Arial"/>
          <w:lang w:eastAsia="en-GB"/>
        </w:rPr>
        <w:t>Priciniples</w:t>
      </w:r>
      <w:proofErr w:type="spellEnd"/>
      <w:r w:rsidRPr="00513C65">
        <w:rPr>
          <w:rFonts w:ascii="Arial" w:eastAsia="Times New Roman" w:hAnsi="Arial" w:cs="Arial"/>
          <w:lang w:eastAsia="en-GB"/>
        </w:rPr>
        <w:t xml:space="preserve"> of Crime Prevention’. Available at: </w:t>
      </w:r>
      <w:hyperlink r:id="rId11" w:history="1">
        <w:r w:rsidRPr="00513C65">
          <w:rPr>
            <w:rStyle w:val="Hyperlink"/>
            <w:rFonts w:ascii="Arial" w:eastAsia="Times New Roman" w:hAnsi="Arial" w:cs="Arial"/>
            <w:lang w:eastAsia="en-GB"/>
          </w:rPr>
          <w:t>https://thecrimepreventionwebsite.com/police-guidance/720/ten-principles-of-crime-prevention/</w:t>
        </w:r>
      </w:hyperlink>
      <w:r w:rsidRPr="00513C65">
        <w:rPr>
          <w:rFonts w:ascii="Arial" w:eastAsia="Times New Roman" w:hAnsi="Arial" w:cs="Arial"/>
          <w:lang w:eastAsia="en-GB"/>
        </w:rPr>
        <w:t xml:space="preserve"> (Accessed 1</w:t>
      </w:r>
      <w:r w:rsidRPr="00513C65">
        <w:rPr>
          <w:rFonts w:ascii="Arial" w:eastAsia="Times New Roman" w:hAnsi="Arial" w:cs="Arial"/>
          <w:vertAlign w:val="superscript"/>
          <w:lang w:eastAsia="en-GB"/>
        </w:rPr>
        <w:t>st</w:t>
      </w:r>
      <w:r w:rsidRPr="00513C65">
        <w:rPr>
          <w:rFonts w:ascii="Arial" w:eastAsia="Times New Roman" w:hAnsi="Arial" w:cs="Arial"/>
          <w:lang w:eastAsia="en-GB"/>
        </w:rPr>
        <w:t xml:space="preserve"> December 2020)</w:t>
      </w:r>
    </w:p>
    <w:p w14:paraId="3BBD7DED" w14:textId="77777777" w:rsidR="00104DF7" w:rsidRPr="00513C65" w:rsidRDefault="00104DF7" w:rsidP="00513C65">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61875663" w14:textId="069FFF4F" w:rsidR="00104DF7" w:rsidRPr="00513C65" w:rsidRDefault="00104DF7" w:rsidP="00513C6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513C65">
        <w:rPr>
          <w:rFonts w:ascii="Arial" w:eastAsia="Times New Roman" w:hAnsi="Arial" w:cs="Arial"/>
          <w:lang w:eastAsia="en-GB"/>
        </w:rPr>
        <w:t xml:space="preserve">Huisman, W. Van </w:t>
      </w:r>
      <w:proofErr w:type="spellStart"/>
      <w:r w:rsidRPr="00513C65">
        <w:rPr>
          <w:rFonts w:ascii="Arial" w:eastAsia="Times New Roman" w:hAnsi="Arial" w:cs="Arial"/>
          <w:lang w:eastAsia="en-GB"/>
        </w:rPr>
        <w:t>Erp</w:t>
      </w:r>
      <w:proofErr w:type="spellEnd"/>
      <w:r w:rsidRPr="00513C65">
        <w:rPr>
          <w:rFonts w:ascii="Arial" w:eastAsia="Times New Roman" w:hAnsi="Arial" w:cs="Arial"/>
          <w:lang w:eastAsia="en-GB"/>
        </w:rPr>
        <w:t xml:space="preserve">, J (2013) ‘Opportunities for Environmental Crime: A Test of Situational Crime Prevention Theory’, </w:t>
      </w:r>
      <w:r w:rsidRPr="00513C65">
        <w:rPr>
          <w:rFonts w:ascii="Arial" w:eastAsia="Times New Roman" w:hAnsi="Arial" w:cs="Arial"/>
          <w:i/>
          <w:iCs/>
          <w:lang w:eastAsia="en-GB"/>
        </w:rPr>
        <w:t xml:space="preserve">The British Journal of Criminology, </w:t>
      </w:r>
      <w:r w:rsidRPr="00513C65">
        <w:rPr>
          <w:rFonts w:ascii="Arial" w:eastAsia="Times New Roman" w:hAnsi="Arial" w:cs="Arial"/>
          <w:lang w:eastAsia="en-GB"/>
        </w:rPr>
        <w:t xml:space="preserve">53 (6) pp.1178 </w:t>
      </w:r>
      <w:r w:rsidRPr="00513C65">
        <w:rPr>
          <w:rFonts w:ascii="Arial" w:eastAsia="Times New Roman" w:hAnsi="Arial" w:cs="Arial"/>
          <w:lang w:eastAsia="en-GB"/>
        </w:rPr>
        <w:t>–</w:t>
      </w:r>
      <w:r w:rsidRPr="00513C65">
        <w:rPr>
          <w:rFonts w:ascii="Arial" w:eastAsia="Times New Roman" w:hAnsi="Arial" w:cs="Arial"/>
          <w:lang w:eastAsia="en-GB"/>
        </w:rPr>
        <w:t xml:space="preserve"> 1200</w:t>
      </w:r>
    </w:p>
    <w:p w14:paraId="25423162" w14:textId="77777777" w:rsidR="00104DF7" w:rsidRPr="00513C65" w:rsidRDefault="00104DF7" w:rsidP="00513C65">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43123498" w14:textId="2C787C38" w:rsidR="00104DF7" w:rsidRPr="00513C65" w:rsidRDefault="00104DF7" w:rsidP="00513C65">
      <w:pPr>
        <w:overflowPunct w:val="0"/>
        <w:autoSpaceDE w:val="0"/>
        <w:autoSpaceDN w:val="0"/>
        <w:adjustRightInd w:val="0"/>
        <w:spacing w:before="240" w:after="0" w:line="240" w:lineRule="auto"/>
        <w:textAlignment w:val="baseline"/>
        <w:rPr>
          <w:rFonts w:ascii="Arial" w:eastAsia="Times New Roman" w:hAnsi="Arial" w:cs="Arial"/>
          <w:i/>
          <w:iCs/>
          <w:lang w:eastAsia="en-GB"/>
        </w:rPr>
      </w:pPr>
      <w:proofErr w:type="spellStart"/>
      <w:r w:rsidRPr="00513C65">
        <w:rPr>
          <w:rFonts w:ascii="Arial" w:eastAsia="Times New Roman" w:hAnsi="Arial" w:cs="Arial"/>
          <w:lang w:eastAsia="en-GB"/>
        </w:rPr>
        <w:t>Nurco</w:t>
      </w:r>
      <w:proofErr w:type="spellEnd"/>
      <w:r w:rsidRPr="00513C65">
        <w:rPr>
          <w:rFonts w:ascii="Arial" w:eastAsia="Times New Roman" w:hAnsi="Arial" w:cs="Arial"/>
          <w:lang w:eastAsia="en-GB"/>
        </w:rPr>
        <w:t xml:space="preserve">, D (1987) ‘Drug addiction and crime: a complicated issue’, </w:t>
      </w:r>
      <w:r w:rsidRPr="00513C65">
        <w:rPr>
          <w:rFonts w:ascii="Arial" w:eastAsia="Times New Roman" w:hAnsi="Arial" w:cs="Arial"/>
          <w:i/>
          <w:iCs/>
          <w:lang w:eastAsia="en-GB"/>
        </w:rPr>
        <w:t>British Journal of Addiction, 82, pp. 7-9.</w:t>
      </w:r>
    </w:p>
    <w:p w14:paraId="7198D94D" w14:textId="77777777" w:rsidR="00104DF7" w:rsidRPr="00513C65" w:rsidRDefault="00104DF7" w:rsidP="00513C65">
      <w:pPr>
        <w:overflowPunct w:val="0"/>
        <w:autoSpaceDE w:val="0"/>
        <w:autoSpaceDN w:val="0"/>
        <w:adjustRightInd w:val="0"/>
        <w:spacing w:before="240" w:after="0" w:line="360" w:lineRule="auto"/>
        <w:textAlignment w:val="baseline"/>
        <w:rPr>
          <w:rFonts w:ascii="Arial" w:eastAsia="Times New Roman" w:hAnsi="Arial" w:cs="Arial"/>
          <w:lang w:eastAsia="en-GB"/>
        </w:rPr>
      </w:pPr>
    </w:p>
    <w:p w14:paraId="037E7498" w14:textId="77777777" w:rsidR="00104DF7" w:rsidRPr="00513C65" w:rsidRDefault="00104DF7" w:rsidP="00513C65">
      <w:pPr>
        <w:overflowPunct w:val="0"/>
        <w:autoSpaceDE w:val="0"/>
        <w:autoSpaceDN w:val="0"/>
        <w:adjustRightInd w:val="0"/>
        <w:spacing w:before="240" w:after="0" w:line="360" w:lineRule="auto"/>
        <w:textAlignment w:val="baseline"/>
        <w:rPr>
          <w:rFonts w:ascii="Arial" w:eastAsia="Times New Roman" w:hAnsi="Arial" w:cs="Arial"/>
          <w:lang w:eastAsia="en-GB"/>
        </w:rPr>
      </w:pPr>
    </w:p>
    <w:p w14:paraId="650172C3" w14:textId="77777777" w:rsidR="00104DF7" w:rsidRPr="00513C65" w:rsidRDefault="00104DF7" w:rsidP="00513C65">
      <w:pPr>
        <w:spacing w:line="360" w:lineRule="auto"/>
        <w:rPr>
          <w:rFonts w:ascii="Arial" w:eastAsia="Times New Roman" w:hAnsi="Arial" w:cs="Arial"/>
          <w:lang w:eastAsia="en-GB"/>
        </w:rPr>
      </w:pPr>
    </w:p>
    <w:p w14:paraId="4CC94584" w14:textId="77777777" w:rsidR="000011AB" w:rsidRPr="00513C65" w:rsidRDefault="000011AB" w:rsidP="00513C65">
      <w:pPr>
        <w:spacing w:line="360" w:lineRule="auto"/>
        <w:rPr>
          <w:rFonts w:ascii="Arial" w:hAnsi="Arial" w:cs="Arial"/>
          <w:b/>
          <w:bCs/>
          <w:u w:val="single"/>
        </w:rPr>
      </w:pPr>
    </w:p>
    <w:p w14:paraId="399B491C" w14:textId="2794DC35" w:rsidR="00AE3E15" w:rsidRPr="00513C65" w:rsidRDefault="008E10A1" w:rsidP="00513C65">
      <w:pPr>
        <w:spacing w:line="360" w:lineRule="auto"/>
        <w:rPr>
          <w:rFonts w:ascii="Arial" w:hAnsi="Arial" w:cs="Arial"/>
          <w:b/>
          <w:bCs/>
          <w:u w:val="single"/>
        </w:rPr>
      </w:pPr>
      <w:r w:rsidRPr="00513C65">
        <w:rPr>
          <w:rFonts w:ascii="Arial" w:hAnsi="Arial" w:cs="Arial"/>
          <w:b/>
          <w:bCs/>
          <w:u w:val="single"/>
        </w:rPr>
        <w:lastRenderedPageBreak/>
        <w:t xml:space="preserve">Title 3: </w:t>
      </w:r>
    </w:p>
    <w:p w14:paraId="12B2F80C" w14:textId="77777777" w:rsidR="00FE3C4D" w:rsidRPr="00513C65" w:rsidRDefault="00FE3C4D" w:rsidP="00513C65">
      <w:pPr>
        <w:spacing w:line="360" w:lineRule="auto"/>
        <w:rPr>
          <w:rFonts w:ascii="Arial" w:hAnsi="Arial" w:cs="Arial"/>
        </w:rPr>
      </w:pPr>
    </w:p>
    <w:p w14:paraId="620E965B" w14:textId="7FDA2923" w:rsidR="00B959CE" w:rsidRPr="00513C65" w:rsidRDefault="00B959CE" w:rsidP="00513C65">
      <w:pPr>
        <w:spacing w:line="360" w:lineRule="auto"/>
        <w:rPr>
          <w:rFonts w:ascii="Arial" w:hAnsi="Arial" w:cs="Arial"/>
        </w:rPr>
      </w:pPr>
      <w:r w:rsidRPr="00513C65">
        <w:rPr>
          <w:rFonts w:ascii="Arial" w:hAnsi="Arial" w:cs="Arial"/>
        </w:rPr>
        <w:t xml:space="preserve">Modern day policing encompasses a variety of complex scenarios on a day-to-day basis, within the police services. It is said that no two days are the same, I believe that this is down to the variation of people from different backgrounds. However, typically days consist of calls of the same nature including mental health, domestic </w:t>
      </w:r>
      <w:proofErr w:type="gramStart"/>
      <w:r w:rsidRPr="00513C65">
        <w:rPr>
          <w:rFonts w:ascii="Arial" w:hAnsi="Arial" w:cs="Arial"/>
        </w:rPr>
        <w:t>abuse</w:t>
      </w:r>
      <w:proofErr w:type="gramEnd"/>
      <w:r w:rsidRPr="00513C65">
        <w:rPr>
          <w:rFonts w:ascii="Arial" w:hAnsi="Arial" w:cs="Arial"/>
        </w:rPr>
        <w:t xml:space="preserve"> and anti-social behaviour. While on duty, officers tackle a range of complicated social dilemmas in which they are expected to both uphold the law and enhance the state of the community. These issues provide their own challenges as they can often contradict what can be expected of a law enforcement officer, for the greater good of the community.  </w:t>
      </w:r>
    </w:p>
    <w:p w14:paraId="6F6933A6" w14:textId="31EF64F6" w:rsidR="00B959CE" w:rsidRPr="00513C65" w:rsidRDefault="00B959CE" w:rsidP="00513C65">
      <w:pPr>
        <w:spacing w:line="360" w:lineRule="auto"/>
        <w:rPr>
          <w:rFonts w:ascii="Arial" w:hAnsi="Arial" w:cs="Arial"/>
        </w:rPr>
      </w:pPr>
    </w:p>
    <w:p w14:paraId="4F9C26C0" w14:textId="79F593F8" w:rsidR="006F7DEB" w:rsidRPr="00513C65" w:rsidRDefault="00B959CE" w:rsidP="00513C65">
      <w:pPr>
        <w:spacing w:line="360" w:lineRule="auto"/>
        <w:rPr>
          <w:rFonts w:ascii="Arial" w:hAnsi="Arial" w:cs="Arial"/>
        </w:rPr>
      </w:pPr>
      <w:r w:rsidRPr="00513C65">
        <w:rPr>
          <w:rFonts w:ascii="Arial" w:hAnsi="Arial" w:cs="Arial"/>
        </w:rPr>
        <w:t xml:space="preserve">     </w:t>
      </w:r>
      <w:r w:rsidR="00EA4826" w:rsidRPr="00513C65">
        <w:rPr>
          <w:rFonts w:ascii="Arial" w:hAnsi="Arial" w:cs="Arial"/>
        </w:rPr>
        <w:t>During</w:t>
      </w:r>
      <w:r w:rsidRPr="00513C65">
        <w:rPr>
          <w:rFonts w:ascii="Arial" w:hAnsi="Arial" w:cs="Arial"/>
        </w:rPr>
        <w:t xml:space="preserve"> </w:t>
      </w:r>
      <w:r w:rsidR="00EA4826" w:rsidRPr="00513C65">
        <w:rPr>
          <w:rFonts w:ascii="Arial" w:hAnsi="Arial" w:cs="Arial"/>
        </w:rPr>
        <w:t>uncommon</w:t>
      </w:r>
      <w:r w:rsidRPr="00513C65">
        <w:rPr>
          <w:rFonts w:ascii="Arial" w:hAnsi="Arial" w:cs="Arial"/>
        </w:rPr>
        <w:t xml:space="preserve"> </w:t>
      </w:r>
      <w:proofErr w:type="gramStart"/>
      <w:r w:rsidRPr="00513C65">
        <w:rPr>
          <w:rFonts w:ascii="Arial" w:hAnsi="Arial" w:cs="Arial"/>
        </w:rPr>
        <w:t>occasions</w:t>
      </w:r>
      <w:proofErr w:type="gramEnd"/>
      <w:r w:rsidRPr="00513C65">
        <w:rPr>
          <w:rFonts w:ascii="Arial" w:hAnsi="Arial" w:cs="Arial"/>
        </w:rPr>
        <w:t xml:space="preserve"> the police will encounter a ‘Critical </w:t>
      </w:r>
      <w:r w:rsidR="00D676AF" w:rsidRPr="00513C65">
        <w:rPr>
          <w:rFonts w:ascii="Arial" w:hAnsi="Arial" w:cs="Arial"/>
        </w:rPr>
        <w:t>Incident</w:t>
      </w:r>
      <w:r w:rsidRPr="00513C65">
        <w:rPr>
          <w:rFonts w:ascii="Arial" w:hAnsi="Arial" w:cs="Arial"/>
        </w:rPr>
        <w:t>’</w:t>
      </w:r>
      <w:r w:rsidR="00D676AF" w:rsidRPr="00513C65">
        <w:rPr>
          <w:rFonts w:ascii="Arial" w:hAnsi="Arial" w:cs="Arial"/>
        </w:rPr>
        <w:t xml:space="preserve">, the College of Policing defines this as “any incident where the effectiveness of the police response is likely to have a significant impact on the confidence of the victim, their family and/or the community (2020). </w:t>
      </w:r>
      <w:r w:rsidR="00FE3C4D" w:rsidRPr="00513C65">
        <w:rPr>
          <w:rFonts w:ascii="Arial" w:hAnsi="Arial" w:cs="Arial"/>
        </w:rPr>
        <w:t xml:space="preserve">This ‘response’ is not necessarily an immediate action but rather the overall actions including investigatory work after the fact. Many calls prove to be complex and challenging for attending officers, notably in my experience are those relating to mental health. These issues are never the same and </w:t>
      </w:r>
      <w:proofErr w:type="gramStart"/>
      <w:r w:rsidR="00FE3C4D" w:rsidRPr="00513C65">
        <w:rPr>
          <w:rFonts w:ascii="Arial" w:hAnsi="Arial" w:cs="Arial"/>
        </w:rPr>
        <w:t>each individual</w:t>
      </w:r>
      <w:proofErr w:type="gramEnd"/>
      <w:r w:rsidR="00FE3C4D" w:rsidRPr="00513C65">
        <w:rPr>
          <w:rFonts w:ascii="Arial" w:hAnsi="Arial" w:cs="Arial"/>
        </w:rPr>
        <w:t xml:space="preserve"> encountered may be suffering from a vari</w:t>
      </w:r>
      <w:r w:rsidR="00EA4826" w:rsidRPr="00513C65">
        <w:rPr>
          <w:rFonts w:ascii="Arial" w:hAnsi="Arial" w:cs="Arial"/>
        </w:rPr>
        <w:t xml:space="preserve">ation </w:t>
      </w:r>
      <w:r w:rsidR="00FE3C4D" w:rsidRPr="00513C65">
        <w:rPr>
          <w:rFonts w:ascii="Arial" w:hAnsi="Arial" w:cs="Arial"/>
        </w:rPr>
        <w:t xml:space="preserve">of mental ill health and in most </w:t>
      </w:r>
      <w:r w:rsidR="00C448C7" w:rsidRPr="00513C65">
        <w:rPr>
          <w:rFonts w:ascii="Arial" w:hAnsi="Arial" w:cs="Arial"/>
        </w:rPr>
        <w:t>cases,</w:t>
      </w:r>
      <w:r w:rsidR="00FE3C4D" w:rsidRPr="00513C65">
        <w:rPr>
          <w:rFonts w:ascii="Arial" w:hAnsi="Arial" w:cs="Arial"/>
        </w:rPr>
        <w:t xml:space="preserve"> they are expecting a medical professional to attend but instead are subject to police attendance. With limited training in mental health, police have little experience in these matters and often </w:t>
      </w:r>
      <w:r w:rsidR="00EA4826" w:rsidRPr="00513C65">
        <w:rPr>
          <w:rFonts w:ascii="Arial" w:hAnsi="Arial" w:cs="Arial"/>
        </w:rPr>
        <w:t>must</w:t>
      </w:r>
      <w:r w:rsidR="00FE3C4D" w:rsidRPr="00513C65">
        <w:rPr>
          <w:rFonts w:ascii="Arial" w:hAnsi="Arial" w:cs="Arial"/>
        </w:rPr>
        <w:t xml:space="preserve"> use their limited number of powers under the Mental Health Act (1983). </w:t>
      </w:r>
      <w:r w:rsidR="00C448C7" w:rsidRPr="00513C65">
        <w:rPr>
          <w:rFonts w:ascii="Arial" w:hAnsi="Arial" w:cs="Arial"/>
        </w:rPr>
        <w:t>This can be detrimental on the</w:t>
      </w:r>
      <w:r w:rsidR="006F7DEB" w:rsidRPr="00513C65">
        <w:rPr>
          <w:rFonts w:ascii="Arial" w:hAnsi="Arial" w:cs="Arial"/>
        </w:rPr>
        <w:t xml:space="preserve"> health of the subject as they are detained and forcefully taken to hospital because they have likely threatened to harm themselves.</w:t>
      </w:r>
      <w:r w:rsidR="00DA03CA" w:rsidRPr="00513C65">
        <w:rPr>
          <w:rFonts w:ascii="Arial" w:hAnsi="Arial" w:cs="Arial"/>
        </w:rPr>
        <w:t xml:space="preserve"> </w:t>
      </w:r>
      <w:proofErr w:type="spellStart"/>
      <w:r w:rsidR="00DA03CA" w:rsidRPr="00513C65">
        <w:rPr>
          <w:rFonts w:ascii="Arial" w:hAnsi="Arial" w:cs="Arial"/>
        </w:rPr>
        <w:t>Locard’s</w:t>
      </w:r>
      <w:proofErr w:type="spellEnd"/>
      <w:r w:rsidR="00DA03CA" w:rsidRPr="00513C65">
        <w:rPr>
          <w:rFonts w:ascii="Arial" w:hAnsi="Arial" w:cs="Arial"/>
        </w:rPr>
        <w:t xml:space="preserve"> exchange principle explains that every contact leaves a trace</w:t>
      </w:r>
      <w:r w:rsidR="00355DC7" w:rsidRPr="00513C65">
        <w:rPr>
          <w:rFonts w:ascii="Arial" w:hAnsi="Arial" w:cs="Arial"/>
        </w:rPr>
        <w:t xml:space="preserve"> (Sammons 2014)</w:t>
      </w:r>
      <w:r w:rsidR="00DA03CA" w:rsidRPr="00513C65">
        <w:rPr>
          <w:rFonts w:ascii="Arial" w:hAnsi="Arial" w:cs="Arial"/>
        </w:rPr>
        <w:t>, this can also be seen in the mental health of the public and their perception of police. Should the subject have a positive experience with police during their crisis, they are more likely to be open to services going forward</w:t>
      </w:r>
      <w:r w:rsidR="001047F3" w:rsidRPr="00513C65">
        <w:rPr>
          <w:rFonts w:ascii="Arial" w:hAnsi="Arial" w:cs="Arial"/>
        </w:rPr>
        <w:t>, leaving a positive trace on the person.</w:t>
      </w:r>
    </w:p>
    <w:p w14:paraId="705790CE" w14:textId="589E804E" w:rsidR="00D676AF" w:rsidRPr="00513C65" w:rsidRDefault="006F7DEB" w:rsidP="00513C65">
      <w:pPr>
        <w:spacing w:line="360" w:lineRule="auto"/>
        <w:rPr>
          <w:rFonts w:ascii="Arial" w:hAnsi="Arial" w:cs="Arial"/>
        </w:rPr>
      </w:pPr>
      <w:r w:rsidRPr="00513C65">
        <w:rPr>
          <w:rFonts w:ascii="Arial" w:hAnsi="Arial" w:cs="Arial"/>
        </w:rPr>
        <w:t xml:space="preserve">      Alternatively, </w:t>
      </w:r>
      <w:r w:rsidR="00D84A24" w:rsidRPr="00513C65">
        <w:rPr>
          <w:rFonts w:ascii="Arial" w:hAnsi="Arial" w:cs="Arial"/>
        </w:rPr>
        <w:t>it is</w:t>
      </w:r>
      <w:r w:rsidRPr="00513C65">
        <w:rPr>
          <w:rFonts w:ascii="Arial" w:hAnsi="Arial" w:cs="Arial"/>
        </w:rPr>
        <w:t xml:space="preserve"> difficult to critique the officers using these powers as they are presented a difficult scenario with limited resolutions. Should they dismiss the suicidal claims and the subject harmed themselves, the officers would likely be subject to disciplinary action. </w:t>
      </w:r>
      <w:r w:rsidR="001767DC" w:rsidRPr="00513C65">
        <w:rPr>
          <w:rFonts w:ascii="Arial" w:hAnsi="Arial" w:cs="Arial"/>
        </w:rPr>
        <w:t xml:space="preserve">Lane states that due to underfunding and mismanagement of the UK’s mental health services, concerns are </w:t>
      </w:r>
      <w:r w:rsidR="001767DC" w:rsidRPr="00513C65">
        <w:rPr>
          <w:rFonts w:ascii="Arial" w:hAnsi="Arial" w:cs="Arial"/>
        </w:rPr>
        <w:lastRenderedPageBreak/>
        <w:t>raised as to whether officers are being forced to take a leading role in mental health care with little to no training. (2019)</w:t>
      </w:r>
    </w:p>
    <w:p w14:paraId="200E0D17" w14:textId="77777777" w:rsidR="00AE3E15" w:rsidRPr="00513C65" w:rsidRDefault="00AE3E15" w:rsidP="00513C65">
      <w:pPr>
        <w:spacing w:line="360" w:lineRule="auto"/>
        <w:rPr>
          <w:rFonts w:ascii="Arial" w:hAnsi="Arial" w:cs="Arial"/>
        </w:rPr>
      </w:pPr>
    </w:p>
    <w:p w14:paraId="1068C902" w14:textId="5806563F" w:rsidR="00D84A24" w:rsidRPr="00513C65" w:rsidRDefault="00D84A24" w:rsidP="00513C65">
      <w:pPr>
        <w:spacing w:line="360" w:lineRule="auto"/>
        <w:rPr>
          <w:rFonts w:ascii="Arial" w:hAnsi="Arial" w:cs="Arial"/>
        </w:rPr>
      </w:pPr>
      <w:r w:rsidRPr="00513C65">
        <w:rPr>
          <w:rFonts w:ascii="Arial" w:hAnsi="Arial" w:cs="Arial"/>
        </w:rPr>
        <w:t xml:space="preserve">     </w:t>
      </w:r>
      <w:r w:rsidR="00410994" w:rsidRPr="00513C65">
        <w:rPr>
          <w:rFonts w:ascii="Arial" w:hAnsi="Arial" w:cs="Arial"/>
        </w:rPr>
        <w:t>On a similar note, a</w:t>
      </w:r>
      <w:r w:rsidRPr="00513C65">
        <w:rPr>
          <w:rFonts w:ascii="Arial" w:hAnsi="Arial" w:cs="Arial"/>
        </w:rPr>
        <w:t xml:space="preserve"> major incident can be either spontaneous</w:t>
      </w:r>
      <w:r w:rsidR="00B550CB" w:rsidRPr="00513C65">
        <w:rPr>
          <w:rFonts w:ascii="Arial" w:hAnsi="Arial" w:cs="Arial"/>
        </w:rPr>
        <w:t xml:space="preserve"> or</w:t>
      </w:r>
      <w:r w:rsidRPr="00513C65">
        <w:rPr>
          <w:rFonts w:ascii="Arial" w:hAnsi="Arial" w:cs="Arial"/>
        </w:rPr>
        <w:t xml:space="preserve"> pre-planned, most major incidents are also critical incidents. However, these require a response from more emergency services and partner agencies, typically involving </w:t>
      </w:r>
      <w:proofErr w:type="gramStart"/>
      <w:r w:rsidRPr="00513C65">
        <w:rPr>
          <w:rFonts w:ascii="Arial" w:hAnsi="Arial" w:cs="Arial"/>
        </w:rPr>
        <w:t>a large number of</w:t>
      </w:r>
      <w:proofErr w:type="gramEnd"/>
      <w:r w:rsidRPr="00513C65">
        <w:rPr>
          <w:rFonts w:ascii="Arial" w:hAnsi="Arial" w:cs="Arial"/>
        </w:rPr>
        <w:t xml:space="preserve"> services working in co-operation (College of Policing 2018)</w:t>
      </w:r>
      <w:r w:rsidR="001C7B87" w:rsidRPr="00513C65">
        <w:rPr>
          <w:rFonts w:ascii="Arial" w:hAnsi="Arial" w:cs="Arial"/>
        </w:rPr>
        <w:t>.</w:t>
      </w:r>
      <w:r w:rsidR="00AE3E15" w:rsidRPr="00513C65">
        <w:rPr>
          <w:rFonts w:ascii="Arial" w:hAnsi="Arial" w:cs="Arial"/>
        </w:rPr>
        <w:t xml:space="preserve"> The initial role of a police officer during major incidents is to act as a first responder by preserving life or limb, administering first aid, dealing with relevant offences, but also the preservation and gathering of evidence.</w:t>
      </w:r>
      <w:r w:rsidR="00595FC8" w:rsidRPr="00513C65">
        <w:rPr>
          <w:rFonts w:ascii="Arial" w:hAnsi="Arial" w:cs="Arial"/>
        </w:rPr>
        <w:t xml:space="preserve"> Officers following the acronym ‘METHANE’, Major Incident, Exact Location, Type of Incident, Hazards, Access, Number of Casualties, Emergency services required. This assists them in dealing with these incidents</w:t>
      </w:r>
      <w:r w:rsidR="00AE3E15" w:rsidRPr="00513C65">
        <w:rPr>
          <w:rFonts w:ascii="Arial" w:hAnsi="Arial" w:cs="Arial"/>
        </w:rPr>
        <w:t xml:space="preserve"> </w:t>
      </w:r>
      <w:r w:rsidR="00595FC8" w:rsidRPr="00513C65">
        <w:rPr>
          <w:rFonts w:ascii="Arial" w:hAnsi="Arial" w:cs="Arial"/>
        </w:rPr>
        <w:t xml:space="preserve">by giving them a framework to go by. </w:t>
      </w:r>
      <w:r w:rsidR="00AE3E15" w:rsidRPr="00513C65">
        <w:rPr>
          <w:rFonts w:ascii="Arial" w:hAnsi="Arial" w:cs="Arial"/>
        </w:rPr>
        <w:t xml:space="preserve">A responding officer can identify the key signs of a major/critical incident, but only an officer at least the rank of inspector can call it. For this reason, it is imperative that officers maintain their role as independent professional evidence gatherers which will form part of their effective response. Sir William Macpherson’s inquiry into the death of Stephen Lawrence in 1993 found that some incidents which are not properly managed can have a significant impact on the victims and the community (MacPherson 1999). </w:t>
      </w:r>
    </w:p>
    <w:p w14:paraId="734241F7" w14:textId="2F6A831A" w:rsidR="00AE3E15" w:rsidRPr="00513C65" w:rsidRDefault="00595FC8" w:rsidP="00513C65">
      <w:pPr>
        <w:spacing w:line="360" w:lineRule="auto"/>
        <w:rPr>
          <w:rFonts w:ascii="Arial" w:hAnsi="Arial" w:cs="Arial"/>
        </w:rPr>
      </w:pPr>
      <w:r w:rsidRPr="00513C65">
        <w:rPr>
          <w:rFonts w:ascii="Arial" w:hAnsi="Arial" w:cs="Arial"/>
        </w:rPr>
        <w:t xml:space="preserve">     </w:t>
      </w:r>
      <w:r w:rsidR="00AE3E15" w:rsidRPr="00513C65">
        <w:rPr>
          <w:rFonts w:ascii="Arial" w:hAnsi="Arial" w:cs="Arial"/>
        </w:rPr>
        <w:t>The primary role of the police force during such incidents is to implement ‘critical incident management’</w:t>
      </w:r>
      <w:r w:rsidR="00D9127B" w:rsidRPr="00513C65">
        <w:rPr>
          <w:rFonts w:ascii="Arial" w:hAnsi="Arial" w:cs="Arial"/>
        </w:rPr>
        <w:t xml:space="preserve"> (CIM). This originates from the Stephen Lawrence inquiry and its </w:t>
      </w:r>
      <w:proofErr w:type="gramStart"/>
      <w:r w:rsidR="00D9127B" w:rsidRPr="00513C65">
        <w:rPr>
          <w:rFonts w:ascii="Arial" w:hAnsi="Arial" w:cs="Arial"/>
        </w:rPr>
        <w:t>main focus</w:t>
      </w:r>
      <w:proofErr w:type="gramEnd"/>
      <w:r w:rsidR="00D9127B" w:rsidRPr="00513C65">
        <w:rPr>
          <w:rFonts w:ascii="Arial" w:hAnsi="Arial" w:cs="Arial"/>
        </w:rPr>
        <w:t xml:space="preserve"> is risk management. </w:t>
      </w:r>
      <w:r w:rsidR="00DD4A74" w:rsidRPr="00513C65">
        <w:rPr>
          <w:rFonts w:ascii="Arial" w:hAnsi="Arial" w:cs="Arial"/>
        </w:rPr>
        <w:t xml:space="preserve">It contains 3 main stages: preparing, </w:t>
      </w:r>
      <w:proofErr w:type="gramStart"/>
      <w:r w:rsidR="00DD4A74" w:rsidRPr="00513C65">
        <w:rPr>
          <w:rFonts w:ascii="Arial" w:hAnsi="Arial" w:cs="Arial"/>
        </w:rPr>
        <w:t>managing</w:t>
      </w:r>
      <w:proofErr w:type="gramEnd"/>
      <w:r w:rsidR="00DD4A74" w:rsidRPr="00513C65">
        <w:rPr>
          <w:rFonts w:ascii="Arial" w:hAnsi="Arial" w:cs="Arial"/>
        </w:rPr>
        <w:t xml:space="preserve"> and restoring public confidence. </w:t>
      </w:r>
      <w:r w:rsidR="00D9127B" w:rsidRPr="00513C65">
        <w:rPr>
          <w:rFonts w:ascii="Arial" w:hAnsi="Arial" w:cs="Arial"/>
        </w:rPr>
        <w:t>The aim of CIM is to ‘provide a response which satisfies the needs of the victim, their family and the community and provides an effective outcome to the incident’ (College of Policing 20</w:t>
      </w:r>
      <w:r w:rsidR="00463FA9" w:rsidRPr="00513C65">
        <w:rPr>
          <w:rFonts w:ascii="Arial" w:hAnsi="Arial" w:cs="Arial"/>
        </w:rPr>
        <w:t>20</w:t>
      </w:r>
      <w:r w:rsidR="00D9127B" w:rsidRPr="00513C65">
        <w:rPr>
          <w:rFonts w:ascii="Arial" w:hAnsi="Arial" w:cs="Arial"/>
        </w:rPr>
        <w:t>)</w:t>
      </w:r>
      <w:r w:rsidR="00DD4A74" w:rsidRPr="00513C65">
        <w:rPr>
          <w:rFonts w:ascii="Arial" w:hAnsi="Arial" w:cs="Arial"/>
        </w:rPr>
        <w:t xml:space="preserve">. Every incident the police become aware of is subject to a dynamic risk assessment known as ‘THRIVE’ this stands for Threat, Harm, Risk, Investigation, Vulnerability and Engagement. Following this process from when the call comes in can help in the early identification of a Major/Critical Incident and allow police to respond more effectively, liaising with the relevant partner agencies at the same time. The CIM team have many resources at their disposal allowing them to </w:t>
      </w:r>
      <w:r w:rsidR="000A14DD" w:rsidRPr="00513C65">
        <w:rPr>
          <w:rFonts w:ascii="Arial" w:hAnsi="Arial" w:cs="Arial"/>
        </w:rPr>
        <w:t>delegate the work more easily</w:t>
      </w:r>
      <w:r w:rsidR="00DD4A74" w:rsidRPr="00513C65">
        <w:rPr>
          <w:rFonts w:ascii="Arial" w:hAnsi="Arial" w:cs="Arial"/>
        </w:rPr>
        <w:t xml:space="preserve"> between agencies. They work alongside </w:t>
      </w:r>
      <w:r w:rsidR="000A14DD" w:rsidRPr="00513C65">
        <w:rPr>
          <w:rFonts w:ascii="Arial" w:hAnsi="Arial" w:cs="Arial"/>
        </w:rPr>
        <w:t>services such as NHS, council, Roads policing,</w:t>
      </w:r>
      <w:r w:rsidR="00DD4A74" w:rsidRPr="00513C65">
        <w:rPr>
          <w:rFonts w:ascii="Arial" w:hAnsi="Arial" w:cs="Arial"/>
        </w:rPr>
        <w:t xml:space="preserve"> </w:t>
      </w:r>
      <w:r w:rsidR="000A14DD" w:rsidRPr="00513C65">
        <w:rPr>
          <w:rFonts w:ascii="Arial" w:hAnsi="Arial" w:cs="Arial"/>
        </w:rPr>
        <w:t xml:space="preserve">and counter-terrorism specialists when relevant to enable the best response. Notably, intelligence officers are conducting research at the same time which is a good way to measure the community tension. For example, at a pre-planned event such as a sports game, rival teams competing has the potential to develop into disorder, causing a critical incident to become a major one. </w:t>
      </w:r>
    </w:p>
    <w:p w14:paraId="17862EE2" w14:textId="11C148B4" w:rsidR="000A14DD" w:rsidRPr="00513C65" w:rsidRDefault="000A14DD" w:rsidP="00513C65">
      <w:pPr>
        <w:spacing w:line="360" w:lineRule="auto"/>
        <w:rPr>
          <w:rFonts w:ascii="Arial" w:hAnsi="Arial" w:cs="Arial"/>
        </w:rPr>
      </w:pPr>
    </w:p>
    <w:p w14:paraId="3F0EE87F" w14:textId="2F544D70" w:rsidR="000A14DD" w:rsidRPr="00513C65" w:rsidRDefault="000A14DD" w:rsidP="00513C65">
      <w:pPr>
        <w:spacing w:line="360" w:lineRule="auto"/>
        <w:rPr>
          <w:rFonts w:ascii="Arial" w:hAnsi="Arial" w:cs="Arial"/>
        </w:rPr>
      </w:pPr>
      <w:r w:rsidRPr="00513C65">
        <w:rPr>
          <w:rFonts w:ascii="Arial" w:hAnsi="Arial" w:cs="Arial"/>
        </w:rPr>
        <w:t xml:space="preserve">     In 2007 the Association of Policing Chief Officers </w:t>
      </w:r>
      <w:r w:rsidR="00996075" w:rsidRPr="00513C65">
        <w:rPr>
          <w:rFonts w:ascii="Arial" w:hAnsi="Arial" w:cs="Arial"/>
        </w:rPr>
        <w:t xml:space="preserve">reviewed multiple examples of critical incidents which at the time, were not labelled critical. This provided forces with learning points and further supported the need for early identification and the implementation of CIM. </w:t>
      </w:r>
      <w:r w:rsidR="00626D28" w:rsidRPr="00513C65">
        <w:rPr>
          <w:rFonts w:ascii="Arial" w:hAnsi="Arial" w:cs="Arial"/>
        </w:rPr>
        <w:t>They found that early assumptions by officers with no real basis caused them to underestimate the seriousness of the incident. This was especially apparent in the Stephen Lawrence Inquiry as officers had presumed Lawrence had gotten into a fight with a friend, this became apparent that institutional racism was deeply sown withing the police. Additionally, APCO reviewed samples of homicides within Greater Manchester Police, they found that only 35% of these incidents were originally reported as involving death. As a result of this early information</w:t>
      </w:r>
      <w:r w:rsidR="00034B39" w:rsidRPr="00513C65">
        <w:rPr>
          <w:rFonts w:ascii="Arial" w:hAnsi="Arial" w:cs="Arial"/>
        </w:rPr>
        <w:t>,</w:t>
      </w:r>
      <w:r w:rsidR="00626D28" w:rsidRPr="00513C65">
        <w:rPr>
          <w:rFonts w:ascii="Arial" w:hAnsi="Arial" w:cs="Arial"/>
        </w:rPr>
        <w:t xml:space="preserve"> it had a direct impact on the attitudes and actions of the attending officers and highlighted the importance to ensure officers mindsets are challenged regularly and early, accurate information is obtained (APCO 2007). The summary of this report highlights the importance of understanding the effects of a critical incident and to ensure they are properly managed. Police regularly learn from their mistakes and newer generations of officers </w:t>
      </w:r>
      <w:r w:rsidR="00034B39" w:rsidRPr="00513C65">
        <w:rPr>
          <w:rFonts w:ascii="Arial" w:hAnsi="Arial" w:cs="Arial"/>
        </w:rPr>
        <w:t>can</w:t>
      </w:r>
      <w:r w:rsidR="00626D28" w:rsidRPr="00513C65">
        <w:rPr>
          <w:rFonts w:ascii="Arial" w:hAnsi="Arial" w:cs="Arial"/>
        </w:rPr>
        <w:t xml:space="preserve"> benefit from this by applying their learning to their policing. The report also comments on the 2000 murder of </w:t>
      </w:r>
      <w:r w:rsidR="00034B39" w:rsidRPr="00513C65">
        <w:rPr>
          <w:rFonts w:ascii="Arial" w:hAnsi="Arial" w:cs="Arial"/>
        </w:rPr>
        <w:t>10-year-old</w:t>
      </w:r>
      <w:r w:rsidR="00626D28" w:rsidRPr="00513C65">
        <w:rPr>
          <w:rFonts w:ascii="Arial" w:hAnsi="Arial" w:cs="Arial"/>
        </w:rPr>
        <w:t xml:space="preserve"> Damilola Taylor, the proactive and effective response by police was seen to in a timely manner and is highlighted as the right way to deal with a critical incident. The early intervention of senior officers allowed </w:t>
      </w:r>
      <w:r w:rsidR="00034B39" w:rsidRPr="00513C65">
        <w:rPr>
          <w:rFonts w:ascii="Arial" w:hAnsi="Arial" w:cs="Arial"/>
        </w:rPr>
        <w:t xml:space="preserve">them to maintain the confidence of the community, and the victim’s family. </w:t>
      </w:r>
    </w:p>
    <w:p w14:paraId="25DFF97D" w14:textId="1C72E6E3" w:rsidR="00D84A24" w:rsidRPr="00513C65" w:rsidRDefault="00D84A24" w:rsidP="00513C65">
      <w:pPr>
        <w:spacing w:line="360" w:lineRule="auto"/>
        <w:rPr>
          <w:rFonts w:ascii="Arial" w:hAnsi="Arial" w:cs="Arial"/>
        </w:rPr>
      </w:pPr>
    </w:p>
    <w:p w14:paraId="41B5853A" w14:textId="2A6E1BCD" w:rsidR="001047F3" w:rsidRPr="00513C65" w:rsidRDefault="007E2A95" w:rsidP="00513C65">
      <w:pPr>
        <w:spacing w:line="360" w:lineRule="auto"/>
        <w:rPr>
          <w:rFonts w:ascii="Arial" w:hAnsi="Arial" w:cs="Arial"/>
        </w:rPr>
      </w:pPr>
      <w:r w:rsidRPr="00513C65">
        <w:rPr>
          <w:rFonts w:ascii="Arial" w:hAnsi="Arial" w:cs="Arial"/>
        </w:rPr>
        <w:t>Word count: 1123</w:t>
      </w:r>
    </w:p>
    <w:p w14:paraId="797A73B8" w14:textId="77777777" w:rsidR="001047F3" w:rsidRPr="00513C65" w:rsidRDefault="001047F3" w:rsidP="00513C65">
      <w:pPr>
        <w:spacing w:line="360" w:lineRule="auto"/>
        <w:rPr>
          <w:rFonts w:ascii="Arial" w:hAnsi="Arial" w:cs="Arial"/>
        </w:rPr>
      </w:pPr>
    </w:p>
    <w:p w14:paraId="3F6F3013" w14:textId="77777777" w:rsidR="00D676AF" w:rsidRPr="00513C65" w:rsidRDefault="00D676AF" w:rsidP="00513C65">
      <w:pPr>
        <w:spacing w:line="360" w:lineRule="auto"/>
        <w:rPr>
          <w:rFonts w:ascii="Arial" w:hAnsi="Arial" w:cs="Arial"/>
        </w:rPr>
      </w:pPr>
      <w:r w:rsidRPr="00513C65">
        <w:rPr>
          <w:rFonts w:ascii="Arial" w:hAnsi="Arial" w:cs="Arial"/>
          <w:b/>
          <w:bCs/>
          <w:u w:val="single"/>
        </w:rPr>
        <w:t>Bibliography</w:t>
      </w:r>
    </w:p>
    <w:p w14:paraId="14B1468B" w14:textId="0B0C4746" w:rsidR="008E10A1" w:rsidRPr="00513C65" w:rsidRDefault="008E10A1" w:rsidP="00513C65">
      <w:pPr>
        <w:spacing w:line="240" w:lineRule="auto"/>
        <w:rPr>
          <w:rFonts w:ascii="Arial" w:hAnsi="Arial" w:cs="Arial"/>
        </w:rPr>
      </w:pPr>
      <w:r w:rsidRPr="00513C65">
        <w:rPr>
          <w:rFonts w:ascii="Arial" w:hAnsi="Arial" w:cs="Arial"/>
        </w:rPr>
        <w:t xml:space="preserve">Association of Police Chief Officers (2007) </w:t>
      </w:r>
      <w:r w:rsidRPr="00513C65">
        <w:rPr>
          <w:rFonts w:ascii="Arial" w:hAnsi="Arial" w:cs="Arial"/>
          <w:i/>
          <w:iCs/>
        </w:rPr>
        <w:t>Practice Advice on Critical Incident Management</w:t>
      </w:r>
      <w:r w:rsidRPr="00513C65">
        <w:rPr>
          <w:rFonts w:ascii="Arial" w:hAnsi="Arial" w:cs="Arial"/>
        </w:rPr>
        <w:t xml:space="preserve">, p7-12. Available at: </w:t>
      </w:r>
      <w:hyperlink r:id="rId12" w:history="1">
        <w:r w:rsidRPr="00513C65">
          <w:rPr>
            <w:rStyle w:val="Hyperlink"/>
            <w:rFonts w:ascii="Arial" w:hAnsi="Arial" w:cs="Arial"/>
          </w:rPr>
          <w:t>http://library.college.police.uk/docs/APPref/Extract-Critical-Incident-Management-2007.pdf</w:t>
        </w:r>
      </w:hyperlink>
      <w:r w:rsidRPr="00513C65">
        <w:rPr>
          <w:rFonts w:ascii="Arial" w:hAnsi="Arial" w:cs="Arial"/>
        </w:rPr>
        <w:t xml:space="preserve"> </w:t>
      </w:r>
      <w:r w:rsidRPr="00513C65">
        <w:rPr>
          <w:rFonts w:ascii="Arial" w:hAnsi="Arial" w:cs="Arial"/>
        </w:rPr>
        <w:t>(Accessed 6</w:t>
      </w:r>
      <w:r w:rsidRPr="00513C65">
        <w:rPr>
          <w:rFonts w:ascii="Arial" w:hAnsi="Arial" w:cs="Arial"/>
          <w:vertAlign w:val="superscript"/>
        </w:rPr>
        <w:t>th</w:t>
      </w:r>
      <w:r w:rsidRPr="00513C65">
        <w:rPr>
          <w:rFonts w:ascii="Arial" w:hAnsi="Arial" w:cs="Arial"/>
        </w:rPr>
        <w:t xml:space="preserve"> January 2021)</w:t>
      </w:r>
    </w:p>
    <w:p w14:paraId="7116EF04" w14:textId="77777777" w:rsidR="008E10A1" w:rsidRPr="00513C65" w:rsidRDefault="008E10A1" w:rsidP="00513C65">
      <w:pPr>
        <w:spacing w:line="240" w:lineRule="auto"/>
        <w:rPr>
          <w:rFonts w:ascii="Arial" w:hAnsi="Arial" w:cs="Arial"/>
        </w:rPr>
      </w:pPr>
    </w:p>
    <w:p w14:paraId="61476576" w14:textId="77777777" w:rsidR="008E10A1" w:rsidRPr="00513C65" w:rsidRDefault="008E10A1" w:rsidP="00513C65">
      <w:pPr>
        <w:spacing w:line="240" w:lineRule="auto"/>
        <w:rPr>
          <w:rFonts w:ascii="Arial" w:hAnsi="Arial" w:cs="Arial"/>
        </w:rPr>
      </w:pPr>
      <w:r w:rsidRPr="00513C65">
        <w:rPr>
          <w:rFonts w:ascii="Arial" w:hAnsi="Arial" w:cs="Arial"/>
        </w:rPr>
        <w:t xml:space="preserve">College of Policing (2018) ‘Major Incident’. Available at: </w:t>
      </w:r>
      <w:hyperlink r:id="rId13" w:history="1">
        <w:r w:rsidRPr="00513C65">
          <w:rPr>
            <w:rStyle w:val="Hyperlink"/>
            <w:rFonts w:ascii="Arial" w:hAnsi="Arial" w:cs="Arial"/>
          </w:rPr>
          <w:t>https://www.app.college.police.uk/app-content/civil-emergencies/disaster-victim-identification/definitions/</w:t>
        </w:r>
      </w:hyperlink>
      <w:r w:rsidRPr="00513C65">
        <w:rPr>
          <w:rFonts w:ascii="Arial" w:hAnsi="Arial" w:cs="Arial"/>
        </w:rPr>
        <w:t xml:space="preserve"> (Accessed 6</w:t>
      </w:r>
      <w:r w:rsidRPr="00513C65">
        <w:rPr>
          <w:rFonts w:ascii="Arial" w:hAnsi="Arial" w:cs="Arial"/>
          <w:vertAlign w:val="superscript"/>
        </w:rPr>
        <w:t>th</w:t>
      </w:r>
      <w:r w:rsidRPr="00513C65">
        <w:rPr>
          <w:rFonts w:ascii="Arial" w:hAnsi="Arial" w:cs="Arial"/>
        </w:rPr>
        <w:t xml:space="preserve"> January 2021)</w:t>
      </w:r>
    </w:p>
    <w:p w14:paraId="24961767" w14:textId="77777777" w:rsidR="008E10A1" w:rsidRPr="00513C65" w:rsidRDefault="008E10A1" w:rsidP="00513C65">
      <w:pPr>
        <w:spacing w:line="240" w:lineRule="auto"/>
        <w:rPr>
          <w:rFonts w:ascii="Arial" w:hAnsi="Arial" w:cs="Arial"/>
        </w:rPr>
      </w:pPr>
    </w:p>
    <w:p w14:paraId="62896945" w14:textId="21195B82" w:rsidR="001767DC" w:rsidRPr="00513C65" w:rsidRDefault="00D676AF" w:rsidP="00513C65">
      <w:pPr>
        <w:spacing w:line="240" w:lineRule="auto"/>
        <w:rPr>
          <w:rFonts w:ascii="Arial" w:hAnsi="Arial" w:cs="Arial"/>
        </w:rPr>
      </w:pPr>
      <w:r w:rsidRPr="00513C65">
        <w:rPr>
          <w:rFonts w:ascii="Arial" w:hAnsi="Arial" w:cs="Arial"/>
        </w:rPr>
        <w:t>College of Policing (2020)</w:t>
      </w:r>
      <w:r w:rsidR="001047F3" w:rsidRPr="00513C65">
        <w:rPr>
          <w:rFonts w:ascii="Arial" w:hAnsi="Arial" w:cs="Arial"/>
        </w:rPr>
        <w:t xml:space="preserve"> ‘Critical Incident Management’ Available at: </w:t>
      </w:r>
      <w:hyperlink r:id="rId14" w:history="1">
        <w:r w:rsidR="001047F3" w:rsidRPr="00513C65">
          <w:rPr>
            <w:rStyle w:val="Hyperlink"/>
            <w:rFonts w:ascii="Arial" w:hAnsi="Arial" w:cs="Arial"/>
          </w:rPr>
          <w:t>https://www.app.college.police.uk/app-content/criti</w:t>
        </w:r>
        <w:r w:rsidR="001047F3" w:rsidRPr="00513C65">
          <w:rPr>
            <w:rStyle w:val="Hyperlink"/>
            <w:rFonts w:ascii="Arial" w:hAnsi="Arial" w:cs="Arial"/>
          </w:rPr>
          <w:t>c</w:t>
        </w:r>
        <w:r w:rsidR="001047F3" w:rsidRPr="00513C65">
          <w:rPr>
            <w:rStyle w:val="Hyperlink"/>
            <w:rFonts w:ascii="Arial" w:hAnsi="Arial" w:cs="Arial"/>
          </w:rPr>
          <w:t>al-incident-management/types-of-critical-incident/</w:t>
        </w:r>
      </w:hyperlink>
      <w:r w:rsidRPr="00513C65">
        <w:rPr>
          <w:rFonts w:ascii="Arial" w:hAnsi="Arial" w:cs="Arial"/>
        </w:rPr>
        <w:t xml:space="preserve"> (Accessed 8</w:t>
      </w:r>
      <w:r w:rsidRPr="00513C65">
        <w:rPr>
          <w:rFonts w:ascii="Arial" w:hAnsi="Arial" w:cs="Arial"/>
          <w:vertAlign w:val="superscript"/>
        </w:rPr>
        <w:t>th</w:t>
      </w:r>
      <w:r w:rsidRPr="00513C65">
        <w:rPr>
          <w:rFonts w:ascii="Arial" w:hAnsi="Arial" w:cs="Arial"/>
        </w:rPr>
        <w:t xml:space="preserve"> January 2021)</w:t>
      </w:r>
    </w:p>
    <w:p w14:paraId="651464E2" w14:textId="77777777" w:rsidR="001047F3" w:rsidRPr="00513C65" w:rsidRDefault="001047F3" w:rsidP="00513C65">
      <w:pPr>
        <w:spacing w:line="240" w:lineRule="auto"/>
        <w:rPr>
          <w:rFonts w:ascii="Arial" w:hAnsi="Arial" w:cs="Arial"/>
        </w:rPr>
      </w:pPr>
    </w:p>
    <w:p w14:paraId="2B247290" w14:textId="386663DE" w:rsidR="00EA4826" w:rsidRPr="00513C65" w:rsidRDefault="001767DC" w:rsidP="00513C65">
      <w:pPr>
        <w:spacing w:line="240" w:lineRule="auto"/>
        <w:rPr>
          <w:rFonts w:ascii="Arial" w:hAnsi="Arial" w:cs="Arial"/>
        </w:rPr>
      </w:pPr>
      <w:r w:rsidRPr="00513C65">
        <w:rPr>
          <w:rFonts w:ascii="Arial" w:hAnsi="Arial" w:cs="Arial"/>
        </w:rPr>
        <w:t xml:space="preserve">Lane, Rhiannon (2019) “I’m a Police Officer not a Social Worker or Mental Health Nurse”, </w:t>
      </w:r>
      <w:r w:rsidRPr="00513C65">
        <w:rPr>
          <w:rFonts w:ascii="Arial" w:hAnsi="Arial" w:cs="Arial"/>
          <w:i/>
          <w:iCs/>
        </w:rPr>
        <w:t xml:space="preserve">Journal of Community &amp; Applied Social Psychology. </w:t>
      </w:r>
      <w:r w:rsidRPr="00513C65">
        <w:rPr>
          <w:rFonts w:ascii="Arial" w:hAnsi="Arial" w:cs="Arial"/>
        </w:rPr>
        <w:t>Volume 29 (5)</w:t>
      </w:r>
    </w:p>
    <w:p w14:paraId="33AB1BA1" w14:textId="77777777" w:rsidR="008E10A1" w:rsidRPr="00513C65" w:rsidRDefault="008E10A1" w:rsidP="00513C65">
      <w:pPr>
        <w:spacing w:line="240" w:lineRule="auto"/>
        <w:rPr>
          <w:rFonts w:ascii="Arial" w:hAnsi="Arial" w:cs="Arial"/>
        </w:rPr>
      </w:pPr>
    </w:p>
    <w:p w14:paraId="464FBCF7" w14:textId="77777777" w:rsidR="008E10A1" w:rsidRPr="00513C65" w:rsidRDefault="008E10A1" w:rsidP="00513C65">
      <w:pPr>
        <w:spacing w:line="240" w:lineRule="auto"/>
        <w:rPr>
          <w:rFonts w:ascii="Arial" w:hAnsi="Arial" w:cs="Arial"/>
        </w:rPr>
      </w:pPr>
      <w:r w:rsidRPr="00513C65">
        <w:rPr>
          <w:rFonts w:ascii="Arial" w:hAnsi="Arial" w:cs="Arial"/>
        </w:rPr>
        <w:t xml:space="preserve">MacPherson, W (1999) </w:t>
      </w:r>
      <w:r w:rsidRPr="00513C65">
        <w:rPr>
          <w:rFonts w:ascii="Arial" w:hAnsi="Arial" w:cs="Arial"/>
          <w:i/>
          <w:iCs/>
        </w:rPr>
        <w:t>The Stephen Lawrence Inquiry</w:t>
      </w:r>
      <w:r w:rsidRPr="00513C65">
        <w:rPr>
          <w:rFonts w:ascii="Arial" w:hAnsi="Arial" w:cs="Arial"/>
        </w:rPr>
        <w:t xml:space="preserve">. Available at: </w:t>
      </w:r>
      <w:hyperlink r:id="rId15" w:history="1">
        <w:r w:rsidRPr="00513C65">
          <w:rPr>
            <w:rStyle w:val="Hyperlink"/>
            <w:rFonts w:ascii="Arial" w:hAnsi="Arial" w:cs="Arial"/>
          </w:rPr>
          <w:t>https://assets.publishing.service.gov.uk/government/uploads/system/uploads/attachment_data/file/277111/4262.pdf</w:t>
        </w:r>
      </w:hyperlink>
    </w:p>
    <w:p w14:paraId="7C112286" w14:textId="77777777" w:rsidR="008E10A1" w:rsidRPr="00513C65" w:rsidRDefault="008E10A1" w:rsidP="00513C65">
      <w:pPr>
        <w:spacing w:line="240" w:lineRule="auto"/>
        <w:rPr>
          <w:rFonts w:ascii="Arial" w:hAnsi="Arial" w:cs="Arial"/>
        </w:rPr>
      </w:pPr>
      <w:r w:rsidRPr="00513C65">
        <w:rPr>
          <w:rFonts w:ascii="Arial" w:hAnsi="Arial" w:cs="Arial"/>
        </w:rPr>
        <w:t>(Accessed 8</w:t>
      </w:r>
      <w:r w:rsidRPr="00513C65">
        <w:rPr>
          <w:rFonts w:ascii="Arial" w:hAnsi="Arial" w:cs="Arial"/>
          <w:vertAlign w:val="superscript"/>
        </w:rPr>
        <w:t>th</w:t>
      </w:r>
      <w:r w:rsidRPr="00513C65">
        <w:rPr>
          <w:rFonts w:ascii="Arial" w:hAnsi="Arial" w:cs="Arial"/>
        </w:rPr>
        <w:t xml:space="preserve"> January 2021)</w:t>
      </w:r>
    </w:p>
    <w:p w14:paraId="4D9DA40B" w14:textId="77777777" w:rsidR="008E10A1" w:rsidRPr="00513C65" w:rsidRDefault="008E10A1" w:rsidP="00513C65">
      <w:pPr>
        <w:spacing w:line="240" w:lineRule="auto"/>
        <w:rPr>
          <w:rFonts w:ascii="Arial" w:hAnsi="Arial" w:cs="Arial"/>
        </w:rPr>
      </w:pPr>
    </w:p>
    <w:p w14:paraId="63DEF952" w14:textId="0C899E75" w:rsidR="00EA4826" w:rsidRPr="00513C65" w:rsidRDefault="00EA4826" w:rsidP="00513C65">
      <w:pPr>
        <w:spacing w:line="240" w:lineRule="auto"/>
        <w:rPr>
          <w:rFonts w:ascii="Arial" w:hAnsi="Arial" w:cs="Arial"/>
        </w:rPr>
      </w:pPr>
      <w:r w:rsidRPr="00513C65">
        <w:rPr>
          <w:rFonts w:ascii="Arial" w:hAnsi="Arial" w:cs="Arial"/>
        </w:rPr>
        <w:t xml:space="preserve">Mental Health Act 1983, c. 136. Available at: </w:t>
      </w:r>
      <w:hyperlink r:id="rId16" w:history="1">
        <w:r w:rsidRPr="00513C65">
          <w:rPr>
            <w:rStyle w:val="Hyperlink"/>
            <w:rFonts w:ascii="Arial" w:hAnsi="Arial" w:cs="Arial"/>
          </w:rPr>
          <w:t>https://www.legislation.gov.uk/ukpga/1983/20/section/136</w:t>
        </w:r>
      </w:hyperlink>
    </w:p>
    <w:p w14:paraId="7E83D91A" w14:textId="060E986F" w:rsidR="00EA4826" w:rsidRPr="00513C65" w:rsidRDefault="00EA4826" w:rsidP="00513C65">
      <w:pPr>
        <w:spacing w:line="240" w:lineRule="auto"/>
        <w:rPr>
          <w:rFonts w:ascii="Arial" w:hAnsi="Arial" w:cs="Arial"/>
        </w:rPr>
      </w:pPr>
      <w:r w:rsidRPr="00513C65">
        <w:rPr>
          <w:rFonts w:ascii="Arial" w:hAnsi="Arial" w:cs="Arial"/>
        </w:rPr>
        <w:t>(Accessed 6</w:t>
      </w:r>
      <w:r w:rsidRPr="00513C65">
        <w:rPr>
          <w:rFonts w:ascii="Arial" w:hAnsi="Arial" w:cs="Arial"/>
          <w:vertAlign w:val="superscript"/>
        </w:rPr>
        <w:t>th</w:t>
      </w:r>
      <w:r w:rsidRPr="00513C65">
        <w:rPr>
          <w:rFonts w:ascii="Arial" w:hAnsi="Arial" w:cs="Arial"/>
        </w:rPr>
        <w:t xml:space="preserve"> January 2021)</w:t>
      </w:r>
    </w:p>
    <w:p w14:paraId="0DBF4B6F" w14:textId="496543FF" w:rsidR="001047F3" w:rsidRPr="00513C65" w:rsidRDefault="001047F3" w:rsidP="00513C65">
      <w:pPr>
        <w:spacing w:line="240" w:lineRule="auto"/>
        <w:rPr>
          <w:rFonts w:ascii="Arial" w:hAnsi="Arial" w:cs="Arial"/>
        </w:rPr>
      </w:pPr>
    </w:p>
    <w:p w14:paraId="723AF706" w14:textId="6DACF5D2" w:rsidR="008E10A1" w:rsidRPr="00513C65" w:rsidRDefault="008E10A1" w:rsidP="00513C65">
      <w:pPr>
        <w:spacing w:line="240" w:lineRule="auto"/>
        <w:rPr>
          <w:rFonts w:ascii="Arial" w:hAnsi="Arial" w:cs="Arial"/>
        </w:rPr>
      </w:pPr>
      <w:r w:rsidRPr="00513C65">
        <w:rPr>
          <w:rFonts w:ascii="Arial" w:hAnsi="Arial" w:cs="Arial"/>
        </w:rPr>
        <w:t xml:space="preserve">Sammons, John (2014) ‘The Primer for getting started in Digital Forensics’, </w:t>
      </w:r>
      <w:r w:rsidRPr="00513C65">
        <w:rPr>
          <w:rFonts w:ascii="Arial" w:hAnsi="Arial" w:cs="Arial"/>
          <w:i/>
          <w:iCs/>
        </w:rPr>
        <w:t>The basics of Digital Forensics</w:t>
      </w:r>
      <w:r w:rsidRPr="00513C65">
        <w:rPr>
          <w:rFonts w:ascii="Arial" w:hAnsi="Arial" w:cs="Arial"/>
        </w:rPr>
        <w:t>. 2</w:t>
      </w:r>
      <w:r w:rsidRPr="00513C65">
        <w:rPr>
          <w:rFonts w:ascii="Arial" w:hAnsi="Arial" w:cs="Arial"/>
          <w:vertAlign w:val="superscript"/>
        </w:rPr>
        <w:t>nd</w:t>
      </w:r>
      <w:r w:rsidRPr="00513C65">
        <w:rPr>
          <w:rFonts w:ascii="Arial" w:hAnsi="Arial" w:cs="Arial"/>
        </w:rPr>
        <w:t xml:space="preserve"> Ed. Burlington, </w:t>
      </w:r>
      <w:proofErr w:type="spellStart"/>
      <w:r w:rsidRPr="00513C65">
        <w:rPr>
          <w:rFonts w:ascii="Arial" w:hAnsi="Arial" w:cs="Arial"/>
        </w:rPr>
        <w:t>Syngress</w:t>
      </w:r>
      <w:proofErr w:type="spellEnd"/>
      <w:r w:rsidRPr="00513C65">
        <w:rPr>
          <w:rFonts w:ascii="Arial" w:hAnsi="Arial" w:cs="Arial"/>
        </w:rPr>
        <w:t xml:space="preserve"> Publishing Inc.</w:t>
      </w:r>
    </w:p>
    <w:p w14:paraId="1F5F5C92" w14:textId="286F1A71" w:rsidR="007D6ABA" w:rsidRPr="00513C65" w:rsidRDefault="007D6ABA" w:rsidP="00513C65">
      <w:pPr>
        <w:spacing w:line="360" w:lineRule="auto"/>
        <w:rPr>
          <w:rFonts w:ascii="Arial" w:hAnsi="Arial" w:cs="Arial"/>
        </w:rPr>
      </w:pPr>
    </w:p>
    <w:p w14:paraId="49562CE1" w14:textId="1BC5DA35" w:rsidR="007D6ABA" w:rsidRPr="00513C65" w:rsidRDefault="007D6ABA" w:rsidP="00513C65">
      <w:pPr>
        <w:spacing w:line="360" w:lineRule="auto"/>
        <w:rPr>
          <w:rFonts w:ascii="Arial" w:hAnsi="Arial" w:cs="Arial"/>
        </w:rPr>
      </w:pPr>
      <w:r w:rsidRPr="00513C65">
        <w:rPr>
          <w:rFonts w:ascii="Arial" w:hAnsi="Arial" w:cs="Arial"/>
          <w:b/>
          <w:bCs/>
          <w:u w:val="single"/>
        </w:rPr>
        <w:t xml:space="preserve">Title 4: </w:t>
      </w:r>
    </w:p>
    <w:p w14:paraId="1050DC21" w14:textId="09198C4C" w:rsidR="007D6ABA" w:rsidRPr="00513C65" w:rsidRDefault="007D6ABA" w:rsidP="00513C65">
      <w:pPr>
        <w:spacing w:line="360" w:lineRule="auto"/>
        <w:rPr>
          <w:rFonts w:ascii="Arial" w:hAnsi="Arial" w:cs="Arial"/>
        </w:rPr>
      </w:pPr>
    </w:p>
    <w:p w14:paraId="000B1BE1" w14:textId="77777777" w:rsidR="007D6ABA" w:rsidRPr="00513C65" w:rsidRDefault="007D6ABA" w:rsidP="00513C65">
      <w:pPr>
        <w:spacing w:line="360" w:lineRule="auto"/>
        <w:rPr>
          <w:rFonts w:ascii="Arial" w:eastAsiaTheme="minorEastAsia" w:hAnsi="Arial" w:cs="Arial"/>
          <w:color w:val="000000" w:themeColor="text1"/>
          <w:kern w:val="24"/>
          <w:lang w:eastAsia="en-GB"/>
        </w:rPr>
      </w:pPr>
      <w:r w:rsidRPr="00513C65">
        <w:rPr>
          <w:rFonts w:ascii="Arial" w:eastAsiaTheme="minorEastAsia" w:hAnsi="Arial" w:cs="Arial"/>
          <w:color w:val="000000" w:themeColor="text1"/>
          <w:kern w:val="24"/>
          <w:lang w:eastAsia="en-GB"/>
        </w:rPr>
        <w:t>The Crown Prosecution Service define Terrorism as being “the use or threat of action both in and outside of the UK, designed to influence any international government organisation or to intimidate the public. It is for the purpose of advancing a political, religious, racial, or ideological cause. (CPS, n.d.) The public often associates terrorism with acts of violence involving weapons and explosives and as such, the government response has been highly criticised in terms of maintaining the safety of the public. In 2018 the UK government introduced ‘CONTEST</w:t>
      </w:r>
      <w:proofErr w:type="gramStart"/>
      <w:r w:rsidRPr="00513C65">
        <w:rPr>
          <w:rFonts w:ascii="Arial" w:eastAsiaTheme="minorEastAsia" w:hAnsi="Arial" w:cs="Arial"/>
          <w:color w:val="000000" w:themeColor="text1"/>
          <w:kern w:val="24"/>
          <w:lang w:eastAsia="en-GB"/>
        </w:rPr>
        <w:t>’,</w:t>
      </w:r>
      <w:proofErr w:type="gramEnd"/>
      <w:r w:rsidRPr="00513C65">
        <w:rPr>
          <w:rFonts w:ascii="Arial" w:eastAsiaTheme="minorEastAsia" w:hAnsi="Arial" w:cs="Arial"/>
          <w:color w:val="000000" w:themeColor="text1"/>
          <w:kern w:val="24"/>
          <w:lang w:eastAsia="en-GB"/>
        </w:rPr>
        <w:t xml:space="preserve"> this details a strategy for countering terrorism through a framework known as the 4 P’s. Prevent, Pursue, Protect, and Prepare. For the most part, this framework is aimed at stopping terrorism before it has a chance to impact the public and at the least to mitigate the impact of a terrorist attack upon the United Kingdom. (HM Government, 2018)</w:t>
      </w:r>
    </w:p>
    <w:p w14:paraId="45394993" w14:textId="77777777" w:rsidR="007D6ABA" w:rsidRPr="00513C65" w:rsidRDefault="007D6ABA" w:rsidP="00513C65">
      <w:pPr>
        <w:spacing w:line="360" w:lineRule="auto"/>
        <w:rPr>
          <w:rFonts w:ascii="Arial" w:eastAsiaTheme="minorEastAsia" w:hAnsi="Arial" w:cs="Arial"/>
          <w:color w:val="000000" w:themeColor="text1"/>
          <w:kern w:val="24"/>
          <w:lang w:eastAsia="en-GB"/>
        </w:rPr>
      </w:pPr>
    </w:p>
    <w:p w14:paraId="41C86724" w14:textId="77777777" w:rsidR="007D6ABA" w:rsidRPr="00513C65" w:rsidRDefault="007D6ABA" w:rsidP="00513C65">
      <w:pPr>
        <w:spacing w:line="360" w:lineRule="auto"/>
        <w:rPr>
          <w:rFonts w:ascii="Arial" w:eastAsiaTheme="minorEastAsia" w:hAnsi="Arial" w:cs="Arial"/>
          <w:color w:val="000000" w:themeColor="text1"/>
          <w:kern w:val="24"/>
          <w:lang w:eastAsia="en-GB"/>
        </w:rPr>
      </w:pPr>
      <w:r w:rsidRPr="00513C65">
        <w:rPr>
          <w:rFonts w:ascii="Arial" w:eastAsiaTheme="minorEastAsia" w:hAnsi="Arial" w:cs="Arial"/>
          <w:color w:val="000000" w:themeColor="text1"/>
          <w:kern w:val="24"/>
          <w:lang w:eastAsia="en-GB"/>
        </w:rPr>
        <w:t xml:space="preserve">     Terrorist organisations often require funding and to achieve this, they resort to other forms of criminality such as theft, fraud, and money laundering. </w:t>
      </w:r>
      <w:proofErr w:type="spellStart"/>
      <w:r w:rsidRPr="00513C65">
        <w:rPr>
          <w:rFonts w:ascii="Arial" w:eastAsiaTheme="minorEastAsia" w:hAnsi="Arial" w:cs="Arial"/>
          <w:color w:val="000000" w:themeColor="text1"/>
          <w:kern w:val="24"/>
          <w:lang w:eastAsia="en-GB"/>
        </w:rPr>
        <w:t>Alda</w:t>
      </w:r>
      <w:proofErr w:type="spellEnd"/>
      <w:r w:rsidRPr="00513C65">
        <w:rPr>
          <w:rFonts w:ascii="Arial" w:eastAsiaTheme="minorEastAsia" w:hAnsi="Arial" w:cs="Arial"/>
          <w:color w:val="000000" w:themeColor="text1"/>
          <w:kern w:val="24"/>
          <w:lang w:eastAsia="en-GB"/>
        </w:rPr>
        <w:t xml:space="preserve"> and Sala (2014) proposed ‘terrorist groups intersect with organised criminal gangs due to their co-existence in the same geographical space’. They decide their mutual interests are often served by working together </w:t>
      </w:r>
      <w:r w:rsidRPr="00513C65">
        <w:rPr>
          <w:rFonts w:ascii="Arial" w:eastAsiaTheme="minorEastAsia" w:hAnsi="Arial" w:cs="Arial"/>
          <w:color w:val="000000" w:themeColor="text1"/>
          <w:kern w:val="24"/>
          <w:lang w:eastAsia="en-GB"/>
        </w:rPr>
        <w:lastRenderedPageBreak/>
        <w:t xml:space="preserve">and are not threatened by the actions of the other through the fostering of alliances. Furthermore, there exists a symbolic relationship between the groups as both thrive in situations where they can exploit the area </w:t>
      </w:r>
      <w:proofErr w:type="gramStart"/>
      <w:r w:rsidRPr="00513C65">
        <w:rPr>
          <w:rFonts w:ascii="Arial" w:eastAsiaTheme="minorEastAsia" w:hAnsi="Arial" w:cs="Arial"/>
          <w:color w:val="000000" w:themeColor="text1"/>
          <w:kern w:val="24"/>
          <w:lang w:eastAsia="en-GB"/>
        </w:rPr>
        <w:t>in order to</w:t>
      </w:r>
      <w:proofErr w:type="gramEnd"/>
      <w:r w:rsidRPr="00513C65">
        <w:rPr>
          <w:rFonts w:ascii="Arial" w:eastAsiaTheme="minorEastAsia" w:hAnsi="Arial" w:cs="Arial"/>
          <w:color w:val="000000" w:themeColor="text1"/>
          <w:kern w:val="24"/>
          <w:lang w:eastAsia="en-GB"/>
        </w:rPr>
        <w:t xml:space="preserve"> make profit and they often recruit the same demographic of disgruntled young men. </w:t>
      </w:r>
      <w:proofErr w:type="spellStart"/>
      <w:r w:rsidRPr="00513C65">
        <w:rPr>
          <w:rFonts w:ascii="Arial" w:eastAsiaTheme="minorEastAsia" w:hAnsi="Arial" w:cs="Arial"/>
          <w:color w:val="000000" w:themeColor="text1"/>
          <w:kern w:val="24"/>
          <w:lang w:eastAsia="en-GB"/>
        </w:rPr>
        <w:t>Alda</w:t>
      </w:r>
      <w:proofErr w:type="spellEnd"/>
      <w:r w:rsidRPr="00513C65">
        <w:rPr>
          <w:rFonts w:ascii="Arial" w:eastAsiaTheme="minorEastAsia" w:hAnsi="Arial" w:cs="Arial"/>
          <w:color w:val="000000" w:themeColor="text1"/>
          <w:kern w:val="24"/>
          <w:lang w:eastAsia="en-GB"/>
        </w:rPr>
        <w:t xml:space="preserve"> and Sala also note that criminal organisations often supply materials to terrorist groups provided they stand to make a gain, with little thought given to their intentions. </w:t>
      </w:r>
    </w:p>
    <w:p w14:paraId="4029B648" w14:textId="77777777" w:rsidR="007D6ABA" w:rsidRPr="00513C65" w:rsidRDefault="007D6ABA" w:rsidP="00513C65">
      <w:pPr>
        <w:spacing w:line="360" w:lineRule="auto"/>
        <w:rPr>
          <w:rFonts w:ascii="Arial" w:eastAsiaTheme="minorEastAsia" w:hAnsi="Arial" w:cs="Arial"/>
          <w:color w:val="000000" w:themeColor="text1"/>
          <w:kern w:val="24"/>
          <w:lang w:eastAsia="en-GB"/>
        </w:rPr>
      </w:pPr>
    </w:p>
    <w:p w14:paraId="1B42B8B5" w14:textId="77777777" w:rsidR="007D6ABA" w:rsidRPr="00513C65" w:rsidRDefault="007D6ABA" w:rsidP="00513C65">
      <w:pPr>
        <w:spacing w:line="360" w:lineRule="auto"/>
        <w:rPr>
          <w:rFonts w:ascii="Arial" w:eastAsiaTheme="minorEastAsia" w:hAnsi="Arial" w:cs="Arial"/>
          <w:color w:val="000000" w:themeColor="text1"/>
          <w:kern w:val="24"/>
          <w:lang w:eastAsia="en-GB"/>
        </w:rPr>
      </w:pPr>
      <w:r w:rsidRPr="00513C65">
        <w:rPr>
          <w:rFonts w:ascii="Arial" w:eastAsiaTheme="minorEastAsia" w:hAnsi="Arial" w:cs="Arial"/>
          <w:color w:val="000000" w:themeColor="text1"/>
          <w:kern w:val="24"/>
          <w:lang w:eastAsia="en-GB"/>
        </w:rPr>
        <w:t xml:space="preserve">     The role of Roads Policing Officers is crucial in tackling this form of terrorist criminality as they are tasked with policing one of the largest and most important infrastructures in the United Kingdom, the Strategic Road Network. ‘The SRN consists of the nation’s motorways and major A roads, it is said to make up only 2% of the UK’s roads but approximately 4 million vehicles use them every day’ (Highways England, 2017). These roads are essential in maintaining the UK’s economy as they are used to connect all major cities and towns together, making it more efficient to transport goods used in manufacturing and retail nationwide. Policing these roads provides a unique challenge for Police and local authorities and as such they have been provided a range of powers to ensure the roads are used properly, safely, and for legitimate purposes. </w:t>
      </w:r>
    </w:p>
    <w:p w14:paraId="69B4B558" w14:textId="77777777" w:rsidR="007D6ABA" w:rsidRPr="00513C65" w:rsidRDefault="007D6ABA" w:rsidP="00513C65">
      <w:pPr>
        <w:spacing w:line="360" w:lineRule="auto"/>
        <w:rPr>
          <w:rFonts w:ascii="Arial" w:eastAsiaTheme="minorEastAsia" w:hAnsi="Arial" w:cs="Arial"/>
          <w:color w:val="000000" w:themeColor="text1"/>
          <w:kern w:val="24"/>
          <w:lang w:eastAsia="en-GB"/>
        </w:rPr>
      </w:pPr>
    </w:p>
    <w:p w14:paraId="549DD6A5" w14:textId="77777777" w:rsidR="007D6ABA" w:rsidRPr="00513C65" w:rsidRDefault="007D6ABA" w:rsidP="00513C65">
      <w:pPr>
        <w:spacing w:line="360" w:lineRule="auto"/>
        <w:rPr>
          <w:rFonts w:ascii="Arial" w:eastAsiaTheme="minorEastAsia" w:hAnsi="Arial" w:cs="Arial"/>
          <w:color w:val="000000" w:themeColor="text1"/>
          <w:kern w:val="24"/>
          <w:lang w:eastAsia="en-GB"/>
        </w:rPr>
      </w:pPr>
      <w:r w:rsidRPr="00513C65">
        <w:rPr>
          <w:rFonts w:ascii="Arial" w:eastAsiaTheme="minorEastAsia" w:hAnsi="Arial" w:cs="Arial"/>
          <w:color w:val="000000" w:themeColor="text1"/>
          <w:kern w:val="24"/>
          <w:lang w:eastAsia="en-GB"/>
        </w:rPr>
        <w:t xml:space="preserve">     The </w:t>
      </w:r>
      <w:proofErr w:type="gramStart"/>
      <w:r w:rsidRPr="00513C65">
        <w:rPr>
          <w:rFonts w:ascii="Arial" w:eastAsiaTheme="minorEastAsia" w:hAnsi="Arial" w:cs="Arial"/>
          <w:color w:val="000000" w:themeColor="text1"/>
          <w:kern w:val="24"/>
          <w:lang w:eastAsia="en-GB"/>
        </w:rPr>
        <w:t>Counter-Terrorism</w:t>
      </w:r>
      <w:proofErr w:type="gramEnd"/>
      <w:r w:rsidRPr="00513C65">
        <w:rPr>
          <w:rFonts w:ascii="Arial" w:eastAsiaTheme="minorEastAsia" w:hAnsi="Arial" w:cs="Arial"/>
          <w:color w:val="000000" w:themeColor="text1"/>
          <w:kern w:val="24"/>
          <w:lang w:eastAsia="en-GB"/>
        </w:rPr>
        <w:t xml:space="preserve"> and Border Security Act 2019 introduces the Anti-Terrorism Traffic Regulation Orders, ‘these orders are designed to keep people safe from the threat of terrorism by enabling the police and local authorities to put protective security measures in place to reduce vulnerability, or mitigate the potential impact of, attacks on or near roads.’ (Home Office 2019) These orders are often used during major events to improve public safety. These orders are best used in conjunction with other powers, the police </w:t>
      </w:r>
      <w:proofErr w:type="gramStart"/>
      <w:r w:rsidRPr="00513C65">
        <w:rPr>
          <w:rFonts w:ascii="Arial" w:eastAsiaTheme="minorEastAsia" w:hAnsi="Arial" w:cs="Arial"/>
          <w:color w:val="000000" w:themeColor="text1"/>
          <w:kern w:val="24"/>
          <w:lang w:eastAsia="en-GB"/>
        </w:rPr>
        <w:t>are able to</w:t>
      </w:r>
      <w:proofErr w:type="gramEnd"/>
      <w:r w:rsidRPr="00513C65">
        <w:rPr>
          <w:rFonts w:ascii="Arial" w:eastAsiaTheme="minorEastAsia" w:hAnsi="Arial" w:cs="Arial"/>
          <w:color w:val="000000" w:themeColor="text1"/>
          <w:kern w:val="24"/>
          <w:lang w:eastAsia="en-GB"/>
        </w:rPr>
        <w:t xml:space="preserve"> restrict the movement of vehicles through placing temporary obstructions through section 67 of the Road Traffic Regulations Act 1984. The Road Traffic Act 1988 Section 163 provides police with the power to require a vehicle to stop, Section 164 and 165 can then be used </w:t>
      </w:r>
      <w:proofErr w:type="gramStart"/>
      <w:r w:rsidRPr="00513C65">
        <w:rPr>
          <w:rFonts w:ascii="Arial" w:eastAsiaTheme="minorEastAsia" w:hAnsi="Arial" w:cs="Arial"/>
          <w:color w:val="000000" w:themeColor="text1"/>
          <w:kern w:val="24"/>
          <w:lang w:eastAsia="en-GB"/>
        </w:rPr>
        <w:t>in order to</w:t>
      </w:r>
      <w:proofErr w:type="gramEnd"/>
      <w:r w:rsidRPr="00513C65">
        <w:rPr>
          <w:rFonts w:ascii="Arial" w:eastAsiaTheme="minorEastAsia" w:hAnsi="Arial" w:cs="Arial"/>
          <w:color w:val="000000" w:themeColor="text1"/>
          <w:kern w:val="24"/>
          <w:lang w:eastAsia="en-GB"/>
        </w:rPr>
        <w:t xml:space="preserve"> obtain the details of the driver and other persons within that vehicle (RTA 1988). Officers can then use this information to perform checks on the Police National Computer (PNC) to establish if this person or vehicle is of any interest to law enforcement agencies across the country. The PNC can be used to facilitate investigations and enables the sharing of information nationwide. This is a critical tool used in roads policing as they often encounter cross-border traffic which may not be </w:t>
      </w:r>
      <w:r w:rsidRPr="00513C65">
        <w:rPr>
          <w:rFonts w:ascii="Arial" w:eastAsiaTheme="minorEastAsia" w:hAnsi="Arial" w:cs="Arial"/>
          <w:color w:val="000000" w:themeColor="text1"/>
          <w:kern w:val="24"/>
          <w:lang w:eastAsia="en-GB"/>
        </w:rPr>
        <w:lastRenderedPageBreak/>
        <w:t>known to local law enforcement agencies. Officers can use this information to assess the threat this person may pose based on intelligence and previous interactions with police. Officers may then utilise powers under the Terrorism Act 2000 section 43 to search persons as necessary (section 43A for vehicles).</w:t>
      </w:r>
    </w:p>
    <w:p w14:paraId="46406470" w14:textId="77777777" w:rsidR="007D6ABA" w:rsidRPr="00513C65" w:rsidRDefault="007D6ABA" w:rsidP="00513C65">
      <w:pPr>
        <w:spacing w:line="360" w:lineRule="auto"/>
        <w:rPr>
          <w:rFonts w:ascii="Arial" w:eastAsiaTheme="minorEastAsia" w:hAnsi="Arial" w:cs="Arial"/>
          <w:color w:val="000000" w:themeColor="text1"/>
          <w:kern w:val="24"/>
          <w:lang w:eastAsia="en-GB"/>
        </w:rPr>
      </w:pPr>
    </w:p>
    <w:p w14:paraId="2F59F721" w14:textId="77777777" w:rsidR="007D6ABA" w:rsidRPr="00513C65" w:rsidRDefault="007D6ABA" w:rsidP="00513C65">
      <w:pPr>
        <w:spacing w:line="360" w:lineRule="auto"/>
        <w:rPr>
          <w:rFonts w:ascii="Arial" w:eastAsiaTheme="minorEastAsia" w:hAnsi="Arial" w:cs="Arial"/>
          <w:color w:val="000000" w:themeColor="text1"/>
          <w:kern w:val="24"/>
          <w:lang w:eastAsia="en-GB"/>
        </w:rPr>
      </w:pPr>
      <w:r w:rsidRPr="00513C65">
        <w:rPr>
          <w:rFonts w:ascii="Arial" w:eastAsiaTheme="minorEastAsia" w:hAnsi="Arial" w:cs="Arial"/>
          <w:color w:val="000000" w:themeColor="text1"/>
          <w:kern w:val="24"/>
          <w:lang w:eastAsia="en-GB"/>
        </w:rPr>
        <w:t xml:space="preserve">     In some events, a vehicle may fail to stop when instructed to do so, the offender may see this as a favourable method to elude police as it will potentially only result in a fine should they succeed. Suitable officers must consider the National Decision Model (College of Policing, 2014) to consider the justification and proportionality of beginning a pursuit. The danger the offender presents if not stopped should out-weigh the dangers posed to the public </w:t>
      </w:r>
      <w:proofErr w:type="gramStart"/>
      <w:r w:rsidRPr="00513C65">
        <w:rPr>
          <w:rFonts w:ascii="Arial" w:eastAsiaTheme="minorEastAsia" w:hAnsi="Arial" w:cs="Arial"/>
          <w:color w:val="000000" w:themeColor="text1"/>
          <w:kern w:val="24"/>
          <w:lang w:eastAsia="en-GB"/>
        </w:rPr>
        <w:t>during the course of</w:t>
      </w:r>
      <w:proofErr w:type="gramEnd"/>
      <w:r w:rsidRPr="00513C65">
        <w:rPr>
          <w:rFonts w:ascii="Arial" w:eastAsiaTheme="minorEastAsia" w:hAnsi="Arial" w:cs="Arial"/>
          <w:color w:val="000000" w:themeColor="text1"/>
          <w:kern w:val="24"/>
          <w:lang w:eastAsia="en-GB"/>
        </w:rPr>
        <w:t xml:space="preserve"> the pursuit. Typically, Roads Policing Officers are deemed suitable in these events as they undergo an intensive advanced driver training course. They must be in a suitable vehicle and the pursuit must be authorised by the relevant person in the control room. The ability to pursue vehicle is one which levels the playing fields, it is important that terrorist groups and criminal organisations are denied the use of the roads to minimise risk to the public. (College of Policing, 2019)</w:t>
      </w:r>
    </w:p>
    <w:p w14:paraId="296A69AF" w14:textId="77777777" w:rsidR="007D6ABA" w:rsidRPr="00513C65" w:rsidRDefault="007D6ABA" w:rsidP="00513C65">
      <w:pPr>
        <w:spacing w:line="360" w:lineRule="auto"/>
        <w:rPr>
          <w:rFonts w:ascii="Arial" w:eastAsiaTheme="minorEastAsia" w:hAnsi="Arial" w:cs="Arial"/>
          <w:color w:val="000000" w:themeColor="text1"/>
          <w:kern w:val="24"/>
          <w:lang w:eastAsia="en-GB"/>
        </w:rPr>
      </w:pPr>
      <w:r w:rsidRPr="00513C65">
        <w:rPr>
          <w:rFonts w:ascii="Arial" w:eastAsiaTheme="minorEastAsia" w:hAnsi="Arial" w:cs="Arial"/>
          <w:color w:val="000000" w:themeColor="text1"/>
          <w:kern w:val="24"/>
          <w:lang w:eastAsia="en-GB"/>
        </w:rPr>
        <w:t xml:space="preserve">     </w:t>
      </w:r>
    </w:p>
    <w:p w14:paraId="726516FE" w14:textId="77777777" w:rsidR="007D6ABA" w:rsidRPr="00513C65" w:rsidRDefault="007D6ABA" w:rsidP="00513C65">
      <w:pPr>
        <w:spacing w:line="360" w:lineRule="auto"/>
        <w:rPr>
          <w:rFonts w:ascii="Arial" w:eastAsiaTheme="minorEastAsia" w:hAnsi="Arial" w:cs="Arial"/>
          <w:color w:val="000000" w:themeColor="text1"/>
          <w:kern w:val="24"/>
          <w:lang w:eastAsia="en-GB"/>
        </w:rPr>
      </w:pPr>
      <w:r w:rsidRPr="00513C65">
        <w:rPr>
          <w:rFonts w:ascii="Arial" w:eastAsiaTheme="minorEastAsia" w:hAnsi="Arial" w:cs="Arial"/>
          <w:color w:val="000000" w:themeColor="text1"/>
          <w:kern w:val="24"/>
          <w:lang w:eastAsia="en-GB"/>
        </w:rPr>
        <w:t xml:space="preserve">     There are multiple modern tools used in roads policing which can aid in a counter-terrorist investigation by disrupting criminality. Project Lantern was introduced in 2007 to allow roadside fingerprinting to take place. Using a portable device, officers can confirm a person’s identity, this can be effective in identifying illegal migrants and persons providing false details. This saves officers time and allows them to continue their duties without a requirement to arrest someone </w:t>
      </w:r>
      <w:proofErr w:type="gramStart"/>
      <w:r w:rsidRPr="00513C65">
        <w:rPr>
          <w:rFonts w:ascii="Arial" w:eastAsiaTheme="minorEastAsia" w:hAnsi="Arial" w:cs="Arial"/>
          <w:color w:val="000000" w:themeColor="text1"/>
          <w:kern w:val="24"/>
          <w:lang w:eastAsia="en-GB"/>
        </w:rPr>
        <w:t>in order to</w:t>
      </w:r>
      <w:proofErr w:type="gramEnd"/>
      <w:r w:rsidRPr="00513C65">
        <w:rPr>
          <w:rFonts w:ascii="Arial" w:eastAsiaTheme="minorEastAsia" w:hAnsi="Arial" w:cs="Arial"/>
          <w:color w:val="000000" w:themeColor="text1"/>
          <w:kern w:val="24"/>
          <w:lang w:eastAsia="en-GB"/>
        </w:rPr>
        <w:t xml:space="preserve"> fingerprint them in a police station. (National Policing Improvement Agency, n.d.)</w:t>
      </w:r>
    </w:p>
    <w:p w14:paraId="2B3005DC" w14:textId="77777777" w:rsidR="007D6ABA" w:rsidRPr="00513C65" w:rsidRDefault="007D6ABA" w:rsidP="00513C65">
      <w:pPr>
        <w:spacing w:line="360" w:lineRule="auto"/>
        <w:rPr>
          <w:rFonts w:ascii="Arial" w:eastAsiaTheme="minorEastAsia" w:hAnsi="Arial" w:cs="Arial"/>
          <w:color w:val="000000" w:themeColor="text1"/>
          <w:kern w:val="24"/>
          <w:lang w:eastAsia="en-GB"/>
        </w:rPr>
      </w:pPr>
      <w:r w:rsidRPr="00513C65">
        <w:rPr>
          <w:rFonts w:ascii="Arial" w:eastAsiaTheme="minorEastAsia" w:hAnsi="Arial" w:cs="Arial"/>
          <w:color w:val="000000" w:themeColor="text1"/>
          <w:kern w:val="24"/>
          <w:lang w:eastAsia="en-GB"/>
        </w:rPr>
        <w:t xml:space="preserve">Automatic Number Place Recognition cameras (ANPR) have been rolled out across the whole of the strategic road network consisting of approximately 11,000 cameras. (ANPR International, 2020) These cameras are also installed in road policing vehicles and </w:t>
      </w:r>
      <w:proofErr w:type="gramStart"/>
      <w:r w:rsidRPr="00513C65">
        <w:rPr>
          <w:rFonts w:ascii="Arial" w:eastAsiaTheme="minorEastAsia" w:hAnsi="Arial" w:cs="Arial"/>
          <w:color w:val="000000" w:themeColor="text1"/>
          <w:kern w:val="24"/>
          <w:lang w:eastAsia="en-GB"/>
        </w:rPr>
        <w:t>have the ability to</w:t>
      </w:r>
      <w:proofErr w:type="gramEnd"/>
      <w:r w:rsidRPr="00513C65">
        <w:rPr>
          <w:rFonts w:ascii="Arial" w:eastAsiaTheme="minorEastAsia" w:hAnsi="Arial" w:cs="Arial"/>
          <w:color w:val="000000" w:themeColor="text1"/>
          <w:kern w:val="24"/>
          <w:lang w:eastAsia="en-GB"/>
        </w:rPr>
        <w:t xml:space="preserve"> capture an image of a vehicle’s license plate and instantly produce the details of the owner and insurance. The system will flag any vehicles which may be of interest to the police and could have the potential to be linked with terrorism. This allows officers a reason to stop the vehicle and identify the drivers under the beforementioned powers. These cameras can aid in a counter-terrorism investigation as it enables the ability to track the travel of nominals to establish trends, assisting in the prediction of a terrorist attack. This can also be used to track criminals in </w:t>
      </w:r>
      <w:r w:rsidRPr="00513C65">
        <w:rPr>
          <w:rFonts w:ascii="Arial" w:eastAsiaTheme="minorEastAsia" w:hAnsi="Arial" w:cs="Arial"/>
          <w:color w:val="000000" w:themeColor="text1"/>
          <w:kern w:val="24"/>
          <w:lang w:eastAsia="en-GB"/>
        </w:rPr>
        <w:lastRenderedPageBreak/>
        <w:t xml:space="preserve">real-time as officers can use the system to see if a camera has detected a ‘hit’ on the relevant vehicle. In summary, road policing units are a critical part of counter-terror operations both through pro-active traffic stops and for the purposes of building intelligence. It is often one of the first steps in the detection of terrorism related activities and through pursuit of vehicles, it can be the final step before these people are stopped. </w:t>
      </w:r>
    </w:p>
    <w:p w14:paraId="6C5D9EDD" w14:textId="77777777" w:rsidR="007D6ABA" w:rsidRPr="00513C65" w:rsidRDefault="007D6ABA" w:rsidP="00513C65">
      <w:pPr>
        <w:spacing w:line="360" w:lineRule="auto"/>
        <w:rPr>
          <w:rFonts w:ascii="Arial" w:eastAsiaTheme="minorEastAsia" w:hAnsi="Arial" w:cs="Arial"/>
          <w:color w:val="000000" w:themeColor="text1"/>
          <w:kern w:val="24"/>
          <w:lang w:eastAsia="en-GB"/>
        </w:rPr>
      </w:pPr>
    </w:p>
    <w:p w14:paraId="5EA46B3C" w14:textId="64B2CCD0" w:rsidR="007D6ABA" w:rsidRPr="00513C65" w:rsidRDefault="007D6ABA" w:rsidP="00513C65">
      <w:pPr>
        <w:spacing w:line="360" w:lineRule="auto"/>
        <w:rPr>
          <w:rFonts w:ascii="Arial" w:eastAsiaTheme="minorEastAsia" w:hAnsi="Arial" w:cs="Arial"/>
          <w:color w:val="000000" w:themeColor="text1"/>
          <w:kern w:val="24"/>
          <w:lang w:eastAsia="en-GB"/>
        </w:rPr>
      </w:pPr>
      <w:r w:rsidRPr="00513C65">
        <w:rPr>
          <w:rFonts w:ascii="Arial" w:eastAsiaTheme="minorEastAsia" w:hAnsi="Arial" w:cs="Arial"/>
          <w:color w:val="000000" w:themeColor="text1"/>
          <w:kern w:val="24"/>
          <w:lang w:eastAsia="en-GB"/>
        </w:rPr>
        <w:t>Word Count:  1142</w:t>
      </w:r>
    </w:p>
    <w:p w14:paraId="3A68369B" w14:textId="754EC9C6" w:rsidR="007D6ABA" w:rsidRPr="00513C65" w:rsidRDefault="007D6ABA" w:rsidP="00513C65">
      <w:pPr>
        <w:spacing w:line="360" w:lineRule="auto"/>
        <w:rPr>
          <w:rFonts w:ascii="Arial" w:eastAsiaTheme="minorEastAsia" w:hAnsi="Arial" w:cs="Arial"/>
          <w:color w:val="000000" w:themeColor="text1"/>
          <w:kern w:val="24"/>
          <w:lang w:eastAsia="en-GB"/>
        </w:rPr>
      </w:pPr>
      <w:r w:rsidRPr="00513C65">
        <w:rPr>
          <w:rFonts w:ascii="Arial" w:eastAsiaTheme="minorEastAsia" w:hAnsi="Arial" w:cs="Arial"/>
          <w:b/>
          <w:bCs/>
          <w:color w:val="000000" w:themeColor="text1"/>
          <w:kern w:val="24"/>
          <w:u w:val="single"/>
          <w:lang w:eastAsia="en-GB"/>
        </w:rPr>
        <w:t xml:space="preserve">Bibliography: </w:t>
      </w:r>
    </w:p>
    <w:p w14:paraId="22DB0914" w14:textId="77777777" w:rsidR="007D6ABA" w:rsidRPr="00513C65" w:rsidRDefault="007D6ABA" w:rsidP="00513C65">
      <w:pPr>
        <w:spacing w:line="240" w:lineRule="auto"/>
        <w:rPr>
          <w:rFonts w:ascii="Arial" w:eastAsiaTheme="minorEastAsia" w:hAnsi="Arial" w:cs="Arial"/>
          <w:color w:val="000000" w:themeColor="text1"/>
          <w:kern w:val="24"/>
          <w:lang w:eastAsia="en-GB"/>
        </w:rPr>
      </w:pPr>
      <w:proofErr w:type="spellStart"/>
      <w:r w:rsidRPr="00513C65">
        <w:rPr>
          <w:rFonts w:ascii="Arial" w:hAnsi="Arial" w:cs="Arial"/>
        </w:rPr>
        <w:t>Alda</w:t>
      </w:r>
      <w:proofErr w:type="spellEnd"/>
      <w:r w:rsidRPr="00513C65">
        <w:rPr>
          <w:rFonts w:ascii="Arial" w:hAnsi="Arial" w:cs="Arial"/>
        </w:rPr>
        <w:t xml:space="preserve">, E and Sala, J L (2014) ‘Links Between Terrorism, Organized Crime and Crime: The Case of the Sahel Region’, </w:t>
      </w:r>
      <w:r w:rsidRPr="00513C65">
        <w:rPr>
          <w:rFonts w:ascii="Arial" w:hAnsi="Arial" w:cs="Arial"/>
          <w:i/>
          <w:iCs/>
        </w:rPr>
        <w:t>Stability: International Journal of Security &amp; Development</w:t>
      </w:r>
      <w:r w:rsidRPr="00513C65">
        <w:rPr>
          <w:rFonts w:ascii="Arial" w:hAnsi="Arial" w:cs="Arial"/>
        </w:rPr>
        <w:t>, 3(1): 27, pp. 1-9</w:t>
      </w:r>
    </w:p>
    <w:p w14:paraId="5BC22ABA" w14:textId="77777777" w:rsidR="007D6ABA" w:rsidRPr="00513C65" w:rsidRDefault="007D6ABA" w:rsidP="00513C65">
      <w:pPr>
        <w:spacing w:line="240" w:lineRule="auto"/>
        <w:rPr>
          <w:rFonts w:ascii="Arial" w:hAnsi="Arial" w:cs="Arial"/>
        </w:rPr>
      </w:pPr>
    </w:p>
    <w:p w14:paraId="42EDFBEF" w14:textId="77777777" w:rsidR="007D6ABA" w:rsidRPr="00513C65" w:rsidRDefault="007D6ABA" w:rsidP="00513C65">
      <w:pPr>
        <w:spacing w:line="240" w:lineRule="auto"/>
        <w:rPr>
          <w:rFonts w:ascii="Arial" w:hAnsi="Arial" w:cs="Arial"/>
          <w:color w:val="0563C1" w:themeColor="hyperlink"/>
          <w:u w:val="single"/>
        </w:rPr>
      </w:pPr>
      <w:r w:rsidRPr="00513C65">
        <w:rPr>
          <w:rFonts w:ascii="Arial" w:hAnsi="Arial" w:cs="Arial"/>
        </w:rPr>
        <w:t xml:space="preserve">ANPR International (2020). History of ANPR. Available at: </w:t>
      </w:r>
      <w:hyperlink r:id="rId17" w:history="1">
        <w:r w:rsidRPr="00513C65">
          <w:rPr>
            <w:rStyle w:val="Hyperlink"/>
            <w:rFonts w:ascii="Arial" w:hAnsi="Arial" w:cs="Arial"/>
          </w:rPr>
          <w:t>http://www.anpr-international.com/history-of-anpr/</w:t>
        </w:r>
      </w:hyperlink>
      <w:r w:rsidRPr="00513C65">
        <w:rPr>
          <w:rStyle w:val="Hyperlink"/>
          <w:rFonts w:ascii="Arial" w:hAnsi="Arial" w:cs="Arial"/>
        </w:rPr>
        <w:t xml:space="preserve"> </w:t>
      </w:r>
      <w:r w:rsidRPr="00513C65">
        <w:rPr>
          <w:rStyle w:val="Hyperlink"/>
          <w:rFonts w:ascii="Arial" w:hAnsi="Arial" w:cs="Arial"/>
          <w:color w:val="000000" w:themeColor="text1"/>
        </w:rPr>
        <w:t>(</w:t>
      </w:r>
      <w:r w:rsidRPr="00513C65">
        <w:rPr>
          <w:rStyle w:val="Hyperlink"/>
          <w:rFonts w:ascii="Arial" w:hAnsi="Arial" w:cs="Arial"/>
          <w:color w:val="000000" w:themeColor="text1"/>
          <w:u w:val="none"/>
        </w:rPr>
        <w:t>Accessed 3</w:t>
      </w:r>
      <w:r w:rsidRPr="00513C65">
        <w:rPr>
          <w:rStyle w:val="Hyperlink"/>
          <w:rFonts w:ascii="Arial" w:hAnsi="Arial" w:cs="Arial"/>
          <w:color w:val="000000" w:themeColor="text1"/>
          <w:u w:val="none"/>
          <w:vertAlign w:val="superscript"/>
        </w:rPr>
        <w:t>rd</w:t>
      </w:r>
      <w:r w:rsidRPr="00513C65">
        <w:rPr>
          <w:rStyle w:val="Hyperlink"/>
          <w:rFonts w:ascii="Arial" w:hAnsi="Arial" w:cs="Arial"/>
          <w:color w:val="000000" w:themeColor="text1"/>
          <w:u w:val="none"/>
        </w:rPr>
        <w:t xml:space="preserve"> December 2020)</w:t>
      </w:r>
    </w:p>
    <w:p w14:paraId="6A9F9C4D" w14:textId="3EE6DBE9" w:rsidR="007D6ABA" w:rsidRPr="00513C65" w:rsidRDefault="007D6ABA" w:rsidP="00513C65">
      <w:pPr>
        <w:spacing w:line="240" w:lineRule="auto"/>
        <w:rPr>
          <w:rFonts w:ascii="Arial" w:eastAsiaTheme="minorEastAsia" w:hAnsi="Arial" w:cs="Arial"/>
          <w:color w:val="000000" w:themeColor="text1"/>
          <w:kern w:val="24"/>
          <w:lang w:eastAsia="en-GB"/>
        </w:rPr>
      </w:pPr>
    </w:p>
    <w:p w14:paraId="1D78A58F" w14:textId="77777777" w:rsidR="007D6ABA" w:rsidRPr="00513C65" w:rsidRDefault="007D6ABA" w:rsidP="00513C65">
      <w:pPr>
        <w:spacing w:line="240" w:lineRule="auto"/>
        <w:rPr>
          <w:rFonts w:ascii="Arial" w:hAnsi="Arial" w:cs="Arial"/>
        </w:rPr>
      </w:pPr>
      <w:r w:rsidRPr="00513C65">
        <w:rPr>
          <w:rFonts w:ascii="Arial" w:hAnsi="Arial" w:cs="Arial"/>
        </w:rPr>
        <w:t xml:space="preserve">College of Policing (not </w:t>
      </w:r>
      <w:proofErr w:type="spellStart"/>
      <w:r w:rsidRPr="00513C65">
        <w:rPr>
          <w:rFonts w:ascii="Arial" w:hAnsi="Arial" w:cs="Arial"/>
        </w:rPr>
        <w:t>dated</w:t>
      </w:r>
      <w:proofErr w:type="spellEnd"/>
      <w:r w:rsidRPr="00513C65">
        <w:rPr>
          <w:rFonts w:ascii="Arial" w:hAnsi="Arial" w:cs="Arial"/>
        </w:rPr>
        <w:t>)</w:t>
      </w:r>
      <w:r w:rsidRPr="00513C65">
        <w:rPr>
          <w:rFonts w:ascii="Arial" w:hAnsi="Arial" w:cs="Arial"/>
          <w:i/>
          <w:iCs/>
        </w:rPr>
        <w:t xml:space="preserve"> ‘Disrupting Serious and Organised Criminals: Menu of Tactics’</w:t>
      </w:r>
      <w:r w:rsidRPr="00513C65">
        <w:rPr>
          <w:rFonts w:ascii="Arial" w:hAnsi="Arial" w:cs="Arial"/>
        </w:rPr>
        <w:t xml:space="preserve">. Available at: </w:t>
      </w:r>
      <w:hyperlink r:id="rId18" w:history="1">
        <w:r w:rsidRPr="00513C65">
          <w:rPr>
            <w:rStyle w:val="Hyperlink"/>
            <w:rFonts w:ascii="Arial" w:hAnsi="Arial" w:cs="Arial"/>
          </w:rPr>
          <w:t>https://whatworks.college.police.uk/Research/Documents/Menu_of_tactics.pdf</w:t>
        </w:r>
      </w:hyperlink>
    </w:p>
    <w:p w14:paraId="38742695" w14:textId="77777777" w:rsidR="007D6ABA" w:rsidRPr="00513C65" w:rsidRDefault="007D6ABA" w:rsidP="00513C65">
      <w:pPr>
        <w:spacing w:line="240" w:lineRule="auto"/>
        <w:rPr>
          <w:rFonts w:ascii="Arial" w:hAnsi="Arial" w:cs="Arial"/>
        </w:rPr>
      </w:pPr>
      <w:r w:rsidRPr="00513C65">
        <w:rPr>
          <w:rFonts w:ascii="Arial" w:hAnsi="Arial" w:cs="Arial"/>
        </w:rPr>
        <w:t>(Accessed 3</w:t>
      </w:r>
      <w:r w:rsidRPr="00513C65">
        <w:rPr>
          <w:rFonts w:ascii="Arial" w:hAnsi="Arial" w:cs="Arial"/>
          <w:vertAlign w:val="superscript"/>
        </w:rPr>
        <w:t>rd</w:t>
      </w:r>
      <w:r w:rsidRPr="00513C65">
        <w:rPr>
          <w:rFonts w:ascii="Arial" w:hAnsi="Arial" w:cs="Arial"/>
        </w:rPr>
        <w:t xml:space="preserve"> December 2020)</w:t>
      </w:r>
    </w:p>
    <w:p w14:paraId="398F5C8D" w14:textId="5AF8EE7B" w:rsidR="007D6ABA" w:rsidRPr="00513C65" w:rsidRDefault="007D6ABA" w:rsidP="00513C65">
      <w:pPr>
        <w:spacing w:line="240" w:lineRule="auto"/>
        <w:rPr>
          <w:rFonts w:ascii="Arial" w:eastAsiaTheme="minorEastAsia" w:hAnsi="Arial" w:cs="Arial"/>
          <w:color w:val="000000" w:themeColor="text1"/>
          <w:kern w:val="24"/>
          <w:lang w:eastAsia="en-GB"/>
        </w:rPr>
      </w:pPr>
    </w:p>
    <w:p w14:paraId="1DA382F3" w14:textId="77777777" w:rsidR="007D6ABA" w:rsidRPr="00513C65" w:rsidRDefault="007D6ABA" w:rsidP="00513C65">
      <w:pPr>
        <w:spacing w:line="240" w:lineRule="auto"/>
        <w:rPr>
          <w:rFonts w:ascii="Arial" w:hAnsi="Arial" w:cs="Arial"/>
        </w:rPr>
      </w:pPr>
      <w:r w:rsidRPr="00513C65">
        <w:rPr>
          <w:rFonts w:ascii="Arial" w:hAnsi="Arial" w:cs="Arial"/>
        </w:rPr>
        <w:t xml:space="preserve">College of Policing (2014) </w:t>
      </w:r>
      <w:r w:rsidRPr="00513C65">
        <w:rPr>
          <w:rFonts w:ascii="Arial" w:hAnsi="Arial" w:cs="Arial"/>
          <w:i/>
          <w:iCs/>
        </w:rPr>
        <w:t>‘National Decision Model’</w:t>
      </w:r>
      <w:r w:rsidRPr="00513C65">
        <w:rPr>
          <w:rFonts w:ascii="Arial" w:hAnsi="Arial" w:cs="Arial"/>
        </w:rPr>
        <w:t xml:space="preserve">. Available at: </w:t>
      </w:r>
      <w:hyperlink r:id="rId19" w:history="1">
        <w:r w:rsidRPr="00513C65">
          <w:rPr>
            <w:rStyle w:val="Hyperlink"/>
            <w:rFonts w:ascii="Arial" w:hAnsi="Arial" w:cs="Arial"/>
          </w:rPr>
          <w:t>https://www.app.college.police.uk/app-content/national-decision-model/the-national-decision-model/</w:t>
        </w:r>
      </w:hyperlink>
      <w:r w:rsidRPr="00513C65">
        <w:rPr>
          <w:rFonts w:ascii="Arial" w:hAnsi="Arial" w:cs="Arial"/>
        </w:rPr>
        <w:t xml:space="preserve">  (Accessed 3</w:t>
      </w:r>
      <w:r w:rsidRPr="00513C65">
        <w:rPr>
          <w:rFonts w:ascii="Arial" w:hAnsi="Arial" w:cs="Arial"/>
          <w:vertAlign w:val="superscript"/>
        </w:rPr>
        <w:t>rd</w:t>
      </w:r>
      <w:r w:rsidRPr="00513C65">
        <w:rPr>
          <w:rFonts w:ascii="Arial" w:hAnsi="Arial" w:cs="Arial"/>
        </w:rPr>
        <w:t xml:space="preserve"> December 2020)</w:t>
      </w:r>
    </w:p>
    <w:p w14:paraId="1AE1C20C" w14:textId="581E07A9" w:rsidR="007D6ABA" w:rsidRPr="00513C65" w:rsidRDefault="007D6ABA" w:rsidP="00513C65">
      <w:pPr>
        <w:spacing w:line="240" w:lineRule="auto"/>
        <w:rPr>
          <w:rFonts w:ascii="Arial" w:eastAsiaTheme="minorEastAsia" w:hAnsi="Arial" w:cs="Arial"/>
          <w:color w:val="000000" w:themeColor="text1"/>
          <w:kern w:val="24"/>
          <w:lang w:eastAsia="en-GB"/>
        </w:rPr>
      </w:pPr>
    </w:p>
    <w:p w14:paraId="3920E7C9" w14:textId="77777777" w:rsidR="007D6ABA" w:rsidRPr="00513C65" w:rsidRDefault="007D6ABA" w:rsidP="00513C65">
      <w:pPr>
        <w:spacing w:line="240" w:lineRule="auto"/>
        <w:rPr>
          <w:rFonts w:ascii="Arial" w:hAnsi="Arial" w:cs="Arial"/>
        </w:rPr>
      </w:pPr>
      <w:r w:rsidRPr="00513C65">
        <w:rPr>
          <w:rFonts w:ascii="Arial" w:hAnsi="Arial" w:cs="Arial"/>
        </w:rPr>
        <w:t xml:space="preserve">College of Policing (2019) ‘Roads Policing, Police </w:t>
      </w:r>
      <w:proofErr w:type="gramStart"/>
      <w:r w:rsidRPr="00513C65">
        <w:rPr>
          <w:rFonts w:ascii="Arial" w:hAnsi="Arial" w:cs="Arial"/>
        </w:rPr>
        <w:t>pursuits’</w:t>
      </w:r>
      <w:proofErr w:type="gramEnd"/>
      <w:r w:rsidRPr="00513C65">
        <w:rPr>
          <w:rFonts w:ascii="Arial" w:hAnsi="Arial" w:cs="Arial"/>
        </w:rPr>
        <w:t xml:space="preserve">. Available at: </w:t>
      </w:r>
      <w:hyperlink r:id="rId20" w:history="1">
        <w:r w:rsidRPr="00513C65">
          <w:rPr>
            <w:rStyle w:val="Hyperlink"/>
            <w:rFonts w:ascii="Arial" w:hAnsi="Arial" w:cs="Arial"/>
          </w:rPr>
          <w:t>https://www.app.college.police.uk/app-content/road-policing-2/police-pursuits/</w:t>
        </w:r>
      </w:hyperlink>
    </w:p>
    <w:p w14:paraId="3E68D732" w14:textId="77777777" w:rsidR="007D6ABA" w:rsidRPr="00513C65" w:rsidRDefault="007D6ABA" w:rsidP="00513C65">
      <w:pPr>
        <w:spacing w:line="240" w:lineRule="auto"/>
        <w:rPr>
          <w:rFonts w:ascii="Arial" w:hAnsi="Arial" w:cs="Arial"/>
        </w:rPr>
      </w:pPr>
      <w:r w:rsidRPr="00513C65">
        <w:rPr>
          <w:rFonts w:ascii="Arial" w:hAnsi="Arial" w:cs="Arial"/>
        </w:rPr>
        <w:t>(Accessed 3</w:t>
      </w:r>
      <w:r w:rsidRPr="00513C65">
        <w:rPr>
          <w:rFonts w:ascii="Arial" w:hAnsi="Arial" w:cs="Arial"/>
          <w:vertAlign w:val="superscript"/>
        </w:rPr>
        <w:t>rd</w:t>
      </w:r>
      <w:r w:rsidRPr="00513C65">
        <w:rPr>
          <w:rFonts w:ascii="Arial" w:hAnsi="Arial" w:cs="Arial"/>
        </w:rPr>
        <w:t xml:space="preserve"> December 2020)</w:t>
      </w:r>
    </w:p>
    <w:p w14:paraId="1318CA98" w14:textId="57147673" w:rsidR="007D6ABA" w:rsidRPr="00513C65" w:rsidRDefault="007D6ABA" w:rsidP="00513C65">
      <w:pPr>
        <w:spacing w:line="240" w:lineRule="auto"/>
        <w:rPr>
          <w:rFonts w:ascii="Arial" w:eastAsiaTheme="minorEastAsia" w:hAnsi="Arial" w:cs="Arial"/>
          <w:color w:val="000000" w:themeColor="text1"/>
          <w:kern w:val="24"/>
          <w:lang w:eastAsia="en-GB"/>
        </w:rPr>
      </w:pPr>
    </w:p>
    <w:p w14:paraId="70F5ABF2" w14:textId="77777777" w:rsidR="007D6ABA" w:rsidRPr="00513C65" w:rsidRDefault="007D6ABA" w:rsidP="00513C65">
      <w:pPr>
        <w:spacing w:line="240" w:lineRule="auto"/>
        <w:rPr>
          <w:rFonts w:ascii="Arial" w:eastAsiaTheme="minorEastAsia" w:hAnsi="Arial" w:cs="Arial"/>
          <w:color w:val="000000" w:themeColor="text1"/>
          <w:kern w:val="24"/>
          <w:lang w:eastAsia="en-GB"/>
        </w:rPr>
      </w:pPr>
      <w:r w:rsidRPr="00513C65">
        <w:rPr>
          <w:rFonts w:ascii="Arial" w:eastAsiaTheme="minorEastAsia" w:hAnsi="Arial" w:cs="Arial"/>
          <w:color w:val="000000" w:themeColor="text1"/>
          <w:kern w:val="24"/>
          <w:lang w:eastAsia="en-GB"/>
        </w:rPr>
        <w:t xml:space="preserve">Crown Prosecution Service (not </w:t>
      </w:r>
      <w:proofErr w:type="spellStart"/>
      <w:r w:rsidRPr="00513C65">
        <w:rPr>
          <w:rFonts w:ascii="Arial" w:eastAsiaTheme="minorEastAsia" w:hAnsi="Arial" w:cs="Arial"/>
          <w:color w:val="000000" w:themeColor="text1"/>
          <w:kern w:val="24"/>
          <w:lang w:eastAsia="en-GB"/>
        </w:rPr>
        <w:t>dated</w:t>
      </w:r>
      <w:proofErr w:type="spellEnd"/>
      <w:r w:rsidRPr="00513C65">
        <w:rPr>
          <w:rFonts w:ascii="Arial" w:eastAsiaTheme="minorEastAsia" w:hAnsi="Arial" w:cs="Arial"/>
          <w:color w:val="000000" w:themeColor="text1"/>
          <w:kern w:val="24"/>
          <w:lang w:eastAsia="en-GB"/>
        </w:rPr>
        <w:t xml:space="preserve">) </w:t>
      </w:r>
      <w:r w:rsidRPr="00513C65">
        <w:rPr>
          <w:rFonts w:ascii="Arial" w:eastAsiaTheme="minorEastAsia" w:hAnsi="Arial" w:cs="Arial"/>
          <w:i/>
          <w:iCs/>
          <w:color w:val="000000" w:themeColor="text1"/>
          <w:kern w:val="24"/>
          <w:lang w:eastAsia="en-GB"/>
        </w:rPr>
        <w:t xml:space="preserve">‘Terrorism’, </w:t>
      </w:r>
      <w:r w:rsidRPr="00513C65">
        <w:rPr>
          <w:rFonts w:ascii="Arial" w:eastAsiaTheme="minorEastAsia" w:hAnsi="Arial" w:cs="Arial"/>
          <w:color w:val="000000" w:themeColor="text1"/>
          <w:kern w:val="24"/>
          <w:lang w:eastAsia="en-GB"/>
        </w:rPr>
        <w:t xml:space="preserve">Available at: </w:t>
      </w:r>
      <w:hyperlink r:id="rId21" w:history="1">
        <w:r w:rsidRPr="00513C65">
          <w:rPr>
            <w:rStyle w:val="Hyperlink"/>
            <w:rFonts w:ascii="Arial" w:eastAsiaTheme="minorEastAsia" w:hAnsi="Arial" w:cs="Arial"/>
            <w:kern w:val="24"/>
            <w:lang w:eastAsia="en-GB"/>
          </w:rPr>
          <w:t>https://www.cps.gov.uk/crime-info/terrorism</w:t>
        </w:r>
      </w:hyperlink>
      <w:r w:rsidRPr="00513C65">
        <w:rPr>
          <w:rFonts w:ascii="Arial" w:eastAsiaTheme="minorEastAsia" w:hAnsi="Arial" w:cs="Arial"/>
          <w:color w:val="000000" w:themeColor="text1"/>
          <w:kern w:val="24"/>
          <w:lang w:eastAsia="en-GB"/>
        </w:rPr>
        <w:t xml:space="preserve"> (Accessed 3rd December 2020)</w:t>
      </w:r>
    </w:p>
    <w:p w14:paraId="4710F916" w14:textId="50124E19" w:rsidR="007D6ABA" w:rsidRPr="00513C65" w:rsidRDefault="007D6ABA" w:rsidP="00513C65">
      <w:pPr>
        <w:spacing w:line="240" w:lineRule="auto"/>
        <w:rPr>
          <w:rFonts w:ascii="Arial" w:eastAsiaTheme="minorEastAsia" w:hAnsi="Arial" w:cs="Arial"/>
          <w:color w:val="000000" w:themeColor="text1"/>
          <w:kern w:val="24"/>
          <w:lang w:eastAsia="en-GB"/>
        </w:rPr>
      </w:pPr>
    </w:p>
    <w:p w14:paraId="7E8DF96F" w14:textId="77777777" w:rsidR="007D6ABA" w:rsidRPr="00513C65" w:rsidRDefault="007D6ABA" w:rsidP="00513C65">
      <w:pPr>
        <w:spacing w:line="240" w:lineRule="auto"/>
        <w:rPr>
          <w:rFonts w:ascii="Arial" w:hAnsi="Arial" w:cs="Arial"/>
        </w:rPr>
      </w:pPr>
      <w:r w:rsidRPr="00513C65">
        <w:rPr>
          <w:rFonts w:ascii="Arial" w:hAnsi="Arial" w:cs="Arial"/>
        </w:rPr>
        <w:t>Highways England (2017) ‘</w:t>
      </w:r>
      <w:r w:rsidRPr="00513C65">
        <w:rPr>
          <w:rFonts w:ascii="Arial" w:hAnsi="Arial" w:cs="Arial"/>
          <w:i/>
          <w:iCs/>
        </w:rPr>
        <w:t>Strategic Road Network Initial Report’</w:t>
      </w:r>
      <w:r w:rsidRPr="00513C65">
        <w:rPr>
          <w:rFonts w:ascii="Arial" w:hAnsi="Arial" w:cs="Arial"/>
        </w:rPr>
        <w:t xml:space="preserve">. Available at: </w:t>
      </w:r>
      <w:hyperlink r:id="rId22" w:history="1">
        <w:r w:rsidRPr="00513C65">
          <w:rPr>
            <w:rStyle w:val="Hyperlink"/>
            <w:rFonts w:ascii="Arial" w:hAnsi="Arial" w:cs="Arial"/>
          </w:rPr>
          <w:t>https://assets.publishing.service.gov.uk/government/uploads/system/uploads/attachment_data/file/666857/Strategic_Road_Network_Initial_Report_Overview.pdf</w:t>
        </w:r>
      </w:hyperlink>
    </w:p>
    <w:p w14:paraId="27A702FF" w14:textId="77777777" w:rsidR="007D6ABA" w:rsidRPr="00513C65" w:rsidRDefault="007D6ABA" w:rsidP="00513C65">
      <w:pPr>
        <w:spacing w:line="240" w:lineRule="auto"/>
        <w:rPr>
          <w:rFonts w:ascii="Arial" w:hAnsi="Arial" w:cs="Arial"/>
        </w:rPr>
      </w:pPr>
      <w:r w:rsidRPr="00513C65">
        <w:rPr>
          <w:rFonts w:ascii="Arial" w:hAnsi="Arial" w:cs="Arial"/>
        </w:rPr>
        <w:t>(Accessed 3</w:t>
      </w:r>
      <w:r w:rsidRPr="00513C65">
        <w:rPr>
          <w:rFonts w:ascii="Arial" w:hAnsi="Arial" w:cs="Arial"/>
          <w:vertAlign w:val="superscript"/>
        </w:rPr>
        <w:t>rd</w:t>
      </w:r>
      <w:r w:rsidRPr="00513C65">
        <w:rPr>
          <w:rFonts w:ascii="Arial" w:hAnsi="Arial" w:cs="Arial"/>
        </w:rPr>
        <w:t xml:space="preserve"> December 2020)</w:t>
      </w:r>
    </w:p>
    <w:p w14:paraId="694B0865" w14:textId="45AFBB92" w:rsidR="007D6ABA" w:rsidRPr="00513C65" w:rsidRDefault="007D6ABA" w:rsidP="00513C65">
      <w:pPr>
        <w:spacing w:line="240" w:lineRule="auto"/>
        <w:rPr>
          <w:rFonts w:ascii="Arial" w:eastAsiaTheme="minorEastAsia" w:hAnsi="Arial" w:cs="Arial"/>
          <w:color w:val="000000" w:themeColor="text1"/>
          <w:kern w:val="24"/>
          <w:lang w:eastAsia="en-GB"/>
        </w:rPr>
      </w:pPr>
    </w:p>
    <w:p w14:paraId="1645FBDD" w14:textId="77777777" w:rsidR="007D6ABA" w:rsidRPr="00513C65" w:rsidRDefault="007D6ABA" w:rsidP="00513C65">
      <w:pPr>
        <w:spacing w:line="240" w:lineRule="auto"/>
        <w:rPr>
          <w:rFonts w:ascii="Arial" w:hAnsi="Arial" w:cs="Arial"/>
        </w:rPr>
      </w:pPr>
      <w:r w:rsidRPr="00513C65">
        <w:rPr>
          <w:rFonts w:ascii="Arial" w:hAnsi="Arial" w:cs="Arial"/>
        </w:rPr>
        <w:lastRenderedPageBreak/>
        <w:t xml:space="preserve">Home Office (2019) </w:t>
      </w:r>
      <w:r w:rsidRPr="00513C65">
        <w:rPr>
          <w:rFonts w:ascii="Arial" w:hAnsi="Arial" w:cs="Arial"/>
          <w:i/>
          <w:iCs/>
        </w:rPr>
        <w:t xml:space="preserve">‘Counter-Terrorism and Border Security Act 2019, Traffic Regulation Fact Sheet’. </w:t>
      </w:r>
      <w:r w:rsidRPr="00513C65">
        <w:rPr>
          <w:rFonts w:ascii="Arial" w:hAnsi="Arial" w:cs="Arial"/>
        </w:rPr>
        <w:t xml:space="preserve">Available at: </w:t>
      </w:r>
      <w:hyperlink r:id="rId23" w:history="1">
        <w:r w:rsidRPr="00513C65">
          <w:rPr>
            <w:rStyle w:val="Hyperlink"/>
            <w:rFonts w:ascii="Arial" w:hAnsi="Arial" w:cs="Arial"/>
          </w:rPr>
          <w:t>https://assets.publishing.service.gov.uk/government/uploads/system/uploads/attachment_data/file/912091/2019-02-11_Traffic_Regulation_RA.pdf</w:t>
        </w:r>
      </w:hyperlink>
    </w:p>
    <w:p w14:paraId="15DC06E9" w14:textId="77777777" w:rsidR="007D6ABA" w:rsidRPr="00513C65" w:rsidRDefault="007D6ABA" w:rsidP="00513C65">
      <w:pPr>
        <w:spacing w:line="240" w:lineRule="auto"/>
        <w:rPr>
          <w:rFonts w:ascii="Arial" w:hAnsi="Arial" w:cs="Arial"/>
        </w:rPr>
      </w:pPr>
      <w:r w:rsidRPr="00513C65">
        <w:rPr>
          <w:rFonts w:ascii="Arial" w:hAnsi="Arial" w:cs="Arial"/>
        </w:rPr>
        <w:t>(Accessed 3</w:t>
      </w:r>
      <w:r w:rsidRPr="00513C65">
        <w:rPr>
          <w:rFonts w:ascii="Arial" w:hAnsi="Arial" w:cs="Arial"/>
          <w:vertAlign w:val="superscript"/>
        </w:rPr>
        <w:t>rd</w:t>
      </w:r>
      <w:r w:rsidRPr="00513C65">
        <w:rPr>
          <w:rFonts w:ascii="Arial" w:hAnsi="Arial" w:cs="Arial"/>
        </w:rPr>
        <w:t xml:space="preserve"> December 2020)</w:t>
      </w:r>
    </w:p>
    <w:p w14:paraId="01BBA217" w14:textId="35AD4478" w:rsidR="007D6ABA" w:rsidRPr="00513C65" w:rsidRDefault="007D6ABA" w:rsidP="00513C65">
      <w:pPr>
        <w:spacing w:line="240" w:lineRule="auto"/>
        <w:rPr>
          <w:rFonts w:ascii="Arial" w:eastAsiaTheme="minorEastAsia" w:hAnsi="Arial" w:cs="Arial"/>
          <w:color w:val="000000" w:themeColor="text1"/>
          <w:kern w:val="24"/>
          <w:lang w:eastAsia="en-GB"/>
        </w:rPr>
      </w:pPr>
    </w:p>
    <w:p w14:paraId="55C59224" w14:textId="77777777" w:rsidR="007D6ABA" w:rsidRPr="00513C65" w:rsidRDefault="007D6ABA" w:rsidP="00513C65">
      <w:pPr>
        <w:spacing w:line="240" w:lineRule="auto"/>
        <w:rPr>
          <w:rFonts w:ascii="Arial" w:hAnsi="Arial" w:cs="Arial"/>
        </w:rPr>
      </w:pPr>
      <w:r w:rsidRPr="00513C65">
        <w:rPr>
          <w:rFonts w:ascii="Arial" w:hAnsi="Arial" w:cs="Arial"/>
        </w:rPr>
        <w:t xml:space="preserve">National Policing Improvement Agency (Not </w:t>
      </w:r>
      <w:proofErr w:type="spellStart"/>
      <w:r w:rsidRPr="00513C65">
        <w:rPr>
          <w:rFonts w:ascii="Arial" w:hAnsi="Arial" w:cs="Arial"/>
        </w:rPr>
        <w:t>dated</w:t>
      </w:r>
      <w:proofErr w:type="spellEnd"/>
      <w:r w:rsidRPr="00513C65">
        <w:rPr>
          <w:rFonts w:ascii="Arial" w:hAnsi="Arial" w:cs="Arial"/>
        </w:rPr>
        <w:t xml:space="preserve">) </w:t>
      </w:r>
      <w:r w:rsidRPr="00513C65">
        <w:rPr>
          <w:rFonts w:ascii="Arial" w:hAnsi="Arial" w:cs="Arial"/>
          <w:i/>
          <w:iCs/>
        </w:rPr>
        <w:t xml:space="preserve">‘Mobile Identification for the UK police: Project Lantern’. </w:t>
      </w:r>
      <w:r w:rsidRPr="00513C65">
        <w:rPr>
          <w:rFonts w:ascii="Arial" w:hAnsi="Arial" w:cs="Arial"/>
        </w:rPr>
        <w:t xml:space="preserve">Available at: </w:t>
      </w:r>
      <w:hyperlink r:id="rId24" w:history="1">
        <w:r w:rsidRPr="00513C65">
          <w:rPr>
            <w:rStyle w:val="Hyperlink"/>
            <w:rFonts w:ascii="Arial" w:hAnsi="Arial" w:cs="Arial"/>
          </w:rPr>
          <w:t>https://www.nist.gov/system/files/documents/2016/12/12/whitakermobileidprez.pdf</w:t>
        </w:r>
      </w:hyperlink>
    </w:p>
    <w:p w14:paraId="1784543C" w14:textId="77777777" w:rsidR="007D6ABA" w:rsidRPr="00513C65" w:rsidRDefault="007D6ABA" w:rsidP="00513C65">
      <w:pPr>
        <w:spacing w:line="240" w:lineRule="auto"/>
        <w:rPr>
          <w:rFonts w:ascii="Arial" w:hAnsi="Arial" w:cs="Arial"/>
        </w:rPr>
      </w:pPr>
      <w:r w:rsidRPr="00513C65">
        <w:rPr>
          <w:rFonts w:ascii="Arial" w:hAnsi="Arial" w:cs="Arial"/>
        </w:rPr>
        <w:t>(Accessed 3</w:t>
      </w:r>
      <w:r w:rsidRPr="00513C65">
        <w:rPr>
          <w:rFonts w:ascii="Arial" w:hAnsi="Arial" w:cs="Arial"/>
          <w:vertAlign w:val="superscript"/>
        </w:rPr>
        <w:t>rd</w:t>
      </w:r>
      <w:r w:rsidRPr="00513C65">
        <w:rPr>
          <w:rFonts w:ascii="Arial" w:hAnsi="Arial" w:cs="Arial"/>
        </w:rPr>
        <w:t xml:space="preserve"> December 2020)</w:t>
      </w:r>
    </w:p>
    <w:p w14:paraId="53288D67" w14:textId="346E8ECF" w:rsidR="007D6ABA" w:rsidRPr="00513C65" w:rsidRDefault="007D6ABA" w:rsidP="00513C65">
      <w:pPr>
        <w:spacing w:line="240" w:lineRule="auto"/>
        <w:rPr>
          <w:rFonts w:ascii="Arial" w:eastAsiaTheme="minorEastAsia" w:hAnsi="Arial" w:cs="Arial"/>
          <w:color w:val="000000" w:themeColor="text1"/>
          <w:kern w:val="24"/>
          <w:lang w:eastAsia="en-GB"/>
        </w:rPr>
      </w:pPr>
    </w:p>
    <w:p w14:paraId="376B8FD3" w14:textId="77777777" w:rsidR="007D6ABA" w:rsidRPr="00513C65" w:rsidRDefault="007D6ABA" w:rsidP="00513C65">
      <w:pPr>
        <w:spacing w:line="240" w:lineRule="auto"/>
        <w:rPr>
          <w:rFonts w:ascii="Arial" w:hAnsi="Arial" w:cs="Arial"/>
        </w:rPr>
      </w:pPr>
      <w:r w:rsidRPr="00513C65">
        <w:rPr>
          <w:rFonts w:ascii="Arial" w:hAnsi="Arial" w:cs="Arial"/>
        </w:rPr>
        <w:t xml:space="preserve">Road Traffic Act 1998, c.163, 164 and 165. Available at: </w:t>
      </w:r>
      <w:hyperlink r:id="rId25" w:history="1">
        <w:r w:rsidRPr="00513C65">
          <w:rPr>
            <w:rStyle w:val="Hyperlink"/>
            <w:rFonts w:ascii="Arial" w:hAnsi="Arial" w:cs="Arial"/>
          </w:rPr>
          <w:t>https://www.legislation.gov.uk/ukpga/1988/52/part/VII</w:t>
        </w:r>
      </w:hyperlink>
    </w:p>
    <w:p w14:paraId="347955B0" w14:textId="77777777" w:rsidR="007D6ABA" w:rsidRPr="00513C65" w:rsidRDefault="007D6ABA" w:rsidP="00513C65">
      <w:pPr>
        <w:spacing w:line="240" w:lineRule="auto"/>
        <w:rPr>
          <w:rFonts w:ascii="Arial" w:hAnsi="Arial" w:cs="Arial"/>
        </w:rPr>
      </w:pPr>
      <w:r w:rsidRPr="00513C65">
        <w:rPr>
          <w:rFonts w:ascii="Arial" w:hAnsi="Arial" w:cs="Arial"/>
        </w:rPr>
        <w:t>(Accessed 3</w:t>
      </w:r>
      <w:r w:rsidRPr="00513C65">
        <w:rPr>
          <w:rFonts w:ascii="Arial" w:hAnsi="Arial" w:cs="Arial"/>
          <w:vertAlign w:val="superscript"/>
        </w:rPr>
        <w:t>rd</w:t>
      </w:r>
      <w:r w:rsidRPr="00513C65">
        <w:rPr>
          <w:rFonts w:ascii="Arial" w:hAnsi="Arial" w:cs="Arial"/>
        </w:rPr>
        <w:t xml:space="preserve"> December 2020)</w:t>
      </w:r>
    </w:p>
    <w:p w14:paraId="10696C47" w14:textId="79A19A0E" w:rsidR="007D6ABA" w:rsidRPr="00513C65" w:rsidRDefault="007D6ABA" w:rsidP="00513C65">
      <w:pPr>
        <w:spacing w:line="240" w:lineRule="auto"/>
        <w:rPr>
          <w:rFonts w:ascii="Arial" w:eastAsiaTheme="minorEastAsia" w:hAnsi="Arial" w:cs="Arial"/>
          <w:color w:val="000000" w:themeColor="text1"/>
          <w:kern w:val="24"/>
          <w:lang w:eastAsia="en-GB"/>
        </w:rPr>
      </w:pPr>
    </w:p>
    <w:p w14:paraId="5E1DD2D3" w14:textId="77777777" w:rsidR="007D6ABA" w:rsidRPr="00513C65" w:rsidRDefault="007D6ABA" w:rsidP="00513C65">
      <w:pPr>
        <w:spacing w:line="240" w:lineRule="auto"/>
        <w:rPr>
          <w:rFonts w:ascii="Arial" w:hAnsi="Arial" w:cs="Arial"/>
        </w:rPr>
      </w:pPr>
      <w:r w:rsidRPr="00513C65">
        <w:rPr>
          <w:rFonts w:ascii="Arial" w:hAnsi="Arial" w:cs="Arial"/>
        </w:rPr>
        <w:t xml:space="preserve">Terrorism Act 2000, c. 43. Available at: </w:t>
      </w:r>
      <w:hyperlink r:id="rId26" w:history="1">
        <w:r w:rsidRPr="00513C65">
          <w:rPr>
            <w:rStyle w:val="Hyperlink"/>
            <w:rFonts w:ascii="Arial" w:hAnsi="Arial" w:cs="Arial"/>
          </w:rPr>
          <w:t>https://www.legislation.gov.uk/ukpga/2000/11/section/43</w:t>
        </w:r>
      </w:hyperlink>
    </w:p>
    <w:p w14:paraId="392DC45E" w14:textId="77777777" w:rsidR="007D6ABA" w:rsidRPr="00513C65" w:rsidRDefault="007D6ABA" w:rsidP="00513C65">
      <w:pPr>
        <w:spacing w:line="240" w:lineRule="auto"/>
        <w:rPr>
          <w:rFonts w:ascii="Arial" w:hAnsi="Arial" w:cs="Arial"/>
        </w:rPr>
      </w:pPr>
      <w:r w:rsidRPr="00513C65">
        <w:rPr>
          <w:rFonts w:ascii="Arial" w:hAnsi="Arial" w:cs="Arial"/>
        </w:rPr>
        <w:t>(Accessed 3</w:t>
      </w:r>
      <w:r w:rsidRPr="00513C65">
        <w:rPr>
          <w:rFonts w:ascii="Arial" w:hAnsi="Arial" w:cs="Arial"/>
          <w:vertAlign w:val="superscript"/>
        </w:rPr>
        <w:t>rd</w:t>
      </w:r>
      <w:r w:rsidRPr="00513C65">
        <w:rPr>
          <w:rFonts w:ascii="Arial" w:hAnsi="Arial" w:cs="Arial"/>
        </w:rPr>
        <w:t xml:space="preserve"> December 2020)</w:t>
      </w:r>
    </w:p>
    <w:p w14:paraId="479FF243" w14:textId="77777777" w:rsidR="007D6ABA" w:rsidRPr="00513C65" w:rsidRDefault="007D6ABA" w:rsidP="00513C65">
      <w:pPr>
        <w:spacing w:line="360" w:lineRule="auto"/>
        <w:rPr>
          <w:rFonts w:ascii="Arial" w:eastAsiaTheme="minorEastAsia" w:hAnsi="Arial" w:cs="Arial"/>
          <w:color w:val="000000" w:themeColor="text1"/>
          <w:kern w:val="24"/>
          <w:lang w:eastAsia="en-GB"/>
        </w:rPr>
      </w:pPr>
    </w:p>
    <w:p w14:paraId="3427FCD4" w14:textId="77777777" w:rsidR="007D6ABA" w:rsidRPr="00513C65" w:rsidRDefault="007D6ABA" w:rsidP="00513C65">
      <w:pPr>
        <w:spacing w:line="360" w:lineRule="auto"/>
        <w:rPr>
          <w:rFonts w:ascii="Arial" w:hAnsi="Arial" w:cs="Arial"/>
        </w:rPr>
      </w:pPr>
    </w:p>
    <w:p w14:paraId="4CEE6F91" w14:textId="77777777" w:rsidR="008E10A1" w:rsidRPr="00513C65" w:rsidRDefault="008E10A1" w:rsidP="00513C65">
      <w:pPr>
        <w:spacing w:line="360" w:lineRule="auto"/>
        <w:rPr>
          <w:rFonts w:ascii="Arial" w:hAnsi="Arial" w:cs="Arial"/>
        </w:rPr>
      </w:pPr>
    </w:p>
    <w:sectPr w:rsidR="008E10A1" w:rsidRPr="00513C65" w:rsidSect="002618E3">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C7247C"/>
    <w:multiLevelType w:val="hybridMultilevel"/>
    <w:tmpl w:val="59DA8802"/>
    <w:lvl w:ilvl="0" w:tplc="199499F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49F9"/>
    <w:rsid w:val="000011AB"/>
    <w:rsid w:val="00034B39"/>
    <w:rsid w:val="000A14DD"/>
    <w:rsid w:val="000A7513"/>
    <w:rsid w:val="001047F3"/>
    <w:rsid w:val="00104DF7"/>
    <w:rsid w:val="001767DC"/>
    <w:rsid w:val="001C7B87"/>
    <w:rsid w:val="003214EF"/>
    <w:rsid w:val="00355DC7"/>
    <w:rsid w:val="003C2082"/>
    <w:rsid w:val="00410740"/>
    <w:rsid w:val="00410994"/>
    <w:rsid w:val="00463FA9"/>
    <w:rsid w:val="004D04A3"/>
    <w:rsid w:val="00513C65"/>
    <w:rsid w:val="00587CF9"/>
    <w:rsid w:val="00595FC8"/>
    <w:rsid w:val="00626D28"/>
    <w:rsid w:val="006F7DEB"/>
    <w:rsid w:val="007D6ABA"/>
    <w:rsid w:val="007E2A95"/>
    <w:rsid w:val="008E10A1"/>
    <w:rsid w:val="008E3539"/>
    <w:rsid w:val="00996075"/>
    <w:rsid w:val="00AE3E15"/>
    <w:rsid w:val="00B550CB"/>
    <w:rsid w:val="00B959CE"/>
    <w:rsid w:val="00BB6AE7"/>
    <w:rsid w:val="00C12404"/>
    <w:rsid w:val="00C448C7"/>
    <w:rsid w:val="00C70711"/>
    <w:rsid w:val="00D17934"/>
    <w:rsid w:val="00D676AF"/>
    <w:rsid w:val="00D84A24"/>
    <w:rsid w:val="00D9127B"/>
    <w:rsid w:val="00DA03CA"/>
    <w:rsid w:val="00DD4A74"/>
    <w:rsid w:val="00E82022"/>
    <w:rsid w:val="00E86F81"/>
    <w:rsid w:val="00EA4826"/>
    <w:rsid w:val="00EF49F9"/>
    <w:rsid w:val="00FC386E"/>
    <w:rsid w:val="00FE3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A30B4"/>
  <w15:chartTrackingRefBased/>
  <w15:docId w15:val="{FC3137B3-33FD-46B1-B55B-4D3656629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49F9"/>
    <w:pPr>
      <w:ind w:left="720"/>
      <w:contextualSpacing/>
    </w:pPr>
    <w:rPr>
      <w:rFonts w:eastAsia="Times New Roman" w:cs="Times New Roman"/>
    </w:rPr>
  </w:style>
  <w:style w:type="character" w:styleId="Hyperlink">
    <w:name w:val="Hyperlink"/>
    <w:basedOn w:val="DefaultParagraphFont"/>
    <w:uiPriority w:val="99"/>
    <w:unhideWhenUsed/>
    <w:rsid w:val="00D676AF"/>
    <w:rPr>
      <w:color w:val="0563C1" w:themeColor="hyperlink"/>
      <w:u w:val="single"/>
    </w:rPr>
  </w:style>
  <w:style w:type="character" w:styleId="UnresolvedMention">
    <w:name w:val="Unresolved Mention"/>
    <w:basedOn w:val="DefaultParagraphFont"/>
    <w:uiPriority w:val="99"/>
    <w:semiHidden/>
    <w:unhideWhenUsed/>
    <w:rsid w:val="00D676AF"/>
    <w:rPr>
      <w:color w:val="605E5C"/>
      <w:shd w:val="clear" w:color="auto" w:fill="E1DFDD"/>
    </w:rPr>
  </w:style>
  <w:style w:type="character" w:styleId="FollowedHyperlink">
    <w:name w:val="FollowedHyperlink"/>
    <w:basedOn w:val="DefaultParagraphFont"/>
    <w:uiPriority w:val="99"/>
    <w:semiHidden/>
    <w:unhideWhenUsed/>
    <w:rsid w:val="001047F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edcantle.co.uk/publications/033%20Tension%20monitoring%20guidance%20iCoCo%202010.pdf" TargetMode="External"/><Relationship Id="rId13" Type="http://schemas.openxmlformats.org/officeDocument/2006/relationships/hyperlink" Target="https://www.app.college.police.uk/app-content/civil-emergencies/disaster-victim-identification/definitions/" TargetMode="External"/><Relationship Id="rId18" Type="http://schemas.openxmlformats.org/officeDocument/2006/relationships/hyperlink" Target="https://whatworks.college.police.uk/Research/Documents/Menu_of_tactics.pdf" TargetMode="External"/><Relationship Id="rId26" Type="http://schemas.openxmlformats.org/officeDocument/2006/relationships/hyperlink" Target="https://www.legislation.gov.uk/ukpga/2000/11/section/43" TargetMode="External"/><Relationship Id="rId3" Type="http://schemas.openxmlformats.org/officeDocument/2006/relationships/settings" Target="settings.xml"/><Relationship Id="rId21" Type="http://schemas.openxmlformats.org/officeDocument/2006/relationships/hyperlink" Target="https://www.cps.gov.uk/crime-info/terrorism" TargetMode="External"/><Relationship Id="rId7" Type="http://schemas.openxmlformats.org/officeDocument/2006/relationships/hyperlink" Target="https://www.gov.uk/government/news/code-of-ethics-launched" TargetMode="External"/><Relationship Id="rId12" Type="http://schemas.openxmlformats.org/officeDocument/2006/relationships/hyperlink" Target="http://library.college.police.uk/docs/APPref/Extract-Critical-Incident-Management-2007.pdf" TargetMode="External"/><Relationship Id="rId17" Type="http://schemas.openxmlformats.org/officeDocument/2006/relationships/hyperlink" Target="http://www.anpr-international.com/history-of-anpr/" TargetMode="External"/><Relationship Id="rId25" Type="http://schemas.openxmlformats.org/officeDocument/2006/relationships/hyperlink" Target="https://www.legislation.gov.uk/ukpga/1988/52/part/VII" TargetMode="External"/><Relationship Id="rId2" Type="http://schemas.openxmlformats.org/officeDocument/2006/relationships/styles" Target="styles.xml"/><Relationship Id="rId16" Type="http://schemas.openxmlformats.org/officeDocument/2006/relationships/hyperlink" Target="https://www.legislation.gov.uk/ukpga/1983/20/section/136" TargetMode="External"/><Relationship Id="rId20" Type="http://schemas.openxmlformats.org/officeDocument/2006/relationships/hyperlink" Target="https://www.app.college.police.uk/app-content/road-policing-2/police-pursuits/" TargetMode="External"/><Relationship Id="rId1" Type="http://schemas.openxmlformats.org/officeDocument/2006/relationships/numbering" Target="numbering.xml"/><Relationship Id="rId6" Type="http://schemas.openxmlformats.org/officeDocument/2006/relationships/hyperlink" Target="https://www.college.police.uk/What-we-do/Ethics/Ethics-home/Documents/Code_of_Ethics_ReadingList.pdf" TargetMode="External"/><Relationship Id="rId11" Type="http://schemas.openxmlformats.org/officeDocument/2006/relationships/hyperlink" Target="https://thecrimepreventionwebsite.com/police-guidance/720/ten-principles-of-crime-prevention/" TargetMode="External"/><Relationship Id="rId24" Type="http://schemas.openxmlformats.org/officeDocument/2006/relationships/hyperlink" Target="https://www.nist.gov/system/files/documents/2016/12/12/whitakermobileidprez.pdf" TargetMode="External"/><Relationship Id="rId5" Type="http://schemas.openxmlformats.org/officeDocument/2006/relationships/hyperlink" Target="https://www.app.college.police.uk/app-content/critical-incident-management/types-of-critical-incident/" TargetMode="External"/><Relationship Id="rId15" Type="http://schemas.openxmlformats.org/officeDocument/2006/relationships/hyperlink" Target="https://assets.publishing.service.gov.uk/government/uploads/system/uploads/attachment_data/file/277111/4262.pdf" TargetMode="External"/><Relationship Id="rId23" Type="http://schemas.openxmlformats.org/officeDocument/2006/relationships/hyperlink" Target="https://assets.publishing.service.gov.uk/government/uploads/system/uploads/attachment_data/file/912091/2019-02-11_Traffic_Regulation_RA.pdf" TargetMode="External"/><Relationship Id="rId28" Type="http://schemas.openxmlformats.org/officeDocument/2006/relationships/theme" Target="theme/theme1.xml"/><Relationship Id="rId10" Type="http://schemas.openxmlformats.org/officeDocument/2006/relationships/hyperlink" Target="https://whatworks.college.police.uk/toolkit/Pages/Welcome.aspx" TargetMode="External"/><Relationship Id="rId19" Type="http://schemas.openxmlformats.org/officeDocument/2006/relationships/hyperlink" Target="https://www.app.college.police.uk/app-content/national-decision-model/the-national-decision-model/" TargetMode="External"/><Relationship Id="rId4" Type="http://schemas.openxmlformats.org/officeDocument/2006/relationships/webSettings" Target="webSettings.xml"/><Relationship Id="rId9" Type="http://schemas.openxmlformats.org/officeDocument/2006/relationships/hyperlink" Target="https://www.theguardian.com/uk/2011/may/24/fiona-pilkington-police-misconduct-proceedings" TargetMode="External"/><Relationship Id="rId14" Type="http://schemas.openxmlformats.org/officeDocument/2006/relationships/hyperlink" Target="https://www.app.college.police.uk/app-content/critical-incident-management/types-of-critical-incident/" TargetMode="External"/><Relationship Id="rId22" Type="http://schemas.openxmlformats.org/officeDocument/2006/relationships/hyperlink" Target="https://assets.publishing.service.gov.uk/government/uploads/system/uploads/attachment_data/file/666857/Strategic_Road_Network_Initial_Report_Overview.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5377</Words>
  <Characters>30651</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35957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Pelling,Alexander swp6461</dc:creator>
  <cp:keywords/>
  <dc:description/>
  <cp:lastModifiedBy>Alex Pelling</cp:lastModifiedBy>
  <cp:revision>2</cp:revision>
  <dcterms:created xsi:type="dcterms:W3CDTF">2021-01-09T12:15:00Z</dcterms:created>
  <dcterms:modified xsi:type="dcterms:W3CDTF">2021-01-09T12:15:00Z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ed2e44b6-9f17-488e-a6b5-f1c7d0aaf7b0</vt:lpwstr>
  </property>
</Properties>
</file>