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9E04F" w14:textId="77777777" w:rsidR="009C37A7" w:rsidRDefault="009C37A7" w:rsidP="009C37A7">
      <w:pPr>
        <w:rPr>
          <w:rFonts w:ascii="Times New Roman" w:hAnsi="Times New Roman" w:cs="Times New Roman"/>
          <w:sz w:val="24"/>
          <w:szCs w:val="24"/>
        </w:rPr>
      </w:pPr>
      <w:r>
        <w:rPr>
          <w:rFonts w:ascii="Times New Roman" w:hAnsi="Times New Roman" w:cs="Times New Roman"/>
          <w:sz w:val="24"/>
          <w:szCs w:val="24"/>
        </w:rPr>
        <w:t>Audrey Verderaime</w:t>
      </w:r>
    </w:p>
    <w:p w14:paraId="55DF17E1" w14:textId="77777777" w:rsidR="009C37A7" w:rsidRDefault="009C37A7" w:rsidP="009C37A7">
      <w:pPr>
        <w:rPr>
          <w:rFonts w:ascii="Times New Roman" w:hAnsi="Times New Roman" w:cs="Times New Roman"/>
          <w:sz w:val="24"/>
          <w:szCs w:val="24"/>
        </w:rPr>
      </w:pPr>
      <w:r w:rsidRPr="00282AA2">
        <w:rPr>
          <w:rFonts w:ascii="Times New Roman" w:hAnsi="Times New Roman" w:cs="Times New Roman"/>
          <w:sz w:val="24"/>
          <w:szCs w:val="24"/>
        </w:rPr>
        <w:t>Past Peoples, Present Societies: Research Methods and Skills (HPHI7016)</w:t>
      </w:r>
    </w:p>
    <w:p w14:paraId="6AA40321" w14:textId="77777777" w:rsidR="009C37A7" w:rsidRDefault="009C37A7" w:rsidP="009C37A7">
      <w:pPr>
        <w:rPr>
          <w:rFonts w:ascii="Times New Roman" w:hAnsi="Times New Roman" w:cs="Times New Roman"/>
          <w:sz w:val="24"/>
          <w:szCs w:val="24"/>
        </w:rPr>
      </w:pPr>
      <w:r>
        <w:rPr>
          <w:rFonts w:ascii="Times New Roman" w:hAnsi="Times New Roman" w:cs="Times New Roman"/>
          <w:sz w:val="24"/>
          <w:szCs w:val="24"/>
        </w:rPr>
        <w:t>Dr. Harriett Webster</w:t>
      </w:r>
    </w:p>
    <w:p w14:paraId="3118F483" w14:textId="4F334406" w:rsidR="009C37A7" w:rsidRDefault="009C37A7" w:rsidP="009C37A7">
      <w:pPr>
        <w:rPr>
          <w:rFonts w:ascii="Times New Roman" w:hAnsi="Times New Roman" w:cs="Times New Roman"/>
          <w:sz w:val="24"/>
          <w:szCs w:val="24"/>
        </w:rPr>
      </w:pPr>
      <w:r>
        <w:rPr>
          <w:rFonts w:ascii="Times New Roman" w:hAnsi="Times New Roman" w:cs="Times New Roman"/>
          <w:sz w:val="24"/>
          <w:szCs w:val="24"/>
        </w:rPr>
        <w:t xml:space="preserve">16 December 2022 </w:t>
      </w:r>
    </w:p>
    <w:p w14:paraId="269075C8" w14:textId="7258A3B0" w:rsidR="00D62240" w:rsidRDefault="00214678" w:rsidP="009C37A7">
      <w:pPr>
        <w:rPr>
          <w:rFonts w:ascii="Times New Roman" w:hAnsi="Times New Roman" w:cs="Times New Roman"/>
          <w:sz w:val="24"/>
          <w:szCs w:val="24"/>
        </w:rPr>
      </w:pPr>
      <w:r>
        <w:rPr>
          <w:rFonts w:ascii="Times New Roman" w:hAnsi="Times New Roman" w:cs="Times New Roman"/>
          <w:sz w:val="24"/>
          <w:szCs w:val="24"/>
        </w:rPr>
        <w:t xml:space="preserve">Word Count: </w:t>
      </w:r>
      <w:r w:rsidR="00E23CBD">
        <w:rPr>
          <w:rFonts w:ascii="Times New Roman" w:hAnsi="Times New Roman" w:cs="Times New Roman"/>
          <w:sz w:val="24"/>
          <w:szCs w:val="24"/>
        </w:rPr>
        <w:t>2135</w:t>
      </w:r>
    </w:p>
    <w:p w14:paraId="27F8F7F9" w14:textId="27812839" w:rsidR="009C37A7" w:rsidRPr="00BE3B58" w:rsidRDefault="009C37A7" w:rsidP="009C37A7">
      <w:pPr>
        <w:jc w:val="center"/>
        <w:rPr>
          <w:rFonts w:ascii="Times New Roman" w:hAnsi="Times New Roman" w:cs="Times New Roman"/>
          <w:sz w:val="24"/>
          <w:szCs w:val="24"/>
          <w:u w:val="single"/>
        </w:rPr>
      </w:pPr>
      <w:r w:rsidRPr="00BE3B58">
        <w:rPr>
          <w:rFonts w:ascii="Times New Roman" w:hAnsi="Times New Roman" w:cs="Times New Roman"/>
          <w:sz w:val="24"/>
          <w:szCs w:val="24"/>
          <w:u w:val="single"/>
        </w:rPr>
        <w:t xml:space="preserve">Assessment 4: Image Commentary </w:t>
      </w:r>
    </w:p>
    <w:p w14:paraId="49CD3665" w14:textId="4232418D" w:rsidR="000626C0" w:rsidRDefault="00BB7952" w:rsidP="00941320">
      <w:pPr>
        <w:ind w:firstLine="720"/>
        <w:rPr>
          <w:rFonts w:ascii="Times New Roman" w:hAnsi="Times New Roman" w:cs="Times New Roman"/>
          <w:sz w:val="24"/>
          <w:szCs w:val="24"/>
        </w:rPr>
      </w:pPr>
      <w:r>
        <w:rPr>
          <w:rFonts w:ascii="Times New Roman" w:hAnsi="Times New Roman" w:cs="Times New Roman"/>
          <w:sz w:val="24"/>
          <w:szCs w:val="24"/>
        </w:rPr>
        <w:t xml:space="preserve">While currently housed in the Pierpont Morgan collection at the Metropolitan Museum of Art, this </w:t>
      </w:r>
      <w:r w:rsidR="0053626B">
        <w:rPr>
          <w:rFonts w:ascii="Times New Roman" w:hAnsi="Times New Roman" w:cs="Times New Roman"/>
          <w:sz w:val="24"/>
          <w:szCs w:val="24"/>
        </w:rPr>
        <w:t xml:space="preserve">delicate </w:t>
      </w:r>
      <w:r>
        <w:rPr>
          <w:rFonts w:ascii="Times New Roman" w:hAnsi="Times New Roman" w:cs="Times New Roman"/>
          <w:sz w:val="24"/>
          <w:szCs w:val="24"/>
        </w:rPr>
        <w:t xml:space="preserve">Romanesque ivory </w:t>
      </w:r>
      <w:r w:rsidR="000A7082">
        <w:rPr>
          <w:rFonts w:ascii="Times New Roman" w:hAnsi="Times New Roman" w:cs="Times New Roman"/>
          <w:sz w:val="24"/>
          <w:szCs w:val="24"/>
        </w:rPr>
        <w:t>panel</w:t>
      </w:r>
      <w:r>
        <w:rPr>
          <w:rFonts w:ascii="Times New Roman" w:hAnsi="Times New Roman" w:cs="Times New Roman"/>
          <w:sz w:val="24"/>
          <w:szCs w:val="24"/>
        </w:rPr>
        <w:t xml:space="preserve"> was originally carved in </w:t>
      </w:r>
      <w:r w:rsidR="0053626B">
        <w:rPr>
          <w:rFonts w:ascii="Times New Roman" w:hAnsi="Times New Roman" w:cs="Times New Roman"/>
          <w:sz w:val="24"/>
          <w:szCs w:val="24"/>
        </w:rPr>
        <w:t>early</w:t>
      </w:r>
      <w:r w:rsidR="00A1202C">
        <w:rPr>
          <w:rFonts w:ascii="Times New Roman" w:hAnsi="Times New Roman" w:cs="Times New Roman"/>
          <w:sz w:val="24"/>
          <w:szCs w:val="24"/>
        </w:rPr>
        <w:t xml:space="preserve"> </w:t>
      </w:r>
      <w:r w:rsidR="0053626B">
        <w:rPr>
          <w:rFonts w:ascii="Times New Roman" w:hAnsi="Times New Roman" w:cs="Times New Roman"/>
          <w:sz w:val="24"/>
          <w:szCs w:val="24"/>
        </w:rPr>
        <w:t>12</w:t>
      </w:r>
      <w:r w:rsidR="0053626B" w:rsidRPr="0053626B">
        <w:rPr>
          <w:rFonts w:ascii="Times New Roman" w:hAnsi="Times New Roman" w:cs="Times New Roman"/>
          <w:sz w:val="24"/>
          <w:szCs w:val="24"/>
          <w:vertAlign w:val="superscript"/>
        </w:rPr>
        <w:t>th</w:t>
      </w:r>
      <w:r w:rsidR="0053626B">
        <w:rPr>
          <w:rFonts w:ascii="Times New Roman" w:hAnsi="Times New Roman" w:cs="Times New Roman"/>
          <w:sz w:val="24"/>
          <w:szCs w:val="24"/>
        </w:rPr>
        <w:t xml:space="preserve">-century </w:t>
      </w:r>
      <w:r>
        <w:rPr>
          <w:rFonts w:ascii="Times New Roman" w:hAnsi="Times New Roman" w:cs="Times New Roman"/>
          <w:sz w:val="24"/>
          <w:szCs w:val="24"/>
        </w:rPr>
        <w:t>Salerno.</w:t>
      </w:r>
      <w:r>
        <w:rPr>
          <w:rStyle w:val="FootnoteReference"/>
          <w:rFonts w:ascii="Times New Roman" w:hAnsi="Times New Roman" w:cs="Times New Roman"/>
          <w:sz w:val="24"/>
          <w:szCs w:val="24"/>
        </w:rPr>
        <w:footnoteReference w:id="1"/>
      </w:r>
      <w:r w:rsidR="00F54E3B" w:rsidRPr="00F54E3B">
        <w:rPr>
          <w:rFonts w:ascii="Times New Roman" w:hAnsi="Times New Roman" w:cs="Times New Roman"/>
          <w:sz w:val="24"/>
          <w:szCs w:val="24"/>
          <w:vertAlign w:val="superscript"/>
        </w:rPr>
        <w:t>,</w:t>
      </w:r>
      <w:r w:rsidR="007F2DEA">
        <w:rPr>
          <w:rFonts w:ascii="Times New Roman" w:hAnsi="Times New Roman" w:cs="Times New Roman"/>
          <w:sz w:val="24"/>
          <w:szCs w:val="24"/>
          <w:vertAlign w:val="superscript"/>
        </w:rPr>
        <w:t xml:space="preserve"> </w:t>
      </w:r>
      <w:r w:rsidR="00F54E3B">
        <w:rPr>
          <w:rStyle w:val="FootnoteReference"/>
          <w:rFonts w:ascii="Times New Roman" w:hAnsi="Times New Roman" w:cs="Times New Roman"/>
          <w:sz w:val="24"/>
          <w:szCs w:val="24"/>
        </w:rPr>
        <w:footnoteReference w:id="2"/>
      </w:r>
      <w:r w:rsidR="000A7082">
        <w:rPr>
          <w:rFonts w:ascii="Times New Roman" w:hAnsi="Times New Roman" w:cs="Times New Roman"/>
          <w:sz w:val="24"/>
          <w:szCs w:val="24"/>
        </w:rPr>
        <w:t xml:space="preserve"> </w:t>
      </w:r>
      <w:r w:rsidR="007F2DEA">
        <w:rPr>
          <w:rFonts w:ascii="Times New Roman" w:hAnsi="Times New Roman" w:cs="Times New Roman"/>
          <w:sz w:val="24"/>
          <w:szCs w:val="24"/>
        </w:rPr>
        <w:t xml:space="preserve">Before examining the double narrative event and its corresponding iconography, a brief overview of materiality and technique is in order. </w:t>
      </w:r>
    </w:p>
    <w:p w14:paraId="199A0C4B" w14:textId="7F910AE8" w:rsidR="007F2DEA" w:rsidRDefault="000626C0" w:rsidP="000626C0">
      <w:pPr>
        <w:ind w:firstLine="720"/>
        <w:rPr>
          <w:rFonts w:ascii="Times New Roman" w:hAnsi="Times New Roman" w:cs="Times New Roman"/>
          <w:sz w:val="24"/>
          <w:szCs w:val="24"/>
        </w:rPr>
      </w:pPr>
      <w:r>
        <w:rPr>
          <w:rFonts w:ascii="Times New Roman" w:hAnsi="Times New Roman" w:cs="Times New Roman"/>
          <w:sz w:val="24"/>
          <w:szCs w:val="24"/>
        </w:rPr>
        <w:t>The entire panel is carved from i</w:t>
      </w:r>
      <w:r w:rsidR="007F2DEA">
        <w:rPr>
          <w:rFonts w:ascii="Times New Roman" w:hAnsi="Times New Roman" w:cs="Times New Roman"/>
          <w:sz w:val="24"/>
          <w:szCs w:val="24"/>
        </w:rPr>
        <w:t>vory</w:t>
      </w:r>
      <w:r>
        <w:rPr>
          <w:rFonts w:ascii="Times New Roman" w:hAnsi="Times New Roman" w:cs="Times New Roman"/>
          <w:sz w:val="24"/>
          <w:szCs w:val="24"/>
        </w:rPr>
        <w:t xml:space="preserve">, </w:t>
      </w:r>
      <w:r w:rsidR="007F2DEA">
        <w:rPr>
          <w:rFonts w:ascii="Times New Roman" w:hAnsi="Times New Roman" w:cs="Times New Roman"/>
          <w:sz w:val="24"/>
          <w:szCs w:val="24"/>
        </w:rPr>
        <w:t>a precious material acquired through trade</w:t>
      </w:r>
      <w:r w:rsidR="006F507E">
        <w:rPr>
          <w:rFonts w:ascii="Times New Roman" w:hAnsi="Times New Roman" w:cs="Times New Roman"/>
          <w:sz w:val="24"/>
          <w:szCs w:val="24"/>
        </w:rPr>
        <w:t>. D</w:t>
      </w:r>
      <w:r w:rsidR="007F2DEA">
        <w:rPr>
          <w:rFonts w:ascii="Times New Roman" w:hAnsi="Times New Roman" w:cs="Times New Roman"/>
          <w:sz w:val="24"/>
          <w:szCs w:val="24"/>
        </w:rPr>
        <w:t xml:space="preserve">ue to intermittent crusading efforts and conflicts with the Islamic world, </w:t>
      </w:r>
      <w:r w:rsidR="00CA24D7">
        <w:rPr>
          <w:rFonts w:ascii="Times New Roman" w:hAnsi="Times New Roman" w:cs="Times New Roman"/>
          <w:sz w:val="24"/>
          <w:szCs w:val="24"/>
        </w:rPr>
        <w:t xml:space="preserve">ivory’s relative value and availability </w:t>
      </w:r>
      <w:r w:rsidR="007F2DEA">
        <w:rPr>
          <w:rFonts w:ascii="Times New Roman" w:hAnsi="Times New Roman" w:cs="Times New Roman"/>
          <w:sz w:val="24"/>
          <w:szCs w:val="24"/>
        </w:rPr>
        <w:t>fluctuated throughout the medieval period.</w:t>
      </w:r>
      <w:r w:rsidR="007F2DEA">
        <w:rPr>
          <w:rStyle w:val="FootnoteReference"/>
          <w:rFonts w:ascii="Times New Roman" w:hAnsi="Times New Roman" w:cs="Times New Roman"/>
          <w:sz w:val="24"/>
          <w:szCs w:val="24"/>
        </w:rPr>
        <w:footnoteReference w:id="3"/>
      </w:r>
      <w:r w:rsidR="007F2DEA">
        <w:rPr>
          <w:rFonts w:ascii="Times New Roman" w:hAnsi="Times New Roman" w:cs="Times New Roman"/>
          <w:sz w:val="24"/>
          <w:szCs w:val="24"/>
          <w:vertAlign w:val="superscript"/>
        </w:rPr>
        <w:t xml:space="preserve"> </w:t>
      </w:r>
      <w:r w:rsidR="007F2DEA" w:rsidRPr="00197CD3">
        <w:rPr>
          <w:rFonts w:ascii="Times New Roman" w:hAnsi="Times New Roman" w:cs="Times New Roman"/>
          <w:sz w:val="24"/>
          <w:szCs w:val="24"/>
        </w:rPr>
        <w:t>Given the relative scarcity of ivory, it was primarily used for religious art</w:t>
      </w:r>
      <w:r w:rsidR="007F2DEA">
        <w:rPr>
          <w:rFonts w:ascii="Times New Roman" w:hAnsi="Times New Roman" w:cs="Times New Roman"/>
          <w:sz w:val="24"/>
          <w:szCs w:val="24"/>
        </w:rPr>
        <w:t>.</w:t>
      </w:r>
      <w:r w:rsidR="007F2DEA">
        <w:rPr>
          <w:rStyle w:val="FootnoteReference"/>
          <w:rFonts w:ascii="Times New Roman" w:hAnsi="Times New Roman" w:cs="Times New Roman"/>
          <w:sz w:val="24"/>
          <w:szCs w:val="24"/>
        </w:rPr>
        <w:t xml:space="preserve"> </w:t>
      </w:r>
      <w:r w:rsidR="00A1202C">
        <w:rPr>
          <w:rFonts w:ascii="Times New Roman" w:hAnsi="Times New Roman" w:cs="Times New Roman"/>
          <w:sz w:val="24"/>
          <w:szCs w:val="24"/>
        </w:rPr>
        <w:t>F</w:t>
      </w:r>
      <w:r w:rsidR="007F2DEA" w:rsidRPr="007F2DEA">
        <w:rPr>
          <w:rFonts w:ascii="Times New Roman" w:hAnsi="Times New Roman" w:cs="Times New Roman"/>
          <w:color w:val="000000" w:themeColor="text1"/>
          <w:sz w:val="24"/>
          <w:szCs w:val="24"/>
        </w:rPr>
        <w:t>rom the 10</w:t>
      </w:r>
      <w:r w:rsidR="007F2DEA" w:rsidRPr="007F2DEA">
        <w:rPr>
          <w:rFonts w:ascii="Times New Roman" w:hAnsi="Times New Roman" w:cs="Times New Roman"/>
          <w:color w:val="000000" w:themeColor="text1"/>
          <w:sz w:val="24"/>
          <w:szCs w:val="24"/>
          <w:vertAlign w:val="superscript"/>
        </w:rPr>
        <w:t>th</w:t>
      </w:r>
      <w:r w:rsidR="007F2DEA" w:rsidRPr="007F2DEA">
        <w:rPr>
          <w:rFonts w:ascii="Times New Roman" w:hAnsi="Times New Roman" w:cs="Times New Roman"/>
          <w:color w:val="000000" w:themeColor="text1"/>
          <w:sz w:val="24"/>
          <w:szCs w:val="24"/>
        </w:rPr>
        <w:t xml:space="preserve"> through early 12</w:t>
      </w:r>
      <w:r w:rsidR="007F2DEA" w:rsidRPr="007F2DEA">
        <w:rPr>
          <w:rFonts w:ascii="Times New Roman" w:hAnsi="Times New Roman" w:cs="Times New Roman"/>
          <w:color w:val="000000" w:themeColor="text1"/>
          <w:sz w:val="24"/>
          <w:szCs w:val="24"/>
          <w:vertAlign w:val="superscript"/>
        </w:rPr>
        <w:t>th</w:t>
      </w:r>
      <w:r w:rsidR="007F2DEA" w:rsidRPr="007F2DEA">
        <w:rPr>
          <w:rFonts w:ascii="Times New Roman" w:hAnsi="Times New Roman" w:cs="Times New Roman"/>
          <w:color w:val="000000" w:themeColor="text1"/>
          <w:sz w:val="24"/>
          <w:szCs w:val="24"/>
        </w:rPr>
        <w:t xml:space="preserve"> century, ivory was used extensively for casket panels, diptychs, and triptychs in the Byzantine and Western Medieval world</w:t>
      </w:r>
      <w:r w:rsidR="006F507E">
        <w:rPr>
          <w:rFonts w:ascii="Times New Roman" w:hAnsi="Times New Roman" w:cs="Times New Roman"/>
          <w:color w:val="000000" w:themeColor="text1"/>
          <w:sz w:val="24"/>
          <w:szCs w:val="24"/>
        </w:rPr>
        <w:t>, particularly in Southern Italy and Salerno</w:t>
      </w:r>
      <w:r w:rsidR="007F2DEA" w:rsidRPr="007F2DEA">
        <w:rPr>
          <w:rFonts w:ascii="Times New Roman" w:hAnsi="Times New Roman" w:cs="Times New Roman"/>
          <w:color w:val="000000" w:themeColor="text1"/>
          <w:sz w:val="24"/>
          <w:szCs w:val="24"/>
          <w:shd w:val="clear" w:color="auto" w:fill="FFFFFF"/>
        </w:rPr>
        <w:t>.</w:t>
      </w:r>
      <w:r w:rsidR="007F2DEA" w:rsidRPr="00941320">
        <w:rPr>
          <w:rFonts w:ascii="Times New Roman" w:hAnsi="Times New Roman" w:cs="Times New Roman"/>
          <w:color w:val="000000" w:themeColor="text1"/>
          <w:sz w:val="20"/>
          <w:szCs w:val="20"/>
          <w:shd w:val="clear" w:color="auto" w:fill="FFFFFF"/>
        </w:rPr>
        <w:t xml:space="preserve"> </w:t>
      </w:r>
      <w:r w:rsidR="007F2DEA">
        <w:rPr>
          <w:rStyle w:val="FootnoteReference"/>
          <w:rFonts w:ascii="Times New Roman" w:hAnsi="Times New Roman" w:cs="Times New Roman"/>
          <w:sz w:val="24"/>
          <w:szCs w:val="24"/>
        </w:rPr>
        <w:footnoteReference w:id="4"/>
      </w:r>
      <w:r w:rsidR="007F2DEA">
        <w:rPr>
          <w:rFonts w:ascii="Times New Roman" w:hAnsi="Times New Roman" w:cs="Times New Roman"/>
          <w:sz w:val="24"/>
          <w:szCs w:val="24"/>
        </w:rPr>
        <w:t xml:space="preserve"> </w:t>
      </w:r>
    </w:p>
    <w:p w14:paraId="2F5DFB31" w14:textId="0089E053" w:rsidR="00C14EA4" w:rsidRPr="00941320" w:rsidRDefault="00AD0FA5" w:rsidP="00941320">
      <w:pPr>
        <w:ind w:firstLine="720"/>
      </w:pPr>
      <w:r>
        <w:rPr>
          <w:rFonts w:ascii="Times New Roman" w:hAnsi="Times New Roman" w:cs="Times New Roman"/>
          <w:sz w:val="24"/>
          <w:szCs w:val="24"/>
        </w:rPr>
        <w:t xml:space="preserve">Robert Bergman has called attention to the unique </w:t>
      </w:r>
      <w:r w:rsidR="006F507E">
        <w:rPr>
          <w:rFonts w:ascii="Times New Roman" w:hAnsi="Times New Roman" w:cs="Times New Roman"/>
          <w:sz w:val="24"/>
          <w:szCs w:val="24"/>
        </w:rPr>
        <w:t>features</w:t>
      </w:r>
      <w:r>
        <w:rPr>
          <w:rFonts w:ascii="Times New Roman" w:hAnsi="Times New Roman" w:cs="Times New Roman"/>
          <w:sz w:val="24"/>
          <w:szCs w:val="24"/>
        </w:rPr>
        <w:t xml:space="preserve"> of ivory carving produced in late 11</w:t>
      </w:r>
      <w:r w:rsidRPr="00AD0FA5">
        <w:rPr>
          <w:rFonts w:ascii="Times New Roman" w:hAnsi="Times New Roman" w:cs="Times New Roman"/>
          <w:sz w:val="24"/>
          <w:szCs w:val="24"/>
          <w:vertAlign w:val="superscript"/>
        </w:rPr>
        <w:t>th</w:t>
      </w:r>
      <w:r>
        <w:rPr>
          <w:rFonts w:ascii="Times New Roman" w:hAnsi="Times New Roman" w:cs="Times New Roman"/>
          <w:sz w:val="24"/>
          <w:szCs w:val="24"/>
        </w:rPr>
        <w:t xml:space="preserve"> and early 12</w:t>
      </w:r>
      <w:r w:rsidRPr="00AD0FA5">
        <w:rPr>
          <w:rFonts w:ascii="Times New Roman" w:hAnsi="Times New Roman" w:cs="Times New Roman"/>
          <w:sz w:val="24"/>
          <w:szCs w:val="24"/>
          <w:vertAlign w:val="superscript"/>
        </w:rPr>
        <w:t>th</w:t>
      </w:r>
      <w:r>
        <w:rPr>
          <w:rFonts w:ascii="Times New Roman" w:hAnsi="Times New Roman" w:cs="Times New Roman"/>
          <w:sz w:val="24"/>
          <w:szCs w:val="24"/>
        </w:rPr>
        <w:t xml:space="preserve">-century Salerno. While certain iconographic features (like the depiction of Christ’s corpse in a built environment as opposed to a cave) are </w:t>
      </w:r>
      <w:r w:rsidR="007F2DEA">
        <w:rPr>
          <w:rFonts w:ascii="Times New Roman" w:hAnsi="Times New Roman" w:cs="Times New Roman"/>
          <w:sz w:val="24"/>
          <w:szCs w:val="24"/>
        </w:rPr>
        <w:t>characteristically</w:t>
      </w:r>
      <w:r>
        <w:rPr>
          <w:rFonts w:ascii="Times New Roman" w:hAnsi="Times New Roman" w:cs="Times New Roman"/>
          <w:sz w:val="24"/>
          <w:szCs w:val="24"/>
        </w:rPr>
        <w:t xml:space="preserve"> Italianate, </w:t>
      </w:r>
      <w:r w:rsidR="00F54E3B">
        <w:rPr>
          <w:rFonts w:ascii="Times New Roman" w:hAnsi="Times New Roman" w:cs="Times New Roman"/>
          <w:sz w:val="24"/>
          <w:szCs w:val="24"/>
        </w:rPr>
        <w:t>other features like the drapery and antique style or robes point to a distinctive Byzantine influence.</w:t>
      </w:r>
      <w:r w:rsidR="00F54E3B">
        <w:rPr>
          <w:rStyle w:val="FootnoteReference"/>
          <w:rFonts w:ascii="Times New Roman" w:hAnsi="Times New Roman" w:cs="Times New Roman"/>
          <w:sz w:val="24"/>
          <w:szCs w:val="24"/>
        </w:rPr>
        <w:footnoteReference w:id="5"/>
      </w:r>
      <w:r w:rsidR="00941320">
        <w:rPr>
          <w:rFonts w:ascii="Times New Roman" w:hAnsi="Times New Roman" w:cs="Times New Roman"/>
          <w:sz w:val="24"/>
          <w:szCs w:val="24"/>
        </w:rPr>
        <w:t xml:space="preserve"> The reason for such notable Byzantine parallels is due to the large influx of Constantinople </w:t>
      </w:r>
      <w:r w:rsidR="00C80979">
        <w:rPr>
          <w:rFonts w:ascii="Times New Roman" w:hAnsi="Times New Roman" w:cs="Times New Roman"/>
          <w:sz w:val="24"/>
          <w:szCs w:val="24"/>
        </w:rPr>
        <w:t>artisans</w:t>
      </w:r>
      <w:r w:rsidR="00941320">
        <w:rPr>
          <w:rFonts w:ascii="Times New Roman" w:hAnsi="Times New Roman" w:cs="Times New Roman"/>
          <w:sz w:val="24"/>
          <w:szCs w:val="24"/>
        </w:rPr>
        <w:t xml:space="preserve"> that worked in Salerno between 1066 and 1071 at Monte Cassino. These </w:t>
      </w:r>
      <w:r w:rsidR="00941320">
        <w:rPr>
          <w:rFonts w:ascii="Times New Roman" w:hAnsi="Times New Roman" w:cs="Times New Roman"/>
          <w:sz w:val="24"/>
          <w:szCs w:val="24"/>
        </w:rPr>
        <w:lastRenderedPageBreak/>
        <w:t>Byzantine masters taught ivory carving to the major Salerno craftsm</w:t>
      </w:r>
      <w:r w:rsidR="000C11E8">
        <w:rPr>
          <w:rFonts w:ascii="Times New Roman" w:hAnsi="Times New Roman" w:cs="Times New Roman"/>
          <w:sz w:val="24"/>
          <w:szCs w:val="24"/>
        </w:rPr>
        <w:t>e</w:t>
      </w:r>
      <w:r w:rsidR="00941320">
        <w:rPr>
          <w:rFonts w:ascii="Times New Roman" w:hAnsi="Times New Roman" w:cs="Times New Roman"/>
          <w:sz w:val="24"/>
          <w:szCs w:val="24"/>
        </w:rPr>
        <w:t>n, influencing the conventions of ivory carving for several generations after their contributions.</w:t>
      </w:r>
      <w:r w:rsidR="00941320">
        <w:rPr>
          <w:rStyle w:val="FootnoteReference"/>
          <w:rFonts w:ascii="Times New Roman" w:hAnsi="Times New Roman" w:cs="Times New Roman"/>
          <w:sz w:val="24"/>
          <w:szCs w:val="24"/>
        </w:rPr>
        <w:footnoteReference w:id="6"/>
      </w:r>
      <w:r w:rsidR="00941320">
        <w:rPr>
          <w:rFonts w:ascii="Times New Roman" w:hAnsi="Times New Roman" w:cs="Times New Roman"/>
          <w:sz w:val="24"/>
          <w:szCs w:val="24"/>
        </w:rPr>
        <w:t xml:space="preserve"> </w:t>
      </w:r>
    </w:p>
    <w:p w14:paraId="0B392372" w14:textId="5D9DB0DE" w:rsidR="006B4D2B" w:rsidRPr="00BE3B58" w:rsidRDefault="00C15796" w:rsidP="00BE3B58">
      <w:pPr>
        <w:ind w:firstLine="720"/>
      </w:pPr>
      <w:r>
        <w:rPr>
          <w:rFonts w:ascii="Times New Roman" w:hAnsi="Times New Roman" w:cs="Times New Roman"/>
          <w:color w:val="000000" w:themeColor="text1"/>
          <w:sz w:val="24"/>
          <w:szCs w:val="24"/>
        </w:rPr>
        <w:t xml:space="preserve">This </w:t>
      </w:r>
      <w:proofErr w:type="gramStart"/>
      <w:r>
        <w:rPr>
          <w:rFonts w:ascii="Times New Roman" w:hAnsi="Times New Roman" w:cs="Times New Roman"/>
          <w:color w:val="000000" w:themeColor="text1"/>
          <w:sz w:val="24"/>
          <w:szCs w:val="24"/>
        </w:rPr>
        <w:t>particular ivory</w:t>
      </w:r>
      <w:proofErr w:type="gramEnd"/>
      <w:r>
        <w:rPr>
          <w:rFonts w:ascii="Times New Roman" w:hAnsi="Times New Roman" w:cs="Times New Roman"/>
          <w:color w:val="000000" w:themeColor="text1"/>
          <w:sz w:val="24"/>
          <w:szCs w:val="24"/>
        </w:rPr>
        <w:t xml:space="preserve"> panel was once the centerpiece of a triptych: a set of three connected panels that can be hinged shut or displayed open</w:t>
      </w:r>
      <w:r w:rsidR="007F2DEA">
        <w:rPr>
          <w:rFonts w:ascii="Times New Roman" w:hAnsi="Times New Roman" w:cs="Times New Roman"/>
          <w:color w:val="000000" w:themeColor="text1"/>
          <w:sz w:val="24"/>
          <w:szCs w:val="24"/>
        </w:rPr>
        <w:t xml:space="preserve"> and</w:t>
      </w:r>
      <w:r>
        <w:rPr>
          <w:rFonts w:ascii="Times New Roman" w:hAnsi="Times New Roman" w:cs="Times New Roman"/>
          <w:color w:val="000000" w:themeColor="text1"/>
          <w:sz w:val="24"/>
          <w:szCs w:val="24"/>
        </w:rPr>
        <w:t xml:space="preserve"> generally </w:t>
      </w:r>
      <w:r w:rsidR="007F2DEA">
        <w:rPr>
          <w:rFonts w:ascii="Times New Roman" w:hAnsi="Times New Roman" w:cs="Times New Roman"/>
          <w:color w:val="000000" w:themeColor="text1"/>
          <w:sz w:val="24"/>
          <w:szCs w:val="24"/>
        </w:rPr>
        <w:t>depict</w:t>
      </w:r>
      <w:r>
        <w:rPr>
          <w:rFonts w:ascii="Times New Roman" w:hAnsi="Times New Roman" w:cs="Times New Roman"/>
          <w:color w:val="000000" w:themeColor="text1"/>
          <w:sz w:val="24"/>
          <w:szCs w:val="24"/>
        </w:rPr>
        <w:t xml:space="preserve"> thematically linked images </w:t>
      </w:r>
      <w:r w:rsidR="001F795E">
        <w:rPr>
          <w:rFonts w:ascii="Times New Roman" w:hAnsi="Times New Roman" w:cs="Times New Roman"/>
          <w:color w:val="000000" w:themeColor="text1"/>
          <w:sz w:val="24"/>
          <w:szCs w:val="24"/>
        </w:rPr>
        <w:t>used for worship</w:t>
      </w:r>
      <w:r>
        <w:rPr>
          <w:rFonts w:ascii="Times New Roman" w:hAnsi="Times New Roman" w:cs="Times New Roman"/>
          <w:color w:val="000000" w:themeColor="text1"/>
          <w:sz w:val="24"/>
          <w:szCs w:val="24"/>
        </w:rPr>
        <w:t xml:space="preserve">. </w:t>
      </w:r>
      <w:r w:rsidR="006B4D2B">
        <w:rPr>
          <w:rFonts w:ascii="Times New Roman" w:hAnsi="Times New Roman" w:cs="Times New Roman"/>
          <w:color w:val="000000" w:themeColor="text1"/>
          <w:sz w:val="24"/>
          <w:szCs w:val="24"/>
        </w:rPr>
        <w:t xml:space="preserve">Given </w:t>
      </w:r>
      <w:r w:rsidR="002F0584">
        <w:rPr>
          <w:rFonts w:ascii="Times New Roman" w:hAnsi="Times New Roman" w:cs="Times New Roman"/>
          <w:color w:val="000000" w:themeColor="text1"/>
          <w:sz w:val="24"/>
          <w:szCs w:val="24"/>
        </w:rPr>
        <w:t xml:space="preserve">that sources of ivory (namely African Elephant tusk) are limited in maximum size, ivory </w:t>
      </w:r>
      <w:r>
        <w:rPr>
          <w:rFonts w:ascii="Times New Roman" w:hAnsi="Times New Roman" w:cs="Times New Roman"/>
          <w:color w:val="000000" w:themeColor="text1"/>
          <w:sz w:val="24"/>
          <w:szCs w:val="24"/>
        </w:rPr>
        <w:t>triptychs were</w:t>
      </w:r>
      <w:r w:rsidR="002F0584">
        <w:rPr>
          <w:rFonts w:ascii="Times New Roman" w:hAnsi="Times New Roman" w:cs="Times New Roman"/>
          <w:color w:val="000000" w:themeColor="text1"/>
          <w:sz w:val="24"/>
          <w:szCs w:val="24"/>
        </w:rPr>
        <w:t xml:space="preserve"> typically smaller in scale and </w:t>
      </w:r>
      <w:r>
        <w:rPr>
          <w:rFonts w:ascii="Times New Roman" w:hAnsi="Times New Roman" w:cs="Times New Roman"/>
          <w:color w:val="000000" w:themeColor="text1"/>
          <w:sz w:val="24"/>
          <w:szCs w:val="24"/>
        </w:rPr>
        <w:t>thus likely used primarily for personal devotion.</w:t>
      </w:r>
      <w:r w:rsidR="006B4D2B">
        <w:rPr>
          <w:rStyle w:val="FootnoteReference"/>
          <w:rFonts w:ascii="Times New Roman" w:hAnsi="Times New Roman" w:cs="Times New Roman"/>
          <w:color w:val="000000" w:themeColor="text1"/>
          <w:sz w:val="24"/>
          <w:szCs w:val="24"/>
        </w:rPr>
        <w:footnoteReference w:id="7"/>
      </w:r>
      <w:r w:rsidR="006B4D2B">
        <w:rPr>
          <w:rFonts w:ascii="Times New Roman" w:hAnsi="Times New Roman" w:cs="Times New Roman"/>
          <w:color w:val="000000" w:themeColor="text1"/>
          <w:sz w:val="24"/>
          <w:szCs w:val="24"/>
        </w:rPr>
        <w:t xml:space="preserve"> </w:t>
      </w:r>
      <w:r w:rsidR="003A054C">
        <w:rPr>
          <w:rFonts w:ascii="Times New Roman" w:hAnsi="Times New Roman" w:cs="Times New Roman"/>
          <w:color w:val="000000" w:themeColor="text1"/>
          <w:sz w:val="24"/>
          <w:szCs w:val="24"/>
        </w:rPr>
        <w:t>At less than 23 centimeters in height, the Pierpont Morgan panel was almost certainly</w:t>
      </w:r>
      <w:r w:rsidR="00C80979">
        <w:rPr>
          <w:rFonts w:ascii="Times New Roman" w:hAnsi="Times New Roman" w:cs="Times New Roman"/>
          <w:color w:val="000000" w:themeColor="text1"/>
          <w:sz w:val="24"/>
          <w:szCs w:val="24"/>
        </w:rPr>
        <w:t xml:space="preserve"> used</w:t>
      </w:r>
      <w:r w:rsidR="003A054C">
        <w:rPr>
          <w:rFonts w:ascii="Times New Roman" w:hAnsi="Times New Roman" w:cs="Times New Roman"/>
          <w:color w:val="000000" w:themeColor="text1"/>
          <w:sz w:val="24"/>
          <w:szCs w:val="24"/>
        </w:rPr>
        <w:t xml:space="preserve"> for private worship. </w:t>
      </w:r>
    </w:p>
    <w:p w14:paraId="04607EAB" w14:textId="3C350DEF" w:rsidR="0013690C" w:rsidRDefault="001F795E" w:rsidP="003A054C">
      <w:pPr>
        <w:ind w:firstLine="720"/>
        <w:rPr>
          <w:rFonts w:ascii="Times New Roman" w:hAnsi="Times New Roman" w:cs="Times New Roman"/>
          <w:sz w:val="24"/>
          <w:szCs w:val="24"/>
        </w:rPr>
      </w:pPr>
      <w:r>
        <w:rPr>
          <w:rFonts w:ascii="Times New Roman" w:hAnsi="Times New Roman" w:cs="Times New Roman"/>
          <w:color w:val="000000" w:themeColor="text1"/>
          <w:sz w:val="24"/>
          <w:szCs w:val="24"/>
        </w:rPr>
        <w:t xml:space="preserve">Personal devotion and mystical experience were deeply linked in the medieval world. </w:t>
      </w:r>
      <w:r w:rsidRPr="001F795E">
        <w:rPr>
          <w:rFonts w:ascii="Times New Roman" w:hAnsi="Times New Roman" w:cs="Times New Roman"/>
          <w:sz w:val="24"/>
          <w:szCs w:val="24"/>
        </w:rPr>
        <w:t xml:space="preserve">Carolyn S. </w:t>
      </w:r>
      <w:proofErr w:type="spellStart"/>
      <w:r w:rsidRPr="001F795E">
        <w:rPr>
          <w:rFonts w:ascii="Times New Roman" w:hAnsi="Times New Roman" w:cs="Times New Roman"/>
          <w:sz w:val="24"/>
          <w:szCs w:val="24"/>
        </w:rPr>
        <w:t>Jirousek</w:t>
      </w:r>
      <w:proofErr w:type="spellEnd"/>
      <w:r w:rsidRPr="001F795E">
        <w:rPr>
          <w:rFonts w:ascii="Times New Roman" w:hAnsi="Times New Roman" w:cs="Times New Roman"/>
          <w:sz w:val="24"/>
          <w:szCs w:val="24"/>
        </w:rPr>
        <w:t xml:space="preserve"> articulates the mystical role of devotional images in her article on wood carvings of St. John the Evangelist: </w:t>
      </w:r>
      <w:r w:rsidR="005C74F3" w:rsidRPr="001F795E">
        <w:rPr>
          <w:rFonts w:ascii="Times New Roman" w:hAnsi="Times New Roman" w:cs="Times New Roman"/>
          <w:sz w:val="24"/>
          <w:szCs w:val="24"/>
        </w:rPr>
        <w:t>“Thus, mystical exercises began with devotion before an image, which in turn would stimulate mental images, the end result being the exclusion of the visual for an ideally imageless contemplation of God.”</w:t>
      </w:r>
      <w:r w:rsidRPr="001F795E">
        <w:rPr>
          <w:rStyle w:val="FootnoteReference"/>
          <w:rFonts w:ascii="Times New Roman" w:hAnsi="Times New Roman" w:cs="Times New Roman"/>
          <w:sz w:val="24"/>
          <w:szCs w:val="24"/>
        </w:rPr>
        <w:footnoteReference w:id="8"/>
      </w:r>
      <w:r>
        <w:rPr>
          <w:rFonts w:ascii="Times New Roman" w:hAnsi="Times New Roman" w:cs="Times New Roman"/>
          <w:sz w:val="24"/>
          <w:szCs w:val="24"/>
        </w:rPr>
        <w:t xml:space="preserve"> Christian mysticism in the West gained prominence primarily between 1200 and 1350, about a century after the creation of this triptych panel. In the Byzantine world, however, the pursuit of mystical experience facilitated through visual images </w:t>
      </w:r>
      <w:r w:rsidR="00990209">
        <w:rPr>
          <w:rFonts w:ascii="Times New Roman" w:hAnsi="Times New Roman" w:cs="Times New Roman"/>
          <w:sz w:val="24"/>
          <w:szCs w:val="24"/>
        </w:rPr>
        <w:t>began much earlier in the 9</w:t>
      </w:r>
      <w:r w:rsidR="00990209" w:rsidRPr="00990209">
        <w:rPr>
          <w:rFonts w:ascii="Times New Roman" w:hAnsi="Times New Roman" w:cs="Times New Roman"/>
          <w:sz w:val="24"/>
          <w:szCs w:val="24"/>
          <w:vertAlign w:val="superscript"/>
        </w:rPr>
        <w:t>th</w:t>
      </w:r>
      <w:r w:rsidR="00990209">
        <w:rPr>
          <w:rFonts w:ascii="Times New Roman" w:hAnsi="Times New Roman" w:cs="Times New Roman"/>
          <w:sz w:val="24"/>
          <w:szCs w:val="24"/>
        </w:rPr>
        <w:t xml:space="preserve"> and 10</w:t>
      </w:r>
      <w:r w:rsidR="00990209" w:rsidRPr="00990209">
        <w:rPr>
          <w:rFonts w:ascii="Times New Roman" w:hAnsi="Times New Roman" w:cs="Times New Roman"/>
          <w:sz w:val="24"/>
          <w:szCs w:val="24"/>
          <w:vertAlign w:val="superscript"/>
        </w:rPr>
        <w:t>th</w:t>
      </w:r>
      <w:r w:rsidR="00990209">
        <w:rPr>
          <w:rFonts w:ascii="Times New Roman" w:hAnsi="Times New Roman" w:cs="Times New Roman"/>
          <w:sz w:val="24"/>
          <w:szCs w:val="24"/>
        </w:rPr>
        <w:t xml:space="preserve"> centuries. Icons of the Virgin, Christ, and various saints were used abundantly in personal devotion</w:t>
      </w:r>
      <w:r w:rsidR="00C80979">
        <w:rPr>
          <w:rFonts w:ascii="Times New Roman" w:hAnsi="Times New Roman" w:cs="Times New Roman"/>
          <w:sz w:val="24"/>
          <w:szCs w:val="24"/>
        </w:rPr>
        <w:t>. By</w:t>
      </w:r>
      <w:r w:rsidR="00990209">
        <w:rPr>
          <w:rFonts w:ascii="Times New Roman" w:hAnsi="Times New Roman" w:cs="Times New Roman"/>
          <w:sz w:val="24"/>
          <w:szCs w:val="24"/>
        </w:rPr>
        <w:t xml:space="preserve"> the 11</w:t>
      </w:r>
      <w:r w:rsidR="00990209" w:rsidRPr="00990209">
        <w:rPr>
          <w:rFonts w:ascii="Times New Roman" w:hAnsi="Times New Roman" w:cs="Times New Roman"/>
          <w:sz w:val="24"/>
          <w:szCs w:val="24"/>
          <w:vertAlign w:val="superscript"/>
        </w:rPr>
        <w:t>th</w:t>
      </w:r>
      <w:r w:rsidR="00990209">
        <w:rPr>
          <w:rFonts w:ascii="Times New Roman" w:hAnsi="Times New Roman" w:cs="Times New Roman"/>
          <w:sz w:val="24"/>
          <w:szCs w:val="24"/>
        </w:rPr>
        <w:t xml:space="preserve"> century, narrative scenes—including the crucifixion</w:t>
      </w:r>
      <w:r w:rsidR="00A1202C">
        <w:rPr>
          <w:rFonts w:ascii="Times New Roman" w:hAnsi="Times New Roman" w:cs="Times New Roman"/>
          <w:sz w:val="24"/>
          <w:szCs w:val="24"/>
        </w:rPr>
        <w:t xml:space="preserve"> and entombment</w:t>
      </w:r>
      <w:r w:rsidR="00990209">
        <w:rPr>
          <w:rFonts w:ascii="Times New Roman" w:hAnsi="Times New Roman" w:cs="Times New Roman"/>
          <w:sz w:val="24"/>
          <w:szCs w:val="24"/>
        </w:rPr>
        <w:t>—were used to encourage the worshipper</w:t>
      </w:r>
      <w:r w:rsidR="00A1202C">
        <w:rPr>
          <w:rFonts w:ascii="Times New Roman" w:hAnsi="Times New Roman" w:cs="Times New Roman"/>
          <w:sz w:val="24"/>
          <w:szCs w:val="24"/>
        </w:rPr>
        <w:t xml:space="preserve"> to</w:t>
      </w:r>
      <w:r w:rsidR="00990209">
        <w:rPr>
          <w:rFonts w:ascii="Times New Roman" w:hAnsi="Times New Roman" w:cs="Times New Roman"/>
          <w:sz w:val="24"/>
          <w:szCs w:val="24"/>
        </w:rPr>
        <w:t xml:space="preserve"> “</w:t>
      </w:r>
      <w:r w:rsidR="00990209" w:rsidRPr="00990209">
        <w:rPr>
          <w:rFonts w:ascii="Times New Roman" w:hAnsi="Times New Roman" w:cs="Times New Roman"/>
          <w:sz w:val="24"/>
          <w:szCs w:val="24"/>
        </w:rPr>
        <w:t>forge a personal relationship to the holy figure or enter into the narrative as if actually present at the event</w:t>
      </w:r>
      <w:r w:rsidR="00990209">
        <w:rPr>
          <w:rFonts w:ascii="Times New Roman" w:hAnsi="Times New Roman" w:cs="Times New Roman"/>
          <w:sz w:val="24"/>
          <w:szCs w:val="24"/>
        </w:rPr>
        <w:t>.”</w:t>
      </w:r>
      <w:r w:rsidR="00990209">
        <w:rPr>
          <w:rStyle w:val="FootnoteReference"/>
          <w:rFonts w:ascii="Times New Roman" w:hAnsi="Times New Roman" w:cs="Times New Roman"/>
          <w:sz w:val="24"/>
          <w:szCs w:val="24"/>
        </w:rPr>
        <w:footnoteReference w:id="9"/>
      </w:r>
      <w:r w:rsidR="00990209">
        <w:rPr>
          <w:rFonts w:ascii="Times New Roman" w:hAnsi="Times New Roman" w:cs="Times New Roman"/>
          <w:sz w:val="24"/>
          <w:szCs w:val="24"/>
        </w:rPr>
        <w:t xml:space="preserve"> </w:t>
      </w:r>
    </w:p>
    <w:p w14:paraId="63E346BB" w14:textId="09C59A8A" w:rsidR="0013690C" w:rsidRDefault="0013690C" w:rsidP="00DD5728">
      <w:pPr>
        <w:ind w:firstLine="720"/>
      </w:pPr>
      <w:r>
        <w:rPr>
          <w:rFonts w:ascii="Times New Roman" w:hAnsi="Times New Roman" w:cs="Times New Roman"/>
          <w:sz w:val="24"/>
          <w:szCs w:val="24"/>
        </w:rPr>
        <w:t xml:space="preserve">That is not to say that the concept of </w:t>
      </w:r>
      <w:r w:rsidR="00A1202C">
        <w:rPr>
          <w:rFonts w:ascii="Times New Roman" w:hAnsi="Times New Roman" w:cs="Times New Roman"/>
          <w:sz w:val="24"/>
          <w:szCs w:val="24"/>
        </w:rPr>
        <w:t xml:space="preserve">purposefully </w:t>
      </w:r>
      <w:proofErr w:type="gramStart"/>
      <w:r>
        <w:rPr>
          <w:rFonts w:ascii="Times New Roman" w:hAnsi="Times New Roman" w:cs="Times New Roman"/>
          <w:sz w:val="24"/>
          <w:szCs w:val="24"/>
        </w:rPr>
        <w:t>entering into</w:t>
      </w:r>
      <w:proofErr w:type="gramEnd"/>
      <w:r>
        <w:rPr>
          <w:rFonts w:ascii="Times New Roman" w:hAnsi="Times New Roman" w:cs="Times New Roman"/>
          <w:sz w:val="24"/>
          <w:szCs w:val="24"/>
        </w:rPr>
        <w:t xml:space="preserve"> the biblical narrative through meditation and prayer was an exclusively Byzantine practice, however. </w:t>
      </w:r>
      <w:r w:rsidR="00BB7952">
        <w:rPr>
          <w:rFonts w:ascii="Times New Roman" w:hAnsi="Times New Roman" w:cs="Times New Roman"/>
          <w:sz w:val="24"/>
          <w:szCs w:val="24"/>
        </w:rPr>
        <w:t xml:space="preserve">Indeed, while visual media was not widely used for mystical devotion until the 13th century in Western Europe, </w:t>
      </w:r>
      <w:r w:rsidR="0053626B">
        <w:rPr>
          <w:rFonts w:ascii="Times New Roman" w:hAnsi="Times New Roman" w:cs="Times New Roman"/>
          <w:sz w:val="24"/>
          <w:szCs w:val="24"/>
        </w:rPr>
        <w:t>written texts</w:t>
      </w:r>
      <w:r w:rsidR="00BB7952">
        <w:rPr>
          <w:rFonts w:ascii="Times New Roman" w:hAnsi="Times New Roman" w:cs="Times New Roman"/>
          <w:sz w:val="24"/>
          <w:szCs w:val="24"/>
        </w:rPr>
        <w:t xml:space="preserve"> were used for transcendent meditations on the passions.</w:t>
      </w:r>
      <w:r w:rsidR="001E2D69" w:rsidRPr="001E2D69">
        <w:t xml:space="preserve"> </w:t>
      </w:r>
      <w:r w:rsidR="001E2D69" w:rsidRPr="001E2D69">
        <w:rPr>
          <w:rFonts w:ascii="Times New Roman" w:hAnsi="Times New Roman" w:cs="Times New Roman"/>
          <w:sz w:val="24"/>
          <w:szCs w:val="24"/>
        </w:rPr>
        <w:t>The emotion of compassion was highly sought and intentionally cultivated in private worship, and numerous Latin texts from the 11th and 12th centuries were written precisely as “affective meditations on the Passion—richly emotional, script-like texts that ask their readers to imagine themselves present at scenes of Christ’s suffering and to perform compassion for that suffering victim in a private drama of the heart.”</w:t>
      </w:r>
      <w:r w:rsidR="00BB7952">
        <w:rPr>
          <w:rStyle w:val="FootnoteReference"/>
          <w:rFonts w:ascii="Times New Roman" w:hAnsi="Times New Roman" w:cs="Times New Roman"/>
          <w:sz w:val="24"/>
          <w:szCs w:val="24"/>
        </w:rPr>
        <w:footnoteReference w:id="10"/>
      </w:r>
      <w:r>
        <w:rPr>
          <w:rFonts w:ascii="Times New Roman" w:hAnsi="Times New Roman" w:cs="Times New Roman"/>
          <w:sz w:val="24"/>
          <w:szCs w:val="24"/>
        </w:rPr>
        <w:t xml:space="preserve"> The groundwork was laid, therefore, for transcendent experience during prayer, even when the facilitating object was not text but rather image. Given this triptych’s creation in a workshop that pulled heavily from the stylistic influence of the Byzantine world</w:t>
      </w:r>
      <w:r w:rsidR="003A054C">
        <w:rPr>
          <w:rFonts w:ascii="Times New Roman" w:hAnsi="Times New Roman" w:cs="Times New Roman"/>
          <w:sz w:val="24"/>
          <w:szCs w:val="24"/>
        </w:rPr>
        <w:t xml:space="preserve">—and </w:t>
      </w:r>
      <w:r>
        <w:rPr>
          <w:rFonts w:ascii="Times New Roman" w:hAnsi="Times New Roman" w:cs="Times New Roman"/>
          <w:sz w:val="24"/>
          <w:szCs w:val="24"/>
        </w:rPr>
        <w:t>therefore drew upon iconographic cues meant to inspire affective meditation and spiritual relationship</w:t>
      </w:r>
      <w:r w:rsidR="003A054C">
        <w:rPr>
          <w:rFonts w:ascii="Times New Roman" w:hAnsi="Times New Roman" w:cs="Times New Roman"/>
          <w:sz w:val="24"/>
          <w:szCs w:val="24"/>
        </w:rPr>
        <w:t>—I</w:t>
      </w:r>
      <w:r>
        <w:rPr>
          <w:rFonts w:ascii="Times New Roman" w:hAnsi="Times New Roman" w:cs="Times New Roman"/>
          <w:sz w:val="24"/>
          <w:szCs w:val="24"/>
        </w:rPr>
        <w:t xml:space="preserve"> argue that this panel was designed to facilitate a mystical devotional experience. </w:t>
      </w:r>
      <w:r w:rsidR="003A054C">
        <w:rPr>
          <w:rFonts w:ascii="Times New Roman" w:hAnsi="Times New Roman" w:cs="Times New Roman"/>
          <w:sz w:val="24"/>
          <w:szCs w:val="24"/>
        </w:rPr>
        <w:t>The likelihood that this panel was used for personal devotion rather than a wider religious service also supports its metaphysical potential in prayer. Byzantinist Robert Nelson has discussed at length the relationship between a person’s ability to touch a personal icon or triptych and the subsequent creation of "a spiritual relationship, a bond facilitated by dialogic texts that accompany icons [and triptychs/diptychs].”</w:t>
      </w:r>
      <w:r w:rsidR="003A054C">
        <w:rPr>
          <w:rStyle w:val="FootnoteReference"/>
          <w:rFonts w:ascii="Times New Roman" w:hAnsi="Times New Roman" w:cs="Times New Roman"/>
          <w:sz w:val="24"/>
          <w:szCs w:val="24"/>
        </w:rPr>
        <w:footnoteReference w:id="11"/>
      </w:r>
      <w:r w:rsidR="003A054C">
        <w:rPr>
          <w:rFonts w:ascii="Times New Roman" w:hAnsi="Times New Roman" w:cs="Times New Roman"/>
          <w:sz w:val="24"/>
          <w:szCs w:val="24"/>
        </w:rPr>
        <w:t xml:space="preserve"> The tactile intimacy of this ivory carving would have afforded the worshipper an added layer of closeness with Christ’s death, the focus of their devotion</w:t>
      </w:r>
      <w:r w:rsidR="00A1202C">
        <w:rPr>
          <w:rFonts w:ascii="Times New Roman" w:hAnsi="Times New Roman" w:cs="Times New Roman"/>
          <w:sz w:val="24"/>
          <w:szCs w:val="24"/>
        </w:rPr>
        <w:t>,</w:t>
      </w:r>
      <w:r w:rsidR="003A054C">
        <w:rPr>
          <w:rFonts w:ascii="Times New Roman" w:hAnsi="Times New Roman" w:cs="Times New Roman"/>
          <w:sz w:val="24"/>
          <w:szCs w:val="24"/>
        </w:rPr>
        <w:t xml:space="preserve"> </w:t>
      </w:r>
      <w:r w:rsidR="00DD5728">
        <w:rPr>
          <w:rFonts w:ascii="Times New Roman" w:hAnsi="Times New Roman" w:cs="Times New Roman"/>
          <w:sz w:val="24"/>
          <w:szCs w:val="24"/>
        </w:rPr>
        <w:t xml:space="preserve">and only </w:t>
      </w:r>
      <w:r w:rsidR="00A1202C">
        <w:rPr>
          <w:rFonts w:ascii="Times New Roman" w:hAnsi="Times New Roman" w:cs="Times New Roman"/>
          <w:sz w:val="24"/>
          <w:szCs w:val="24"/>
        </w:rPr>
        <w:t xml:space="preserve">been </w:t>
      </w:r>
      <w:r w:rsidR="00DD5728">
        <w:rPr>
          <w:rFonts w:ascii="Times New Roman" w:hAnsi="Times New Roman" w:cs="Times New Roman"/>
          <w:sz w:val="24"/>
          <w:szCs w:val="24"/>
        </w:rPr>
        <w:t xml:space="preserve">reinforced by medieval theories of vision. To see, at least to the medieval mind, was to touch an object through the emission of optical rays by the eye. </w:t>
      </w:r>
      <w:r w:rsidR="00C80979" w:rsidRPr="00C80979">
        <w:rPr>
          <w:rFonts w:ascii="Times New Roman" w:hAnsi="Times New Roman" w:cs="Times New Roman"/>
          <w:sz w:val="24"/>
          <w:szCs w:val="24"/>
        </w:rPr>
        <w:t xml:space="preserve">Therefore, seeing and touching were linked, and encountering an object of devotion through both physical </w:t>
      </w:r>
      <w:r w:rsidR="00DD5728">
        <w:rPr>
          <w:rFonts w:ascii="Times New Roman" w:hAnsi="Times New Roman" w:cs="Times New Roman"/>
          <w:sz w:val="24"/>
          <w:szCs w:val="24"/>
        </w:rPr>
        <w:t>and visual touch was to engage in true empathetic worship.</w:t>
      </w:r>
      <w:r w:rsidR="00DD5728">
        <w:rPr>
          <w:rStyle w:val="FootnoteReference"/>
          <w:rFonts w:ascii="Times New Roman" w:hAnsi="Times New Roman" w:cs="Times New Roman"/>
          <w:sz w:val="24"/>
          <w:szCs w:val="24"/>
        </w:rPr>
        <w:footnoteReference w:id="12"/>
      </w:r>
      <w:r w:rsidR="00DD5728">
        <w:rPr>
          <w:rFonts w:ascii="Times New Roman" w:hAnsi="Times New Roman" w:cs="Times New Roman"/>
          <w:sz w:val="24"/>
          <w:szCs w:val="24"/>
        </w:rPr>
        <w:t xml:space="preserve"> </w:t>
      </w:r>
    </w:p>
    <w:p w14:paraId="48CD0F2F" w14:textId="7744A615" w:rsidR="00865255" w:rsidRDefault="00DD5728" w:rsidP="00DD5728">
      <w:pPr>
        <w:ind w:firstLine="720"/>
        <w:rPr>
          <w:rFonts w:ascii="Times New Roman" w:hAnsi="Times New Roman" w:cs="Times New Roman"/>
          <w:sz w:val="24"/>
          <w:szCs w:val="24"/>
        </w:rPr>
      </w:pPr>
      <w:r w:rsidRPr="00DD5728">
        <w:rPr>
          <w:rFonts w:ascii="Times New Roman" w:hAnsi="Times New Roman" w:cs="Times New Roman"/>
          <w:sz w:val="24"/>
          <w:szCs w:val="24"/>
        </w:rPr>
        <w:t>What</w:t>
      </w:r>
      <w:r w:rsidR="00C80979">
        <w:rPr>
          <w:rFonts w:ascii="Times New Roman" w:hAnsi="Times New Roman" w:cs="Times New Roman"/>
          <w:sz w:val="24"/>
          <w:szCs w:val="24"/>
        </w:rPr>
        <w:t>,</w:t>
      </w:r>
      <w:r w:rsidRPr="00DD5728">
        <w:rPr>
          <w:rFonts w:ascii="Times New Roman" w:hAnsi="Times New Roman" w:cs="Times New Roman"/>
          <w:sz w:val="24"/>
          <w:szCs w:val="24"/>
        </w:rPr>
        <w:t xml:space="preserve"> then, was the </w:t>
      </w:r>
      <w:r>
        <w:rPr>
          <w:rFonts w:ascii="Times New Roman" w:hAnsi="Times New Roman" w:cs="Times New Roman"/>
          <w:sz w:val="24"/>
          <w:szCs w:val="24"/>
        </w:rPr>
        <w:t>owner</w:t>
      </w:r>
      <w:r w:rsidRPr="00DD5728">
        <w:rPr>
          <w:rFonts w:ascii="Times New Roman" w:hAnsi="Times New Roman" w:cs="Times New Roman"/>
          <w:sz w:val="24"/>
          <w:szCs w:val="24"/>
        </w:rPr>
        <w:t xml:space="preserve"> of this </w:t>
      </w:r>
      <w:r>
        <w:rPr>
          <w:rFonts w:ascii="Times New Roman" w:hAnsi="Times New Roman" w:cs="Times New Roman"/>
          <w:sz w:val="24"/>
          <w:szCs w:val="24"/>
        </w:rPr>
        <w:t>triptych</w:t>
      </w:r>
      <w:r w:rsidRPr="00DD5728">
        <w:rPr>
          <w:rFonts w:ascii="Times New Roman" w:hAnsi="Times New Roman" w:cs="Times New Roman"/>
          <w:sz w:val="24"/>
          <w:szCs w:val="24"/>
        </w:rPr>
        <w:t xml:space="preserve"> worshipping? </w:t>
      </w:r>
      <w:r>
        <w:rPr>
          <w:rFonts w:ascii="Times New Roman" w:hAnsi="Times New Roman" w:cs="Times New Roman"/>
          <w:sz w:val="24"/>
          <w:szCs w:val="24"/>
        </w:rPr>
        <w:t xml:space="preserve">While there is no indication of what might have been displayed on the </w:t>
      </w:r>
      <w:r w:rsidR="000C11E8">
        <w:rPr>
          <w:rFonts w:ascii="Times New Roman" w:hAnsi="Times New Roman" w:cs="Times New Roman"/>
          <w:sz w:val="24"/>
          <w:szCs w:val="24"/>
        </w:rPr>
        <w:t xml:space="preserve">missing </w:t>
      </w:r>
      <w:r>
        <w:rPr>
          <w:rFonts w:ascii="Times New Roman" w:hAnsi="Times New Roman" w:cs="Times New Roman"/>
          <w:sz w:val="24"/>
          <w:szCs w:val="24"/>
        </w:rPr>
        <w:t>hinged doors, the central panel of the</w:t>
      </w:r>
      <w:r w:rsidR="00BE3B58">
        <w:rPr>
          <w:rFonts w:ascii="Times New Roman" w:hAnsi="Times New Roman" w:cs="Times New Roman"/>
          <w:sz w:val="24"/>
          <w:szCs w:val="24"/>
        </w:rPr>
        <w:t xml:space="preserve"> Salerno </w:t>
      </w:r>
      <w:r w:rsidR="00865255">
        <w:rPr>
          <w:rFonts w:ascii="Times New Roman" w:hAnsi="Times New Roman" w:cs="Times New Roman"/>
          <w:sz w:val="24"/>
          <w:szCs w:val="24"/>
        </w:rPr>
        <w:t>triptych contains a d</w:t>
      </w:r>
      <w:r w:rsidR="00A213DF">
        <w:rPr>
          <w:rFonts w:ascii="Times New Roman" w:hAnsi="Times New Roman" w:cs="Times New Roman"/>
          <w:sz w:val="24"/>
          <w:szCs w:val="24"/>
        </w:rPr>
        <w:t>ouble</w:t>
      </w:r>
      <w:r w:rsidR="00865255">
        <w:rPr>
          <w:rFonts w:ascii="Times New Roman" w:hAnsi="Times New Roman" w:cs="Times New Roman"/>
          <w:sz w:val="24"/>
          <w:szCs w:val="24"/>
        </w:rPr>
        <w:t xml:space="preserve"> narrative scene—both the crucifixion and entombment of Christ. Three-quarters of the panel is dominated by the verticality of the cross, underneath which the body of the dead Christ is wrapped in a patterned garment and laid atop a raised table. Underneath the footrest</w:t>
      </w:r>
      <w:r w:rsidR="00BE3B58">
        <w:rPr>
          <w:rFonts w:ascii="Times New Roman" w:hAnsi="Times New Roman" w:cs="Times New Roman"/>
          <w:sz w:val="24"/>
          <w:szCs w:val="24"/>
        </w:rPr>
        <w:t xml:space="preserve"> (</w:t>
      </w:r>
      <w:r w:rsidR="00865255" w:rsidRPr="00C017D4">
        <w:rPr>
          <w:rFonts w:ascii="Times New Roman" w:hAnsi="Times New Roman" w:cs="Times New Roman"/>
          <w:sz w:val="24"/>
          <w:szCs w:val="24"/>
        </w:rPr>
        <w:t>or suppedaneum</w:t>
      </w:r>
      <w:r w:rsidR="00BE3B58">
        <w:rPr>
          <w:rFonts w:ascii="Times New Roman" w:hAnsi="Times New Roman" w:cs="Times New Roman"/>
          <w:sz w:val="24"/>
          <w:szCs w:val="24"/>
        </w:rPr>
        <w:t>)</w:t>
      </w:r>
      <w:r w:rsidR="00C80979">
        <w:rPr>
          <w:rFonts w:ascii="Times New Roman" w:hAnsi="Times New Roman" w:cs="Times New Roman"/>
          <w:sz w:val="24"/>
          <w:szCs w:val="24"/>
        </w:rPr>
        <w:t>,</w:t>
      </w:r>
      <w:r w:rsidR="00865255">
        <w:rPr>
          <w:rFonts w:ascii="Times New Roman" w:hAnsi="Times New Roman" w:cs="Times New Roman"/>
          <w:sz w:val="24"/>
          <w:szCs w:val="24"/>
        </w:rPr>
        <w:t xml:space="preserve"> the cross is adorned with vine-like designs</w:t>
      </w:r>
      <w:r w:rsidR="000A7082">
        <w:rPr>
          <w:rFonts w:ascii="Times New Roman" w:hAnsi="Times New Roman" w:cs="Times New Roman"/>
          <w:sz w:val="24"/>
          <w:szCs w:val="24"/>
        </w:rPr>
        <w:t>, perhaps in an early reference to the later medieval convention of representing the cross as the Tree of Life</w:t>
      </w:r>
      <w:r w:rsidR="00865255">
        <w:rPr>
          <w:rFonts w:ascii="Times New Roman" w:hAnsi="Times New Roman" w:cs="Times New Roman"/>
          <w:sz w:val="24"/>
          <w:szCs w:val="24"/>
        </w:rPr>
        <w:t>.</w:t>
      </w:r>
      <w:r w:rsidR="00865255">
        <w:rPr>
          <w:rStyle w:val="FootnoteReference"/>
          <w:rFonts w:ascii="Times New Roman" w:hAnsi="Times New Roman" w:cs="Times New Roman"/>
          <w:sz w:val="24"/>
          <w:szCs w:val="24"/>
        </w:rPr>
        <w:footnoteReference w:id="13"/>
      </w:r>
      <w:r w:rsidR="000626C0" w:rsidRPr="000626C0">
        <w:rPr>
          <w:rFonts w:ascii="Times New Roman" w:hAnsi="Times New Roman" w:cs="Times New Roman"/>
          <w:sz w:val="24"/>
          <w:szCs w:val="24"/>
          <w:vertAlign w:val="superscript"/>
        </w:rPr>
        <w:t>,</w:t>
      </w:r>
      <w:r w:rsidR="000626C0">
        <w:rPr>
          <w:rFonts w:ascii="Times New Roman" w:hAnsi="Times New Roman" w:cs="Times New Roman"/>
          <w:sz w:val="24"/>
          <w:szCs w:val="24"/>
          <w:vertAlign w:val="superscript"/>
        </w:rPr>
        <w:t xml:space="preserve"> </w:t>
      </w:r>
      <w:r w:rsidR="000626C0">
        <w:rPr>
          <w:rStyle w:val="FootnoteReference"/>
          <w:rFonts w:ascii="Times New Roman" w:hAnsi="Times New Roman" w:cs="Times New Roman"/>
          <w:sz w:val="24"/>
          <w:szCs w:val="24"/>
        </w:rPr>
        <w:footnoteReference w:id="14"/>
      </w:r>
      <w:r w:rsidR="00865255" w:rsidRPr="00C017D4">
        <w:rPr>
          <w:rFonts w:ascii="Times New Roman" w:hAnsi="Times New Roman" w:cs="Times New Roman"/>
          <w:sz w:val="24"/>
          <w:szCs w:val="24"/>
        </w:rPr>
        <w:t xml:space="preserve"> </w:t>
      </w:r>
    </w:p>
    <w:p w14:paraId="58B7DEE2" w14:textId="0ECCC856" w:rsidR="00865255" w:rsidRPr="00875E0B" w:rsidRDefault="00865255" w:rsidP="00BE3B58">
      <w:pPr>
        <w:ind w:firstLine="720"/>
        <w:rPr>
          <w:rFonts w:ascii="Times New Roman" w:hAnsi="Times New Roman" w:cs="Times New Roman"/>
          <w:sz w:val="24"/>
          <w:szCs w:val="24"/>
        </w:rPr>
      </w:pPr>
      <w:r w:rsidRPr="00875E0B">
        <w:rPr>
          <w:rFonts w:ascii="Times New Roman" w:hAnsi="Times New Roman" w:cs="Times New Roman"/>
          <w:sz w:val="24"/>
          <w:szCs w:val="24"/>
        </w:rPr>
        <w:t>Below the crucifixion, the body of Christ is wrapped and prepared for his entombment.</w:t>
      </w:r>
      <w:r w:rsidRPr="00875E0B">
        <w:rPr>
          <w:rStyle w:val="FootnoteReference"/>
          <w:rFonts w:ascii="Times New Roman" w:hAnsi="Times New Roman" w:cs="Times New Roman"/>
          <w:color w:val="000000"/>
          <w:sz w:val="24"/>
          <w:szCs w:val="24"/>
          <w:shd w:val="clear" w:color="auto" w:fill="FFFFFF"/>
        </w:rPr>
        <w:footnoteReference w:id="15"/>
      </w:r>
      <w:r w:rsidR="00BE3B58">
        <w:rPr>
          <w:rStyle w:val="text"/>
          <w:rFonts w:ascii="Times New Roman" w:hAnsi="Times New Roman" w:cs="Times New Roman"/>
          <w:sz w:val="24"/>
          <w:szCs w:val="24"/>
        </w:rPr>
        <w:t xml:space="preserve"> </w:t>
      </w:r>
      <w:r w:rsidRPr="00875E0B">
        <w:rPr>
          <w:rFonts w:ascii="Times New Roman" w:hAnsi="Times New Roman" w:cs="Times New Roman"/>
          <w:sz w:val="24"/>
          <w:szCs w:val="24"/>
        </w:rPr>
        <w:t>In accordance with medieval visual convention, the two figures clinging to the corpse are Joseph of Arimathea and Nicodemus.</w:t>
      </w:r>
      <w:r w:rsidRPr="00875E0B">
        <w:rPr>
          <w:rStyle w:val="FootnoteReference"/>
          <w:rFonts w:ascii="Times New Roman" w:hAnsi="Times New Roman" w:cs="Times New Roman"/>
          <w:sz w:val="24"/>
          <w:szCs w:val="24"/>
        </w:rPr>
        <w:footnoteReference w:id="16"/>
      </w:r>
      <w:r w:rsidRPr="00875E0B">
        <w:rPr>
          <w:rFonts w:ascii="Times New Roman" w:hAnsi="Times New Roman" w:cs="Times New Roman"/>
          <w:sz w:val="24"/>
          <w:szCs w:val="24"/>
        </w:rPr>
        <w:t xml:space="preserve"> </w:t>
      </w:r>
      <w:r>
        <w:rPr>
          <w:rFonts w:ascii="Times New Roman" w:hAnsi="Times New Roman" w:cs="Times New Roman"/>
          <w:sz w:val="24"/>
          <w:szCs w:val="24"/>
        </w:rPr>
        <w:t xml:space="preserve">Only </w:t>
      </w:r>
      <w:r w:rsidR="00A755B8">
        <w:rPr>
          <w:rFonts w:ascii="Times New Roman" w:hAnsi="Times New Roman" w:cs="Times New Roman"/>
          <w:sz w:val="24"/>
          <w:szCs w:val="24"/>
        </w:rPr>
        <w:t>Christ’s</w:t>
      </w:r>
      <w:r>
        <w:rPr>
          <w:rFonts w:ascii="Times New Roman" w:hAnsi="Times New Roman" w:cs="Times New Roman"/>
          <w:sz w:val="24"/>
          <w:szCs w:val="24"/>
        </w:rPr>
        <w:t xml:space="preserve"> head remains uncovered, and the carver has taken special care to show the wan features of the Messiah. Heavy lines are incised from his nose to his chin, giving his face a sunken appearance. The lack of pupil carving indicates closed eyes and further invites the viewer to confront the fact of Christ’s death. As if to further emphasize this intention, </w:t>
      </w:r>
      <w:proofErr w:type="gramStart"/>
      <w:r>
        <w:rPr>
          <w:rFonts w:ascii="Times New Roman" w:hAnsi="Times New Roman" w:cs="Times New Roman"/>
          <w:sz w:val="24"/>
          <w:szCs w:val="24"/>
        </w:rPr>
        <w:t>Nicodemus</w:t>
      </w:r>
      <w:proofErr w:type="gramEnd"/>
      <w:r>
        <w:rPr>
          <w:rFonts w:ascii="Times New Roman" w:hAnsi="Times New Roman" w:cs="Times New Roman"/>
          <w:sz w:val="24"/>
          <w:szCs w:val="24"/>
        </w:rPr>
        <w:t xml:space="preserve"> and Joseph of Arimathea stare intently—devotedly—at the face of the deceased, even as they cling to and dress the body.</w:t>
      </w:r>
      <w:r w:rsidR="00941320">
        <w:rPr>
          <w:rStyle w:val="FootnoteReference"/>
          <w:rFonts w:ascii="Times New Roman" w:hAnsi="Times New Roman" w:cs="Times New Roman"/>
          <w:sz w:val="24"/>
          <w:szCs w:val="24"/>
        </w:rPr>
        <w:footnoteReference w:id="17"/>
      </w:r>
      <w:r>
        <w:rPr>
          <w:rFonts w:ascii="Times New Roman" w:hAnsi="Times New Roman" w:cs="Times New Roman"/>
          <w:sz w:val="24"/>
          <w:szCs w:val="24"/>
        </w:rPr>
        <w:t xml:space="preserve"> </w:t>
      </w:r>
      <w:r w:rsidR="006F507E">
        <w:rPr>
          <w:rFonts w:ascii="Times New Roman" w:hAnsi="Times New Roman" w:cs="Times New Roman"/>
          <w:sz w:val="24"/>
          <w:szCs w:val="24"/>
        </w:rPr>
        <w:t xml:space="preserve">Again, to return to the extramission theory of vision, Nicodemus and Joseph not only touch Christ through the clothes they wrap him with but also through the intensity of their gaze. </w:t>
      </w:r>
      <w:r>
        <w:rPr>
          <w:rFonts w:ascii="Times New Roman" w:hAnsi="Times New Roman" w:cs="Times New Roman"/>
          <w:sz w:val="24"/>
          <w:szCs w:val="24"/>
        </w:rPr>
        <w:t>The viewer</w:t>
      </w:r>
      <w:r w:rsidR="006F507E">
        <w:rPr>
          <w:rFonts w:ascii="Times New Roman" w:hAnsi="Times New Roman" w:cs="Times New Roman"/>
          <w:sz w:val="24"/>
          <w:szCs w:val="24"/>
        </w:rPr>
        <w:t>, therefore,</w:t>
      </w:r>
      <w:r>
        <w:rPr>
          <w:rFonts w:ascii="Times New Roman" w:hAnsi="Times New Roman" w:cs="Times New Roman"/>
          <w:sz w:val="24"/>
          <w:szCs w:val="24"/>
        </w:rPr>
        <w:t xml:space="preserve"> is also visually “clinging” to the body of Christ in every encounter with this panel. While only taking up a quarter of the narrative space, the enlarged corpse literally grounds the scene, rooting our interpretation of the visually dominant crucifixion in the inevitability of Christ’s true, mortal death.</w:t>
      </w:r>
      <w:r w:rsidR="0053626B">
        <w:rPr>
          <w:rStyle w:val="FootnoteReference"/>
          <w:rFonts w:ascii="Times New Roman" w:hAnsi="Times New Roman" w:cs="Times New Roman"/>
          <w:sz w:val="24"/>
          <w:szCs w:val="24"/>
        </w:rPr>
        <w:footnoteReference w:id="18"/>
      </w:r>
      <w:r>
        <w:rPr>
          <w:rFonts w:ascii="Times New Roman" w:hAnsi="Times New Roman" w:cs="Times New Roman"/>
          <w:sz w:val="24"/>
          <w:szCs w:val="24"/>
        </w:rPr>
        <w:t xml:space="preserve">  </w:t>
      </w:r>
    </w:p>
    <w:p w14:paraId="20EE770B" w14:textId="7F8787EB" w:rsidR="00865255" w:rsidRDefault="00865255" w:rsidP="00A213DF">
      <w:pPr>
        <w:ind w:firstLine="720"/>
        <w:rPr>
          <w:rFonts w:ascii="Times New Roman" w:hAnsi="Times New Roman" w:cs="Times New Roman"/>
          <w:sz w:val="24"/>
          <w:szCs w:val="24"/>
        </w:rPr>
      </w:pPr>
      <w:r w:rsidRPr="00955174">
        <w:rPr>
          <w:rFonts w:ascii="Times New Roman" w:hAnsi="Times New Roman" w:cs="Times New Roman"/>
          <w:sz w:val="24"/>
          <w:szCs w:val="24"/>
        </w:rPr>
        <w:t>To</w:t>
      </w:r>
      <w:r>
        <w:rPr>
          <w:rFonts w:ascii="Times New Roman" w:hAnsi="Times New Roman" w:cs="Times New Roman"/>
          <w:sz w:val="24"/>
          <w:szCs w:val="24"/>
        </w:rPr>
        <w:t xml:space="preserve"> return, then, to the primary scene is to acknowledge visual narrative foreshadowing. I argue that this triptych panel contains a “chronological collapse” of several key scenes from the crucifixion of Christ in the Gospel of John.</w:t>
      </w:r>
      <w:r w:rsidR="001278F7">
        <w:rPr>
          <w:rStyle w:val="FootnoteReference"/>
          <w:rFonts w:ascii="Times New Roman" w:hAnsi="Times New Roman" w:cs="Times New Roman"/>
          <w:sz w:val="24"/>
          <w:szCs w:val="24"/>
        </w:rPr>
        <w:footnoteReference w:id="19"/>
      </w:r>
      <w:r>
        <w:rPr>
          <w:rFonts w:ascii="Times New Roman" w:hAnsi="Times New Roman" w:cs="Times New Roman"/>
          <w:sz w:val="24"/>
          <w:szCs w:val="24"/>
        </w:rPr>
        <w:t xml:space="preserve"> These events are meant to be interpreted as just that—a narrative prefiguring </w:t>
      </w:r>
      <w:r w:rsidR="006F507E">
        <w:rPr>
          <w:rFonts w:ascii="Times New Roman" w:hAnsi="Times New Roman" w:cs="Times New Roman"/>
          <w:sz w:val="24"/>
          <w:szCs w:val="24"/>
        </w:rPr>
        <w:t>of what is to come rather than several events</w:t>
      </w:r>
      <w:r>
        <w:rPr>
          <w:rFonts w:ascii="Times New Roman" w:hAnsi="Times New Roman" w:cs="Times New Roman"/>
          <w:sz w:val="24"/>
          <w:szCs w:val="24"/>
        </w:rPr>
        <w:t xml:space="preserve"> happening concurrently. Simultaneously, however, the intense gaze of Christ toward his mother evokes one specific passage in scripture that grounds our central figure in </w:t>
      </w:r>
      <w:r w:rsidR="00C80979">
        <w:rPr>
          <w:rFonts w:ascii="Times New Roman" w:hAnsi="Times New Roman" w:cs="Times New Roman"/>
          <w:sz w:val="24"/>
          <w:szCs w:val="24"/>
        </w:rPr>
        <w:t>an exact</w:t>
      </w:r>
      <w:r>
        <w:rPr>
          <w:rFonts w:ascii="Times New Roman" w:hAnsi="Times New Roman" w:cs="Times New Roman"/>
          <w:sz w:val="24"/>
          <w:szCs w:val="24"/>
        </w:rPr>
        <w:t xml:space="preserve"> temporal moment that invites prayer and meditation.</w:t>
      </w:r>
      <w:r w:rsidR="006F507E">
        <w:rPr>
          <w:rFonts w:ascii="Times New Roman" w:hAnsi="Times New Roman" w:cs="Times New Roman"/>
          <w:sz w:val="24"/>
          <w:szCs w:val="24"/>
        </w:rPr>
        <w:t xml:space="preserve"> To understand this panel as simultaneously chronologically collapsed and temporally specific, we must take our interpretive cues directly from its central figure, the crucified Christ. </w:t>
      </w:r>
    </w:p>
    <w:p w14:paraId="67355262" w14:textId="732B732B" w:rsidR="00FE0411" w:rsidRPr="00E23CBD" w:rsidRDefault="00214678" w:rsidP="00A755B8">
      <w:pPr>
        <w:ind w:firstLine="720"/>
        <w:rPr>
          <w:rFonts w:ascii="Times New Roman" w:hAnsi="Times New Roman" w:cs="Times New Roman"/>
          <w:sz w:val="24"/>
          <w:szCs w:val="24"/>
        </w:rPr>
      </w:pPr>
      <w:r>
        <w:rPr>
          <w:rFonts w:ascii="Times New Roman" w:hAnsi="Times New Roman" w:cs="Times New Roman"/>
          <w:sz w:val="24"/>
          <w:szCs w:val="24"/>
        </w:rPr>
        <w:t>Notably</w:t>
      </w:r>
      <w:r w:rsidR="00865255">
        <w:rPr>
          <w:rFonts w:ascii="Times New Roman" w:hAnsi="Times New Roman" w:cs="Times New Roman"/>
          <w:sz w:val="24"/>
          <w:szCs w:val="24"/>
        </w:rPr>
        <w:t xml:space="preserve">, the Crown of Thorns is absent, as are most signs of physical distress. Even the spear at his side draws no blood. </w:t>
      </w:r>
      <w:r w:rsidR="00BE3B58">
        <w:rPr>
          <w:rFonts w:ascii="Times New Roman" w:hAnsi="Times New Roman" w:cs="Times New Roman"/>
          <w:sz w:val="24"/>
          <w:szCs w:val="24"/>
        </w:rPr>
        <w:t>G</w:t>
      </w:r>
      <w:r w:rsidR="00865255">
        <w:rPr>
          <w:rFonts w:ascii="Times New Roman" w:hAnsi="Times New Roman" w:cs="Times New Roman"/>
          <w:sz w:val="24"/>
          <w:szCs w:val="24"/>
        </w:rPr>
        <w:t xml:space="preserve">iven the absence of the miraculous font of water and blood </w:t>
      </w:r>
      <w:r w:rsidR="00A1202C" w:rsidRPr="00A1202C">
        <w:rPr>
          <w:rFonts w:ascii="Times New Roman" w:hAnsi="Times New Roman" w:cs="Times New Roman"/>
          <w:sz w:val="24"/>
          <w:szCs w:val="24"/>
        </w:rPr>
        <w:t>from this wound, we are meant to infer that the laceration has not yet occurred. Rather</w:t>
      </w:r>
      <w:r w:rsidR="00865255">
        <w:rPr>
          <w:rFonts w:ascii="Times New Roman" w:hAnsi="Times New Roman" w:cs="Times New Roman"/>
          <w:sz w:val="24"/>
          <w:szCs w:val="24"/>
        </w:rPr>
        <w:t>, we are witnessing the moments before Christ’s death and piercing rather than the act itself or its aftermath. While the tip of the spear is close to Christ’s torso, the carver has depicted the entire point outside the body</w:t>
      </w:r>
      <w:r w:rsidR="00A1202C">
        <w:rPr>
          <w:rFonts w:ascii="Times New Roman" w:hAnsi="Times New Roman" w:cs="Times New Roman"/>
          <w:sz w:val="24"/>
          <w:szCs w:val="24"/>
        </w:rPr>
        <w:t>, even</w:t>
      </w:r>
      <w:r w:rsidR="00865255">
        <w:rPr>
          <w:rFonts w:ascii="Times New Roman" w:hAnsi="Times New Roman" w:cs="Times New Roman"/>
          <w:sz w:val="24"/>
          <w:szCs w:val="24"/>
        </w:rPr>
        <w:t xml:space="preserve"> with some distinct space between the </w:t>
      </w:r>
      <w:r w:rsidR="00FE0411">
        <w:rPr>
          <w:rFonts w:ascii="Times New Roman" w:hAnsi="Times New Roman" w:cs="Times New Roman"/>
          <w:sz w:val="24"/>
          <w:szCs w:val="24"/>
        </w:rPr>
        <w:t>spearhead</w:t>
      </w:r>
      <w:r w:rsidR="00865255">
        <w:rPr>
          <w:rFonts w:ascii="Times New Roman" w:hAnsi="Times New Roman" w:cs="Times New Roman"/>
          <w:sz w:val="24"/>
          <w:szCs w:val="24"/>
        </w:rPr>
        <w:t xml:space="preserve"> and the Savior’s flesh. Most </w:t>
      </w:r>
      <w:r w:rsidR="00955174">
        <w:rPr>
          <w:rFonts w:ascii="Times New Roman" w:hAnsi="Times New Roman" w:cs="Times New Roman"/>
          <w:sz w:val="24"/>
          <w:szCs w:val="24"/>
        </w:rPr>
        <w:t>crucially</w:t>
      </w:r>
      <w:r w:rsidR="00865255">
        <w:rPr>
          <w:rFonts w:ascii="Times New Roman" w:hAnsi="Times New Roman" w:cs="Times New Roman"/>
          <w:sz w:val="24"/>
          <w:szCs w:val="24"/>
        </w:rPr>
        <w:t>, Christ is depicted as still alive, his intense gaze and characteristically carved-out pupils fixated on Mary. In contrast, we see the corpse of Christ in the entombment scene in the bottom fourth of the panel, eyes distinctly closed, cheeks hollow, and his mouth drawn shut.</w:t>
      </w:r>
      <w:r w:rsidR="00FE0411">
        <w:rPr>
          <w:rFonts w:ascii="Times New Roman" w:hAnsi="Times New Roman" w:cs="Times New Roman"/>
          <w:sz w:val="24"/>
          <w:szCs w:val="24"/>
        </w:rPr>
        <w:t xml:space="preserve"> </w:t>
      </w:r>
      <w:r w:rsidR="00A1202C">
        <w:rPr>
          <w:rFonts w:ascii="Times New Roman" w:hAnsi="Times New Roman" w:cs="Times New Roman"/>
          <w:sz w:val="24"/>
          <w:szCs w:val="24"/>
        </w:rPr>
        <w:t>Following</w:t>
      </w:r>
      <w:r w:rsidR="00FE0411">
        <w:rPr>
          <w:rFonts w:ascii="Times New Roman" w:hAnsi="Times New Roman" w:cs="Times New Roman"/>
          <w:sz w:val="24"/>
          <w:szCs w:val="24"/>
        </w:rPr>
        <w:t xml:space="preserve"> widely accepted medieval artistic convention, when Mary laments for her son upon the cross, he is shown to still be alive.</w:t>
      </w:r>
      <w:r w:rsidR="00FE0411">
        <w:rPr>
          <w:rStyle w:val="FootnoteReference"/>
          <w:rFonts w:ascii="Times New Roman" w:hAnsi="Times New Roman" w:cs="Times New Roman"/>
          <w:sz w:val="24"/>
          <w:szCs w:val="24"/>
        </w:rPr>
        <w:footnoteReference w:id="20"/>
      </w:r>
      <w:r w:rsidR="00865255">
        <w:rPr>
          <w:rFonts w:ascii="Times New Roman" w:hAnsi="Times New Roman" w:cs="Times New Roman"/>
          <w:sz w:val="24"/>
          <w:szCs w:val="24"/>
        </w:rPr>
        <w:t xml:space="preserve"> </w:t>
      </w:r>
      <w:r w:rsidR="00FE0411" w:rsidRPr="00FE0411">
        <w:rPr>
          <w:rFonts w:ascii="Times New Roman" w:hAnsi="Times New Roman" w:cs="Times New Roman"/>
          <w:sz w:val="24"/>
          <w:szCs w:val="24"/>
        </w:rPr>
        <w:t>Mary’s positioning, with one hand supporting her elbow, is a typical Hellenistic and Byzantine gesture of lament and further demonstrates the stylistic</w:t>
      </w:r>
      <w:r w:rsidR="00FE0411">
        <w:rPr>
          <w:rFonts w:ascii="Times New Roman" w:hAnsi="Times New Roman" w:cs="Times New Roman"/>
          <w:sz w:val="24"/>
          <w:szCs w:val="24"/>
        </w:rPr>
        <w:t xml:space="preserve"> and thereby interpretive</w:t>
      </w:r>
      <w:r w:rsidR="00FE0411" w:rsidRPr="00FE0411">
        <w:rPr>
          <w:rFonts w:ascii="Times New Roman" w:hAnsi="Times New Roman" w:cs="Times New Roman"/>
          <w:sz w:val="24"/>
          <w:szCs w:val="24"/>
        </w:rPr>
        <w:t xml:space="preserve"> influence of the </w:t>
      </w:r>
      <w:r w:rsidR="00FE0411">
        <w:rPr>
          <w:rFonts w:ascii="Times New Roman" w:hAnsi="Times New Roman" w:cs="Times New Roman"/>
          <w:sz w:val="24"/>
          <w:szCs w:val="24"/>
        </w:rPr>
        <w:t>Byzantine carvers on the craftsman of Salerno. The visual prominence of Mary literally supersedes the soldier behind her and supports the interpretation of Christ as alive and</w:t>
      </w:r>
      <w:r w:rsidR="00A1202C">
        <w:rPr>
          <w:rFonts w:ascii="Times New Roman" w:hAnsi="Times New Roman" w:cs="Times New Roman"/>
          <w:sz w:val="24"/>
          <w:szCs w:val="24"/>
        </w:rPr>
        <w:t>,</w:t>
      </w:r>
      <w:r w:rsidR="00FE0411">
        <w:rPr>
          <w:rFonts w:ascii="Times New Roman" w:hAnsi="Times New Roman" w:cs="Times New Roman"/>
          <w:sz w:val="24"/>
          <w:szCs w:val="24"/>
        </w:rPr>
        <w:t xml:space="preserve"> therefore</w:t>
      </w:r>
      <w:r w:rsidR="00A1202C">
        <w:rPr>
          <w:rFonts w:ascii="Times New Roman" w:hAnsi="Times New Roman" w:cs="Times New Roman"/>
          <w:sz w:val="24"/>
          <w:szCs w:val="24"/>
        </w:rPr>
        <w:t>,</w:t>
      </w:r>
      <w:r w:rsidR="00FE0411">
        <w:rPr>
          <w:rFonts w:ascii="Times New Roman" w:hAnsi="Times New Roman" w:cs="Times New Roman"/>
          <w:sz w:val="24"/>
          <w:szCs w:val="24"/>
        </w:rPr>
        <w:t xml:space="preserve"> unpierced. </w:t>
      </w:r>
      <w:r w:rsidR="00865255">
        <w:rPr>
          <w:rFonts w:ascii="Times New Roman" w:hAnsi="Times New Roman" w:cs="Times New Roman"/>
          <w:sz w:val="24"/>
          <w:szCs w:val="24"/>
        </w:rPr>
        <w:t xml:space="preserve">As written in the Gospel of John (the only Gospel that gives an account of the spear piercing and thereby the book from which this panel </w:t>
      </w:r>
      <w:r w:rsidR="00865255" w:rsidRPr="00E23CBD">
        <w:rPr>
          <w:rFonts w:ascii="Times New Roman" w:hAnsi="Times New Roman" w:cs="Times New Roman"/>
          <w:sz w:val="24"/>
          <w:szCs w:val="24"/>
        </w:rPr>
        <w:t>draws), Christ is only pierced by the spear once the sold</w:t>
      </w:r>
      <w:r w:rsidR="00955174" w:rsidRPr="00E23CBD">
        <w:rPr>
          <w:rFonts w:ascii="Times New Roman" w:hAnsi="Times New Roman" w:cs="Times New Roman"/>
          <w:sz w:val="24"/>
          <w:szCs w:val="24"/>
        </w:rPr>
        <w:t>i</w:t>
      </w:r>
      <w:r w:rsidR="00865255" w:rsidRPr="00E23CBD">
        <w:rPr>
          <w:rFonts w:ascii="Times New Roman" w:hAnsi="Times New Roman" w:cs="Times New Roman"/>
          <w:sz w:val="24"/>
          <w:szCs w:val="24"/>
        </w:rPr>
        <w:t>er sees he is dead</w:t>
      </w:r>
      <w:r w:rsidR="00A755B8" w:rsidRPr="00E23CBD">
        <w:rPr>
          <w:rFonts w:ascii="Times New Roman" w:hAnsi="Times New Roman" w:cs="Times New Roman"/>
          <w:sz w:val="24"/>
          <w:szCs w:val="24"/>
        </w:rPr>
        <w:t>.</w:t>
      </w:r>
    </w:p>
    <w:p w14:paraId="10918807" w14:textId="6AECF8DE" w:rsidR="00FE0411" w:rsidRPr="00E23CBD" w:rsidRDefault="00FE0411" w:rsidP="00FE0411">
      <w:pPr>
        <w:ind w:left="720"/>
        <w:rPr>
          <w:rStyle w:val="text"/>
          <w:rFonts w:ascii="Times New Roman" w:hAnsi="Times New Roman" w:cs="Times New Roman"/>
          <w:color w:val="000000" w:themeColor="text1"/>
          <w:sz w:val="24"/>
          <w:szCs w:val="24"/>
        </w:rPr>
      </w:pPr>
      <w:r w:rsidRPr="00E23CBD">
        <w:rPr>
          <w:rFonts w:ascii="Times New Roman" w:hAnsi="Times New Roman" w:cs="Times New Roman"/>
          <w:color w:val="000000" w:themeColor="text1"/>
          <w:sz w:val="24"/>
          <w:szCs w:val="24"/>
        </w:rPr>
        <w:t>“</w:t>
      </w:r>
      <w:proofErr w:type="gramStart"/>
      <w:r w:rsidRPr="00E23CBD">
        <w:rPr>
          <w:rFonts w:ascii="Times New Roman" w:hAnsi="Times New Roman" w:cs="Times New Roman"/>
          <w:color w:val="000000" w:themeColor="text1"/>
          <w:sz w:val="24"/>
          <w:szCs w:val="24"/>
        </w:rPr>
        <w:t>but</w:t>
      </w:r>
      <w:proofErr w:type="gramEnd"/>
      <w:r w:rsidRPr="00E23CBD">
        <w:rPr>
          <w:rFonts w:ascii="Times New Roman" w:hAnsi="Times New Roman" w:cs="Times New Roman"/>
          <w:color w:val="000000" w:themeColor="text1"/>
          <w:sz w:val="24"/>
          <w:szCs w:val="24"/>
        </w:rPr>
        <w:t xml:space="preserve"> after they came to Jesus, when they saw that He was already dead, they did not break His legs. Yet one of the soldiers pierced His side with a spear, and immediately blood and water came out</w:t>
      </w:r>
      <w:r w:rsidRPr="00E23CBD">
        <w:rPr>
          <w:rStyle w:val="text"/>
          <w:rFonts w:ascii="Times New Roman" w:hAnsi="Times New Roman" w:cs="Times New Roman"/>
          <w:color w:val="000000" w:themeColor="text1"/>
          <w:sz w:val="24"/>
          <w:szCs w:val="24"/>
        </w:rPr>
        <w:t xml:space="preserve">.” </w:t>
      </w:r>
      <w:r w:rsidR="00865255" w:rsidRPr="00E23CBD">
        <w:rPr>
          <w:rStyle w:val="FootnoteReference"/>
          <w:rFonts w:ascii="Times New Roman" w:hAnsi="Times New Roman" w:cs="Times New Roman"/>
          <w:color w:val="000000"/>
          <w:sz w:val="24"/>
          <w:szCs w:val="24"/>
          <w:shd w:val="clear" w:color="auto" w:fill="FFFFFF"/>
        </w:rPr>
        <w:footnoteReference w:id="21"/>
      </w:r>
    </w:p>
    <w:p w14:paraId="65D4CC10" w14:textId="1F40C845" w:rsidR="00865255" w:rsidRPr="00A755B8" w:rsidRDefault="00A755B8" w:rsidP="00FE0411">
      <w:pPr>
        <w:rPr>
          <w:rStyle w:val="text"/>
          <w:rFonts w:ascii="Times New Roman" w:hAnsi="Times New Roman" w:cs="Times New Roman"/>
          <w:sz w:val="24"/>
          <w:szCs w:val="24"/>
        </w:rPr>
      </w:pPr>
      <w:r w:rsidRPr="00E23CBD">
        <w:rPr>
          <w:rStyle w:val="text"/>
          <w:rFonts w:ascii="Times New Roman" w:hAnsi="Times New Roman" w:cs="Times New Roman"/>
          <w:sz w:val="24"/>
          <w:szCs w:val="24"/>
        </w:rPr>
        <w:t xml:space="preserve"> </w:t>
      </w:r>
      <w:r w:rsidR="00865255" w:rsidRPr="00E23CBD">
        <w:rPr>
          <w:rStyle w:val="text"/>
          <w:rFonts w:ascii="Times New Roman" w:hAnsi="Times New Roman" w:cs="Times New Roman"/>
          <w:color w:val="000000"/>
          <w:sz w:val="24"/>
          <w:szCs w:val="24"/>
          <w:shd w:val="clear" w:color="auto" w:fill="FFFFFF"/>
        </w:rPr>
        <w:t>In addition to the</w:t>
      </w:r>
      <w:r w:rsidR="00865255">
        <w:rPr>
          <w:rStyle w:val="text"/>
          <w:rFonts w:ascii="Times New Roman" w:hAnsi="Times New Roman" w:cs="Times New Roman"/>
          <w:color w:val="000000"/>
          <w:sz w:val="24"/>
          <w:szCs w:val="24"/>
          <w:shd w:val="clear" w:color="auto" w:fill="FFFFFF"/>
        </w:rPr>
        <w:t xml:space="preserve"> absence of physical contact with Christ, the small scale of this sold</w:t>
      </w:r>
      <w:r w:rsidR="00955174">
        <w:rPr>
          <w:rStyle w:val="text"/>
          <w:rFonts w:ascii="Times New Roman" w:hAnsi="Times New Roman" w:cs="Times New Roman"/>
          <w:color w:val="000000"/>
          <w:sz w:val="24"/>
          <w:szCs w:val="24"/>
          <w:shd w:val="clear" w:color="auto" w:fill="FFFFFF"/>
        </w:rPr>
        <w:t>i</w:t>
      </w:r>
      <w:r w:rsidR="00865255">
        <w:rPr>
          <w:rStyle w:val="text"/>
          <w:rFonts w:ascii="Times New Roman" w:hAnsi="Times New Roman" w:cs="Times New Roman"/>
          <w:color w:val="000000"/>
          <w:sz w:val="24"/>
          <w:szCs w:val="24"/>
          <w:shd w:val="clear" w:color="auto" w:fill="FFFFFF"/>
        </w:rPr>
        <w:t>er and his relegation to the background (</w:t>
      </w:r>
      <w:r w:rsidR="00A1202C">
        <w:rPr>
          <w:rStyle w:val="text"/>
          <w:rFonts w:ascii="Times New Roman" w:hAnsi="Times New Roman" w:cs="Times New Roman"/>
          <w:color w:val="000000"/>
          <w:sz w:val="24"/>
          <w:szCs w:val="24"/>
          <w:shd w:val="clear" w:color="auto" w:fill="FFFFFF"/>
        </w:rPr>
        <w:t>Mary’s torso and arm partly obscure him</w:t>
      </w:r>
      <w:r w:rsidR="00865255">
        <w:rPr>
          <w:rStyle w:val="text"/>
          <w:rFonts w:ascii="Times New Roman" w:hAnsi="Times New Roman" w:cs="Times New Roman"/>
          <w:color w:val="000000"/>
          <w:sz w:val="24"/>
          <w:szCs w:val="24"/>
          <w:shd w:val="clear" w:color="auto" w:fill="FFFFFF"/>
        </w:rPr>
        <w:t xml:space="preserve">) also indicates his role as a prefiguring of what is to come, rather than a present narrative player. </w:t>
      </w:r>
    </w:p>
    <w:p w14:paraId="340C67F8" w14:textId="6C09110A" w:rsidR="001E2D69" w:rsidRPr="001E2D69" w:rsidRDefault="00865255" w:rsidP="001E2D69">
      <w:pPr>
        <w:ind w:firstLine="720"/>
        <w:rPr>
          <w:rFonts w:ascii="Times New Roman" w:hAnsi="Times New Roman" w:cs="Times New Roman"/>
          <w:sz w:val="24"/>
          <w:szCs w:val="24"/>
          <w:vertAlign w:val="superscript"/>
        </w:rPr>
      </w:pPr>
      <w:r w:rsidRPr="00CC2690">
        <w:rPr>
          <w:rFonts w:ascii="Times New Roman" w:hAnsi="Times New Roman" w:cs="Times New Roman"/>
          <w:sz w:val="24"/>
          <w:szCs w:val="24"/>
        </w:rPr>
        <w:t>On the other side of the cross, a man</w:t>
      </w:r>
      <w:r>
        <w:rPr>
          <w:rFonts w:ascii="Times New Roman" w:hAnsi="Times New Roman" w:cs="Times New Roman"/>
          <w:sz w:val="24"/>
          <w:szCs w:val="24"/>
        </w:rPr>
        <w:t xml:space="preserve"> of similar scale and background positioning</w:t>
      </w:r>
      <w:r w:rsidRPr="00CC2690">
        <w:rPr>
          <w:rFonts w:ascii="Times New Roman" w:hAnsi="Times New Roman" w:cs="Times New Roman"/>
          <w:sz w:val="24"/>
          <w:szCs w:val="24"/>
        </w:rPr>
        <w:t xml:space="preserve"> </w:t>
      </w:r>
      <w:r w:rsidR="00FE0411">
        <w:rPr>
          <w:rFonts w:ascii="Times New Roman" w:hAnsi="Times New Roman" w:cs="Times New Roman"/>
          <w:sz w:val="24"/>
          <w:szCs w:val="24"/>
        </w:rPr>
        <w:t xml:space="preserve">(here slightly behind St. John) </w:t>
      </w:r>
      <w:r w:rsidRPr="00CC2690">
        <w:rPr>
          <w:rFonts w:ascii="Times New Roman" w:hAnsi="Times New Roman" w:cs="Times New Roman"/>
          <w:sz w:val="24"/>
          <w:szCs w:val="24"/>
        </w:rPr>
        <w:t>raises a sponge toward Christ’s head while holding a cup aloft in his other hand.</w:t>
      </w:r>
      <w:r w:rsidR="00346DFA">
        <w:rPr>
          <w:rStyle w:val="FootnoteReference"/>
          <w:rFonts w:ascii="Times New Roman" w:hAnsi="Times New Roman" w:cs="Times New Roman"/>
          <w:sz w:val="24"/>
          <w:szCs w:val="24"/>
        </w:rPr>
        <w:footnoteReference w:id="22"/>
      </w:r>
      <w:r w:rsidR="001E2D69">
        <w:rPr>
          <w:rFonts w:ascii="Times New Roman" w:hAnsi="Times New Roman" w:cs="Times New Roman"/>
          <w:sz w:val="24"/>
          <w:szCs w:val="24"/>
          <w:vertAlign w:val="superscript"/>
        </w:rPr>
        <w:t xml:space="preserve"> </w:t>
      </w:r>
      <w:r w:rsidR="001E2D69">
        <w:rPr>
          <w:rFonts w:ascii="Times New Roman" w:hAnsi="Times New Roman" w:cs="Times New Roman"/>
          <w:color w:val="000000"/>
          <w:sz w:val="24"/>
          <w:szCs w:val="24"/>
          <w:shd w:val="clear" w:color="auto" w:fill="FFFFFF"/>
        </w:rPr>
        <w:t xml:space="preserve">This is clearly representative of the moment in the Gospel where </w:t>
      </w:r>
    </w:p>
    <w:p w14:paraId="56C39C77" w14:textId="465DCBD1" w:rsidR="001E2D69" w:rsidRDefault="001E2D69" w:rsidP="001E2D69">
      <w:pPr>
        <w:ind w:left="720"/>
        <w:rPr>
          <w:rFonts w:ascii="Times New Roman" w:hAnsi="Times New Roman" w:cs="Times New Roman"/>
          <w:color w:val="000000"/>
          <w:sz w:val="24"/>
          <w:szCs w:val="24"/>
          <w:shd w:val="clear" w:color="auto" w:fill="FFFFFF"/>
        </w:rPr>
      </w:pPr>
      <w:r w:rsidRPr="001E2D69">
        <w:rPr>
          <w:rFonts w:ascii="Times New Roman" w:hAnsi="Times New Roman" w:cs="Times New Roman"/>
          <w:color w:val="000000"/>
          <w:sz w:val="24"/>
          <w:szCs w:val="24"/>
          <w:shd w:val="clear" w:color="auto" w:fill="FFFFFF"/>
        </w:rPr>
        <w:t xml:space="preserve">“Jesus, knowing that all things had already been accomplished, in order that the Scripture would be fulfilled, said, ‘I am thirsty.’ A jar full of sour wine was standing there; </w:t>
      </w:r>
      <w:proofErr w:type="gramStart"/>
      <w:r w:rsidRPr="001E2D69">
        <w:rPr>
          <w:rFonts w:ascii="Times New Roman" w:hAnsi="Times New Roman" w:cs="Times New Roman"/>
          <w:color w:val="000000"/>
          <w:sz w:val="24"/>
          <w:szCs w:val="24"/>
          <w:shd w:val="clear" w:color="auto" w:fill="FFFFFF"/>
        </w:rPr>
        <w:t>so</w:t>
      </w:r>
      <w:proofErr w:type="gramEnd"/>
      <w:r w:rsidRPr="001E2D69">
        <w:rPr>
          <w:rFonts w:ascii="Times New Roman" w:hAnsi="Times New Roman" w:cs="Times New Roman"/>
          <w:color w:val="000000"/>
          <w:sz w:val="24"/>
          <w:szCs w:val="24"/>
          <w:shd w:val="clear" w:color="auto" w:fill="FFFFFF"/>
        </w:rPr>
        <w:t xml:space="preserve"> they put a sponge full of the sour wine on a branch of hyssop and brought it up to His mouth</w:t>
      </w:r>
      <w:r>
        <w:rPr>
          <w:rFonts w:ascii="Times New Roman" w:hAnsi="Times New Roman" w:cs="Times New Roman"/>
          <w:color w:val="000000"/>
          <w:sz w:val="24"/>
          <w:szCs w:val="24"/>
          <w:shd w:val="clear" w:color="auto" w:fill="FFFFFF"/>
        </w:rPr>
        <w:t>.</w:t>
      </w:r>
      <w:r w:rsidRPr="001E2D69">
        <w:rPr>
          <w:rFonts w:ascii="Times New Roman" w:hAnsi="Times New Roman" w:cs="Times New Roman"/>
          <w:color w:val="000000"/>
          <w:sz w:val="24"/>
          <w:szCs w:val="24"/>
          <w:shd w:val="clear" w:color="auto" w:fill="FFFFFF"/>
        </w:rPr>
        <w:t>”</w:t>
      </w:r>
      <w:r w:rsidR="00955174">
        <w:rPr>
          <w:rStyle w:val="FootnoteReference"/>
          <w:rFonts w:ascii="Times New Roman" w:hAnsi="Times New Roman" w:cs="Times New Roman"/>
          <w:color w:val="000000"/>
          <w:sz w:val="24"/>
          <w:szCs w:val="24"/>
          <w:shd w:val="clear" w:color="auto" w:fill="FFFFFF"/>
        </w:rPr>
        <w:footnoteReference w:id="23"/>
      </w:r>
    </w:p>
    <w:p w14:paraId="79B43AA5" w14:textId="3FB3E9DC" w:rsidR="00865255" w:rsidRPr="00A755B8" w:rsidRDefault="001E2D69" w:rsidP="001E2D69">
      <w:pPr>
        <w:rPr>
          <w:rFonts w:ascii="Times New Roman" w:hAnsi="Times New Roman" w:cs="Times New Roman"/>
          <w:sz w:val="24"/>
          <w:szCs w:val="24"/>
        </w:rPr>
      </w:pPr>
      <w:r>
        <w:rPr>
          <w:rFonts w:ascii="Times New Roman" w:hAnsi="Times New Roman" w:cs="Times New Roman"/>
          <w:color w:val="000000"/>
          <w:sz w:val="24"/>
          <w:szCs w:val="24"/>
          <w:shd w:val="clear" w:color="auto" w:fill="FFFFFF"/>
        </w:rPr>
        <w:t>I</w:t>
      </w:r>
      <w:r w:rsidR="00A755B8">
        <w:rPr>
          <w:rFonts w:ascii="Times New Roman" w:hAnsi="Times New Roman" w:cs="Times New Roman"/>
          <w:color w:val="000000"/>
          <w:sz w:val="24"/>
          <w:szCs w:val="24"/>
          <w:shd w:val="clear" w:color="auto" w:fill="FFFFFF"/>
        </w:rPr>
        <w:t>ncluding</w:t>
      </w:r>
      <w:r w:rsidR="00865255">
        <w:rPr>
          <w:rStyle w:val="text"/>
          <w:rFonts w:ascii="Times New Roman" w:hAnsi="Times New Roman" w:cs="Times New Roman"/>
          <w:color w:val="000000"/>
          <w:sz w:val="24"/>
          <w:szCs w:val="24"/>
          <w:shd w:val="clear" w:color="auto" w:fill="FFFFFF"/>
        </w:rPr>
        <w:t xml:space="preserve"> this figure with the cup of sour wine lends further credence to the argument that this crucifixion scene is ultimately a narrative conglomeration of </w:t>
      </w:r>
      <w:r w:rsidR="00A1202C">
        <w:rPr>
          <w:rStyle w:val="text"/>
          <w:rFonts w:ascii="Times New Roman" w:hAnsi="Times New Roman" w:cs="Times New Roman"/>
          <w:color w:val="000000"/>
          <w:sz w:val="24"/>
          <w:szCs w:val="24"/>
          <w:shd w:val="clear" w:color="auto" w:fill="FFFFFF"/>
        </w:rPr>
        <w:t>critical</w:t>
      </w:r>
      <w:r w:rsidR="00865255">
        <w:rPr>
          <w:rStyle w:val="text"/>
          <w:rFonts w:ascii="Times New Roman" w:hAnsi="Times New Roman" w:cs="Times New Roman"/>
          <w:color w:val="000000"/>
          <w:sz w:val="24"/>
          <w:szCs w:val="24"/>
          <w:shd w:val="clear" w:color="auto" w:fill="FFFFFF"/>
        </w:rPr>
        <w:t xml:space="preserve"> moments that will occur in proper succession rather than a single encapsulation of simultaneous actions. Like the spear that does not break the skin, the wine sponge has yet to touch Christ’s lips. In fact, </w:t>
      </w:r>
      <w:r w:rsidR="00A213DF">
        <w:rPr>
          <w:rStyle w:val="text"/>
          <w:rFonts w:ascii="Times New Roman" w:hAnsi="Times New Roman" w:cs="Times New Roman"/>
          <w:color w:val="000000"/>
          <w:sz w:val="24"/>
          <w:szCs w:val="24"/>
          <w:shd w:val="clear" w:color="auto" w:fill="FFFFFF"/>
        </w:rPr>
        <w:t>he is not even looking at the proffered wine and makes no visual indication through gaze or body language that he either requested or is expecting the drink.</w:t>
      </w:r>
    </w:p>
    <w:p w14:paraId="5246EAF6" w14:textId="2889D074" w:rsidR="00EF5335" w:rsidRPr="00674A47" w:rsidRDefault="00604848" w:rsidP="00A213DF">
      <w:pPr>
        <w:ind w:firstLine="720"/>
        <w:rPr>
          <w:rFonts w:ascii="Times New Roman" w:hAnsi="Times New Roman" w:cs="Times New Roman"/>
          <w:sz w:val="24"/>
          <w:szCs w:val="24"/>
        </w:rPr>
      </w:pPr>
      <w:r>
        <w:rPr>
          <w:rFonts w:ascii="Times New Roman" w:hAnsi="Times New Roman" w:cs="Times New Roman"/>
          <w:sz w:val="24"/>
          <w:szCs w:val="24"/>
        </w:rPr>
        <w:t xml:space="preserve">To return once more to Christ’s gaze, I argue that he is looking directly into the raised face of his mother, Mary. </w:t>
      </w:r>
      <w:r w:rsidR="00EF5335">
        <w:rPr>
          <w:rFonts w:ascii="Times New Roman" w:hAnsi="Times New Roman" w:cs="Times New Roman"/>
          <w:sz w:val="24"/>
          <w:szCs w:val="24"/>
        </w:rPr>
        <w:t xml:space="preserve">Christ is the most central figure of the panel—his sacrifice is the </w:t>
      </w:r>
      <w:r w:rsidR="00A1202C">
        <w:rPr>
          <w:rFonts w:ascii="Times New Roman" w:hAnsi="Times New Roman" w:cs="Times New Roman"/>
          <w:sz w:val="24"/>
          <w:szCs w:val="24"/>
        </w:rPr>
        <w:t>main</w:t>
      </w:r>
      <w:r w:rsidR="00EF5335">
        <w:rPr>
          <w:rFonts w:ascii="Times New Roman" w:hAnsi="Times New Roman" w:cs="Times New Roman"/>
          <w:sz w:val="24"/>
          <w:szCs w:val="24"/>
        </w:rPr>
        <w:t xml:space="preserve"> object of contemplation. Thus, I believe that we, and the medieval viewer, should take ou</w:t>
      </w:r>
      <w:r w:rsidR="00A1202C">
        <w:rPr>
          <w:rFonts w:ascii="Times New Roman" w:hAnsi="Times New Roman" w:cs="Times New Roman"/>
          <w:sz w:val="24"/>
          <w:szCs w:val="24"/>
        </w:rPr>
        <w:t>r</w:t>
      </w:r>
      <w:r w:rsidR="00EF5335">
        <w:rPr>
          <w:rFonts w:ascii="Times New Roman" w:hAnsi="Times New Roman" w:cs="Times New Roman"/>
          <w:sz w:val="24"/>
          <w:szCs w:val="24"/>
        </w:rPr>
        <w:t xml:space="preserve"> interpretive cues first and foremost from the action of our central figure of religious devotion. He gazes down and to the left, but he is alive, so we can assume that his focus goes past the </w:t>
      </w:r>
      <w:r w:rsidR="00A1202C">
        <w:rPr>
          <w:rFonts w:ascii="Times New Roman" w:hAnsi="Times New Roman" w:cs="Times New Roman"/>
          <w:sz w:val="24"/>
          <w:szCs w:val="24"/>
        </w:rPr>
        <w:t>soldier</w:t>
      </w:r>
      <w:r w:rsidR="00EF5335">
        <w:rPr>
          <w:rFonts w:ascii="Times New Roman" w:hAnsi="Times New Roman" w:cs="Times New Roman"/>
          <w:sz w:val="24"/>
          <w:szCs w:val="24"/>
        </w:rPr>
        <w:t xml:space="preserve"> with the spear and the </w:t>
      </w:r>
      <w:r w:rsidR="00EF5335" w:rsidRPr="00674A47">
        <w:rPr>
          <w:rFonts w:ascii="Times New Roman" w:hAnsi="Times New Roman" w:cs="Times New Roman"/>
          <w:sz w:val="24"/>
          <w:szCs w:val="24"/>
        </w:rPr>
        <w:t xml:space="preserve">violence that will occur after his death and instead toward his mother. </w:t>
      </w:r>
    </w:p>
    <w:p w14:paraId="0EA4F3F5" w14:textId="000AB298" w:rsidR="00EF5335" w:rsidRPr="00674A47" w:rsidRDefault="00674A47" w:rsidP="0053626B">
      <w:pPr>
        <w:ind w:firstLine="720"/>
        <w:rPr>
          <w:rFonts w:ascii="Times New Roman" w:hAnsi="Times New Roman" w:cs="Times New Roman"/>
          <w:sz w:val="24"/>
          <w:szCs w:val="24"/>
        </w:rPr>
      </w:pPr>
      <w:r w:rsidRPr="00674A47">
        <w:rPr>
          <w:rFonts w:ascii="Times New Roman" w:hAnsi="Times New Roman" w:cs="Times New Roman"/>
          <w:sz w:val="24"/>
          <w:szCs w:val="24"/>
        </w:rPr>
        <w:t>Here too</w:t>
      </w:r>
      <w:r w:rsidR="00A1202C">
        <w:rPr>
          <w:rFonts w:ascii="Times New Roman" w:hAnsi="Times New Roman" w:cs="Times New Roman"/>
          <w:sz w:val="24"/>
          <w:szCs w:val="24"/>
        </w:rPr>
        <w:t>,</w:t>
      </w:r>
      <w:r w:rsidRPr="00674A47">
        <w:rPr>
          <w:rFonts w:ascii="Times New Roman" w:hAnsi="Times New Roman" w:cs="Times New Roman"/>
          <w:sz w:val="24"/>
          <w:szCs w:val="24"/>
        </w:rPr>
        <w:t xml:space="preserve"> we can pull </w:t>
      </w:r>
      <w:r w:rsidR="001E2D69">
        <w:rPr>
          <w:rFonts w:ascii="Times New Roman" w:hAnsi="Times New Roman" w:cs="Times New Roman"/>
          <w:sz w:val="24"/>
          <w:szCs w:val="24"/>
        </w:rPr>
        <w:t>from</w:t>
      </w:r>
      <w:r w:rsidRPr="00674A47">
        <w:rPr>
          <w:rFonts w:ascii="Times New Roman" w:hAnsi="Times New Roman" w:cs="Times New Roman"/>
          <w:sz w:val="24"/>
          <w:szCs w:val="24"/>
        </w:rPr>
        <w:t xml:space="preserve"> the chronological narrative of scripture. Prior to the spear piercing (John 19:33-34) and the sour wine (</w:t>
      </w:r>
      <w:r w:rsidR="00EF5335" w:rsidRPr="00674A47">
        <w:rPr>
          <w:rFonts w:ascii="Times New Roman" w:hAnsi="Times New Roman" w:cs="Times New Roman"/>
          <w:sz w:val="24"/>
          <w:szCs w:val="24"/>
        </w:rPr>
        <w:t>John 19:28-30</w:t>
      </w:r>
      <w:r w:rsidRPr="00674A47">
        <w:rPr>
          <w:rFonts w:ascii="Times New Roman" w:hAnsi="Times New Roman" w:cs="Times New Roman"/>
          <w:sz w:val="24"/>
          <w:szCs w:val="24"/>
        </w:rPr>
        <w:t>), Christ sees his mother and John, “the disciple whom he loved,” at the foot of the cross</w:t>
      </w:r>
      <w:r w:rsidR="001278F7">
        <w:rPr>
          <w:rFonts w:ascii="Times New Roman" w:hAnsi="Times New Roman" w:cs="Times New Roman"/>
          <w:sz w:val="24"/>
          <w:szCs w:val="24"/>
        </w:rPr>
        <w:t>.</w:t>
      </w:r>
      <w:r w:rsidR="001278F7">
        <w:rPr>
          <w:rStyle w:val="FootnoteReference"/>
          <w:rFonts w:ascii="Times New Roman" w:hAnsi="Times New Roman" w:cs="Times New Roman"/>
          <w:sz w:val="24"/>
          <w:szCs w:val="24"/>
        </w:rPr>
        <w:footnoteReference w:id="24"/>
      </w:r>
      <w:r w:rsidR="001278F7">
        <w:rPr>
          <w:rFonts w:ascii="Times New Roman" w:hAnsi="Times New Roman" w:cs="Times New Roman"/>
          <w:sz w:val="24"/>
          <w:szCs w:val="24"/>
          <w:vertAlign w:val="superscript"/>
        </w:rPr>
        <w:t xml:space="preserve">, </w:t>
      </w:r>
      <w:r w:rsidR="00A1202C">
        <w:rPr>
          <w:rFonts w:ascii="Times New Roman" w:hAnsi="Times New Roman" w:cs="Times New Roman"/>
          <w:sz w:val="24"/>
          <w:szCs w:val="24"/>
          <w:vertAlign w:val="superscript"/>
        </w:rPr>
        <w:t xml:space="preserve"> </w:t>
      </w:r>
      <w:r w:rsidR="001278F7">
        <w:rPr>
          <w:rStyle w:val="FootnoteReference"/>
          <w:rFonts w:ascii="Times New Roman" w:hAnsi="Times New Roman" w:cs="Times New Roman"/>
          <w:sz w:val="24"/>
          <w:szCs w:val="24"/>
        </w:rPr>
        <w:footnoteReference w:id="25"/>
      </w:r>
      <w:r w:rsidR="001278F7">
        <w:rPr>
          <w:rFonts w:ascii="Times New Roman" w:hAnsi="Times New Roman" w:cs="Times New Roman"/>
          <w:sz w:val="24"/>
          <w:szCs w:val="24"/>
          <w:vertAlign w:val="superscript"/>
        </w:rPr>
        <w:t>,</w:t>
      </w:r>
      <w:r w:rsidR="00A1202C">
        <w:rPr>
          <w:rFonts w:ascii="Times New Roman" w:hAnsi="Times New Roman" w:cs="Times New Roman"/>
          <w:sz w:val="24"/>
          <w:szCs w:val="24"/>
          <w:vertAlign w:val="superscript"/>
        </w:rPr>
        <w:t xml:space="preserve"> </w:t>
      </w:r>
      <w:r w:rsidR="0053626B">
        <w:rPr>
          <w:rFonts w:ascii="Times New Roman" w:hAnsi="Times New Roman" w:cs="Times New Roman"/>
          <w:sz w:val="24"/>
          <w:szCs w:val="24"/>
          <w:vertAlign w:val="superscript"/>
        </w:rPr>
        <w:t xml:space="preserve"> </w:t>
      </w:r>
      <w:r w:rsidR="001278F7">
        <w:rPr>
          <w:rStyle w:val="FootnoteReference"/>
          <w:rFonts w:ascii="Times New Roman" w:hAnsi="Times New Roman" w:cs="Times New Roman"/>
          <w:sz w:val="24"/>
          <w:szCs w:val="24"/>
        </w:rPr>
        <w:footnoteReference w:id="26"/>
      </w:r>
      <w:r w:rsidR="001278F7">
        <w:rPr>
          <w:rFonts w:ascii="Times New Roman" w:hAnsi="Times New Roman" w:cs="Times New Roman"/>
          <w:sz w:val="24"/>
          <w:szCs w:val="24"/>
        </w:rPr>
        <w:t xml:space="preserve"> </w:t>
      </w:r>
      <w:r w:rsidRPr="00674A47">
        <w:rPr>
          <w:rFonts w:ascii="Times New Roman" w:hAnsi="Times New Roman" w:cs="Times New Roman"/>
          <w:sz w:val="24"/>
          <w:szCs w:val="24"/>
        </w:rPr>
        <w:t xml:space="preserve">His attention is not simply passive; he is moved to speech. </w:t>
      </w:r>
    </w:p>
    <w:p w14:paraId="60878BB2" w14:textId="465350E2" w:rsidR="00674A47" w:rsidRDefault="00604848" w:rsidP="00674A47">
      <w:pPr>
        <w:ind w:left="720" w:firstLine="36"/>
        <w:rPr>
          <w:rStyle w:val="text"/>
          <w:rFonts w:ascii="Times New Roman" w:hAnsi="Times New Roman" w:cs="Times New Roman"/>
          <w:color w:val="000000"/>
          <w:sz w:val="24"/>
          <w:szCs w:val="24"/>
          <w:shd w:val="clear" w:color="auto" w:fill="FFFFFF"/>
        </w:rPr>
      </w:pPr>
      <w:r w:rsidRPr="00674A47">
        <w:rPr>
          <w:rStyle w:val="text"/>
          <w:rFonts w:ascii="Times New Roman" w:hAnsi="Times New Roman" w:cs="Times New Roman"/>
          <w:b/>
          <w:bCs/>
          <w:color w:val="000000"/>
          <w:sz w:val="24"/>
          <w:szCs w:val="24"/>
          <w:shd w:val="clear" w:color="auto" w:fill="FFFFFF"/>
          <w:vertAlign w:val="superscript"/>
        </w:rPr>
        <w:t> </w:t>
      </w:r>
      <w:proofErr w:type="gramStart"/>
      <w:r w:rsidRPr="00674A47">
        <w:rPr>
          <w:rStyle w:val="text"/>
          <w:rFonts w:ascii="Times New Roman" w:hAnsi="Times New Roman" w:cs="Times New Roman"/>
          <w:color w:val="000000"/>
          <w:sz w:val="24"/>
          <w:szCs w:val="24"/>
          <w:shd w:val="clear" w:color="auto" w:fill="FFFFFF"/>
        </w:rPr>
        <w:t>So</w:t>
      </w:r>
      <w:proofErr w:type="gramEnd"/>
      <w:r w:rsidRPr="00674A47">
        <w:rPr>
          <w:rStyle w:val="text"/>
          <w:rFonts w:ascii="Times New Roman" w:hAnsi="Times New Roman" w:cs="Times New Roman"/>
          <w:color w:val="000000"/>
          <w:sz w:val="24"/>
          <w:szCs w:val="24"/>
          <w:shd w:val="clear" w:color="auto" w:fill="FFFFFF"/>
        </w:rPr>
        <w:t xml:space="preserve"> when Jesus saw His mother, and the disciple whom He loved standing nearby, He said to His mother, </w:t>
      </w:r>
      <w:r w:rsidRPr="00674A47">
        <w:rPr>
          <w:rStyle w:val="woj"/>
          <w:rFonts w:ascii="Times New Roman" w:hAnsi="Times New Roman" w:cs="Times New Roman"/>
          <w:color w:val="000000"/>
          <w:sz w:val="24"/>
          <w:szCs w:val="24"/>
          <w:shd w:val="clear" w:color="auto" w:fill="FFFFFF"/>
        </w:rPr>
        <w:t>“Woman, behold, your son!”</w:t>
      </w:r>
      <w:r w:rsidRPr="00674A47">
        <w:rPr>
          <w:rStyle w:val="text"/>
          <w:rFonts w:ascii="Times New Roman" w:hAnsi="Times New Roman" w:cs="Times New Roman"/>
          <w:b/>
          <w:bCs/>
          <w:color w:val="000000"/>
          <w:sz w:val="24"/>
          <w:szCs w:val="24"/>
          <w:shd w:val="clear" w:color="auto" w:fill="FFFFFF"/>
          <w:vertAlign w:val="superscript"/>
        </w:rPr>
        <w:t> </w:t>
      </w:r>
      <w:r w:rsidRPr="00674A47">
        <w:rPr>
          <w:rStyle w:val="text"/>
          <w:rFonts w:ascii="Times New Roman" w:hAnsi="Times New Roman" w:cs="Times New Roman"/>
          <w:color w:val="000000"/>
          <w:sz w:val="24"/>
          <w:szCs w:val="24"/>
          <w:shd w:val="clear" w:color="auto" w:fill="FFFFFF"/>
        </w:rPr>
        <w:t>Then He said to the disciple, </w:t>
      </w:r>
      <w:r w:rsidRPr="00674A47">
        <w:rPr>
          <w:rStyle w:val="woj"/>
          <w:rFonts w:ascii="Times New Roman" w:hAnsi="Times New Roman" w:cs="Times New Roman"/>
          <w:color w:val="000000"/>
          <w:sz w:val="24"/>
          <w:szCs w:val="24"/>
          <w:shd w:val="clear" w:color="auto" w:fill="FFFFFF"/>
        </w:rPr>
        <w:t>“Behold, your mother!”</w:t>
      </w:r>
      <w:r w:rsidRPr="00674A47">
        <w:rPr>
          <w:rStyle w:val="text"/>
          <w:rFonts w:ascii="Times New Roman" w:hAnsi="Times New Roman" w:cs="Times New Roman"/>
          <w:color w:val="000000"/>
          <w:sz w:val="24"/>
          <w:szCs w:val="24"/>
          <w:shd w:val="clear" w:color="auto" w:fill="FFFFFF"/>
        </w:rPr>
        <w:t> And from that hour the disciple took her into his own </w:t>
      </w:r>
      <w:r w:rsidRPr="00E23CBD">
        <w:rPr>
          <w:rStyle w:val="text"/>
          <w:rFonts w:ascii="Times New Roman" w:hAnsi="Times New Roman" w:cs="Times New Roman"/>
          <w:color w:val="000000"/>
          <w:sz w:val="24"/>
          <w:szCs w:val="24"/>
          <w:shd w:val="clear" w:color="auto" w:fill="FFFFFF"/>
        </w:rPr>
        <w:t>household.</w:t>
      </w:r>
      <w:r w:rsidR="00674A47" w:rsidRPr="00674A47">
        <w:rPr>
          <w:rStyle w:val="FootnoteReference"/>
          <w:rFonts w:ascii="Times New Roman" w:hAnsi="Times New Roman" w:cs="Times New Roman"/>
          <w:color w:val="000000"/>
          <w:sz w:val="24"/>
          <w:szCs w:val="24"/>
          <w:shd w:val="clear" w:color="auto" w:fill="FFFFFF"/>
        </w:rPr>
        <w:footnoteReference w:id="27"/>
      </w:r>
    </w:p>
    <w:p w14:paraId="1BF3BD0B" w14:textId="77777777" w:rsidR="00E23CBD" w:rsidRDefault="00955174" w:rsidP="00674A47">
      <w:pPr>
        <w:rPr>
          <w:rStyle w:val="text"/>
          <w:rFonts w:ascii="Times New Roman" w:hAnsi="Times New Roman" w:cs="Times New Roman"/>
          <w:color w:val="000000"/>
          <w:sz w:val="24"/>
          <w:szCs w:val="24"/>
          <w:shd w:val="clear" w:color="auto" w:fill="FFFFFF"/>
        </w:rPr>
      </w:pPr>
      <w:r>
        <w:rPr>
          <w:rStyle w:val="text"/>
          <w:rFonts w:ascii="Times New Roman" w:hAnsi="Times New Roman" w:cs="Times New Roman"/>
          <w:color w:val="000000"/>
          <w:sz w:val="24"/>
          <w:szCs w:val="24"/>
          <w:shd w:val="clear" w:color="auto" w:fill="FFFFFF"/>
        </w:rPr>
        <w:t xml:space="preserve">Beyond just the gaze, there is another indication Christ and Mary inhabit a distinctly separate narrative moment. While John and the angelic beings raise their hands with palms facing out, Mary’s right palm faces in toward Christ, </w:t>
      </w:r>
      <w:r w:rsidR="00E23CBD">
        <w:rPr>
          <w:rStyle w:val="text"/>
          <w:rFonts w:ascii="Times New Roman" w:hAnsi="Times New Roman" w:cs="Times New Roman"/>
          <w:color w:val="000000"/>
          <w:sz w:val="24"/>
          <w:szCs w:val="24"/>
          <w:shd w:val="clear" w:color="auto" w:fill="FFFFFF"/>
        </w:rPr>
        <w:t>actively receiving his blessing. A</w:t>
      </w:r>
      <w:r w:rsidR="00674A47" w:rsidRPr="00A213DF">
        <w:rPr>
          <w:rStyle w:val="text"/>
          <w:rFonts w:ascii="Times New Roman" w:hAnsi="Times New Roman" w:cs="Times New Roman"/>
          <w:color w:val="000000"/>
          <w:sz w:val="24"/>
          <w:szCs w:val="24"/>
          <w:shd w:val="clear" w:color="auto" w:fill="FFFFFF"/>
        </w:rPr>
        <w:t xml:space="preserve"> person prayerfully </w:t>
      </w:r>
      <w:r w:rsidR="00A213DF" w:rsidRPr="00A213DF">
        <w:rPr>
          <w:rStyle w:val="text"/>
          <w:rFonts w:ascii="Times New Roman" w:hAnsi="Times New Roman" w:cs="Times New Roman"/>
          <w:color w:val="000000"/>
          <w:sz w:val="24"/>
          <w:szCs w:val="24"/>
          <w:shd w:val="clear" w:color="auto" w:fill="FFFFFF"/>
        </w:rPr>
        <w:t>reflecting on</w:t>
      </w:r>
      <w:r w:rsidR="00674A47" w:rsidRPr="00A213DF">
        <w:rPr>
          <w:rStyle w:val="text"/>
          <w:rFonts w:ascii="Times New Roman" w:hAnsi="Times New Roman" w:cs="Times New Roman"/>
          <w:color w:val="000000"/>
          <w:sz w:val="24"/>
          <w:szCs w:val="24"/>
          <w:shd w:val="clear" w:color="auto" w:fill="FFFFFF"/>
        </w:rPr>
        <w:t xml:space="preserve"> this triptych would, I argue, </w:t>
      </w:r>
      <w:r w:rsidR="00E23CBD">
        <w:rPr>
          <w:rStyle w:val="text"/>
          <w:rFonts w:ascii="Times New Roman" w:hAnsi="Times New Roman" w:cs="Times New Roman"/>
          <w:color w:val="000000"/>
          <w:sz w:val="24"/>
          <w:szCs w:val="24"/>
          <w:shd w:val="clear" w:color="auto" w:fill="FFFFFF"/>
        </w:rPr>
        <w:t xml:space="preserve">notice the direction of Christ’s gaze and the orientation of Mary’s hand, and therefore </w:t>
      </w:r>
      <w:r w:rsidR="00674A47" w:rsidRPr="00A213DF">
        <w:rPr>
          <w:rStyle w:val="text"/>
          <w:rFonts w:ascii="Times New Roman" w:hAnsi="Times New Roman" w:cs="Times New Roman"/>
          <w:color w:val="000000"/>
          <w:sz w:val="24"/>
          <w:szCs w:val="24"/>
          <w:shd w:val="clear" w:color="auto" w:fill="FFFFFF"/>
        </w:rPr>
        <w:t xml:space="preserve">be moved to contemplate both the </w:t>
      </w:r>
      <w:r w:rsidR="00A1202C">
        <w:rPr>
          <w:rStyle w:val="text"/>
          <w:rFonts w:ascii="Times New Roman" w:hAnsi="Times New Roman" w:cs="Times New Roman"/>
          <w:color w:val="000000"/>
          <w:sz w:val="24"/>
          <w:szCs w:val="24"/>
          <w:shd w:val="clear" w:color="auto" w:fill="FFFFFF"/>
        </w:rPr>
        <w:t>more extensive</w:t>
      </w:r>
      <w:r w:rsidR="00674A47" w:rsidRPr="00A213DF">
        <w:rPr>
          <w:rStyle w:val="text"/>
          <w:rFonts w:ascii="Times New Roman" w:hAnsi="Times New Roman" w:cs="Times New Roman"/>
          <w:color w:val="000000"/>
          <w:sz w:val="24"/>
          <w:szCs w:val="24"/>
          <w:shd w:val="clear" w:color="auto" w:fill="FFFFFF"/>
        </w:rPr>
        <w:t xml:space="preserve"> narrative sequence of the crucifixion and entombment while also</w:t>
      </w:r>
      <w:r w:rsidR="00674A47">
        <w:rPr>
          <w:rStyle w:val="text"/>
          <w:rFonts w:ascii="Times New Roman" w:hAnsi="Times New Roman" w:cs="Times New Roman"/>
          <w:color w:val="000000"/>
          <w:sz w:val="24"/>
          <w:szCs w:val="24"/>
          <w:shd w:val="clear" w:color="auto" w:fill="FFFFFF"/>
        </w:rPr>
        <w:t xml:space="preserve"> specifically meditating on the interaction of Christ and Mary and Christ’s charge to John. </w:t>
      </w:r>
    </w:p>
    <w:p w14:paraId="4C081DD9" w14:textId="386BBA6B" w:rsidR="00674A47" w:rsidRPr="00674A47" w:rsidRDefault="00A213DF" w:rsidP="00E23CBD">
      <w:pPr>
        <w:ind w:firstLine="720"/>
        <w:rPr>
          <w:rFonts w:ascii="Times New Roman" w:hAnsi="Times New Roman" w:cs="Times New Roman"/>
          <w:color w:val="000000"/>
          <w:sz w:val="24"/>
          <w:szCs w:val="24"/>
          <w:shd w:val="clear" w:color="auto" w:fill="FFFFFF"/>
        </w:rPr>
      </w:pPr>
      <w:r>
        <w:rPr>
          <w:rFonts w:ascii="Times New Roman" w:hAnsi="Times New Roman" w:cs="Times New Roman"/>
          <w:sz w:val="24"/>
          <w:szCs w:val="24"/>
        </w:rPr>
        <w:t>The iconography</w:t>
      </w:r>
      <w:r w:rsidR="00E23CBD">
        <w:rPr>
          <w:rFonts w:ascii="Times New Roman" w:hAnsi="Times New Roman" w:cs="Times New Roman"/>
          <w:sz w:val="24"/>
          <w:szCs w:val="24"/>
        </w:rPr>
        <w:t xml:space="preserve"> of this 1100 panel</w:t>
      </w:r>
      <w:r>
        <w:rPr>
          <w:rFonts w:ascii="Times New Roman" w:hAnsi="Times New Roman" w:cs="Times New Roman"/>
          <w:sz w:val="24"/>
          <w:szCs w:val="24"/>
        </w:rPr>
        <w:t xml:space="preserve"> i</w:t>
      </w:r>
      <w:r>
        <w:rPr>
          <w:rStyle w:val="text"/>
          <w:rFonts w:ascii="Times New Roman" w:hAnsi="Times New Roman" w:cs="Times New Roman"/>
          <w:color w:val="000000"/>
          <w:sz w:val="24"/>
          <w:szCs w:val="24"/>
          <w:shd w:val="clear" w:color="auto" w:fill="FFFFFF"/>
        </w:rPr>
        <w:t xml:space="preserve">nvites the viewer into a precise chronological moment when Christ is alive on the cross, albeit surrounded by the looming inevitability of death through the figures of the wine bearer, spearman, and his own entombed corpse. </w:t>
      </w:r>
      <w:r w:rsidR="00E23CBD">
        <w:rPr>
          <w:rStyle w:val="text"/>
          <w:rFonts w:ascii="Times New Roman" w:hAnsi="Times New Roman" w:cs="Times New Roman"/>
          <w:color w:val="000000"/>
          <w:sz w:val="24"/>
          <w:szCs w:val="24"/>
          <w:shd w:val="clear" w:color="auto" w:fill="FFFFFF"/>
        </w:rPr>
        <w:t xml:space="preserve">Prayerful consideration of this carving combined with medieval visual theory would have provided the worshipper with both a tactile and transcendent experience of this object of worship. </w:t>
      </w:r>
    </w:p>
    <w:p w14:paraId="20152880" w14:textId="17B4F14B" w:rsidR="00604848" w:rsidRDefault="00604848" w:rsidP="0035490E"/>
    <w:p w14:paraId="48D7B4D1" w14:textId="0552B6DC" w:rsidR="003D686A" w:rsidRDefault="003D686A" w:rsidP="00AE7971">
      <w:pPr>
        <w:rPr>
          <w:rFonts w:ascii="Times New Roman" w:hAnsi="Times New Roman" w:cs="Times New Roman"/>
          <w:sz w:val="24"/>
          <w:szCs w:val="24"/>
        </w:rPr>
      </w:pPr>
    </w:p>
    <w:p w14:paraId="513DD7B5" w14:textId="4C892706" w:rsidR="00955174" w:rsidRDefault="00955174" w:rsidP="00AE7971">
      <w:pPr>
        <w:rPr>
          <w:rFonts w:ascii="Times New Roman" w:hAnsi="Times New Roman" w:cs="Times New Roman"/>
          <w:sz w:val="24"/>
          <w:szCs w:val="24"/>
        </w:rPr>
      </w:pPr>
    </w:p>
    <w:p w14:paraId="44AAFD14" w14:textId="6EBBB151" w:rsidR="00955174" w:rsidRDefault="00955174" w:rsidP="00AE7971">
      <w:pPr>
        <w:rPr>
          <w:rFonts w:ascii="Times New Roman" w:hAnsi="Times New Roman" w:cs="Times New Roman"/>
          <w:sz w:val="24"/>
          <w:szCs w:val="24"/>
        </w:rPr>
      </w:pPr>
    </w:p>
    <w:p w14:paraId="318E7473" w14:textId="77777777" w:rsidR="00955174" w:rsidRDefault="00955174" w:rsidP="00AE7971">
      <w:pPr>
        <w:rPr>
          <w:rFonts w:ascii="Segoe UI" w:hAnsi="Segoe UI" w:cs="Segoe UI"/>
          <w:color w:val="323130"/>
          <w:sz w:val="21"/>
          <w:szCs w:val="21"/>
          <w:shd w:val="clear" w:color="auto" w:fill="FFFFFF"/>
        </w:rPr>
      </w:pPr>
    </w:p>
    <w:p w14:paraId="48CF01BC" w14:textId="488254E6" w:rsidR="003D686A" w:rsidRDefault="003D686A" w:rsidP="00AE7971">
      <w:pPr>
        <w:rPr>
          <w:rFonts w:ascii="Segoe UI" w:hAnsi="Segoe UI" w:cs="Segoe UI"/>
          <w:color w:val="323130"/>
          <w:sz w:val="21"/>
          <w:szCs w:val="21"/>
          <w:shd w:val="clear" w:color="auto" w:fill="FFFFFF"/>
        </w:rPr>
      </w:pPr>
    </w:p>
    <w:p w14:paraId="4AFFDFF5" w14:textId="553FA321" w:rsidR="003D686A" w:rsidRDefault="003D686A" w:rsidP="00AE7971">
      <w:pPr>
        <w:rPr>
          <w:rFonts w:ascii="Segoe UI" w:hAnsi="Segoe UI" w:cs="Segoe UI"/>
          <w:color w:val="323130"/>
          <w:sz w:val="21"/>
          <w:szCs w:val="21"/>
          <w:shd w:val="clear" w:color="auto" w:fill="FFFFFF"/>
        </w:rPr>
      </w:pPr>
    </w:p>
    <w:p w14:paraId="47E1D879" w14:textId="42EFC883" w:rsidR="003D686A" w:rsidRPr="00B222E5" w:rsidRDefault="003D686A" w:rsidP="003D686A">
      <w:pPr>
        <w:jc w:val="center"/>
        <w:rPr>
          <w:rFonts w:ascii="Times New Roman" w:hAnsi="Times New Roman" w:cs="Times New Roman"/>
          <w:b/>
          <w:bCs/>
          <w:color w:val="323130"/>
          <w:sz w:val="24"/>
          <w:szCs w:val="24"/>
          <w:shd w:val="clear" w:color="auto" w:fill="FFFFFF"/>
        </w:rPr>
      </w:pPr>
      <w:r w:rsidRPr="00B222E5">
        <w:rPr>
          <w:rFonts w:ascii="Times New Roman" w:hAnsi="Times New Roman" w:cs="Times New Roman"/>
          <w:b/>
          <w:bCs/>
          <w:color w:val="323130"/>
          <w:sz w:val="24"/>
          <w:szCs w:val="24"/>
          <w:shd w:val="clear" w:color="auto" w:fill="FFFFFF"/>
        </w:rPr>
        <w:t xml:space="preserve">Bibliography </w:t>
      </w:r>
    </w:p>
    <w:p w14:paraId="2977AC4F" w14:textId="1314E69B" w:rsidR="003D686A" w:rsidRPr="008D2E68" w:rsidRDefault="003D686A" w:rsidP="00B222E5">
      <w:pPr>
        <w:ind w:left="720" w:hanging="720"/>
        <w:rPr>
          <w:rFonts w:ascii="Times New Roman" w:hAnsi="Times New Roman" w:cs="Times New Roman"/>
          <w:color w:val="000000" w:themeColor="text1"/>
          <w:sz w:val="24"/>
          <w:szCs w:val="24"/>
          <w:shd w:val="clear" w:color="auto" w:fill="FFFFFF"/>
        </w:rPr>
      </w:pPr>
      <w:r w:rsidRPr="008D2E68">
        <w:rPr>
          <w:rFonts w:ascii="Times New Roman" w:hAnsi="Times New Roman" w:cs="Times New Roman"/>
          <w:color w:val="000000" w:themeColor="text1"/>
          <w:sz w:val="24"/>
          <w:szCs w:val="24"/>
          <w:shd w:val="clear" w:color="auto" w:fill="FFFFFF"/>
        </w:rPr>
        <w:t>Ball, J</w:t>
      </w:r>
      <w:r w:rsidR="008D2E68">
        <w:rPr>
          <w:rFonts w:ascii="Times New Roman" w:hAnsi="Times New Roman" w:cs="Times New Roman"/>
          <w:color w:val="000000" w:themeColor="text1"/>
          <w:sz w:val="24"/>
          <w:szCs w:val="24"/>
          <w:shd w:val="clear" w:color="auto" w:fill="FFFFFF"/>
        </w:rPr>
        <w:t>.,</w:t>
      </w:r>
      <w:r w:rsidRPr="008D2E68">
        <w:rPr>
          <w:rFonts w:ascii="Times New Roman" w:hAnsi="Times New Roman" w:cs="Times New Roman"/>
          <w:color w:val="000000" w:themeColor="text1"/>
          <w:sz w:val="24"/>
          <w:szCs w:val="24"/>
          <w:shd w:val="clear" w:color="auto" w:fill="FFFFFF"/>
        </w:rPr>
        <w:t xml:space="preserve"> ‘Pre-Gothic Ivories in the Pierpont Morgan Collection’, </w:t>
      </w:r>
      <w:r w:rsidRPr="008D2E68">
        <w:rPr>
          <w:rFonts w:ascii="Times New Roman" w:hAnsi="Times New Roman" w:cs="Times New Roman"/>
          <w:i/>
          <w:iCs/>
          <w:color w:val="000000" w:themeColor="text1"/>
          <w:sz w:val="24"/>
          <w:szCs w:val="24"/>
          <w:shd w:val="clear" w:color="auto" w:fill="FFFFFF"/>
        </w:rPr>
        <w:t>Bulletin - Metropolitan Museum of Art</w:t>
      </w:r>
      <w:r w:rsidRPr="008D2E68">
        <w:rPr>
          <w:rFonts w:ascii="Times New Roman" w:hAnsi="Times New Roman" w:cs="Times New Roman"/>
          <w:color w:val="000000" w:themeColor="text1"/>
          <w:sz w:val="24"/>
          <w:szCs w:val="24"/>
          <w:shd w:val="clear" w:color="auto" w:fill="FFFFFF"/>
        </w:rPr>
        <w:t>, 15.1 (1920), 12–17</w:t>
      </w:r>
    </w:p>
    <w:p w14:paraId="59C9C033" w14:textId="288025CB" w:rsidR="003D686A" w:rsidRDefault="003D686A" w:rsidP="00B222E5">
      <w:pPr>
        <w:ind w:left="720" w:hanging="720"/>
        <w:rPr>
          <w:rFonts w:ascii="Times New Roman" w:hAnsi="Times New Roman" w:cs="Times New Roman"/>
          <w:color w:val="000000" w:themeColor="text1"/>
          <w:sz w:val="24"/>
          <w:szCs w:val="24"/>
          <w:shd w:val="clear" w:color="auto" w:fill="FFFFFF"/>
        </w:rPr>
      </w:pPr>
      <w:r w:rsidRPr="008D2E68">
        <w:rPr>
          <w:rFonts w:ascii="Times New Roman" w:hAnsi="Times New Roman" w:cs="Times New Roman"/>
          <w:color w:val="000000" w:themeColor="text1"/>
          <w:sz w:val="24"/>
          <w:szCs w:val="24"/>
          <w:shd w:val="clear" w:color="auto" w:fill="FFFFFF"/>
        </w:rPr>
        <w:t>Bergman, R</w:t>
      </w:r>
      <w:r w:rsidR="008D2E68">
        <w:rPr>
          <w:rFonts w:ascii="Times New Roman" w:hAnsi="Times New Roman" w:cs="Times New Roman"/>
          <w:color w:val="000000" w:themeColor="text1"/>
          <w:sz w:val="24"/>
          <w:szCs w:val="24"/>
          <w:shd w:val="clear" w:color="auto" w:fill="FFFFFF"/>
        </w:rPr>
        <w:t>.</w:t>
      </w:r>
      <w:r w:rsidRPr="008D2E68">
        <w:rPr>
          <w:rFonts w:ascii="Times New Roman" w:hAnsi="Times New Roman" w:cs="Times New Roman"/>
          <w:color w:val="000000" w:themeColor="text1"/>
          <w:sz w:val="24"/>
          <w:szCs w:val="24"/>
          <w:shd w:val="clear" w:color="auto" w:fill="FFFFFF"/>
        </w:rPr>
        <w:t xml:space="preserve"> P., ‘A School of Romanesque Ivory Carving in Amalfi’, </w:t>
      </w:r>
      <w:r w:rsidRPr="008D2E68">
        <w:rPr>
          <w:rFonts w:ascii="Times New Roman" w:hAnsi="Times New Roman" w:cs="Times New Roman"/>
          <w:i/>
          <w:iCs/>
          <w:color w:val="000000" w:themeColor="text1"/>
          <w:sz w:val="24"/>
          <w:szCs w:val="24"/>
          <w:shd w:val="clear" w:color="auto" w:fill="FFFFFF"/>
        </w:rPr>
        <w:t>Metropolitan Museum Journal</w:t>
      </w:r>
      <w:r w:rsidRPr="008D2E68">
        <w:rPr>
          <w:rFonts w:ascii="Times New Roman" w:hAnsi="Times New Roman" w:cs="Times New Roman"/>
          <w:color w:val="000000" w:themeColor="text1"/>
          <w:sz w:val="24"/>
          <w:szCs w:val="24"/>
          <w:shd w:val="clear" w:color="auto" w:fill="FFFFFF"/>
        </w:rPr>
        <w:t>, 9 (1974), 163–86</w:t>
      </w:r>
    </w:p>
    <w:p w14:paraId="5736AC05" w14:textId="1FB85411" w:rsidR="00B222E5" w:rsidRPr="00B222E5" w:rsidRDefault="00B222E5" w:rsidP="00B222E5">
      <w:pPr>
        <w:ind w:left="720" w:hanging="720"/>
        <w:rPr>
          <w:rFonts w:ascii="Times New Roman" w:hAnsi="Times New Roman" w:cs="Times New Roman"/>
          <w:color w:val="000000" w:themeColor="text1"/>
          <w:sz w:val="24"/>
          <w:szCs w:val="24"/>
        </w:rPr>
      </w:pPr>
      <w:proofErr w:type="spellStart"/>
      <w:r w:rsidRPr="008D2E68">
        <w:rPr>
          <w:rFonts w:ascii="Times New Roman" w:hAnsi="Times New Roman" w:cs="Times New Roman"/>
          <w:color w:val="000000" w:themeColor="text1"/>
          <w:sz w:val="24"/>
          <w:szCs w:val="24"/>
        </w:rPr>
        <w:t>Boström</w:t>
      </w:r>
      <w:proofErr w:type="spellEnd"/>
      <w:r>
        <w:rPr>
          <w:rFonts w:ascii="Times New Roman" w:hAnsi="Times New Roman" w:cs="Times New Roman"/>
          <w:color w:val="000000" w:themeColor="text1"/>
          <w:sz w:val="24"/>
          <w:szCs w:val="24"/>
        </w:rPr>
        <w:t>, A. and</w:t>
      </w:r>
      <w:r w:rsidRPr="008D2E68">
        <w:rPr>
          <w:rFonts w:ascii="Times New Roman" w:hAnsi="Times New Roman" w:cs="Times New Roman"/>
          <w:color w:val="000000" w:themeColor="text1"/>
          <w:sz w:val="24"/>
          <w:szCs w:val="24"/>
        </w:rPr>
        <w:t xml:space="preserve"> Osborne, H</w:t>
      </w:r>
      <w:r>
        <w:rPr>
          <w:rFonts w:ascii="Times New Roman" w:hAnsi="Times New Roman" w:cs="Times New Roman"/>
          <w:color w:val="000000" w:themeColor="text1"/>
          <w:sz w:val="24"/>
          <w:szCs w:val="24"/>
        </w:rPr>
        <w:t>.,</w:t>
      </w:r>
      <w:r w:rsidRPr="008D2E68">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I</w:t>
      </w:r>
      <w:r w:rsidRPr="008D2E68">
        <w:rPr>
          <w:rFonts w:ascii="Times New Roman" w:hAnsi="Times New Roman" w:cs="Times New Roman"/>
          <w:color w:val="000000" w:themeColor="text1"/>
          <w:sz w:val="24"/>
          <w:szCs w:val="24"/>
        </w:rPr>
        <w:t>vories"</w:t>
      </w:r>
      <w:r>
        <w:rPr>
          <w:rFonts w:ascii="Times New Roman" w:hAnsi="Times New Roman" w:cs="Times New Roman"/>
          <w:color w:val="000000" w:themeColor="text1"/>
          <w:sz w:val="24"/>
          <w:szCs w:val="24"/>
        </w:rPr>
        <w:t>,</w:t>
      </w:r>
      <w:r w:rsidRPr="008D2E68">
        <w:rPr>
          <w:rFonts w:ascii="Times New Roman" w:hAnsi="Times New Roman" w:cs="Times New Roman"/>
          <w:color w:val="000000" w:themeColor="text1"/>
          <w:sz w:val="24"/>
          <w:szCs w:val="24"/>
        </w:rPr>
        <w:t xml:space="preserve"> </w:t>
      </w:r>
      <w:r w:rsidRPr="008D2E68">
        <w:rPr>
          <w:rStyle w:val="Emphasis"/>
          <w:rFonts w:ascii="Times New Roman" w:hAnsi="Times New Roman" w:cs="Times New Roman"/>
          <w:color w:val="000000" w:themeColor="text1"/>
          <w:sz w:val="24"/>
          <w:szCs w:val="24"/>
        </w:rPr>
        <w:t>The Oxford Companion to Western Art</w:t>
      </w:r>
      <w:r w:rsidRPr="008D2E68">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(Oxford:</w:t>
      </w:r>
      <w:r w:rsidRPr="008D2E68">
        <w:rPr>
          <w:rFonts w:ascii="Times New Roman" w:hAnsi="Times New Roman" w:cs="Times New Roman"/>
          <w:color w:val="000000" w:themeColor="text1"/>
          <w:sz w:val="24"/>
          <w:szCs w:val="24"/>
        </w:rPr>
        <w:t xml:space="preserve"> Oxford University Press, 2001</w:t>
      </w:r>
      <w:r>
        <w:rPr>
          <w:rFonts w:ascii="Times New Roman" w:hAnsi="Times New Roman" w:cs="Times New Roman"/>
          <w:color w:val="000000" w:themeColor="text1"/>
          <w:sz w:val="24"/>
          <w:szCs w:val="24"/>
        </w:rPr>
        <w:t>)</w:t>
      </w:r>
      <w:r w:rsidRPr="008D2E68">
        <w:rPr>
          <w:rFonts w:ascii="Times New Roman" w:hAnsi="Times New Roman" w:cs="Times New Roman"/>
          <w:color w:val="000000" w:themeColor="text1"/>
          <w:sz w:val="24"/>
          <w:szCs w:val="24"/>
        </w:rPr>
        <w:t xml:space="preserve"> </w:t>
      </w:r>
      <w:hyperlink r:id="rId8" w:history="1">
        <w:r w:rsidRPr="008D2E68">
          <w:rPr>
            <w:rStyle w:val="Hyperlink"/>
            <w:rFonts w:ascii="Times New Roman" w:hAnsi="Times New Roman" w:cs="Times New Roman"/>
            <w:color w:val="000000" w:themeColor="text1"/>
            <w:sz w:val="24"/>
            <w:szCs w:val="24"/>
          </w:rPr>
          <w:t>https://www.oxfordreference.com/view/10.1093/acref/9780198662037.001.0001/acref-9780198662037-e-1302</w:t>
        </w:r>
      </w:hyperlink>
      <w:r w:rsidRPr="008D2E68">
        <w:rPr>
          <w:rFonts w:ascii="Times New Roman" w:hAnsi="Times New Roman" w:cs="Times New Roman"/>
          <w:color w:val="000000" w:themeColor="text1"/>
          <w:sz w:val="24"/>
          <w:szCs w:val="24"/>
        </w:rPr>
        <w:t>.</w:t>
      </w:r>
    </w:p>
    <w:p w14:paraId="03EC2B9A" w14:textId="1B59452B" w:rsidR="003D686A" w:rsidRPr="008D2E68" w:rsidRDefault="003D686A" w:rsidP="008D2E68">
      <w:pPr>
        <w:rPr>
          <w:rFonts w:ascii="Times New Roman" w:hAnsi="Times New Roman" w:cs="Times New Roman"/>
          <w:color w:val="000000" w:themeColor="text1"/>
          <w:sz w:val="24"/>
          <w:szCs w:val="24"/>
          <w:shd w:val="clear" w:color="auto" w:fill="FFFFFF"/>
        </w:rPr>
      </w:pPr>
      <w:proofErr w:type="spellStart"/>
      <w:r w:rsidRPr="008D2E68">
        <w:rPr>
          <w:rFonts w:ascii="Times New Roman" w:hAnsi="Times New Roman" w:cs="Times New Roman"/>
          <w:color w:val="000000" w:themeColor="text1"/>
          <w:sz w:val="24"/>
          <w:szCs w:val="24"/>
          <w:shd w:val="clear" w:color="auto" w:fill="FFFFFF"/>
        </w:rPr>
        <w:t>Brigstocke</w:t>
      </w:r>
      <w:proofErr w:type="spellEnd"/>
      <w:r w:rsidRPr="008D2E68">
        <w:rPr>
          <w:rFonts w:ascii="Times New Roman" w:hAnsi="Times New Roman" w:cs="Times New Roman"/>
          <w:color w:val="000000" w:themeColor="text1"/>
          <w:sz w:val="24"/>
          <w:szCs w:val="24"/>
          <w:shd w:val="clear" w:color="auto" w:fill="FFFFFF"/>
        </w:rPr>
        <w:t>, H</w:t>
      </w:r>
      <w:r w:rsidR="008D2E68">
        <w:rPr>
          <w:rFonts w:ascii="Times New Roman" w:hAnsi="Times New Roman" w:cs="Times New Roman"/>
          <w:color w:val="000000" w:themeColor="text1"/>
          <w:sz w:val="24"/>
          <w:szCs w:val="24"/>
          <w:shd w:val="clear" w:color="auto" w:fill="FFFFFF"/>
        </w:rPr>
        <w:t>.</w:t>
      </w:r>
      <w:r w:rsidRPr="008D2E68">
        <w:rPr>
          <w:rFonts w:ascii="Times New Roman" w:hAnsi="Times New Roman" w:cs="Times New Roman"/>
          <w:color w:val="000000" w:themeColor="text1"/>
          <w:sz w:val="24"/>
          <w:szCs w:val="24"/>
          <w:shd w:val="clear" w:color="auto" w:fill="FFFFFF"/>
        </w:rPr>
        <w:t>, </w:t>
      </w:r>
      <w:r w:rsidRPr="008D2E68">
        <w:rPr>
          <w:rFonts w:ascii="Times New Roman" w:hAnsi="Times New Roman" w:cs="Times New Roman"/>
          <w:i/>
          <w:iCs/>
          <w:color w:val="000000" w:themeColor="text1"/>
          <w:sz w:val="24"/>
          <w:szCs w:val="24"/>
          <w:shd w:val="clear" w:color="auto" w:fill="FFFFFF"/>
        </w:rPr>
        <w:t>The Oxford Companion to Western Art</w:t>
      </w:r>
      <w:r w:rsidRPr="008D2E68">
        <w:rPr>
          <w:rFonts w:ascii="Times New Roman" w:hAnsi="Times New Roman" w:cs="Times New Roman"/>
          <w:color w:val="000000" w:themeColor="text1"/>
          <w:sz w:val="24"/>
          <w:szCs w:val="24"/>
          <w:shd w:val="clear" w:color="auto" w:fill="FFFFFF"/>
        </w:rPr>
        <w:t> (Oxford: Oxford University Press, 2001)</w:t>
      </w:r>
    </w:p>
    <w:p w14:paraId="2C3DFEC6" w14:textId="44C431F5" w:rsidR="003D686A" w:rsidRPr="008D2E68" w:rsidRDefault="003D686A" w:rsidP="00B222E5">
      <w:pPr>
        <w:pStyle w:val="FootnoteText"/>
        <w:ind w:left="720" w:hanging="720"/>
        <w:rPr>
          <w:rFonts w:ascii="Times New Roman" w:hAnsi="Times New Roman" w:cs="Times New Roman"/>
          <w:color w:val="000000" w:themeColor="text1"/>
          <w:sz w:val="24"/>
          <w:szCs w:val="24"/>
          <w:shd w:val="clear" w:color="auto" w:fill="FFFFFF"/>
        </w:rPr>
      </w:pPr>
      <w:r w:rsidRPr="008D2E68">
        <w:rPr>
          <w:rFonts w:ascii="Times New Roman" w:hAnsi="Times New Roman" w:cs="Times New Roman"/>
          <w:color w:val="000000" w:themeColor="text1"/>
          <w:sz w:val="24"/>
          <w:szCs w:val="24"/>
          <w:shd w:val="clear" w:color="auto" w:fill="FFFFFF"/>
        </w:rPr>
        <w:t>Chadwick, J</w:t>
      </w:r>
      <w:r w:rsidR="00B222E5">
        <w:rPr>
          <w:rFonts w:ascii="Times New Roman" w:hAnsi="Times New Roman" w:cs="Times New Roman"/>
          <w:color w:val="000000" w:themeColor="text1"/>
          <w:sz w:val="24"/>
          <w:szCs w:val="24"/>
          <w:shd w:val="clear" w:color="auto" w:fill="FFFFFF"/>
        </w:rPr>
        <w:t>.</w:t>
      </w:r>
      <w:r w:rsidRPr="008D2E68">
        <w:rPr>
          <w:rFonts w:ascii="Times New Roman" w:hAnsi="Times New Roman" w:cs="Times New Roman"/>
          <w:color w:val="000000" w:themeColor="text1"/>
          <w:sz w:val="24"/>
          <w:szCs w:val="24"/>
          <w:shd w:val="clear" w:color="auto" w:fill="FFFFFF"/>
        </w:rPr>
        <w:t xml:space="preserve"> </w:t>
      </w:r>
      <w:proofErr w:type="gramStart"/>
      <w:r w:rsidRPr="008D2E68">
        <w:rPr>
          <w:rFonts w:ascii="Times New Roman" w:hAnsi="Times New Roman" w:cs="Times New Roman"/>
          <w:color w:val="000000" w:themeColor="text1"/>
          <w:sz w:val="24"/>
          <w:szCs w:val="24"/>
          <w:shd w:val="clear" w:color="auto" w:fill="FFFFFF"/>
        </w:rPr>
        <w:t>H..</w:t>
      </w:r>
      <w:proofErr w:type="gramEnd"/>
      <w:r w:rsidRPr="008D2E68">
        <w:rPr>
          <w:rFonts w:ascii="Times New Roman" w:hAnsi="Times New Roman" w:cs="Times New Roman"/>
          <w:color w:val="000000" w:themeColor="text1"/>
          <w:sz w:val="24"/>
          <w:szCs w:val="24"/>
          <w:shd w:val="clear" w:color="auto" w:fill="FFFFFF"/>
        </w:rPr>
        <w:t xml:space="preserve"> "St. John the Apostle"</w:t>
      </w:r>
      <w:r w:rsidR="008D2E68">
        <w:rPr>
          <w:rFonts w:ascii="Times New Roman" w:hAnsi="Times New Roman" w:cs="Times New Roman"/>
          <w:color w:val="000000" w:themeColor="text1"/>
          <w:sz w:val="24"/>
          <w:szCs w:val="24"/>
          <w:shd w:val="clear" w:color="auto" w:fill="FFFFFF"/>
        </w:rPr>
        <w:t>,</w:t>
      </w:r>
      <w:r w:rsidRPr="008D2E68">
        <w:rPr>
          <w:rFonts w:ascii="Times New Roman" w:hAnsi="Times New Roman" w:cs="Times New Roman"/>
          <w:color w:val="000000" w:themeColor="text1"/>
          <w:sz w:val="24"/>
          <w:szCs w:val="24"/>
          <w:shd w:val="clear" w:color="auto" w:fill="FFFFFF"/>
        </w:rPr>
        <w:t xml:space="preserve"> </w:t>
      </w:r>
      <w:r w:rsidRPr="008D2E68">
        <w:rPr>
          <w:rFonts w:ascii="Times New Roman" w:hAnsi="Times New Roman" w:cs="Times New Roman"/>
          <w:i/>
          <w:iCs/>
          <w:color w:val="000000" w:themeColor="text1"/>
          <w:sz w:val="24"/>
          <w:szCs w:val="24"/>
          <w:shd w:val="clear" w:color="auto" w:fill="FFFFFF"/>
        </w:rPr>
        <w:t>Encyclopedia Britannica</w:t>
      </w:r>
      <w:r w:rsidRPr="008D2E68">
        <w:rPr>
          <w:rFonts w:ascii="Times New Roman" w:hAnsi="Times New Roman" w:cs="Times New Roman"/>
          <w:color w:val="000000" w:themeColor="text1"/>
          <w:sz w:val="24"/>
          <w:szCs w:val="24"/>
          <w:shd w:val="clear" w:color="auto" w:fill="FFFFFF"/>
        </w:rPr>
        <w:t xml:space="preserve">, October 25, 2022. </w:t>
      </w:r>
      <w:hyperlink r:id="rId9" w:history="1">
        <w:r w:rsidRPr="008D2E68">
          <w:rPr>
            <w:rStyle w:val="Hyperlink"/>
            <w:rFonts w:ascii="Times New Roman" w:hAnsi="Times New Roman" w:cs="Times New Roman"/>
            <w:color w:val="000000" w:themeColor="text1"/>
            <w:sz w:val="24"/>
            <w:szCs w:val="24"/>
            <w:shd w:val="clear" w:color="auto" w:fill="FFFFFF"/>
          </w:rPr>
          <w:t>https://www.britannica.com/biography/Saint-John-the-Apostle</w:t>
        </w:r>
      </w:hyperlink>
      <w:r w:rsidRPr="008D2E68">
        <w:rPr>
          <w:rFonts w:ascii="Times New Roman" w:hAnsi="Times New Roman" w:cs="Times New Roman"/>
          <w:color w:val="000000" w:themeColor="text1"/>
          <w:sz w:val="24"/>
          <w:szCs w:val="24"/>
          <w:shd w:val="clear" w:color="auto" w:fill="FFFFFF"/>
        </w:rPr>
        <w:t>.</w:t>
      </w:r>
    </w:p>
    <w:p w14:paraId="6E35A8AD" w14:textId="1B94F235" w:rsidR="008D2E68" w:rsidRPr="008D2E68" w:rsidRDefault="008D2E68" w:rsidP="008D2E68">
      <w:pPr>
        <w:pStyle w:val="FootnoteText"/>
        <w:rPr>
          <w:rFonts w:ascii="Times New Roman" w:hAnsi="Times New Roman" w:cs="Times New Roman"/>
          <w:color w:val="000000" w:themeColor="text1"/>
          <w:sz w:val="24"/>
          <w:szCs w:val="24"/>
          <w:shd w:val="clear" w:color="auto" w:fill="FFFFFF"/>
        </w:rPr>
      </w:pPr>
    </w:p>
    <w:p w14:paraId="3C1C8A62" w14:textId="44DA2B39" w:rsidR="008D2E68" w:rsidRPr="008D2E68" w:rsidRDefault="008D2E68" w:rsidP="00B222E5">
      <w:pPr>
        <w:pStyle w:val="FootnoteText"/>
        <w:ind w:left="720" w:hanging="720"/>
        <w:rPr>
          <w:rFonts w:ascii="Times New Roman" w:hAnsi="Times New Roman" w:cs="Times New Roman"/>
          <w:color w:val="000000" w:themeColor="text1"/>
          <w:sz w:val="24"/>
          <w:szCs w:val="24"/>
          <w:shd w:val="clear" w:color="auto" w:fill="FFFFFF"/>
        </w:rPr>
      </w:pPr>
      <w:r w:rsidRPr="008D2E68">
        <w:rPr>
          <w:rFonts w:ascii="Times New Roman" w:hAnsi="Times New Roman" w:cs="Times New Roman"/>
          <w:color w:val="000000" w:themeColor="text1"/>
          <w:sz w:val="24"/>
          <w:szCs w:val="24"/>
          <w:shd w:val="clear" w:color="auto" w:fill="FFFFFF"/>
        </w:rPr>
        <w:t>Department of Medieval Art and The Cloisters</w:t>
      </w:r>
      <w:r>
        <w:rPr>
          <w:rFonts w:ascii="Times New Roman" w:hAnsi="Times New Roman" w:cs="Times New Roman"/>
          <w:color w:val="000000" w:themeColor="text1"/>
          <w:sz w:val="24"/>
          <w:szCs w:val="24"/>
          <w:shd w:val="clear" w:color="auto" w:fill="FFFFFF"/>
        </w:rPr>
        <w:t>,</w:t>
      </w:r>
      <w:r w:rsidRPr="008D2E68">
        <w:rPr>
          <w:rFonts w:ascii="Times New Roman" w:hAnsi="Times New Roman" w:cs="Times New Roman"/>
          <w:color w:val="000000" w:themeColor="text1"/>
          <w:sz w:val="24"/>
          <w:szCs w:val="24"/>
          <w:shd w:val="clear" w:color="auto" w:fill="FFFFFF"/>
        </w:rPr>
        <w:t xml:space="preserve"> “Private Devotion in Medieval Christianity”</w:t>
      </w:r>
      <w:r>
        <w:rPr>
          <w:rFonts w:ascii="Times New Roman" w:hAnsi="Times New Roman" w:cs="Times New Roman"/>
          <w:color w:val="000000" w:themeColor="text1"/>
          <w:sz w:val="24"/>
          <w:szCs w:val="24"/>
          <w:shd w:val="clear" w:color="auto" w:fill="FFFFFF"/>
        </w:rPr>
        <w:t>,</w:t>
      </w:r>
      <w:r w:rsidRPr="008D2E68">
        <w:rPr>
          <w:rFonts w:ascii="Times New Roman" w:hAnsi="Times New Roman" w:cs="Times New Roman"/>
          <w:color w:val="000000" w:themeColor="text1"/>
          <w:sz w:val="24"/>
          <w:szCs w:val="24"/>
          <w:shd w:val="clear" w:color="auto" w:fill="FFFFFF"/>
        </w:rPr>
        <w:t xml:space="preserve"> </w:t>
      </w:r>
      <w:proofErr w:type="spellStart"/>
      <w:r w:rsidRPr="008D2E68">
        <w:rPr>
          <w:rStyle w:val="Emphasis"/>
          <w:rFonts w:ascii="Times New Roman" w:hAnsi="Times New Roman" w:cs="Times New Roman"/>
          <w:color w:val="000000" w:themeColor="text1"/>
          <w:sz w:val="24"/>
          <w:szCs w:val="24"/>
          <w:bdr w:val="none" w:sz="0" w:space="0" w:color="auto" w:frame="1"/>
          <w:shd w:val="clear" w:color="auto" w:fill="FFFFFF"/>
        </w:rPr>
        <w:t>Heilbrunn</w:t>
      </w:r>
      <w:proofErr w:type="spellEnd"/>
      <w:r w:rsidRPr="008D2E68">
        <w:rPr>
          <w:rStyle w:val="Emphasis"/>
          <w:rFonts w:ascii="Times New Roman" w:hAnsi="Times New Roman" w:cs="Times New Roman"/>
          <w:color w:val="000000" w:themeColor="text1"/>
          <w:sz w:val="24"/>
          <w:szCs w:val="24"/>
          <w:bdr w:val="none" w:sz="0" w:space="0" w:color="auto" w:frame="1"/>
          <w:shd w:val="clear" w:color="auto" w:fill="FFFFFF"/>
        </w:rPr>
        <w:t xml:space="preserve"> Timeline of Art History</w:t>
      </w:r>
      <w:r>
        <w:rPr>
          <w:rFonts w:ascii="Times New Roman" w:hAnsi="Times New Roman" w:cs="Times New Roman"/>
          <w:color w:val="000000" w:themeColor="text1"/>
          <w:sz w:val="24"/>
          <w:szCs w:val="24"/>
          <w:shd w:val="clear" w:color="auto" w:fill="FFFFFF"/>
        </w:rPr>
        <w:t>,</w:t>
      </w:r>
      <w:r w:rsidRPr="008D2E68">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w:t>
      </w:r>
      <w:r w:rsidRPr="008D2E68">
        <w:rPr>
          <w:rFonts w:ascii="Times New Roman" w:hAnsi="Times New Roman" w:cs="Times New Roman"/>
          <w:color w:val="000000" w:themeColor="text1"/>
          <w:sz w:val="24"/>
          <w:szCs w:val="24"/>
          <w:shd w:val="clear" w:color="auto" w:fill="FFFFFF"/>
        </w:rPr>
        <w:t>New York: The Metropolitan Museum of Art, 20</w:t>
      </w:r>
      <w:r>
        <w:rPr>
          <w:rFonts w:ascii="Times New Roman" w:hAnsi="Times New Roman" w:cs="Times New Roman"/>
          <w:color w:val="000000" w:themeColor="text1"/>
          <w:sz w:val="24"/>
          <w:szCs w:val="24"/>
          <w:shd w:val="clear" w:color="auto" w:fill="FFFFFF"/>
        </w:rPr>
        <w:t>01),</w:t>
      </w:r>
      <w:r w:rsidRPr="008D2E68">
        <w:rPr>
          <w:rFonts w:ascii="Times New Roman" w:hAnsi="Times New Roman" w:cs="Times New Roman"/>
          <w:color w:val="000000" w:themeColor="text1"/>
          <w:sz w:val="24"/>
          <w:szCs w:val="24"/>
          <w:shd w:val="clear" w:color="auto" w:fill="FFFFFF"/>
        </w:rPr>
        <w:t xml:space="preserve"> http://www.metmuseum.org/toah/hd/priv/hd_priv.htm (October 2001)</w:t>
      </w:r>
    </w:p>
    <w:p w14:paraId="6703178F" w14:textId="77777777" w:rsidR="008D2E68" w:rsidRPr="008D2E68" w:rsidRDefault="008D2E68" w:rsidP="008D2E68">
      <w:pPr>
        <w:pStyle w:val="FootnoteText"/>
        <w:rPr>
          <w:rFonts w:ascii="Times New Roman" w:hAnsi="Times New Roman" w:cs="Times New Roman"/>
          <w:color w:val="000000" w:themeColor="text1"/>
          <w:sz w:val="24"/>
          <w:szCs w:val="24"/>
          <w:shd w:val="clear" w:color="auto" w:fill="FFFFFF"/>
        </w:rPr>
      </w:pPr>
    </w:p>
    <w:p w14:paraId="5DD41532" w14:textId="632B752B" w:rsidR="003D686A" w:rsidRDefault="008D2E68" w:rsidP="00B222E5">
      <w:pPr>
        <w:pStyle w:val="FootnoteText"/>
        <w:ind w:left="720" w:hanging="720"/>
        <w:rPr>
          <w:rFonts w:ascii="Times New Roman" w:hAnsi="Times New Roman" w:cs="Times New Roman"/>
          <w:color w:val="000000" w:themeColor="text1"/>
          <w:sz w:val="24"/>
          <w:szCs w:val="24"/>
          <w:shd w:val="clear" w:color="auto" w:fill="FFFFFF"/>
        </w:rPr>
      </w:pPr>
      <w:proofErr w:type="spellStart"/>
      <w:r w:rsidRPr="008D2E68">
        <w:rPr>
          <w:rFonts w:ascii="Times New Roman" w:hAnsi="Times New Roman" w:cs="Times New Roman"/>
          <w:color w:val="000000" w:themeColor="text1"/>
          <w:sz w:val="24"/>
          <w:szCs w:val="24"/>
          <w:shd w:val="clear" w:color="auto" w:fill="FFFFFF"/>
        </w:rPr>
        <w:t>Guérin</w:t>
      </w:r>
      <w:proofErr w:type="spellEnd"/>
      <w:r w:rsidRPr="008D2E68">
        <w:rPr>
          <w:rFonts w:ascii="Times New Roman" w:hAnsi="Times New Roman" w:cs="Times New Roman"/>
          <w:color w:val="000000" w:themeColor="text1"/>
          <w:sz w:val="24"/>
          <w:szCs w:val="24"/>
          <w:shd w:val="clear" w:color="auto" w:fill="FFFFFF"/>
        </w:rPr>
        <w:t>, S</w:t>
      </w:r>
      <w:r>
        <w:rPr>
          <w:rFonts w:ascii="Times New Roman" w:hAnsi="Times New Roman" w:cs="Times New Roman"/>
          <w:color w:val="000000" w:themeColor="text1"/>
          <w:sz w:val="24"/>
          <w:szCs w:val="24"/>
          <w:shd w:val="clear" w:color="auto" w:fill="FFFFFF"/>
        </w:rPr>
        <w:t>.,</w:t>
      </w:r>
      <w:r w:rsidRPr="008D2E68">
        <w:rPr>
          <w:rFonts w:ascii="Times New Roman" w:hAnsi="Times New Roman" w:cs="Times New Roman"/>
          <w:color w:val="000000" w:themeColor="text1"/>
          <w:sz w:val="24"/>
          <w:szCs w:val="24"/>
          <w:shd w:val="clear" w:color="auto" w:fill="FFFFFF"/>
        </w:rPr>
        <w:t xml:space="preserve"> "Medieval Ivories"</w:t>
      </w:r>
      <w:r>
        <w:rPr>
          <w:rFonts w:ascii="Times New Roman" w:hAnsi="Times New Roman" w:cs="Times New Roman"/>
          <w:color w:val="000000" w:themeColor="text1"/>
          <w:sz w:val="24"/>
          <w:szCs w:val="24"/>
          <w:shd w:val="clear" w:color="auto" w:fill="FFFFFF"/>
        </w:rPr>
        <w:t>,</w:t>
      </w:r>
      <w:r w:rsidRPr="008D2E68">
        <w:rPr>
          <w:rFonts w:ascii="Times New Roman" w:hAnsi="Times New Roman" w:cs="Times New Roman"/>
          <w:color w:val="000000" w:themeColor="text1"/>
          <w:sz w:val="24"/>
          <w:szCs w:val="24"/>
          <w:shd w:val="clear" w:color="auto" w:fill="FFFFFF"/>
        </w:rPr>
        <w:t xml:space="preserve"> in </w:t>
      </w:r>
      <w:r w:rsidRPr="008D2E68">
        <w:rPr>
          <w:rFonts w:ascii="Times New Roman" w:hAnsi="Times New Roman" w:cs="Times New Roman"/>
          <w:i/>
          <w:iCs/>
          <w:color w:val="000000" w:themeColor="text1"/>
          <w:sz w:val="24"/>
          <w:szCs w:val="24"/>
          <w:shd w:val="clear" w:color="auto" w:fill="FFFFFF"/>
        </w:rPr>
        <w:t>Medieval Studies</w:t>
      </w:r>
      <w:r w:rsidRPr="008D2E68">
        <w:rPr>
          <w:rFonts w:ascii="Times New Roman" w:hAnsi="Times New Roman" w:cs="Times New Roman"/>
          <w:color w:val="000000" w:themeColor="text1"/>
          <w:sz w:val="24"/>
          <w:szCs w:val="24"/>
          <w:shd w:val="clear" w:color="auto" w:fill="FFFFFF"/>
        </w:rPr>
        <w:t>, (</w:t>
      </w:r>
      <w:r>
        <w:rPr>
          <w:rFonts w:ascii="Times New Roman" w:hAnsi="Times New Roman" w:cs="Times New Roman"/>
          <w:color w:val="000000" w:themeColor="text1"/>
          <w:sz w:val="24"/>
          <w:szCs w:val="24"/>
          <w:shd w:val="clear" w:color="auto" w:fill="FFFFFF"/>
        </w:rPr>
        <w:t xml:space="preserve">Oxford: </w:t>
      </w:r>
      <w:r w:rsidRPr="008D2E68">
        <w:rPr>
          <w:rFonts w:ascii="Times New Roman" w:hAnsi="Times New Roman" w:cs="Times New Roman"/>
          <w:color w:val="000000" w:themeColor="text1"/>
          <w:sz w:val="24"/>
          <w:szCs w:val="24"/>
          <w:shd w:val="clear" w:color="auto" w:fill="FFFFFF"/>
        </w:rPr>
        <w:t>Oxford University Press, 2017), https://www-oxfordbibliographies-com.ezproxy.uwtsd.ac.uk/view/document/obo-9780195396584/obo-9780195396584-0227.xml (accessed 11 Dec. 2022).</w:t>
      </w:r>
    </w:p>
    <w:p w14:paraId="153AF0BA" w14:textId="77777777" w:rsidR="00B222E5" w:rsidRPr="008D2E68" w:rsidRDefault="00B222E5" w:rsidP="00B222E5">
      <w:pPr>
        <w:pStyle w:val="FootnoteText"/>
        <w:rPr>
          <w:rFonts w:ascii="Times New Roman" w:hAnsi="Times New Roman" w:cs="Times New Roman"/>
          <w:color w:val="000000" w:themeColor="text1"/>
          <w:sz w:val="24"/>
          <w:szCs w:val="24"/>
          <w:shd w:val="clear" w:color="auto" w:fill="FFFFFF"/>
        </w:rPr>
      </w:pPr>
    </w:p>
    <w:p w14:paraId="6C191D03" w14:textId="416AD231" w:rsidR="003D686A" w:rsidRPr="008D2E68" w:rsidRDefault="003D686A" w:rsidP="00B222E5">
      <w:pPr>
        <w:ind w:left="720" w:hanging="720"/>
        <w:rPr>
          <w:rFonts w:ascii="Times New Roman" w:hAnsi="Times New Roman" w:cs="Times New Roman"/>
          <w:color w:val="000000" w:themeColor="text1"/>
          <w:sz w:val="24"/>
          <w:szCs w:val="24"/>
          <w:shd w:val="clear" w:color="auto" w:fill="FFFFFF"/>
        </w:rPr>
      </w:pPr>
      <w:r w:rsidRPr="008D2E68">
        <w:rPr>
          <w:rFonts w:ascii="Times New Roman" w:hAnsi="Times New Roman" w:cs="Times New Roman"/>
          <w:color w:val="000000" w:themeColor="text1"/>
          <w:sz w:val="24"/>
          <w:szCs w:val="24"/>
          <w:shd w:val="clear" w:color="auto" w:fill="FFFFFF"/>
        </w:rPr>
        <w:t>Hall, James, </w:t>
      </w:r>
      <w:r w:rsidRPr="008D2E68">
        <w:rPr>
          <w:rFonts w:ascii="Times New Roman" w:hAnsi="Times New Roman" w:cs="Times New Roman"/>
          <w:i/>
          <w:iCs/>
          <w:color w:val="000000" w:themeColor="text1"/>
          <w:sz w:val="24"/>
          <w:szCs w:val="24"/>
          <w:shd w:val="clear" w:color="auto" w:fill="FFFFFF"/>
        </w:rPr>
        <w:t>Dictionary of Subjects and Symbols in Art</w:t>
      </w:r>
      <w:r w:rsidRPr="008D2E68">
        <w:rPr>
          <w:rFonts w:ascii="Times New Roman" w:hAnsi="Times New Roman" w:cs="Times New Roman"/>
          <w:color w:val="000000" w:themeColor="text1"/>
          <w:sz w:val="24"/>
          <w:szCs w:val="24"/>
          <w:shd w:val="clear" w:color="auto" w:fill="FFFFFF"/>
        </w:rPr>
        <w:t>, 2nd ed. (Place of publication not identified: Taylor &amp; Francis Ltd, 2008)</w:t>
      </w:r>
    </w:p>
    <w:p w14:paraId="5B73AE2F" w14:textId="5FAC49DC" w:rsidR="003D686A" w:rsidRPr="008D2E68" w:rsidRDefault="003D686A" w:rsidP="00B222E5">
      <w:pPr>
        <w:ind w:left="720" w:hanging="720"/>
        <w:rPr>
          <w:rFonts w:ascii="Times New Roman" w:hAnsi="Times New Roman" w:cs="Times New Roman"/>
          <w:color w:val="000000" w:themeColor="text1"/>
          <w:sz w:val="24"/>
          <w:szCs w:val="24"/>
          <w:shd w:val="clear" w:color="auto" w:fill="FFFFFF"/>
        </w:rPr>
      </w:pPr>
      <w:proofErr w:type="spellStart"/>
      <w:r w:rsidRPr="008D2E68">
        <w:rPr>
          <w:rFonts w:ascii="Times New Roman" w:hAnsi="Times New Roman" w:cs="Times New Roman"/>
          <w:color w:val="000000" w:themeColor="text1"/>
          <w:sz w:val="24"/>
          <w:szCs w:val="24"/>
          <w:shd w:val="clear" w:color="auto" w:fill="FFFFFF"/>
        </w:rPr>
        <w:t>Jirousek</w:t>
      </w:r>
      <w:proofErr w:type="spellEnd"/>
      <w:r w:rsidRPr="008D2E68">
        <w:rPr>
          <w:rFonts w:ascii="Times New Roman" w:hAnsi="Times New Roman" w:cs="Times New Roman"/>
          <w:color w:val="000000" w:themeColor="text1"/>
          <w:sz w:val="24"/>
          <w:szCs w:val="24"/>
          <w:shd w:val="clear" w:color="auto" w:fill="FFFFFF"/>
        </w:rPr>
        <w:t>, C</w:t>
      </w:r>
      <w:r w:rsidR="00B222E5">
        <w:rPr>
          <w:rFonts w:ascii="Times New Roman" w:hAnsi="Times New Roman" w:cs="Times New Roman"/>
          <w:color w:val="000000" w:themeColor="text1"/>
          <w:sz w:val="24"/>
          <w:szCs w:val="24"/>
          <w:shd w:val="clear" w:color="auto" w:fill="FFFFFF"/>
        </w:rPr>
        <w:t>.</w:t>
      </w:r>
      <w:r w:rsidRPr="008D2E68">
        <w:rPr>
          <w:rFonts w:ascii="Times New Roman" w:hAnsi="Times New Roman" w:cs="Times New Roman"/>
          <w:color w:val="000000" w:themeColor="text1"/>
          <w:sz w:val="24"/>
          <w:szCs w:val="24"/>
          <w:shd w:val="clear" w:color="auto" w:fill="FFFFFF"/>
        </w:rPr>
        <w:t xml:space="preserve"> S.</w:t>
      </w:r>
      <w:r w:rsidR="00B222E5">
        <w:rPr>
          <w:rFonts w:ascii="Times New Roman" w:hAnsi="Times New Roman" w:cs="Times New Roman"/>
          <w:color w:val="000000" w:themeColor="text1"/>
          <w:sz w:val="24"/>
          <w:szCs w:val="24"/>
          <w:shd w:val="clear" w:color="auto" w:fill="FFFFFF"/>
        </w:rPr>
        <w:t>,</w:t>
      </w:r>
      <w:r w:rsidRPr="008D2E68">
        <w:rPr>
          <w:rFonts w:ascii="Times New Roman" w:hAnsi="Times New Roman" w:cs="Times New Roman"/>
          <w:color w:val="000000" w:themeColor="text1"/>
          <w:sz w:val="24"/>
          <w:szCs w:val="24"/>
          <w:shd w:val="clear" w:color="auto" w:fill="FFFFFF"/>
        </w:rPr>
        <w:t xml:space="preserve"> </w:t>
      </w:r>
      <w:r w:rsidR="00B222E5">
        <w:rPr>
          <w:rFonts w:ascii="Times New Roman" w:hAnsi="Times New Roman" w:cs="Times New Roman"/>
          <w:color w:val="000000" w:themeColor="text1"/>
          <w:sz w:val="24"/>
          <w:szCs w:val="24"/>
          <w:shd w:val="clear" w:color="auto" w:fill="FFFFFF"/>
        </w:rPr>
        <w:t>“</w:t>
      </w:r>
      <w:r w:rsidRPr="008D2E68">
        <w:rPr>
          <w:rFonts w:ascii="Times New Roman" w:hAnsi="Times New Roman" w:cs="Times New Roman"/>
          <w:color w:val="000000" w:themeColor="text1"/>
          <w:sz w:val="24"/>
          <w:szCs w:val="24"/>
          <w:shd w:val="clear" w:color="auto" w:fill="FFFFFF"/>
        </w:rPr>
        <w:t>Christ and St. John the Evangelist as a Model of Medieval Mysticism</w:t>
      </w:r>
      <w:r w:rsidR="00B222E5">
        <w:rPr>
          <w:rFonts w:ascii="Times New Roman" w:hAnsi="Times New Roman" w:cs="Times New Roman"/>
          <w:color w:val="000000" w:themeColor="text1"/>
          <w:sz w:val="24"/>
          <w:szCs w:val="24"/>
          <w:shd w:val="clear" w:color="auto" w:fill="FFFFFF"/>
        </w:rPr>
        <w:t>”</w:t>
      </w:r>
      <w:r w:rsidRPr="008D2E68">
        <w:rPr>
          <w:rFonts w:ascii="Times New Roman" w:hAnsi="Times New Roman" w:cs="Times New Roman"/>
          <w:color w:val="000000" w:themeColor="text1"/>
          <w:sz w:val="24"/>
          <w:szCs w:val="24"/>
          <w:shd w:val="clear" w:color="auto" w:fill="FFFFFF"/>
        </w:rPr>
        <w:t>, </w:t>
      </w:r>
      <w:r w:rsidRPr="008D2E68">
        <w:rPr>
          <w:rFonts w:ascii="Times New Roman" w:hAnsi="Times New Roman" w:cs="Times New Roman"/>
          <w:i/>
          <w:iCs/>
          <w:color w:val="000000" w:themeColor="text1"/>
          <w:sz w:val="24"/>
          <w:szCs w:val="24"/>
          <w:shd w:val="clear" w:color="auto" w:fill="FFFFFF"/>
        </w:rPr>
        <w:t>Cleveland Studies in the History of Art</w:t>
      </w:r>
      <w:r w:rsidRPr="008D2E68">
        <w:rPr>
          <w:rFonts w:ascii="Times New Roman" w:hAnsi="Times New Roman" w:cs="Times New Roman"/>
          <w:color w:val="000000" w:themeColor="text1"/>
          <w:sz w:val="24"/>
          <w:szCs w:val="24"/>
          <w:shd w:val="clear" w:color="auto" w:fill="FFFFFF"/>
        </w:rPr>
        <w:t>, 6 (2001), 6–27</w:t>
      </w:r>
    </w:p>
    <w:p w14:paraId="1589E121" w14:textId="0EFA86C0" w:rsidR="003D686A" w:rsidRPr="008D2E68" w:rsidRDefault="003D686A" w:rsidP="00B222E5">
      <w:pPr>
        <w:ind w:left="720" w:hanging="720"/>
        <w:rPr>
          <w:rFonts w:ascii="Times New Roman" w:hAnsi="Times New Roman" w:cs="Times New Roman"/>
          <w:color w:val="000000" w:themeColor="text1"/>
          <w:sz w:val="24"/>
          <w:szCs w:val="24"/>
          <w:shd w:val="clear" w:color="auto" w:fill="FFFFFF"/>
        </w:rPr>
      </w:pPr>
      <w:r w:rsidRPr="008D2E68">
        <w:rPr>
          <w:rFonts w:ascii="Times New Roman" w:hAnsi="Times New Roman" w:cs="Times New Roman"/>
          <w:color w:val="000000" w:themeColor="text1"/>
          <w:sz w:val="24"/>
          <w:szCs w:val="24"/>
          <w:shd w:val="clear" w:color="auto" w:fill="FFFFFF"/>
        </w:rPr>
        <w:t>Kessler, H</w:t>
      </w:r>
      <w:r w:rsidR="00B222E5">
        <w:rPr>
          <w:rFonts w:ascii="Times New Roman" w:hAnsi="Times New Roman" w:cs="Times New Roman"/>
          <w:color w:val="000000" w:themeColor="text1"/>
          <w:sz w:val="24"/>
          <w:szCs w:val="24"/>
          <w:shd w:val="clear" w:color="auto" w:fill="FFFFFF"/>
        </w:rPr>
        <w:t>.</w:t>
      </w:r>
      <w:r w:rsidRPr="008D2E68">
        <w:rPr>
          <w:rFonts w:ascii="Times New Roman" w:hAnsi="Times New Roman" w:cs="Times New Roman"/>
          <w:color w:val="000000" w:themeColor="text1"/>
          <w:sz w:val="24"/>
          <w:szCs w:val="24"/>
          <w:shd w:val="clear" w:color="auto" w:fill="FFFFFF"/>
        </w:rPr>
        <w:t xml:space="preserve"> L</w:t>
      </w:r>
      <w:r w:rsidR="00B222E5">
        <w:rPr>
          <w:rFonts w:ascii="Times New Roman" w:hAnsi="Times New Roman" w:cs="Times New Roman"/>
          <w:color w:val="000000" w:themeColor="text1"/>
          <w:sz w:val="24"/>
          <w:szCs w:val="24"/>
          <w:shd w:val="clear" w:color="auto" w:fill="FFFFFF"/>
        </w:rPr>
        <w:t>.</w:t>
      </w:r>
      <w:r w:rsidRPr="008D2E68">
        <w:rPr>
          <w:rFonts w:ascii="Times New Roman" w:hAnsi="Times New Roman" w:cs="Times New Roman"/>
          <w:color w:val="000000" w:themeColor="text1"/>
          <w:sz w:val="24"/>
          <w:szCs w:val="24"/>
          <w:shd w:val="clear" w:color="auto" w:fill="FFFFFF"/>
        </w:rPr>
        <w:t xml:space="preserve">, </w:t>
      </w:r>
      <w:r w:rsidR="00B222E5">
        <w:rPr>
          <w:rFonts w:ascii="Times New Roman" w:hAnsi="Times New Roman" w:cs="Times New Roman"/>
          <w:color w:val="000000" w:themeColor="text1"/>
          <w:sz w:val="24"/>
          <w:szCs w:val="24"/>
          <w:shd w:val="clear" w:color="auto" w:fill="FFFFFF"/>
        </w:rPr>
        <w:t>“</w:t>
      </w:r>
      <w:r w:rsidRPr="008D2E68">
        <w:rPr>
          <w:rFonts w:ascii="Times New Roman" w:hAnsi="Times New Roman" w:cs="Times New Roman"/>
          <w:color w:val="000000" w:themeColor="text1"/>
          <w:sz w:val="24"/>
          <w:szCs w:val="24"/>
          <w:shd w:val="clear" w:color="auto" w:fill="FFFFFF"/>
        </w:rPr>
        <w:t xml:space="preserve">An Eleventh Century Ivory Plaque from South Italy and the </w:t>
      </w:r>
      <w:proofErr w:type="spellStart"/>
      <w:r w:rsidRPr="008D2E68">
        <w:rPr>
          <w:rFonts w:ascii="Times New Roman" w:hAnsi="Times New Roman" w:cs="Times New Roman"/>
          <w:color w:val="000000" w:themeColor="text1"/>
          <w:sz w:val="24"/>
          <w:szCs w:val="24"/>
          <w:shd w:val="clear" w:color="auto" w:fill="FFFFFF"/>
        </w:rPr>
        <w:t>Cassinese</w:t>
      </w:r>
      <w:proofErr w:type="spellEnd"/>
      <w:r w:rsidRPr="008D2E68">
        <w:rPr>
          <w:rFonts w:ascii="Times New Roman" w:hAnsi="Times New Roman" w:cs="Times New Roman"/>
          <w:color w:val="000000" w:themeColor="text1"/>
          <w:sz w:val="24"/>
          <w:szCs w:val="24"/>
          <w:shd w:val="clear" w:color="auto" w:fill="FFFFFF"/>
        </w:rPr>
        <w:t xml:space="preserve"> Revival</w:t>
      </w:r>
      <w:r w:rsidR="00B222E5">
        <w:rPr>
          <w:rFonts w:ascii="Times New Roman" w:hAnsi="Times New Roman" w:cs="Times New Roman"/>
          <w:color w:val="000000" w:themeColor="text1"/>
          <w:sz w:val="24"/>
          <w:szCs w:val="24"/>
          <w:shd w:val="clear" w:color="auto" w:fill="FFFFFF"/>
        </w:rPr>
        <w:t>”</w:t>
      </w:r>
      <w:r w:rsidRPr="008D2E68">
        <w:rPr>
          <w:rFonts w:ascii="Times New Roman" w:hAnsi="Times New Roman" w:cs="Times New Roman"/>
          <w:color w:val="000000" w:themeColor="text1"/>
          <w:sz w:val="24"/>
          <w:szCs w:val="24"/>
          <w:shd w:val="clear" w:color="auto" w:fill="FFFFFF"/>
        </w:rPr>
        <w:t>, </w:t>
      </w:r>
      <w:proofErr w:type="spellStart"/>
      <w:r w:rsidRPr="008D2E68">
        <w:rPr>
          <w:rFonts w:ascii="Times New Roman" w:hAnsi="Times New Roman" w:cs="Times New Roman"/>
          <w:i/>
          <w:iCs/>
          <w:color w:val="000000" w:themeColor="text1"/>
          <w:sz w:val="24"/>
          <w:szCs w:val="24"/>
          <w:shd w:val="clear" w:color="auto" w:fill="FFFFFF"/>
        </w:rPr>
        <w:t>Jahrbuch</w:t>
      </w:r>
      <w:proofErr w:type="spellEnd"/>
      <w:r w:rsidRPr="008D2E68">
        <w:rPr>
          <w:rFonts w:ascii="Times New Roman" w:hAnsi="Times New Roman" w:cs="Times New Roman"/>
          <w:i/>
          <w:iCs/>
          <w:color w:val="000000" w:themeColor="text1"/>
          <w:sz w:val="24"/>
          <w:szCs w:val="24"/>
          <w:shd w:val="clear" w:color="auto" w:fill="FFFFFF"/>
        </w:rPr>
        <w:t xml:space="preserve"> Der Berliner </w:t>
      </w:r>
      <w:proofErr w:type="spellStart"/>
      <w:r w:rsidRPr="008D2E68">
        <w:rPr>
          <w:rFonts w:ascii="Times New Roman" w:hAnsi="Times New Roman" w:cs="Times New Roman"/>
          <w:i/>
          <w:iCs/>
          <w:color w:val="000000" w:themeColor="text1"/>
          <w:sz w:val="24"/>
          <w:szCs w:val="24"/>
          <w:shd w:val="clear" w:color="auto" w:fill="FFFFFF"/>
        </w:rPr>
        <w:t>Museen</w:t>
      </w:r>
      <w:proofErr w:type="spellEnd"/>
      <w:r w:rsidRPr="008D2E68">
        <w:rPr>
          <w:rFonts w:ascii="Times New Roman" w:hAnsi="Times New Roman" w:cs="Times New Roman"/>
          <w:color w:val="000000" w:themeColor="text1"/>
          <w:sz w:val="24"/>
          <w:szCs w:val="24"/>
          <w:shd w:val="clear" w:color="auto" w:fill="FFFFFF"/>
        </w:rPr>
        <w:t>, 8 (1966), 67–95</w:t>
      </w:r>
    </w:p>
    <w:p w14:paraId="4E70A6AE" w14:textId="22CBEF50" w:rsidR="003D686A" w:rsidRPr="008D2E68" w:rsidRDefault="003D686A" w:rsidP="00B222E5">
      <w:pPr>
        <w:ind w:left="720" w:hanging="720"/>
        <w:rPr>
          <w:rFonts w:ascii="Times New Roman" w:hAnsi="Times New Roman" w:cs="Times New Roman"/>
          <w:color w:val="000000" w:themeColor="text1"/>
          <w:sz w:val="24"/>
          <w:szCs w:val="24"/>
          <w:shd w:val="clear" w:color="auto" w:fill="FFFFFF"/>
        </w:rPr>
      </w:pPr>
      <w:proofErr w:type="spellStart"/>
      <w:r w:rsidRPr="008D2E68">
        <w:rPr>
          <w:rFonts w:ascii="Times New Roman" w:hAnsi="Times New Roman" w:cs="Times New Roman"/>
          <w:color w:val="000000" w:themeColor="text1"/>
          <w:sz w:val="24"/>
          <w:szCs w:val="24"/>
          <w:shd w:val="clear" w:color="auto" w:fill="FFFFFF"/>
        </w:rPr>
        <w:t>McNamer</w:t>
      </w:r>
      <w:proofErr w:type="spellEnd"/>
      <w:r w:rsidRPr="008D2E68">
        <w:rPr>
          <w:rFonts w:ascii="Times New Roman" w:hAnsi="Times New Roman" w:cs="Times New Roman"/>
          <w:color w:val="000000" w:themeColor="text1"/>
          <w:sz w:val="24"/>
          <w:szCs w:val="24"/>
          <w:shd w:val="clear" w:color="auto" w:fill="FFFFFF"/>
        </w:rPr>
        <w:t>, S., </w:t>
      </w:r>
      <w:r w:rsidRPr="008D2E68">
        <w:rPr>
          <w:rFonts w:ascii="Times New Roman" w:hAnsi="Times New Roman" w:cs="Times New Roman"/>
          <w:i/>
          <w:iCs/>
          <w:color w:val="000000" w:themeColor="text1"/>
          <w:sz w:val="24"/>
          <w:szCs w:val="24"/>
          <w:shd w:val="clear" w:color="auto" w:fill="FFFFFF"/>
        </w:rPr>
        <w:t xml:space="preserve">Affective </w:t>
      </w:r>
      <w:proofErr w:type="gramStart"/>
      <w:r w:rsidRPr="008D2E68">
        <w:rPr>
          <w:rFonts w:ascii="Times New Roman" w:hAnsi="Times New Roman" w:cs="Times New Roman"/>
          <w:i/>
          <w:iCs/>
          <w:color w:val="000000" w:themeColor="text1"/>
          <w:sz w:val="24"/>
          <w:szCs w:val="24"/>
          <w:shd w:val="clear" w:color="auto" w:fill="FFFFFF"/>
        </w:rPr>
        <w:t>Meditation</w:t>
      </w:r>
      <w:proofErr w:type="gramEnd"/>
      <w:r w:rsidRPr="008D2E68">
        <w:rPr>
          <w:rFonts w:ascii="Times New Roman" w:hAnsi="Times New Roman" w:cs="Times New Roman"/>
          <w:i/>
          <w:iCs/>
          <w:color w:val="000000" w:themeColor="text1"/>
          <w:sz w:val="24"/>
          <w:szCs w:val="24"/>
          <w:shd w:val="clear" w:color="auto" w:fill="FFFFFF"/>
        </w:rPr>
        <w:t xml:space="preserve"> and the Invention of Medieval Compassion</w:t>
      </w:r>
      <w:r w:rsidRPr="008D2E68">
        <w:rPr>
          <w:rFonts w:ascii="Times New Roman" w:hAnsi="Times New Roman" w:cs="Times New Roman"/>
          <w:color w:val="000000" w:themeColor="text1"/>
          <w:sz w:val="24"/>
          <w:szCs w:val="24"/>
          <w:shd w:val="clear" w:color="auto" w:fill="FFFFFF"/>
        </w:rPr>
        <w:t> (Philadelphia: University of Pennsylvania Press, 2010)</w:t>
      </w:r>
    </w:p>
    <w:p w14:paraId="07BFEF6A" w14:textId="65C3D27C" w:rsidR="00897283" w:rsidRPr="008D2E68" w:rsidRDefault="00B222E5" w:rsidP="00B222E5">
      <w:pPr>
        <w:tabs>
          <w:tab w:val="left" w:pos="180"/>
        </w:tabs>
        <w:ind w:left="720" w:hanging="7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Nelson, R. S., “Empathetic Vision: Looking at </w:t>
      </w:r>
      <w:proofErr w:type="gramStart"/>
      <w:r>
        <w:rPr>
          <w:rFonts w:ascii="Times New Roman" w:hAnsi="Times New Roman" w:cs="Times New Roman"/>
          <w:color w:val="000000" w:themeColor="text1"/>
          <w:sz w:val="24"/>
          <w:szCs w:val="24"/>
          <w:shd w:val="clear" w:color="auto" w:fill="FFFFFF"/>
        </w:rPr>
        <w:t>an</w:t>
      </w:r>
      <w:proofErr w:type="gramEnd"/>
      <w:r>
        <w:rPr>
          <w:rFonts w:ascii="Times New Roman" w:hAnsi="Times New Roman" w:cs="Times New Roman"/>
          <w:color w:val="000000" w:themeColor="text1"/>
          <w:sz w:val="24"/>
          <w:szCs w:val="24"/>
          <w:shd w:val="clear" w:color="auto" w:fill="FFFFFF"/>
        </w:rPr>
        <w:t xml:space="preserve"> with a Performative Byzantine Miniature”</w:t>
      </w:r>
      <w:r w:rsidR="003D686A" w:rsidRPr="008D2E68">
        <w:rPr>
          <w:rFonts w:ascii="Times New Roman" w:hAnsi="Times New Roman" w:cs="Times New Roman"/>
          <w:color w:val="000000" w:themeColor="text1"/>
          <w:sz w:val="24"/>
          <w:szCs w:val="24"/>
          <w:shd w:val="clear" w:color="auto" w:fill="FFFFFF"/>
        </w:rPr>
        <w:t>, </w:t>
      </w:r>
      <w:r w:rsidR="003D686A" w:rsidRPr="008D2E68">
        <w:rPr>
          <w:rFonts w:ascii="Times New Roman" w:hAnsi="Times New Roman" w:cs="Times New Roman"/>
          <w:i/>
          <w:iCs/>
          <w:color w:val="000000" w:themeColor="text1"/>
          <w:sz w:val="24"/>
          <w:szCs w:val="24"/>
          <w:shd w:val="clear" w:color="auto" w:fill="FFFFFF"/>
        </w:rPr>
        <w:t>Art History</w:t>
      </w:r>
      <w:r w:rsidR="003D686A" w:rsidRPr="008D2E68">
        <w:rPr>
          <w:rFonts w:ascii="Times New Roman" w:hAnsi="Times New Roman" w:cs="Times New Roman"/>
          <w:color w:val="000000" w:themeColor="text1"/>
          <w:sz w:val="24"/>
          <w:szCs w:val="24"/>
          <w:shd w:val="clear" w:color="auto" w:fill="FFFFFF"/>
        </w:rPr>
        <w:t>, 30.4 (2007), 489–502</w:t>
      </w:r>
    </w:p>
    <w:p w14:paraId="4F8FFDEC" w14:textId="52962962" w:rsidR="00897283" w:rsidRDefault="00897283" w:rsidP="00AE7971">
      <w:pPr>
        <w:rPr>
          <w:rFonts w:ascii="Segoe UI" w:hAnsi="Segoe UI" w:cs="Segoe UI"/>
          <w:color w:val="000000" w:themeColor="text1"/>
          <w:sz w:val="21"/>
          <w:szCs w:val="21"/>
          <w:shd w:val="clear" w:color="auto" w:fill="FFFFFF"/>
        </w:rPr>
      </w:pPr>
    </w:p>
    <w:p w14:paraId="65BE8225" w14:textId="77777777" w:rsidR="00E23CBD" w:rsidRPr="008D2E68" w:rsidRDefault="00E23CBD" w:rsidP="00AE7971">
      <w:pPr>
        <w:rPr>
          <w:rFonts w:ascii="Segoe UI" w:hAnsi="Segoe UI" w:cs="Segoe UI"/>
          <w:color w:val="000000" w:themeColor="text1"/>
          <w:sz w:val="21"/>
          <w:szCs w:val="21"/>
          <w:shd w:val="clear" w:color="auto" w:fill="FFFFFF"/>
        </w:rPr>
      </w:pPr>
    </w:p>
    <w:p w14:paraId="2C9BF998" w14:textId="76C2FFBA" w:rsidR="00897283" w:rsidRPr="008D2E68" w:rsidRDefault="00897283" w:rsidP="00AE7971">
      <w:pPr>
        <w:rPr>
          <w:rFonts w:ascii="Segoe UI" w:hAnsi="Segoe UI" w:cs="Segoe UI"/>
          <w:color w:val="000000" w:themeColor="text1"/>
          <w:sz w:val="21"/>
          <w:szCs w:val="21"/>
          <w:shd w:val="clear" w:color="auto" w:fill="FFFFFF"/>
        </w:rPr>
      </w:pPr>
    </w:p>
    <w:p w14:paraId="31D975A9" w14:textId="7E83AE3B" w:rsidR="00897283" w:rsidRPr="008D2E68" w:rsidRDefault="00897283" w:rsidP="00AE7971">
      <w:pPr>
        <w:rPr>
          <w:rFonts w:ascii="Segoe UI" w:hAnsi="Segoe UI" w:cs="Segoe UI"/>
          <w:color w:val="000000" w:themeColor="text1"/>
          <w:sz w:val="21"/>
          <w:szCs w:val="21"/>
          <w:shd w:val="clear" w:color="auto" w:fill="FFFFFF"/>
        </w:rPr>
      </w:pPr>
    </w:p>
    <w:p w14:paraId="1A584284" w14:textId="46FC8577" w:rsidR="00897283" w:rsidRDefault="00897283" w:rsidP="00AE7971">
      <w:pPr>
        <w:rPr>
          <w:rFonts w:ascii="Segoe UI" w:hAnsi="Segoe UI" w:cs="Segoe UI"/>
          <w:color w:val="323130"/>
          <w:sz w:val="21"/>
          <w:szCs w:val="21"/>
          <w:shd w:val="clear" w:color="auto" w:fill="FFFFFF"/>
        </w:rPr>
      </w:pPr>
    </w:p>
    <w:p w14:paraId="6098F2F5" w14:textId="502FD668" w:rsidR="00897283" w:rsidRPr="00B222E5" w:rsidRDefault="00B222E5" w:rsidP="00B222E5">
      <w:pPr>
        <w:jc w:val="center"/>
        <w:rPr>
          <w:rFonts w:ascii="Times New Roman" w:hAnsi="Times New Roman" w:cs="Times New Roman"/>
          <w:b/>
          <w:bCs/>
          <w:color w:val="323130"/>
          <w:sz w:val="24"/>
          <w:szCs w:val="24"/>
          <w:shd w:val="clear" w:color="auto" w:fill="FFFFFF"/>
        </w:rPr>
      </w:pPr>
      <w:r w:rsidRPr="00B222E5">
        <w:rPr>
          <w:rFonts w:ascii="Times New Roman" w:hAnsi="Times New Roman" w:cs="Times New Roman"/>
          <w:b/>
          <w:bCs/>
          <w:color w:val="323130"/>
          <w:sz w:val="24"/>
          <w:szCs w:val="24"/>
          <w:shd w:val="clear" w:color="auto" w:fill="FFFFFF"/>
        </w:rPr>
        <w:t xml:space="preserve">Appendix </w:t>
      </w:r>
    </w:p>
    <w:p w14:paraId="284E8224" w14:textId="11B7327D" w:rsidR="00897283" w:rsidRDefault="00B222E5" w:rsidP="00AE7971">
      <w:pPr>
        <w:rPr>
          <w:rFonts w:ascii="Segoe UI" w:hAnsi="Segoe UI" w:cs="Segoe UI"/>
          <w:color w:val="323130"/>
          <w:sz w:val="21"/>
          <w:szCs w:val="21"/>
          <w:shd w:val="clear" w:color="auto" w:fill="FFFFFF"/>
        </w:rPr>
      </w:pPr>
      <w:r>
        <w:rPr>
          <w:noProof/>
        </w:rPr>
        <w:drawing>
          <wp:anchor distT="0" distB="0" distL="114300" distR="114300" simplePos="0" relativeHeight="251658240" behindDoc="1" locked="0" layoutInCell="1" allowOverlap="1" wp14:anchorId="1F4A6DA4" wp14:editId="741371AA">
            <wp:simplePos x="0" y="0"/>
            <wp:positionH relativeFrom="margin">
              <wp:align>center</wp:align>
            </wp:positionH>
            <wp:positionV relativeFrom="paragraph">
              <wp:posOffset>10795</wp:posOffset>
            </wp:positionV>
            <wp:extent cx="3131389" cy="6600977"/>
            <wp:effectExtent l="0" t="0" r="0" b="0"/>
            <wp:wrapThrough wrapText="bothSides">
              <wp:wrapPolygon edited="0">
                <wp:start x="0" y="0"/>
                <wp:lineTo x="0" y="21506"/>
                <wp:lineTo x="21420" y="21506"/>
                <wp:lineTo x="21420" y="0"/>
                <wp:lineTo x="0" y="0"/>
              </wp:wrapPolygon>
            </wp:wrapThrough>
            <wp:docPr id="1" name="Picture 1" descr="A picture containing indoor, wooden, stone,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indoor, wooden, stone, fabric&#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31389" cy="660097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13E920" w14:textId="3C1896DD" w:rsidR="00897283" w:rsidRDefault="00897283" w:rsidP="00AE7971">
      <w:pPr>
        <w:rPr>
          <w:rFonts w:ascii="Segoe UI" w:hAnsi="Segoe UI" w:cs="Segoe UI"/>
          <w:color w:val="323130"/>
          <w:sz w:val="21"/>
          <w:szCs w:val="21"/>
          <w:shd w:val="clear" w:color="auto" w:fill="FFFFFF"/>
        </w:rPr>
      </w:pPr>
    </w:p>
    <w:p w14:paraId="166071A2" w14:textId="7AE924AE" w:rsidR="00B222E5" w:rsidRDefault="00B222E5" w:rsidP="00AE7971">
      <w:pPr>
        <w:rPr>
          <w:rFonts w:ascii="Segoe UI" w:hAnsi="Segoe UI" w:cs="Segoe UI"/>
          <w:color w:val="323130"/>
          <w:sz w:val="21"/>
          <w:szCs w:val="21"/>
          <w:shd w:val="clear" w:color="auto" w:fill="FFFFFF"/>
        </w:rPr>
      </w:pPr>
    </w:p>
    <w:p w14:paraId="5D31223E" w14:textId="40FB8841" w:rsidR="00B222E5" w:rsidRDefault="00B222E5" w:rsidP="00AE7971">
      <w:pPr>
        <w:rPr>
          <w:rFonts w:ascii="Segoe UI" w:hAnsi="Segoe UI" w:cs="Segoe UI"/>
          <w:color w:val="323130"/>
          <w:sz w:val="21"/>
          <w:szCs w:val="21"/>
          <w:shd w:val="clear" w:color="auto" w:fill="FFFFFF"/>
        </w:rPr>
      </w:pPr>
    </w:p>
    <w:p w14:paraId="0CA6F664" w14:textId="7C470675" w:rsidR="00B222E5" w:rsidRDefault="00B222E5" w:rsidP="00AE7971">
      <w:pPr>
        <w:rPr>
          <w:rFonts w:ascii="Segoe UI" w:hAnsi="Segoe UI" w:cs="Segoe UI"/>
          <w:color w:val="323130"/>
          <w:sz w:val="21"/>
          <w:szCs w:val="21"/>
          <w:shd w:val="clear" w:color="auto" w:fill="FFFFFF"/>
        </w:rPr>
      </w:pPr>
    </w:p>
    <w:p w14:paraId="4BCFB62E" w14:textId="7A8CF054" w:rsidR="00B222E5" w:rsidRDefault="00B222E5" w:rsidP="00AE7971">
      <w:pPr>
        <w:rPr>
          <w:rFonts w:ascii="Segoe UI" w:hAnsi="Segoe UI" w:cs="Segoe UI"/>
          <w:color w:val="323130"/>
          <w:sz w:val="21"/>
          <w:szCs w:val="21"/>
          <w:shd w:val="clear" w:color="auto" w:fill="FFFFFF"/>
        </w:rPr>
      </w:pPr>
    </w:p>
    <w:p w14:paraId="0BECBCC2" w14:textId="141203DE" w:rsidR="00B222E5" w:rsidRDefault="00B222E5" w:rsidP="00AE7971">
      <w:pPr>
        <w:rPr>
          <w:rFonts w:ascii="Segoe UI" w:hAnsi="Segoe UI" w:cs="Segoe UI"/>
          <w:color w:val="323130"/>
          <w:sz w:val="21"/>
          <w:szCs w:val="21"/>
          <w:shd w:val="clear" w:color="auto" w:fill="FFFFFF"/>
        </w:rPr>
      </w:pPr>
    </w:p>
    <w:p w14:paraId="122B27A1" w14:textId="1C9C0603" w:rsidR="00B222E5" w:rsidRDefault="00B222E5" w:rsidP="00AE7971">
      <w:pPr>
        <w:rPr>
          <w:rFonts w:ascii="Segoe UI" w:hAnsi="Segoe UI" w:cs="Segoe UI"/>
          <w:color w:val="323130"/>
          <w:sz w:val="21"/>
          <w:szCs w:val="21"/>
          <w:shd w:val="clear" w:color="auto" w:fill="FFFFFF"/>
        </w:rPr>
      </w:pPr>
    </w:p>
    <w:p w14:paraId="289F4F3F" w14:textId="02AFF989" w:rsidR="00B222E5" w:rsidRDefault="00B222E5" w:rsidP="00AE7971">
      <w:pPr>
        <w:rPr>
          <w:rFonts w:ascii="Segoe UI" w:hAnsi="Segoe UI" w:cs="Segoe UI"/>
          <w:color w:val="323130"/>
          <w:sz w:val="21"/>
          <w:szCs w:val="21"/>
          <w:shd w:val="clear" w:color="auto" w:fill="FFFFFF"/>
        </w:rPr>
      </w:pPr>
    </w:p>
    <w:p w14:paraId="3404A17C" w14:textId="30B3EC0A" w:rsidR="00B222E5" w:rsidRDefault="00B222E5" w:rsidP="00AE7971">
      <w:pPr>
        <w:rPr>
          <w:rFonts w:ascii="Segoe UI" w:hAnsi="Segoe UI" w:cs="Segoe UI"/>
          <w:color w:val="323130"/>
          <w:sz w:val="21"/>
          <w:szCs w:val="21"/>
          <w:shd w:val="clear" w:color="auto" w:fill="FFFFFF"/>
        </w:rPr>
      </w:pPr>
    </w:p>
    <w:p w14:paraId="01730BE3" w14:textId="359BA52F" w:rsidR="00B222E5" w:rsidRDefault="00B222E5" w:rsidP="00AE7971">
      <w:pPr>
        <w:rPr>
          <w:rFonts w:ascii="Segoe UI" w:hAnsi="Segoe UI" w:cs="Segoe UI"/>
          <w:color w:val="323130"/>
          <w:sz w:val="21"/>
          <w:szCs w:val="21"/>
          <w:shd w:val="clear" w:color="auto" w:fill="FFFFFF"/>
        </w:rPr>
      </w:pPr>
    </w:p>
    <w:p w14:paraId="2F1CCBE0" w14:textId="7EC62078" w:rsidR="00B222E5" w:rsidRDefault="00B222E5" w:rsidP="00AE7971">
      <w:pPr>
        <w:rPr>
          <w:rFonts w:ascii="Segoe UI" w:hAnsi="Segoe UI" w:cs="Segoe UI"/>
          <w:color w:val="323130"/>
          <w:sz w:val="21"/>
          <w:szCs w:val="21"/>
          <w:shd w:val="clear" w:color="auto" w:fill="FFFFFF"/>
        </w:rPr>
      </w:pPr>
    </w:p>
    <w:p w14:paraId="11D8A278" w14:textId="3EDD8746" w:rsidR="00B222E5" w:rsidRDefault="00B222E5" w:rsidP="00AE7971">
      <w:pPr>
        <w:rPr>
          <w:rFonts w:ascii="Segoe UI" w:hAnsi="Segoe UI" w:cs="Segoe UI"/>
          <w:color w:val="323130"/>
          <w:sz w:val="21"/>
          <w:szCs w:val="21"/>
          <w:shd w:val="clear" w:color="auto" w:fill="FFFFFF"/>
        </w:rPr>
      </w:pPr>
    </w:p>
    <w:p w14:paraId="539B4C50" w14:textId="07CB88A2" w:rsidR="00B222E5" w:rsidRDefault="00B222E5" w:rsidP="00AE7971">
      <w:pPr>
        <w:rPr>
          <w:rFonts w:ascii="Segoe UI" w:hAnsi="Segoe UI" w:cs="Segoe UI"/>
          <w:color w:val="323130"/>
          <w:sz w:val="21"/>
          <w:szCs w:val="21"/>
          <w:shd w:val="clear" w:color="auto" w:fill="FFFFFF"/>
        </w:rPr>
      </w:pPr>
    </w:p>
    <w:p w14:paraId="26457416" w14:textId="51834389" w:rsidR="00B222E5" w:rsidRDefault="00B222E5" w:rsidP="00AE7971">
      <w:pPr>
        <w:rPr>
          <w:rFonts w:ascii="Segoe UI" w:hAnsi="Segoe UI" w:cs="Segoe UI"/>
          <w:color w:val="323130"/>
          <w:sz w:val="21"/>
          <w:szCs w:val="21"/>
          <w:shd w:val="clear" w:color="auto" w:fill="FFFFFF"/>
        </w:rPr>
      </w:pPr>
    </w:p>
    <w:p w14:paraId="33C2CCEA" w14:textId="533C074C" w:rsidR="00B222E5" w:rsidRDefault="00B222E5" w:rsidP="00AE7971">
      <w:pPr>
        <w:rPr>
          <w:rFonts w:ascii="Segoe UI" w:hAnsi="Segoe UI" w:cs="Segoe UI"/>
          <w:color w:val="323130"/>
          <w:sz w:val="21"/>
          <w:szCs w:val="21"/>
          <w:shd w:val="clear" w:color="auto" w:fill="FFFFFF"/>
        </w:rPr>
      </w:pPr>
    </w:p>
    <w:p w14:paraId="40F0C3BA" w14:textId="6F919D98" w:rsidR="00B222E5" w:rsidRDefault="00B222E5" w:rsidP="00AE7971">
      <w:pPr>
        <w:rPr>
          <w:rFonts w:ascii="Segoe UI" w:hAnsi="Segoe UI" w:cs="Segoe UI"/>
          <w:color w:val="323130"/>
          <w:sz w:val="21"/>
          <w:szCs w:val="21"/>
          <w:shd w:val="clear" w:color="auto" w:fill="FFFFFF"/>
        </w:rPr>
      </w:pPr>
    </w:p>
    <w:p w14:paraId="4057C70E" w14:textId="027C413A" w:rsidR="00B222E5" w:rsidRDefault="00B222E5" w:rsidP="00AE7971">
      <w:pPr>
        <w:rPr>
          <w:rFonts w:ascii="Segoe UI" w:hAnsi="Segoe UI" w:cs="Segoe UI"/>
          <w:color w:val="323130"/>
          <w:sz w:val="21"/>
          <w:szCs w:val="21"/>
          <w:shd w:val="clear" w:color="auto" w:fill="FFFFFF"/>
        </w:rPr>
      </w:pPr>
    </w:p>
    <w:p w14:paraId="73DEF914" w14:textId="4C065826" w:rsidR="00B222E5" w:rsidRDefault="00B222E5" w:rsidP="00AE7971">
      <w:pPr>
        <w:rPr>
          <w:rFonts w:ascii="Segoe UI" w:hAnsi="Segoe UI" w:cs="Segoe UI"/>
          <w:color w:val="323130"/>
          <w:sz w:val="21"/>
          <w:szCs w:val="21"/>
          <w:shd w:val="clear" w:color="auto" w:fill="FFFFFF"/>
        </w:rPr>
      </w:pPr>
    </w:p>
    <w:p w14:paraId="2A707928" w14:textId="37E4B4B8" w:rsidR="00B222E5" w:rsidRDefault="00B222E5" w:rsidP="00AE7971">
      <w:pPr>
        <w:rPr>
          <w:rFonts w:ascii="Segoe UI" w:hAnsi="Segoe UI" w:cs="Segoe UI"/>
          <w:color w:val="323130"/>
          <w:sz w:val="21"/>
          <w:szCs w:val="21"/>
          <w:shd w:val="clear" w:color="auto" w:fill="FFFFFF"/>
        </w:rPr>
      </w:pPr>
    </w:p>
    <w:p w14:paraId="5BF5D1BB" w14:textId="007BD971" w:rsidR="00B222E5" w:rsidRDefault="00B222E5" w:rsidP="00AE7971">
      <w:pPr>
        <w:rPr>
          <w:rFonts w:ascii="Segoe UI" w:hAnsi="Segoe UI" w:cs="Segoe UI"/>
          <w:color w:val="323130"/>
          <w:sz w:val="21"/>
          <w:szCs w:val="21"/>
          <w:shd w:val="clear" w:color="auto" w:fill="FFFFFF"/>
        </w:rPr>
      </w:pPr>
    </w:p>
    <w:p w14:paraId="2A5163BF" w14:textId="0F6C69DC" w:rsidR="00B222E5" w:rsidRDefault="00B222E5" w:rsidP="00AE7971">
      <w:pPr>
        <w:rPr>
          <w:rFonts w:ascii="Segoe UI" w:hAnsi="Segoe UI" w:cs="Segoe UI"/>
          <w:color w:val="323130"/>
          <w:sz w:val="21"/>
          <w:szCs w:val="21"/>
          <w:shd w:val="clear" w:color="auto" w:fill="FFFFFF"/>
        </w:rPr>
      </w:pPr>
    </w:p>
    <w:p w14:paraId="4D25E93C" w14:textId="42718FDB" w:rsidR="00B222E5" w:rsidRDefault="00B222E5" w:rsidP="00AE7971">
      <w:pPr>
        <w:rPr>
          <w:rFonts w:ascii="Segoe UI" w:hAnsi="Segoe UI" w:cs="Segoe UI"/>
          <w:color w:val="323130"/>
          <w:sz w:val="21"/>
          <w:szCs w:val="21"/>
          <w:shd w:val="clear" w:color="auto" w:fill="FFFFFF"/>
        </w:rPr>
      </w:pPr>
    </w:p>
    <w:p w14:paraId="58E96977" w14:textId="7BBB2557" w:rsidR="00B222E5" w:rsidRPr="00881D57" w:rsidRDefault="00881D57" w:rsidP="00AE7971">
      <w:pPr>
        <w:rPr>
          <w:rFonts w:ascii="Times New Roman" w:hAnsi="Times New Roman" w:cs="Times New Roman"/>
          <w:color w:val="000000" w:themeColor="text1"/>
          <w:sz w:val="24"/>
          <w:szCs w:val="24"/>
          <w:shd w:val="clear" w:color="auto" w:fill="FFFFFF"/>
        </w:rPr>
      </w:pPr>
      <w:r w:rsidRPr="00881D57">
        <w:rPr>
          <w:rFonts w:ascii="Times New Roman" w:hAnsi="Times New Roman" w:cs="Times New Roman"/>
          <w:i/>
          <w:iCs/>
          <w:color w:val="000000" w:themeColor="text1"/>
          <w:sz w:val="24"/>
          <w:szCs w:val="24"/>
          <w:shd w:val="clear" w:color="auto" w:fill="FFFFFF"/>
        </w:rPr>
        <w:t>Center Panel of a Triptych with the Crucifixion and the Entombment</w:t>
      </w:r>
      <w:r w:rsidRPr="00881D57">
        <w:rPr>
          <w:rFonts w:ascii="Times New Roman" w:hAnsi="Times New Roman" w:cs="Times New Roman"/>
          <w:color w:val="000000" w:themeColor="text1"/>
          <w:sz w:val="24"/>
          <w:szCs w:val="24"/>
          <w:shd w:val="clear" w:color="auto" w:fill="FFFFFF"/>
        </w:rPr>
        <w:t>, Southern Italy (1100) [ivory]</w:t>
      </w:r>
      <w:r w:rsidR="00410A86">
        <w:rPr>
          <w:rFonts w:ascii="Times New Roman" w:hAnsi="Times New Roman" w:cs="Times New Roman"/>
          <w:color w:val="000000" w:themeColor="text1"/>
          <w:sz w:val="24"/>
          <w:szCs w:val="24"/>
          <w:shd w:val="clear" w:color="auto" w:fill="FFFFFF"/>
        </w:rPr>
        <w:t>,</w:t>
      </w:r>
      <w:r w:rsidRPr="00881D57">
        <w:rPr>
          <w:rFonts w:ascii="Times New Roman" w:hAnsi="Times New Roman" w:cs="Times New Roman"/>
          <w:color w:val="000000" w:themeColor="text1"/>
          <w:sz w:val="24"/>
          <w:szCs w:val="24"/>
          <w:shd w:val="clear" w:color="auto" w:fill="FFFFFF"/>
        </w:rPr>
        <w:t xml:space="preserve"> </w:t>
      </w:r>
      <w:r w:rsidRPr="00881D57">
        <w:rPr>
          <w:rStyle w:val="artwork-tombstone--value"/>
          <w:rFonts w:ascii="Times New Roman" w:hAnsi="Times New Roman" w:cs="Times New Roman"/>
          <w:color w:val="000000" w:themeColor="text1"/>
          <w:sz w:val="24"/>
          <w:szCs w:val="24"/>
          <w:bdr w:val="none" w:sz="0" w:space="0" w:color="auto" w:frame="1"/>
          <w:shd w:val="clear" w:color="auto" w:fill="FFFFFF"/>
        </w:rPr>
        <w:t>The Metropolitan Museum of Art (Gift of J. Pierpont Morgan, 1917)</w:t>
      </w:r>
      <w:r w:rsidR="00410A86">
        <w:rPr>
          <w:rStyle w:val="artwork-tombstone--value"/>
          <w:rFonts w:ascii="Times New Roman" w:hAnsi="Times New Roman" w:cs="Times New Roman"/>
          <w:color w:val="000000" w:themeColor="text1"/>
          <w:sz w:val="24"/>
          <w:szCs w:val="24"/>
          <w:bdr w:val="none" w:sz="0" w:space="0" w:color="auto" w:frame="1"/>
          <w:shd w:val="clear" w:color="auto" w:fill="FFFFFF"/>
        </w:rPr>
        <w:t xml:space="preserve">, </w:t>
      </w:r>
      <w:r w:rsidRPr="00881D57">
        <w:rPr>
          <w:rStyle w:val="artwork-tombstone--value"/>
          <w:rFonts w:ascii="Times New Roman" w:hAnsi="Times New Roman" w:cs="Times New Roman"/>
          <w:color w:val="000000" w:themeColor="text1"/>
          <w:sz w:val="24"/>
          <w:szCs w:val="24"/>
          <w:bdr w:val="none" w:sz="0" w:space="0" w:color="auto" w:frame="1"/>
          <w:shd w:val="clear" w:color="auto" w:fill="FFFFFF"/>
        </w:rPr>
        <w:t xml:space="preserve">New York City, New York. </w:t>
      </w:r>
      <w:r w:rsidRPr="00881D57">
        <w:rPr>
          <w:rStyle w:val="artwork-tombstone--label"/>
          <w:rFonts w:ascii="Times New Roman" w:hAnsi="Times New Roman" w:cs="Times New Roman"/>
          <w:color w:val="000000" w:themeColor="text1"/>
          <w:sz w:val="24"/>
          <w:szCs w:val="24"/>
          <w:bdr w:val="none" w:sz="0" w:space="0" w:color="auto" w:frame="1"/>
          <w:shd w:val="clear" w:color="auto" w:fill="FFFFFF"/>
        </w:rPr>
        <w:t>Dimensions:</w:t>
      </w:r>
      <w:r w:rsidRPr="00881D57">
        <w:rPr>
          <w:rStyle w:val="artwork-tombstone--value"/>
          <w:rFonts w:ascii="Times New Roman" w:hAnsi="Times New Roman" w:cs="Times New Roman"/>
          <w:color w:val="000000" w:themeColor="text1"/>
          <w:sz w:val="24"/>
          <w:szCs w:val="24"/>
          <w:bdr w:val="none" w:sz="0" w:space="0" w:color="auto" w:frame="1"/>
          <w:shd w:val="clear" w:color="auto" w:fill="FFFFFF"/>
        </w:rPr>
        <w:t xml:space="preserve"> 8 7/8 x 4 1/8 x 9/16 in. (22.5 x 10.4 x 1.4 cm), Accession number: </w:t>
      </w:r>
      <w:r w:rsidRPr="00881D57">
        <w:rPr>
          <w:rFonts w:ascii="Times New Roman" w:hAnsi="Times New Roman" w:cs="Times New Roman"/>
          <w:color w:val="000000" w:themeColor="text1"/>
          <w:sz w:val="24"/>
          <w:szCs w:val="24"/>
          <w:shd w:val="clear" w:color="auto" w:fill="FFFFFF"/>
        </w:rPr>
        <w:t xml:space="preserve">17.190.43. </w:t>
      </w:r>
      <w:hyperlink r:id="rId11" w:history="1">
        <w:r w:rsidRPr="00881D57">
          <w:rPr>
            <w:rStyle w:val="Hyperlink"/>
            <w:rFonts w:ascii="Times New Roman" w:hAnsi="Times New Roman" w:cs="Times New Roman"/>
            <w:color w:val="000000" w:themeColor="text1"/>
            <w:sz w:val="24"/>
            <w:szCs w:val="24"/>
            <w:shd w:val="clear" w:color="auto" w:fill="FFFFFF"/>
          </w:rPr>
          <w:t>https://www.metmuseum.org/art/collection/search/464418?deptids=17%7c7&amp;amp;what=Ivory&amp;amp;ao=on&amp;amp;ft=Salerno&amp;amp;offset=0&amp;amp;rpp=40&amp;amp;pos=3</w:t>
        </w:r>
      </w:hyperlink>
    </w:p>
    <w:sectPr w:rsidR="00B222E5" w:rsidRPr="00881D5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01AEE2" w14:textId="77777777" w:rsidR="003D33B6" w:rsidRDefault="003D33B6" w:rsidP="00C017D4">
      <w:pPr>
        <w:spacing w:after="0" w:line="240" w:lineRule="auto"/>
      </w:pPr>
      <w:r>
        <w:separator/>
      </w:r>
    </w:p>
  </w:endnote>
  <w:endnote w:type="continuationSeparator" w:id="0">
    <w:p w14:paraId="61FDF27E" w14:textId="77777777" w:rsidR="003D33B6" w:rsidRDefault="003D33B6" w:rsidP="00C017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ource Sans Pro">
    <w:altName w:val="Arial"/>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176AE4" w14:textId="77777777" w:rsidR="003D33B6" w:rsidRDefault="003D33B6" w:rsidP="00C017D4">
      <w:pPr>
        <w:spacing w:after="0" w:line="240" w:lineRule="auto"/>
      </w:pPr>
      <w:r>
        <w:separator/>
      </w:r>
    </w:p>
  </w:footnote>
  <w:footnote w:type="continuationSeparator" w:id="0">
    <w:p w14:paraId="277E6721" w14:textId="77777777" w:rsidR="003D33B6" w:rsidRDefault="003D33B6" w:rsidP="00C017D4">
      <w:pPr>
        <w:spacing w:after="0" w:line="240" w:lineRule="auto"/>
      </w:pPr>
      <w:r>
        <w:continuationSeparator/>
      </w:r>
    </w:p>
  </w:footnote>
  <w:footnote w:id="1">
    <w:p w14:paraId="579AA111" w14:textId="1C00D505" w:rsidR="00BB7952" w:rsidRPr="00BE3B58" w:rsidRDefault="00BB7952" w:rsidP="00941320">
      <w:pPr>
        <w:rPr>
          <w:rFonts w:ascii="Times New Roman" w:hAnsi="Times New Roman" w:cs="Times New Roman"/>
          <w:color w:val="000000" w:themeColor="text1"/>
          <w:sz w:val="20"/>
          <w:szCs w:val="20"/>
        </w:rPr>
      </w:pPr>
      <w:r w:rsidRPr="00BE3B58">
        <w:rPr>
          <w:rStyle w:val="FootnoteReference"/>
          <w:rFonts w:ascii="Times New Roman" w:hAnsi="Times New Roman" w:cs="Times New Roman"/>
          <w:color w:val="000000" w:themeColor="text1"/>
          <w:sz w:val="20"/>
          <w:szCs w:val="20"/>
        </w:rPr>
        <w:footnoteRef/>
      </w:r>
      <w:r w:rsidRPr="00BE3B58">
        <w:rPr>
          <w:rFonts w:ascii="Times New Roman" w:hAnsi="Times New Roman" w:cs="Times New Roman"/>
          <w:color w:val="000000" w:themeColor="text1"/>
          <w:sz w:val="20"/>
          <w:szCs w:val="20"/>
        </w:rPr>
        <w:t xml:space="preserve"> </w:t>
      </w:r>
      <w:r w:rsidR="00870AE5">
        <w:rPr>
          <w:rFonts w:ascii="Times New Roman" w:hAnsi="Times New Roman" w:cs="Times New Roman"/>
          <w:color w:val="000000" w:themeColor="text1"/>
          <w:sz w:val="20"/>
          <w:szCs w:val="20"/>
          <w:shd w:val="clear" w:color="auto" w:fill="FFFFFF"/>
        </w:rPr>
        <w:t>John Ball,</w:t>
      </w:r>
      <w:r w:rsidRPr="00BE3B58">
        <w:rPr>
          <w:rFonts w:ascii="Times New Roman" w:hAnsi="Times New Roman" w:cs="Times New Roman"/>
          <w:color w:val="000000" w:themeColor="text1"/>
          <w:sz w:val="20"/>
          <w:szCs w:val="20"/>
          <w:shd w:val="clear" w:color="auto" w:fill="FFFFFF"/>
        </w:rPr>
        <w:t xml:space="preserve"> ‘Pre-Gothic Ivories in the Pierpont Morgan Collection’, </w:t>
      </w:r>
      <w:r w:rsidRPr="00BE3B58">
        <w:rPr>
          <w:rFonts w:ascii="Times New Roman" w:hAnsi="Times New Roman" w:cs="Times New Roman"/>
          <w:i/>
          <w:iCs/>
          <w:color w:val="000000" w:themeColor="text1"/>
          <w:sz w:val="20"/>
          <w:szCs w:val="20"/>
          <w:shd w:val="clear" w:color="auto" w:fill="FFFFFF"/>
        </w:rPr>
        <w:t>Bulletin - Metropolitan Museum of Art</w:t>
      </w:r>
      <w:r w:rsidRPr="00BE3B58">
        <w:rPr>
          <w:rFonts w:ascii="Times New Roman" w:hAnsi="Times New Roman" w:cs="Times New Roman"/>
          <w:color w:val="000000" w:themeColor="text1"/>
          <w:sz w:val="20"/>
          <w:szCs w:val="20"/>
          <w:shd w:val="clear" w:color="auto" w:fill="FFFFFF"/>
        </w:rPr>
        <w:t xml:space="preserve">, 15.1 (1920), </w:t>
      </w:r>
      <w:r w:rsidR="00870AE5">
        <w:rPr>
          <w:rFonts w:ascii="Times New Roman" w:hAnsi="Times New Roman" w:cs="Times New Roman"/>
          <w:color w:val="000000" w:themeColor="text1"/>
          <w:sz w:val="20"/>
          <w:szCs w:val="20"/>
          <w:shd w:val="clear" w:color="auto" w:fill="FFFFFF"/>
        </w:rPr>
        <w:t xml:space="preserve">12-17 (p. </w:t>
      </w:r>
      <w:r w:rsidRPr="00BE3B58">
        <w:rPr>
          <w:rFonts w:ascii="Times New Roman" w:hAnsi="Times New Roman" w:cs="Times New Roman"/>
          <w:color w:val="000000" w:themeColor="text1"/>
          <w:sz w:val="20"/>
          <w:szCs w:val="20"/>
          <w:shd w:val="clear" w:color="auto" w:fill="FFFFFF"/>
        </w:rPr>
        <w:t>15</w:t>
      </w:r>
      <w:r w:rsidR="00870AE5">
        <w:rPr>
          <w:rFonts w:ascii="Times New Roman" w:hAnsi="Times New Roman" w:cs="Times New Roman"/>
          <w:color w:val="000000" w:themeColor="text1"/>
          <w:sz w:val="20"/>
          <w:szCs w:val="20"/>
          <w:shd w:val="clear" w:color="auto" w:fill="FFFFFF"/>
        </w:rPr>
        <w:t xml:space="preserve">). </w:t>
      </w:r>
    </w:p>
  </w:footnote>
  <w:footnote w:id="2">
    <w:p w14:paraId="21021B6B" w14:textId="6C7A355B" w:rsidR="00941320" w:rsidRDefault="00F54E3B">
      <w:pPr>
        <w:pStyle w:val="FootnoteText"/>
        <w:rPr>
          <w:rFonts w:ascii="Times New Roman" w:hAnsi="Times New Roman" w:cs="Times New Roman"/>
          <w:color w:val="000000" w:themeColor="text1"/>
          <w:shd w:val="clear" w:color="auto" w:fill="FFFFFF"/>
        </w:rPr>
      </w:pPr>
      <w:r w:rsidRPr="00BE3B58">
        <w:rPr>
          <w:rStyle w:val="FootnoteReference"/>
          <w:rFonts w:ascii="Times New Roman" w:hAnsi="Times New Roman" w:cs="Times New Roman"/>
          <w:color w:val="000000" w:themeColor="text1"/>
        </w:rPr>
        <w:footnoteRef/>
      </w:r>
      <w:r w:rsidRPr="00BE3B58">
        <w:rPr>
          <w:rFonts w:ascii="Times New Roman" w:hAnsi="Times New Roman" w:cs="Times New Roman"/>
          <w:color w:val="000000" w:themeColor="text1"/>
        </w:rPr>
        <w:t xml:space="preserve"> Robert</w:t>
      </w:r>
      <w:r w:rsidRPr="00941320">
        <w:rPr>
          <w:rFonts w:ascii="Times New Roman" w:hAnsi="Times New Roman" w:cs="Times New Roman"/>
          <w:color w:val="000000" w:themeColor="text1"/>
        </w:rPr>
        <w:t xml:space="preserve"> </w:t>
      </w:r>
      <w:r w:rsidR="00870AE5">
        <w:rPr>
          <w:rFonts w:ascii="Times New Roman" w:hAnsi="Times New Roman" w:cs="Times New Roman"/>
          <w:color w:val="000000" w:themeColor="text1"/>
        </w:rPr>
        <w:t>Bergman</w:t>
      </w:r>
      <w:r w:rsidRPr="00941320">
        <w:rPr>
          <w:rFonts w:ascii="Times New Roman" w:hAnsi="Times New Roman" w:cs="Times New Roman"/>
          <w:color w:val="000000" w:themeColor="text1"/>
        </w:rPr>
        <w:t xml:space="preserve"> has argued that the workshop responsible for the proliferation of ivory carving in </w:t>
      </w:r>
      <w:r w:rsidR="00870AE5">
        <w:rPr>
          <w:rFonts w:ascii="Times New Roman" w:hAnsi="Times New Roman" w:cs="Times New Roman"/>
          <w:color w:val="000000" w:themeColor="text1"/>
        </w:rPr>
        <w:t>11</w:t>
      </w:r>
      <w:r w:rsidR="00870AE5" w:rsidRPr="00870AE5">
        <w:rPr>
          <w:rFonts w:ascii="Times New Roman" w:hAnsi="Times New Roman" w:cs="Times New Roman"/>
          <w:color w:val="000000" w:themeColor="text1"/>
          <w:vertAlign w:val="superscript"/>
        </w:rPr>
        <w:t>th</w:t>
      </w:r>
      <w:r w:rsidR="00870AE5">
        <w:rPr>
          <w:rFonts w:ascii="Times New Roman" w:hAnsi="Times New Roman" w:cs="Times New Roman"/>
          <w:color w:val="000000" w:themeColor="text1"/>
        </w:rPr>
        <w:t>-12</w:t>
      </w:r>
      <w:r w:rsidR="00870AE5" w:rsidRPr="00870AE5">
        <w:rPr>
          <w:rFonts w:ascii="Times New Roman" w:hAnsi="Times New Roman" w:cs="Times New Roman"/>
          <w:color w:val="000000" w:themeColor="text1"/>
          <w:vertAlign w:val="superscript"/>
        </w:rPr>
        <w:t>th</w:t>
      </w:r>
      <w:r w:rsidR="00870AE5">
        <w:rPr>
          <w:rFonts w:ascii="Times New Roman" w:hAnsi="Times New Roman" w:cs="Times New Roman"/>
          <w:color w:val="000000" w:themeColor="text1"/>
        </w:rPr>
        <w:t>-century</w:t>
      </w:r>
      <w:r w:rsidRPr="00941320">
        <w:rPr>
          <w:rFonts w:ascii="Times New Roman" w:hAnsi="Times New Roman" w:cs="Times New Roman"/>
          <w:color w:val="000000" w:themeColor="text1"/>
        </w:rPr>
        <w:t xml:space="preserve"> Salerno </w:t>
      </w:r>
      <w:proofErr w:type="gramStart"/>
      <w:r w:rsidRPr="00941320">
        <w:rPr>
          <w:rFonts w:ascii="Times New Roman" w:hAnsi="Times New Roman" w:cs="Times New Roman"/>
          <w:color w:val="000000" w:themeColor="text1"/>
        </w:rPr>
        <w:t>was located in</w:t>
      </w:r>
      <w:proofErr w:type="gramEnd"/>
      <w:r w:rsidRPr="00941320">
        <w:rPr>
          <w:rFonts w:ascii="Times New Roman" w:hAnsi="Times New Roman" w:cs="Times New Roman"/>
          <w:color w:val="000000" w:themeColor="text1"/>
        </w:rPr>
        <w:t xml:space="preserve"> </w:t>
      </w:r>
      <w:r w:rsidRPr="00941320">
        <w:rPr>
          <w:rFonts w:ascii="Times New Roman" w:hAnsi="Times New Roman" w:cs="Times New Roman"/>
          <w:color w:val="000000" w:themeColor="text1"/>
          <w:shd w:val="clear" w:color="auto" w:fill="FFFFFF"/>
        </w:rPr>
        <w:t>Amalfi</w:t>
      </w:r>
      <w:r w:rsidR="00941320">
        <w:rPr>
          <w:rFonts w:ascii="Times New Roman" w:hAnsi="Times New Roman" w:cs="Times New Roman"/>
          <w:color w:val="000000" w:themeColor="text1"/>
          <w:shd w:val="clear" w:color="auto" w:fill="FFFFFF"/>
        </w:rPr>
        <w:t xml:space="preserve"> </w:t>
      </w:r>
      <w:r w:rsidRPr="00941320">
        <w:rPr>
          <w:rFonts w:ascii="Times New Roman" w:hAnsi="Times New Roman" w:cs="Times New Roman"/>
          <w:color w:val="000000" w:themeColor="text1"/>
          <w:shd w:val="clear" w:color="auto" w:fill="FFFFFF"/>
        </w:rPr>
        <w:t>due to its nearly constant positive relationship with the Arab world, the main source of medieval ivory. Robert P.</w:t>
      </w:r>
      <w:r w:rsidR="00870AE5">
        <w:rPr>
          <w:rFonts w:ascii="Times New Roman" w:hAnsi="Times New Roman" w:cs="Times New Roman"/>
          <w:color w:val="000000" w:themeColor="text1"/>
          <w:shd w:val="clear" w:color="auto" w:fill="FFFFFF"/>
        </w:rPr>
        <w:t xml:space="preserve"> Bergman</w:t>
      </w:r>
      <w:r w:rsidRPr="00941320">
        <w:rPr>
          <w:rFonts w:ascii="Times New Roman" w:hAnsi="Times New Roman" w:cs="Times New Roman"/>
          <w:color w:val="000000" w:themeColor="text1"/>
          <w:shd w:val="clear" w:color="auto" w:fill="FFFFFF"/>
        </w:rPr>
        <w:t>, ‘A School of Romanesque Ivory Carving in Amalfi’, </w:t>
      </w:r>
      <w:r w:rsidRPr="00941320">
        <w:rPr>
          <w:rFonts w:ascii="Times New Roman" w:hAnsi="Times New Roman" w:cs="Times New Roman"/>
          <w:i/>
          <w:iCs/>
          <w:color w:val="000000" w:themeColor="text1"/>
          <w:shd w:val="clear" w:color="auto" w:fill="FFFFFF"/>
        </w:rPr>
        <w:t>Metropolitan Museum Journal</w:t>
      </w:r>
      <w:r w:rsidRPr="00941320">
        <w:rPr>
          <w:rFonts w:ascii="Times New Roman" w:hAnsi="Times New Roman" w:cs="Times New Roman"/>
          <w:color w:val="000000" w:themeColor="text1"/>
          <w:shd w:val="clear" w:color="auto" w:fill="FFFFFF"/>
        </w:rPr>
        <w:t xml:space="preserve">, 9 (1974), 163–86 </w:t>
      </w:r>
      <w:r w:rsidR="00870AE5">
        <w:rPr>
          <w:rFonts w:ascii="Times New Roman" w:hAnsi="Times New Roman" w:cs="Times New Roman"/>
          <w:color w:val="000000" w:themeColor="text1"/>
          <w:shd w:val="clear" w:color="auto" w:fill="FFFFFF"/>
        </w:rPr>
        <w:t xml:space="preserve">(p. </w:t>
      </w:r>
      <w:r w:rsidRPr="00941320">
        <w:rPr>
          <w:rFonts w:ascii="Times New Roman" w:hAnsi="Times New Roman" w:cs="Times New Roman"/>
          <w:color w:val="000000" w:themeColor="text1"/>
          <w:shd w:val="clear" w:color="auto" w:fill="FFFFFF"/>
        </w:rPr>
        <w:t>184</w:t>
      </w:r>
      <w:r w:rsidR="00870AE5">
        <w:rPr>
          <w:rFonts w:ascii="Times New Roman" w:hAnsi="Times New Roman" w:cs="Times New Roman"/>
          <w:color w:val="000000" w:themeColor="text1"/>
          <w:shd w:val="clear" w:color="auto" w:fill="FFFFFF"/>
        </w:rPr>
        <w:t>).</w:t>
      </w:r>
      <w:r w:rsidRPr="00941320">
        <w:rPr>
          <w:rFonts w:ascii="Times New Roman" w:hAnsi="Times New Roman" w:cs="Times New Roman"/>
          <w:color w:val="000000" w:themeColor="text1"/>
          <w:shd w:val="clear" w:color="auto" w:fill="FFFFFF"/>
        </w:rPr>
        <w:t xml:space="preserve"> </w:t>
      </w:r>
    </w:p>
    <w:p w14:paraId="275DCF6F" w14:textId="77777777" w:rsidR="00870AE5" w:rsidRPr="00BE3B58" w:rsidRDefault="00870AE5">
      <w:pPr>
        <w:pStyle w:val="FootnoteText"/>
        <w:rPr>
          <w:rFonts w:ascii="Times New Roman" w:hAnsi="Times New Roman" w:cs="Times New Roman"/>
          <w:color w:val="000000" w:themeColor="text1"/>
          <w:shd w:val="clear" w:color="auto" w:fill="FFFFFF"/>
        </w:rPr>
      </w:pPr>
    </w:p>
  </w:footnote>
  <w:footnote w:id="3">
    <w:p w14:paraId="7DCB96D9" w14:textId="56D68274" w:rsidR="007F2DEA" w:rsidRPr="00870AE5" w:rsidRDefault="007F2DEA" w:rsidP="007F2DEA">
      <w:pPr>
        <w:rPr>
          <w:rFonts w:ascii="Times New Roman" w:hAnsi="Times New Roman" w:cs="Times New Roman"/>
          <w:color w:val="000000" w:themeColor="text1"/>
          <w:sz w:val="20"/>
          <w:szCs w:val="20"/>
          <w:shd w:val="clear" w:color="auto" w:fill="FFFFFF"/>
        </w:rPr>
      </w:pPr>
      <w:r w:rsidRPr="00941320">
        <w:rPr>
          <w:rStyle w:val="FootnoteReference"/>
          <w:rFonts w:ascii="Times New Roman" w:hAnsi="Times New Roman" w:cs="Times New Roman"/>
          <w:color w:val="000000" w:themeColor="text1"/>
          <w:sz w:val="20"/>
          <w:szCs w:val="20"/>
        </w:rPr>
        <w:footnoteRef/>
      </w:r>
      <w:r w:rsidRPr="00941320">
        <w:rPr>
          <w:rFonts w:ascii="Times New Roman" w:hAnsi="Times New Roman" w:cs="Times New Roman"/>
          <w:color w:val="000000" w:themeColor="text1"/>
          <w:sz w:val="20"/>
          <w:szCs w:val="20"/>
        </w:rPr>
        <w:t xml:space="preserve"> </w:t>
      </w:r>
      <w:r w:rsidRPr="00941320">
        <w:rPr>
          <w:rFonts w:ascii="Times New Roman" w:hAnsi="Times New Roman" w:cs="Times New Roman"/>
          <w:color w:val="000000" w:themeColor="text1"/>
          <w:sz w:val="20"/>
          <w:szCs w:val="20"/>
          <w:shd w:val="clear" w:color="auto" w:fill="FFFFFF"/>
        </w:rPr>
        <w:t xml:space="preserve">Sarah </w:t>
      </w:r>
      <w:proofErr w:type="spellStart"/>
      <w:r w:rsidR="00870AE5" w:rsidRPr="00941320">
        <w:rPr>
          <w:rFonts w:ascii="Times New Roman" w:hAnsi="Times New Roman" w:cs="Times New Roman"/>
          <w:color w:val="000000" w:themeColor="text1"/>
          <w:sz w:val="20"/>
          <w:szCs w:val="20"/>
          <w:shd w:val="clear" w:color="auto" w:fill="FFFFFF"/>
        </w:rPr>
        <w:t>Guérin</w:t>
      </w:r>
      <w:proofErr w:type="spellEnd"/>
      <w:r w:rsidR="00870AE5" w:rsidRPr="00941320">
        <w:rPr>
          <w:rFonts w:ascii="Times New Roman" w:hAnsi="Times New Roman" w:cs="Times New Roman"/>
          <w:color w:val="000000" w:themeColor="text1"/>
          <w:sz w:val="20"/>
          <w:szCs w:val="20"/>
          <w:shd w:val="clear" w:color="auto" w:fill="FFFFFF"/>
        </w:rPr>
        <w:t xml:space="preserve">, </w:t>
      </w:r>
      <w:r w:rsidRPr="00941320">
        <w:rPr>
          <w:rFonts w:ascii="Times New Roman" w:hAnsi="Times New Roman" w:cs="Times New Roman"/>
          <w:color w:val="000000" w:themeColor="text1"/>
          <w:sz w:val="20"/>
          <w:szCs w:val="20"/>
          <w:shd w:val="clear" w:color="auto" w:fill="FFFFFF"/>
        </w:rPr>
        <w:t>"Medieval Ivories"</w:t>
      </w:r>
      <w:r w:rsidR="00870AE5">
        <w:rPr>
          <w:rFonts w:ascii="Times New Roman" w:hAnsi="Times New Roman" w:cs="Times New Roman"/>
          <w:color w:val="000000" w:themeColor="text1"/>
          <w:sz w:val="20"/>
          <w:szCs w:val="20"/>
          <w:shd w:val="clear" w:color="auto" w:fill="FFFFFF"/>
        </w:rPr>
        <w:t>,</w:t>
      </w:r>
      <w:r w:rsidRPr="00941320">
        <w:rPr>
          <w:rFonts w:ascii="Times New Roman" w:hAnsi="Times New Roman" w:cs="Times New Roman"/>
          <w:color w:val="000000" w:themeColor="text1"/>
          <w:sz w:val="20"/>
          <w:szCs w:val="20"/>
          <w:shd w:val="clear" w:color="auto" w:fill="FFFFFF"/>
        </w:rPr>
        <w:t xml:space="preserve"> </w:t>
      </w:r>
      <w:r w:rsidRPr="00870AE5">
        <w:rPr>
          <w:rFonts w:ascii="Times New Roman" w:hAnsi="Times New Roman" w:cs="Times New Roman"/>
          <w:i/>
          <w:iCs/>
          <w:color w:val="000000" w:themeColor="text1"/>
          <w:sz w:val="20"/>
          <w:szCs w:val="20"/>
          <w:shd w:val="clear" w:color="auto" w:fill="FFFFFF"/>
        </w:rPr>
        <w:t>Medieval Studies</w:t>
      </w:r>
      <w:r w:rsidR="008D2E68">
        <w:rPr>
          <w:rFonts w:ascii="Times New Roman" w:hAnsi="Times New Roman" w:cs="Times New Roman"/>
          <w:color w:val="000000" w:themeColor="text1"/>
          <w:sz w:val="20"/>
          <w:szCs w:val="20"/>
          <w:shd w:val="clear" w:color="auto" w:fill="FFFFFF"/>
        </w:rPr>
        <w:t xml:space="preserve">, </w:t>
      </w:r>
      <w:r w:rsidR="008D2E68" w:rsidRPr="00941320">
        <w:rPr>
          <w:rFonts w:ascii="Times New Roman" w:hAnsi="Times New Roman" w:cs="Times New Roman"/>
          <w:color w:val="000000" w:themeColor="text1"/>
          <w:sz w:val="20"/>
          <w:szCs w:val="20"/>
          <w:shd w:val="clear" w:color="auto" w:fill="FFFFFF"/>
        </w:rPr>
        <w:t>(Oxford University Press, 2017)</w:t>
      </w:r>
      <w:r w:rsidRPr="00941320">
        <w:rPr>
          <w:rFonts w:ascii="Times New Roman" w:hAnsi="Times New Roman" w:cs="Times New Roman"/>
          <w:color w:val="000000" w:themeColor="text1"/>
          <w:sz w:val="20"/>
          <w:szCs w:val="20"/>
          <w:shd w:val="clear" w:color="auto" w:fill="FFFFFF"/>
        </w:rPr>
        <w:t xml:space="preserve">, </w:t>
      </w:r>
      <w:hyperlink r:id="rId1" w:history="1">
        <w:r w:rsidR="00870AE5" w:rsidRPr="00870AE5">
          <w:rPr>
            <w:rStyle w:val="Hyperlink"/>
            <w:rFonts w:ascii="Times New Roman" w:hAnsi="Times New Roman" w:cs="Times New Roman"/>
            <w:color w:val="000000" w:themeColor="text1"/>
            <w:sz w:val="20"/>
            <w:szCs w:val="20"/>
            <w:shd w:val="clear" w:color="auto" w:fill="FFFFFF"/>
          </w:rPr>
          <w:t>https://www-oxfordbibliographies-com.ezproxy.uwtsd.ac.uk/view/document/obo-9780195396584/obo-9780195396584-0227.xml</w:t>
        </w:r>
      </w:hyperlink>
      <w:r w:rsidRPr="00870AE5">
        <w:rPr>
          <w:rFonts w:ascii="Times New Roman" w:hAnsi="Times New Roman" w:cs="Times New Roman"/>
          <w:color w:val="000000" w:themeColor="text1"/>
          <w:sz w:val="20"/>
          <w:szCs w:val="20"/>
          <w:shd w:val="clear" w:color="auto" w:fill="FFFFFF"/>
        </w:rPr>
        <w:t xml:space="preserve"> (accessed 11 Dec</w:t>
      </w:r>
      <w:r w:rsidR="00870AE5" w:rsidRPr="00870AE5">
        <w:rPr>
          <w:rFonts w:ascii="Times New Roman" w:hAnsi="Times New Roman" w:cs="Times New Roman"/>
          <w:color w:val="000000" w:themeColor="text1"/>
          <w:sz w:val="20"/>
          <w:szCs w:val="20"/>
          <w:shd w:val="clear" w:color="auto" w:fill="FFFFFF"/>
        </w:rPr>
        <w:t>ember</w:t>
      </w:r>
      <w:r w:rsidRPr="00870AE5">
        <w:rPr>
          <w:rFonts w:ascii="Times New Roman" w:hAnsi="Times New Roman" w:cs="Times New Roman"/>
          <w:color w:val="000000" w:themeColor="text1"/>
          <w:sz w:val="20"/>
          <w:szCs w:val="20"/>
          <w:shd w:val="clear" w:color="auto" w:fill="FFFFFF"/>
        </w:rPr>
        <w:t xml:space="preserve"> 2022).</w:t>
      </w:r>
    </w:p>
  </w:footnote>
  <w:footnote w:id="4">
    <w:p w14:paraId="0666F28E" w14:textId="5EC7E7C0" w:rsidR="007F2DEA" w:rsidRPr="00941320" w:rsidRDefault="007F2DEA" w:rsidP="007F2DEA">
      <w:pPr>
        <w:rPr>
          <w:rFonts w:ascii="Times New Roman" w:hAnsi="Times New Roman" w:cs="Times New Roman"/>
          <w:color w:val="000000" w:themeColor="text1"/>
          <w:sz w:val="20"/>
          <w:szCs w:val="20"/>
        </w:rPr>
      </w:pPr>
      <w:r w:rsidRPr="00941320">
        <w:rPr>
          <w:rStyle w:val="FootnoteReference"/>
          <w:rFonts w:ascii="Times New Roman" w:hAnsi="Times New Roman" w:cs="Times New Roman"/>
          <w:color w:val="000000" w:themeColor="text1"/>
          <w:sz w:val="20"/>
          <w:szCs w:val="20"/>
        </w:rPr>
        <w:footnoteRef/>
      </w:r>
      <w:r w:rsidRPr="0053626B">
        <w:rPr>
          <w:rFonts w:ascii="Times New Roman" w:hAnsi="Times New Roman" w:cs="Times New Roman"/>
          <w:sz w:val="20"/>
          <w:szCs w:val="20"/>
        </w:rPr>
        <w:t xml:space="preserve"> </w:t>
      </w:r>
      <w:r w:rsidRPr="00941320">
        <w:rPr>
          <w:rFonts w:ascii="Times New Roman" w:hAnsi="Times New Roman" w:cs="Times New Roman"/>
          <w:color w:val="000000" w:themeColor="text1"/>
          <w:sz w:val="20"/>
          <w:szCs w:val="20"/>
        </w:rPr>
        <w:t xml:space="preserve">Antonia </w:t>
      </w:r>
      <w:proofErr w:type="spellStart"/>
      <w:r w:rsidRPr="00941320">
        <w:rPr>
          <w:rFonts w:ascii="Times New Roman" w:hAnsi="Times New Roman" w:cs="Times New Roman"/>
          <w:color w:val="000000" w:themeColor="text1"/>
          <w:sz w:val="20"/>
          <w:szCs w:val="20"/>
        </w:rPr>
        <w:t>Boström</w:t>
      </w:r>
      <w:proofErr w:type="spellEnd"/>
      <w:r w:rsidR="00870AE5">
        <w:rPr>
          <w:rFonts w:ascii="Times New Roman" w:hAnsi="Times New Roman" w:cs="Times New Roman"/>
          <w:color w:val="000000" w:themeColor="text1"/>
          <w:sz w:val="20"/>
          <w:szCs w:val="20"/>
        </w:rPr>
        <w:t xml:space="preserve"> and Harold Osborne,</w:t>
      </w:r>
      <w:r w:rsidRPr="00941320">
        <w:rPr>
          <w:rFonts w:ascii="Times New Roman" w:hAnsi="Times New Roman" w:cs="Times New Roman"/>
          <w:color w:val="000000" w:themeColor="text1"/>
          <w:sz w:val="20"/>
          <w:szCs w:val="20"/>
        </w:rPr>
        <w:t xml:space="preserve"> "</w:t>
      </w:r>
      <w:r w:rsidR="00870AE5">
        <w:rPr>
          <w:rFonts w:ascii="Times New Roman" w:hAnsi="Times New Roman" w:cs="Times New Roman"/>
          <w:color w:val="000000" w:themeColor="text1"/>
          <w:sz w:val="20"/>
          <w:szCs w:val="20"/>
        </w:rPr>
        <w:t>I</w:t>
      </w:r>
      <w:r w:rsidRPr="00941320">
        <w:rPr>
          <w:rFonts w:ascii="Times New Roman" w:hAnsi="Times New Roman" w:cs="Times New Roman"/>
          <w:color w:val="000000" w:themeColor="text1"/>
          <w:sz w:val="20"/>
          <w:szCs w:val="20"/>
        </w:rPr>
        <w:t>vories"</w:t>
      </w:r>
      <w:r w:rsidR="00870AE5">
        <w:rPr>
          <w:rFonts w:ascii="Times New Roman" w:hAnsi="Times New Roman" w:cs="Times New Roman"/>
          <w:color w:val="000000" w:themeColor="text1"/>
          <w:sz w:val="20"/>
          <w:szCs w:val="20"/>
        </w:rPr>
        <w:t>,</w:t>
      </w:r>
      <w:r w:rsidRPr="00941320">
        <w:rPr>
          <w:rFonts w:ascii="Times New Roman" w:hAnsi="Times New Roman" w:cs="Times New Roman"/>
          <w:color w:val="000000" w:themeColor="text1"/>
          <w:sz w:val="20"/>
          <w:szCs w:val="20"/>
        </w:rPr>
        <w:t> </w:t>
      </w:r>
      <w:r w:rsidRPr="00941320">
        <w:rPr>
          <w:rStyle w:val="Emphasis"/>
          <w:rFonts w:ascii="Times New Roman" w:hAnsi="Times New Roman" w:cs="Times New Roman"/>
          <w:color w:val="000000" w:themeColor="text1"/>
          <w:sz w:val="20"/>
          <w:szCs w:val="20"/>
        </w:rPr>
        <w:t>The Oxford Companion to Western Art</w:t>
      </w:r>
      <w:r w:rsidRPr="00941320">
        <w:rPr>
          <w:rFonts w:ascii="Times New Roman" w:hAnsi="Times New Roman" w:cs="Times New Roman"/>
          <w:color w:val="000000" w:themeColor="text1"/>
          <w:sz w:val="20"/>
          <w:szCs w:val="20"/>
        </w:rPr>
        <w:t xml:space="preserve"> </w:t>
      </w:r>
      <w:r w:rsidR="00870AE5">
        <w:rPr>
          <w:rFonts w:ascii="Times New Roman" w:hAnsi="Times New Roman" w:cs="Times New Roman"/>
          <w:color w:val="000000" w:themeColor="text1"/>
          <w:sz w:val="20"/>
          <w:szCs w:val="20"/>
        </w:rPr>
        <w:t xml:space="preserve">(Oxford: </w:t>
      </w:r>
      <w:r w:rsidRPr="00941320">
        <w:rPr>
          <w:rFonts w:ascii="Times New Roman" w:hAnsi="Times New Roman" w:cs="Times New Roman"/>
          <w:color w:val="000000" w:themeColor="text1"/>
          <w:sz w:val="20"/>
          <w:szCs w:val="20"/>
        </w:rPr>
        <w:t>Oxford University Press, 2001</w:t>
      </w:r>
      <w:r w:rsidR="00870AE5">
        <w:rPr>
          <w:rFonts w:ascii="Times New Roman" w:hAnsi="Times New Roman" w:cs="Times New Roman"/>
          <w:color w:val="000000" w:themeColor="text1"/>
          <w:sz w:val="20"/>
          <w:szCs w:val="20"/>
        </w:rPr>
        <w:t>),</w:t>
      </w:r>
      <w:r w:rsidRPr="00941320">
        <w:rPr>
          <w:rFonts w:ascii="Times New Roman" w:hAnsi="Times New Roman" w:cs="Times New Roman"/>
          <w:color w:val="000000" w:themeColor="text1"/>
          <w:sz w:val="20"/>
          <w:szCs w:val="20"/>
        </w:rPr>
        <w:t xml:space="preserve"> </w:t>
      </w:r>
      <w:hyperlink r:id="rId2" w:history="1">
        <w:r w:rsidRPr="00941320">
          <w:rPr>
            <w:rStyle w:val="Hyperlink"/>
            <w:rFonts w:ascii="Times New Roman" w:hAnsi="Times New Roman" w:cs="Times New Roman"/>
            <w:color w:val="000000" w:themeColor="text1"/>
            <w:sz w:val="20"/>
            <w:szCs w:val="20"/>
          </w:rPr>
          <w:t>https://www.oxfordreference.com/view/10.1093/acref/9780198662037.001.0001/acref-9780198662037-e-1302</w:t>
        </w:r>
      </w:hyperlink>
      <w:r w:rsidR="00870AE5">
        <w:rPr>
          <w:rStyle w:val="Hyperlink"/>
          <w:rFonts w:ascii="Times New Roman" w:hAnsi="Times New Roman" w:cs="Times New Roman"/>
          <w:color w:val="000000" w:themeColor="text1"/>
          <w:sz w:val="20"/>
          <w:szCs w:val="20"/>
        </w:rPr>
        <w:t xml:space="preserve"> </w:t>
      </w:r>
      <w:r w:rsidR="00870AE5" w:rsidRPr="00870AE5">
        <w:rPr>
          <w:rStyle w:val="Hyperlink"/>
          <w:rFonts w:ascii="Times New Roman" w:hAnsi="Times New Roman" w:cs="Times New Roman"/>
          <w:color w:val="000000" w:themeColor="text1"/>
          <w:sz w:val="20"/>
          <w:szCs w:val="20"/>
          <w:u w:val="none"/>
        </w:rPr>
        <w:t>(accessed 11 December 2022).</w:t>
      </w:r>
      <w:r w:rsidR="00870AE5">
        <w:rPr>
          <w:rStyle w:val="Hyperlink"/>
          <w:rFonts w:ascii="Times New Roman" w:hAnsi="Times New Roman" w:cs="Times New Roman"/>
          <w:color w:val="000000" w:themeColor="text1"/>
          <w:sz w:val="20"/>
          <w:szCs w:val="20"/>
        </w:rPr>
        <w:t xml:space="preserve"> </w:t>
      </w:r>
    </w:p>
  </w:footnote>
  <w:footnote w:id="5">
    <w:p w14:paraId="19FCBFB4" w14:textId="54EB940A" w:rsidR="00F54E3B" w:rsidRDefault="00F54E3B">
      <w:pPr>
        <w:pStyle w:val="FootnoteText"/>
        <w:rPr>
          <w:rFonts w:ascii="Times New Roman" w:hAnsi="Times New Roman" w:cs="Times New Roman"/>
          <w:color w:val="000000" w:themeColor="text1"/>
          <w:shd w:val="clear" w:color="auto" w:fill="FFFFFF"/>
        </w:rPr>
      </w:pPr>
      <w:r w:rsidRPr="00941320">
        <w:rPr>
          <w:rStyle w:val="FootnoteReference"/>
          <w:rFonts w:ascii="Times New Roman" w:hAnsi="Times New Roman" w:cs="Times New Roman"/>
          <w:color w:val="000000" w:themeColor="text1"/>
        </w:rPr>
        <w:footnoteRef/>
      </w:r>
      <w:r w:rsidRPr="00941320">
        <w:rPr>
          <w:rFonts w:ascii="Times New Roman" w:hAnsi="Times New Roman" w:cs="Times New Roman"/>
          <w:color w:val="000000" w:themeColor="text1"/>
        </w:rPr>
        <w:t xml:space="preserve"> </w:t>
      </w:r>
      <w:r w:rsidRPr="00941320">
        <w:rPr>
          <w:rFonts w:ascii="Times New Roman" w:hAnsi="Times New Roman" w:cs="Times New Roman"/>
          <w:color w:val="000000" w:themeColor="text1"/>
          <w:shd w:val="clear" w:color="auto" w:fill="FFFFFF"/>
        </w:rPr>
        <w:t>Bergman,</w:t>
      </w:r>
      <w:r w:rsidR="00870AE5">
        <w:rPr>
          <w:rFonts w:ascii="Times New Roman" w:hAnsi="Times New Roman" w:cs="Times New Roman"/>
          <w:color w:val="000000" w:themeColor="text1"/>
          <w:shd w:val="clear" w:color="auto" w:fill="FFFFFF"/>
        </w:rPr>
        <w:t xml:space="preserve"> </w:t>
      </w:r>
      <w:r w:rsidRPr="00941320">
        <w:rPr>
          <w:rFonts w:ascii="Times New Roman" w:hAnsi="Times New Roman" w:cs="Times New Roman"/>
          <w:color w:val="000000" w:themeColor="text1"/>
          <w:shd w:val="clear" w:color="auto" w:fill="FFFFFF"/>
        </w:rPr>
        <w:t>‘A School of Romanesque Ivory Carving in Amalfi’, </w:t>
      </w:r>
      <w:r w:rsidR="00870AE5">
        <w:rPr>
          <w:rFonts w:ascii="Times New Roman" w:hAnsi="Times New Roman" w:cs="Times New Roman"/>
          <w:color w:val="000000" w:themeColor="text1"/>
          <w:shd w:val="clear" w:color="auto" w:fill="FFFFFF"/>
        </w:rPr>
        <w:t xml:space="preserve">p. </w:t>
      </w:r>
      <w:r w:rsidRPr="00941320">
        <w:rPr>
          <w:rFonts w:ascii="Times New Roman" w:hAnsi="Times New Roman" w:cs="Times New Roman"/>
          <w:color w:val="000000" w:themeColor="text1"/>
          <w:shd w:val="clear" w:color="auto" w:fill="FFFFFF"/>
        </w:rPr>
        <w:t>176 and 180</w:t>
      </w:r>
      <w:r w:rsidR="00870AE5">
        <w:rPr>
          <w:rFonts w:ascii="Times New Roman" w:hAnsi="Times New Roman" w:cs="Times New Roman"/>
          <w:color w:val="000000" w:themeColor="text1"/>
          <w:shd w:val="clear" w:color="auto" w:fill="FFFFFF"/>
        </w:rPr>
        <w:t>.</w:t>
      </w:r>
      <w:r w:rsidRPr="00941320">
        <w:rPr>
          <w:rFonts w:ascii="Times New Roman" w:hAnsi="Times New Roman" w:cs="Times New Roman"/>
          <w:color w:val="000000" w:themeColor="text1"/>
          <w:shd w:val="clear" w:color="auto" w:fill="FFFFFF"/>
        </w:rPr>
        <w:t xml:space="preserve"> </w:t>
      </w:r>
    </w:p>
    <w:p w14:paraId="6C9B1EBE" w14:textId="77777777" w:rsidR="00870AE5" w:rsidRPr="00941320" w:rsidRDefault="00870AE5">
      <w:pPr>
        <w:pStyle w:val="FootnoteText"/>
        <w:rPr>
          <w:rFonts w:ascii="Times New Roman" w:hAnsi="Times New Roman" w:cs="Times New Roman"/>
          <w:color w:val="000000" w:themeColor="text1"/>
        </w:rPr>
      </w:pPr>
    </w:p>
  </w:footnote>
  <w:footnote w:id="6">
    <w:p w14:paraId="23158C4B" w14:textId="3461FACD" w:rsidR="00941320" w:rsidRDefault="00941320">
      <w:pPr>
        <w:pStyle w:val="FootnoteText"/>
        <w:rPr>
          <w:rFonts w:ascii="Times New Roman" w:hAnsi="Times New Roman" w:cs="Times New Roman"/>
          <w:color w:val="000000" w:themeColor="text1"/>
          <w:shd w:val="clear" w:color="auto" w:fill="FFFFFF"/>
        </w:rPr>
      </w:pPr>
      <w:r w:rsidRPr="00941320">
        <w:rPr>
          <w:rStyle w:val="FootnoteReference"/>
          <w:rFonts w:ascii="Times New Roman" w:hAnsi="Times New Roman" w:cs="Times New Roman"/>
          <w:color w:val="000000" w:themeColor="text1"/>
        </w:rPr>
        <w:footnoteRef/>
      </w:r>
      <w:r w:rsidRPr="00941320">
        <w:rPr>
          <w:rFonts w:ascii="Times New Roman" w:hAnsi="Times New Roman" w:cs="Times New Roman"/>
          <w:color w:val="000000" w:themeColor="text1"/>
        </w:rPr>
        <w:t xml:space="preserve"> </w:t>
      </w:r>
      <w:r w:rsidR="00870AE5">
        <w:rPr>
          <w:rFonts w:ascii="Times New Roman" w:hAnsi="Times New Roman" w:cs="Times New Roman"/>
          <w:color w:val="000000" w:themeColor="text1"/>
          <w:shd w:val="clear" w:color="auto" w:fill="FFFFFF"/>
        </w:rPr>
        <w:t xml:space="preserve">Ibid. p. </w:t>
      </w:r>
      <w:r w:rsidRPr="00941320">
        <w:rPr>
          <w:rFonts w:ascii="Times New Roman" w:hAnsi="Times New Roman" w:cs="Times New Roman"/>
          <w:color w:val="000000" w:themeColor="text1"/>
          <w:shd w:val="clear" w:color="auto" w:fill="FFFFFF"/>
        </w:rPr>
        <w:t>183</w:t>
      </w:r>
      <w:r w:rsidR="00870AE5">
        <w:rPr>
          <w:rFonts w:ascii="Times New Roman" w:hAnsi="Times New Roman" w:cs="Times New Roman"/>
          <w:color w:val="000000" w:themeColor="text1"/>
          <w:shd w:val="clear" w:color="auto" w:fill="FFFFFF"/>
        </w:rPr>
        <w:t>.</w:t>
      </w:r>
      <w:r w:rsidRPr="00941320">
        <w:rPr>
          <w:rFonts w:ascii="Times New Roman" w:hAnsi="Times New Roman" w:cs="Times New Roman"/>
          <w:color w:val="000000" w:themeColor="text1"/>
          <w:shd w:val="clear" w:color="auto" w:fill="FFFFFF"/>
        </w:rPr>
        <w:t xml:space="preserve"> </w:t>
      </w:r>
    </w:p>
    <w:p w14:paraId="56564383" w14:textId="77777777" w:rsidR="00941320" w:rsidRPr="00941320" w:rsidRDefault="00941320">
      <w:pPr>
        <w:pStyle w:val="FootnoteText"/>
        <w:rPr>
          <w:rFonts w:ascii="Times New Roman" w:hAnsi="Times New Roman" w:cs="Times New Roman"/>
          <w:color w:val="000000" w:themeColor="text1"/>
        </w:rPr>
      </w:pPr>
    </w:p>
  </w:footnote>
  <w:footnote w:id="7">
    <w:p w14:paraId="3476AFB7" w14:textId="7F48AA40" w:rsidR="006B4D2B" w:rsidRPr="00941320" w:rsidRDefault="006B4D2B" w:rsidP="00BE3B58">
      <w:pPr>
        <w:rPr>
          <w:rFonts w:ascii="Times New Roman" w:hAnsi="Times New Roman" w:cs="Times New Roman"/>
          <w:color w:val="000000" w:themeColor="text1"/>
          <w:sz w:val="20"/>
          <w:szCs w:val="20"/>
        </w:rPr>
      </w:pPr>
      <w:r w:rsidRPr="00941320">
        <w:rPr>
          <w:rStyle w:val="FootnoteReference"/>
          <w:rFonts w:ascii="Times New Roman" w:hAnsi="Times New Roman" w:cs="Times New Roman"/>
          <w:color w:val="000000" w:themeColor="text1"/>
          <w:sz w:val="20"/>
          <w:szCs w:val="20"/>
        </w:rPr>
        <w:footnoteRef/>
      </w:r>
      <w:r w:rsidRPr="00941320">
        <w:rPr>
          <w:rFonts w:ascii="Times New Roman" w:hAnsi="Times New Roman" w:cs="Times New Roman"/>
          <w:color w:val="000000" w:themeColor="text1"/>
          <w:sz w:val="20"/>
          <w:szCs w:val="20"/>
        </w:rPr>
        <w:t xml:space="preserve"> </w:t>
      </w:r>
      <w:r w:rsidR="00BE3B58" w:rsidRPr="00BE3B58">
        <w:rPr>
          <w:rFonts w:ascii="Times New Roman" w:hAnsi="Times New Roman" w:cs="Times New Roman"/>
          <w:color w:val="000000" w:themeColor="text1"/>
          <w:sz w:val="20"/>
          <w:szCs w:val="20"/>
        </w:rPr>
        <w:t>Ivory diptychs (two hinged panels) were initially used during the Roman Empire to display the carved heads of consuls. Eventually, the portable, two-panel diptych was used as the basis for religious reliefs in the medieval period, with the three-panel triptych evolving from the more basic form.</w:t>
      </w:r>
      <w:r w:rsidR="00BE3B58">
        <w:rPr>
          <w:rFonts w:ascii="Times New Roman" w:hAnsi="Times New Roman" w:cs="Times New Roman"/>
          <w:color w:val="000000" w:themeColor="text1"/>
          <w:sz w:val="24"/>
          <w:szCs w:val="24"/>
        </w:rPr>
        <w:t xml:space="preserve"> </w:t>
      </w:r>
      <w:proofErr w:type="spellStart"/>
      <w:r w:rsidRPr="00941320">
        <w:rPr>
          <w:rFonts w:ascii="Times New Roman" w:hAnsi="Times New Roman" w:cs="Times New Roman"/>
          <w:color w:val="000000" w:themeColor="text1"/>
          <w:sz w:val="20"/>
          <w:szCs w:val="20"/>
        </w:rPr>
        <w:t>Boström</w:t>
      </w:r>
      <w:proofErr w:type="spellEnd"/>
      <w:r w:rsidR="00870AE5">
        <w:rPr>
          <w:rFonts w:ascii="Times New Roman" w:hAnsi="Times New Roman" w:cs="Times New Roman"/>
          <w:color w:val="000000" w:themeColor="text1"/>
          <w:sz w:val="20"/>
          <w:szCs w:val="20"/>
        </w:rPr>
        <w:t xml:space="preserve"> and Osborne,</w:t>
      </w:r>
      <w:r w:rsidRPr="00941320">
        <w:rPr>
          <w:rFonts w:ascii="Times New Roman" w:hAnsi="Times New Roman" w:cs="Times New Roman"/>
          <w:color w:val="000000" w:themeColor="text1"/>
          <w:sz w:val="20"/>
          <w:szCs w:val="20"/>
        </w:rPr>
        <w:t xml:space="preserve"> "</w:t>
      </w:r>
      <w:r w:rsidR="00870AE5">
        <w:rPr>
          <w:rFonts w:ascii="Times New Roman" w:hAnsi="Times New Roman" w:cs="Times New Roman"/>
          <w:color w:val="000000" w:themeColor="text1"/>
          <w:sz w:val="20"/>
          <w:szCs w:val="20"/>
        </w:rPr>
        <w:t>I</w:t>
      </w:r>
      <w:r w:rsidRPr="00941320">
        <w:rPr>
          <w:rFonts w:ascii="Times New Roman" w:hAnsi="Times New Roman" w:cs="Times New Roman"/>
          <w:color w:val="000000" w:themeColor="text1"/>
          <w:sz w:val="20"/>
          <w:szCs w:val="20"/>
        </w:rPr>
        <w:t>vories"</w:t>
      </w:r>
      <w:r w:rsidR="00870AE5">
        <w:rPr>
          <w:rFonts w:ascii="Times New Roman" w:hAnsi="Times New Roman" w:cs="Times New Roman"/>
          <w:color w:val="000000" w:themeColor="text1"/>
          <w:sz w:val="20"/>
          <w:szCs w:val="20"/>
        </w:rPr>
        <w:t>,</w:t>
      </w:r>
      <w:r w:rsidRPr="00941320">
        <w:rPr>
          <w:rFonts w:ascii="Times New Roman" w:hAnsi="Times New Roman" w:cs="Times New Roman"/>
          <w:color w:val="000000" w:themeColor="text1"/>
          <w:sz w:val="20"/>
          <w:szCs w:val="20"/>
        </w:rPr>
        <w:t xml:space="preserve"> In </w:t>
      </w:r>
      <w:proofErr w:type="gramStart"/>
      <w:r w:rsidRPr="00941320">
        <w:rPr>
          <w:rStyle w:val="Emphasis"/>
          <w:rFonts w:ascii="Times New Roman" w:hAnsi="Times New Roman" w:cs="Times New Roman"/>
          <w:color w:val="000000" w:themeColor="text1"/>
          <w:sz w:val="20"/>
          <w:szCs w:val="20"/>
        </w:rPr>
        <w:t>The</w:t>
      </w:r>
      <w:proofErr w:type="gramEnd"/>
      <w:r w:rsidRPr="00941320">
        <w:rPr>
          <w:rStyle w:val="Emphasis"/>
          <w:rFonts w:ascii="Times New Roman" w:hAnsi="Times New Roman" w:cs="Times New Roman"/>
          <w:color w:val="000000" w:themeColor="text1"/>
          <w:sz w:val="20"/>
          <w:szCs w:val="20"/>
        </w:rPr>
        <w:t xml:space="preserve"> Oxford Companion to Western Art</w:t>
      </w:r>
      <w:r w:rsidRPr="00941320">
        <w:rPr>
          <w:rFonts w:ascii="Times New Roman" w:hAnsi="Times New Roman" w:cs="Times New Roman"/>
          <w:color w:val="000000" w:themeColor="text1"/>
          <w:sz w:val="20"/>
          <w:szCs w:val="20"/>
        </w:rPr>
        <w:t>.</w:t>
      </w:r>
    </w:p>
  </w:footnote>
  <w:footnote w:id="8">
    <w:p w14:paraId="1BFEAB9B" w14:textId="77777777" w:rsidR="00870AE5" w:rsidRDefault="001F795E">
      <w:pPr>
        <w:pStyle w:val="FootnoteText"/>
        <w:rPr>
          <w:rFonts w:ascii="Times New Roman" w:hAnsi="Times New Roman" w:cs="Times New Roman"/>
          <w:color w:val="000000" w:themeColor="text1"/>
          <w:shd w:val="clear" w:color="auto" w:fill="FFFFFF"/>
        </w:rPr>
      </w:pPr>
      <w:r w:rsidRPr="00941320">
        <w:rPr>
          <w:rStyle w:val="FootnoteReference"/>
          <w:rFonts w:ascii="Times New Roman" w:hAnsi="Times New Roman" w:cs="Times New Roman"/>
          <w:color w:val="000000" w:themeColor="text1"/>
        </w:rPr>
        <w:footnoteRef/>
      </w:r>
      <w:r w:rsidRPr="00941320">
        <w:rPr>
          <w:rFonts w:ascii="Times New Roman" w:hAnsi="Times New Roman" w:cs="Times New Roman"/>
          <w:color w:val="000000" w:themeColor="text1"/>
        </w:rPr>
        <w:t xml:space="preserve"> </w:t>
      </w:r>
      <w:r w:rsidRPr="00941320">
        <w:rPr>
          <w:rFonts w:ascii="Times New Roman" w:hAnsi="Times New Roman" w:cs="Times New Roman"/>
          <w:color w:val="000000" w:themeColor="text1"/>
          <w:shd w:val="clear" w:color="auto" w:fill="FFFFFF"/>
        </w:rPr>
        <w:t xml:space="preserve">Carolyn S. </w:t>
      </w:r>
      <w:proofErr w:type="spellStart"/>
      <w:r w:rsidRPr="00941320">
        <w:rPr>
          <w:rFonts w:ascii="Times New Roman" w:hAnsi="Times New Roman" w:cs="Times New Roman"/>
          <w:color w:val="000000" w:themeColor="text1"/>
          <w:shd w:val="clear" w:color="auto" w:fill="FFFFFF"/>
        </w:rPr>
        <w:t>Jirousek</w:t>
      </w:r>
      <w:proofErr w:type="spellEnd"/>
      <w:r w:rsidRPr="00941320">
        <w:rPr>
          <w:rFonts w:ascii="Times New Roman" w:hAnsi="Times New Roman" w:cs="Times New Roman"/>
          <w:color w:val="000000" w:themeColor="text1"/>
          <w:shd w:val="clear" w:color="auto" w:fill="FFFFFF"/>
        </w:rPr>
        <w:t>, ‘Christ and St. John the Evangelist as a Model of Medieval Mysticism’, </w:t>
      </w:r>
      <w:r w:rsidRPr="00941320">
        <w:rPr>
          <w:rFonts w:ascii="Times New Roman" w:hAnsi="Times New Roman" w:cs="Times New Roman"/>
          <w:i/>
          <w:iCs/>
          <w:color w:val="000000" w:themeColor="text1"/>
          <w:shd w:val="clear" w:color="auto" w:fill="FFFFFF"/>
        </w:rPr>
        <w:t>Cleveland Studies in the History of Art</w:t>
      </w:r>
      <w:r w:rsidRPr="00941320">
        <w:rPr>
          <w:rFonts w:ascii="Times New Roman" w:hAnsi="Times New Roman" w:cs="Times New Roman"/>
          <w:color w:val="000000" w:themeColor="text1"/>
          <w:shd w:val="clear" w:color="auto" w:fill="FFFFFF"/>
        </w:rPr>
        <w:t>, 6 (2001),</w:t>
      </w:r>
      <w:r w:rsidR="00870AE5">
        <w:rPr>
          <w:rFonts w:ascii="Times New Roman" w:hAnsi="Times New Roman" w:cs="Times New Roman"/>
          <w:color w:val="000000" w:themeColor="text1"/>
          <w:shd w:val="clear" w:color="auto" w:fill="FFFFFF"/>
        </w:rPr>
        <w:t xml:space="preserve"> 6-27 (p. </w:t>
      </w:r>
      <w:r w:rsidRPr="00941320">
        <w:rPr>
          <w:rFonts w:ascii="Times New Roman" w:hAnsi="Times New Roman" w:cs="Times New Roman"/>
          <w:color w:val="000000" w:themeColor="text1"/>
          <w:shd w:val="clear" w:color="auto" w:fill="FFFFFF"/>
        </w:rPr>
        <w:t>15</w:t>
      </w:r>
      <w:r w:rsidR="00870AE5">
        <w:rPr>
          <w:rFonts w:ascii="Times New Roman" w:hAnsi="Times New Roman" w:cs="Times New Roman"/>
          <w:color w:val="000000" w:themeColor="text1"/>
          <w:shd w:val="clear" w:color="auto" w:fill="FFFFFF"/>
        </w:rPr>
        <w:t>).</w:t>
      </w:r>
    </w:p>
    <w:p w14:paraId="7320F3F8" w14:textId="6FFB6FD8" w:rsidR="001F795E" w:rsidRDefault="001F795E">
      <w:pPr>
        <w:pStyle w:val="FootnoteText"/>
      </w:pPr>
      <w:r w:rsidRPr="00941320">
        <w:rPr>
          <w:rFonts w:ascii="Times New Roman" w:hAnsi="Times New Roman" w:cs="Times New Roman"/>
          <w:color w:val="000000" w:themeColor="text1"/>
          <w:shd w:val="clear" w:color="auto" w:fill="FFFFFF"/>
        </w:rPr>
        <w:t xml:space="preserve"> </w:t>
      </w:r>
    </w:p>
  </w:footnote>
  <w:footnote w:id="9">
    <w:p w14:paraId="2A6F9A66" w14:textId="0F6F2FC8" w:rsidR="00870AE5" w:rsidRDefault="00990209">
      <w:pPr>
        <w:pStyle w:val="FootnoteText"/>
        <w:rPr>
          <w:rFonts w:ascii="Times New Roman" w:hAnsi="Times New Roman" w:cs="Times New Roman"/>
          <w:color w:val="000000" w:themeColor="text1"/>
          <w:shd w:val="clear" w:color="auto" w:fill="FFFFFF"/>
        </w:rPr>
      </w:pPr>
      <w:r w:rsidRPr="00BE3B58">
        <w:rPr>
          <w:rStyle w:val="FootnoteReference"/>
          <w:rFonts w:ascii="Times New Roman" w:hAnsi="Times New Roman" w:cs="Times New Roman"/>
          <w:color w:val="000000" w:themeColor="text1"/>
        </w:rPr>
        <w:footnoteRef/>
      </w:r>
      <w:r w:rsidRPr="00BE3B58">
        <w:rPr>
          <w:rFonts w:ascii="Times New Roman" w:hAnsi="Times New Roman" w:cs="Times New Roman"/>
          <w:color w:val="000000" w:themeColor="text1"/>
        </w:rPr>
        <w:t xml:space="preserve"> </w:t>
      </w:r>
      <w:r w:rsidRPr="00BE3B58">
        <w:rPr>
          <w:rFonts w:ascii="Times New Roman" w:hAnsi="Times New Roman" w:cs="Times New Roman"/>
          <w:color w:val="000000" w:themeColor="text1"/>
          <w:shd w:val="clear" w:color="auto" w:fill="FFFFFF"/>
        </w:rPr>
        <w:t>Department of Medieval Art and The Cloisters. “Private Devotion in Medieval Christianity.” In </w:t>
      </w:r>
      <w:proofErr w:type="spellStart"/>
      <w:r w:rsidRPr="00BE3B58">
        <w:rPr>
          <w:rStyle w:val="Emphasis"/>
          <w:rFonts w:ascii="Times New Roman" w:hAnsi="Times New Roman" w:cs="Times New Roman"/>
          <w:color w:val="000000" w:themeColor="text1"/>
          <w:bdr w:val="none" w:sz="0" w:space="0" w:color="auto" w:frame="1"/>
          <w:shd w:val="clear" w:color="auto" w:fill="FFFFFF"/>
        </w:rPr>
        <w:t>Heilbrunn</w:t>
      </w:r>
      <w:proofErr w:type="spellEnd"/>
      <w:r w:rsidRPr="00BE3B58">
        <w:rPr>
          <w:rStyle w:val="Emphasis"/>
          <w:rFonts w:ascii="Times New Roman" w:hAnsi="Times New Roman" w:cs="Times New Roman"/>
          <w:color w:val="000000" w:themeColor="text1"/>
          <w:bdr w:val="none" w:sz="0" w:space="0" w:color="auto" w:frame="1"/>
          <w:shd w:val="clear" w:color="auto" w:fill="FFFFFF"/>
        </w:rPr>
        <w:t xml:space="preserve"> Timeline of Art History</w:t>
      </w:r>
      <w:r w:rsidR="00870AE5">
        <w:rPr>
          <w:rFonts w:ascii="Times New Roman" w:hAnsi="Times New Roman" w:cs="Times New Roman"/>
          <w:color w:val="000000" w:themeColor="text1"/>
          <w:shd w:val="clear" w:color="auto" w:fill="FFFFFF"/>
        </w:rPr>
        <w:t>, (</w:t>
      </w:r>
      <w:r w:rsidRPr="00BE3B58">
        <w:rPr>
          <w:rFonts w:ascii="Times New Roman" w:hAnsi="Times New Roman" w:cs="Times New Roman"/>
          <w:color w:val="000000" w:themeColor="text1"/>
          <w:shd w:val="clear" w:color="auto" w:fill="FFFFFF"/>
        </w:rPr>
        <w:t>New York: The Metropolitan Museum of Art, 20</w:t>
      </w:r>
      <w:r w:rsidR="00870AE5">
        <w:rPr>
          <w:rFonts w:ascii="Times New Roman" w:hAnsi="Times New Roman" w:cs="Times New Roman"/>
          <w:color w:val="000000" w:themeColor="text1"/>
          <w:shd w:val="clear" w:color="auto" w:fill="FFFFFF"/>
        </w:rPr>
        <w:t>01),</w:t>
      </w:r>
      <w:r w:rsidRPr="00BE3B58">
        <w:rPr>
          <w:rFonts w:ascii="Times New Roman" w:hAnsi="Times New Roman" w:cs="Times New Roman"/>
          <w:color w:val="000000" w:themeColor="text1"/>
          <w:shd w:val="clear" w:color="auto" w:fill="FFFFFF"/>
        </w:rPr>
        <w:t xml:space="preserve"> </w:t>
      </w:r>
      <w:hyperlink r:id="rId3" w:history="1">
        <w:r w:rsidR="00870AE5" w:rsidRPr="00AF52FB">
          <w:rPr>
            <w:rStyle w:val="Hyperlink"/>
            <w:rFonts w:ascii="Times New Roman" w:hAnsi="Times New Roman" w:cs="Times New Roman"/>
            <w:shd w:val="clear" w:color="auto" w:fill="FFFFFF"/>
          </w:rPr>
          <w:t>http://www.metmuseum.org/toah/hd/priv/hd_priv.htm</w:t>
        </w:r>
      </w:hyperlink>
    </w:p>
    <w:p w14:paraId="27BA10FE" w14:textId="0D8020F4" w:rsidR="00990209" w:rsidRPr="00BE3B58" w:rsidRDefault="00990209">
      <w:pPr>
        <w:pStyle w:val="FootnoteText"/>
        <w:rPr>
          <w:rFonts w:ascii="Times New Roman" w:hAnsi="Times New Roman" w:cs="Times New Roman"/>
          <w:color w:val="000000" w:themeColor="text1"/>
        </w:rPr>
      </w:pPr>
    </w:p>
  </w:footnote>
  <w:footnote w:id="10">
    <w:p w14:paraId="3A0C740C" w14:textId="21B9689D" w:rsidR="00BB7952" w:rsidRPr="00BE3B58" w:rsidRDefault="00BB7952">
      <w:pPr>
        <w:pStyle w:val="FootnoteText"/>
        <w:rPr>
          <w:rFonts w:ascii="Times New Roman" w:hAnsi="Times New Roman" w:cs="Times New Roman"/>
          <w:color w:val="000000" w:themeColor="text1"/>
        </w:rPr>
      </w:pPr>
      <w:r w:rsidRPr="00BE3B58">
        <w:rPr>
          <w:rStyle w:val="FootnoteReference"/>
          <w:rFonts w:ascii="Times New Roman" w:hAnsi="Times New Roman" w:cs="Times New Roman"/>
          <w:color w:val="000000" w:themeColor="text1"/>
        </w:rPr>
        <w:footnoteRef/>
      </w:r>
      <w:r w:rsidRPr="00BE3B58">
        <w:rPr>
          <w:rFonts w:ascii="Times New Roman" w:hAnsi="Times New Roman" w:cs="Times New Roman"/>
          <w:color w:val="000000" w:themeColor="text1"/>
        </w:rPr>
        <w:t xml:space="preserve"> </w:t>
      </w:r>
      <w:r w:rsidR="00870AE5">
        <w:rPr>
          <w:rFonts w:ascii="Times New Roman" w:hAnsi="Times New Roman" w:cs="Times New Roman"/>
          <w:color w:val="000000" w:themeColor="text1"/>
        </w:rPr>
        <w:t xml:space="preserve">Sarah </w:t>
      </w:r>
      <w:proofErr w:type="spellStart"/>
      <w:r w:rsidRPr="00BE3B58">
        <w:rPr>
          <w:rFonts w:ascii="Times New Roman" w:hAnsi="Times New Roman" w:cs="Times New Roman"/>
          <w:color w:val="000000" w:themeColor="text1"/>
          <w:shd w:val="clear" w:color="auto" w:fill="FFFFFF"/>
        </w:rPr>
        <w:t>McNamer</w:t>
      </w:r>
      <w:proofErr w:type="spellEnd"/>
      <w:r w:rsidRPr="00BE3B58">
        <w:rPr>
          <w:rFonts w:ascii="Times New Roman" w:hAnsi="Times New Roman" w:cs="Times New Roman"/>
          <w:color w:val="000000" w:themeColor="text1"/>
          <w:shd w:val="clear" w:color="auto" w:fill="FFFFFF"/>
        </w:rPr>
        <w:t xml:space="preserve">, </w:t>
      </w:r>
      <w:r w:rsidRPr="00BE3B58">
        <w:rPr>
          <w:rFonts w:ascii="Times New Roman" w:hAnsi="Times New Roman" w:cs="Times New Roman"/>
          <w:i/>
          <w:iCs/>
          <w:color w:val="000000" w:themeColor="text1"/>
          <w:shd w:val="clear" w:color="auto" w:fill="FFFFFF"/>
        </w:rPr>
        <w:t xml:space="preserve">Affective </w:t>
      </w:r>
      <w:proofErr w:type="gramStart"/>
      <w:r w:rsidRPr="00BE3B58">
        <w:rPr>
          <w:rFonts w:ascii="Times New Roman" w:hAnsi="Times New Roman" w:cs="Times New Roman"/>
          <w:i/>
          <w:iCs/>
          <w:color w:val="000000" w:themeColor="text1"/>
          <w:shd w:val="clear" w:color="auto" w:fill="FFFFFF"/>
        </w:rPr>
        <w:t>Meditation</w:t>
      </w:r>
      <w:proofErr w:type="gramEnd"/>
      <w:r w:rsidRPr="00BE3B58">
        <w:rPr>
          <w:rFonts w:ascii="Times New Roman" w:hAnsi="Times New Roman" w:cs="Times New Roman"/>
          <w:i/>
          <w:iCs/>
          <w:color w:val="000000" w:themeColor="text1"/>
          <w:shd w:val="clear" w:color="auto" w:fill="FFFFFF"/>
        </w:rPr>
        <w:t xml:space="preserve"> and the Invention of Medieval Compassion</w:t>
      </w:r>
      <w:r w:rsidRPr="00BE3B58">
        <w:rPr>
          <w:rFonts w:ascii="Times New Roman" w:hAnsi="Times New Roman" w:cs="Times New Roman"/>
          <w:color w:val="000000" w:themeColor="text1"/>
          <w:shd w:val="clear" w:color="auto" w:fill="FFFFFF"/>
        </w:rPr>
        <w:t xml:space="preserve"> (Philadelphia: University of Pennsylvania Press, 2010), </w:t>
      </w:r>
      <w:r w:rsidR="00870AE5">
        <w:rPr>
          <w:rFonts w:ascii="Times New Roman" w:hAnsi="Times New Roman" w:cs="Times New Roman"/>
          <w:color w:val="000000" w:themeColor="text1"/>
          <w:shd w:val="clear" w:color="auto" w:fill="FFFFFF"/>
        </w:rPr>
        <w:t xml:space="preserve">p. </w:t>
      </w:r>
      <w:r w:rsidRPr="00BE3B58">
        <w:rPr>
          <w:rFonts w:ascii="Times New Roman" w:hAnsi="Times New Roman" w:cs="Times New Roman"/>
          <w:color w:val="000000" w:themeColor="text1"/>
          <w:shd w:val="clear" w:color="auto" w:fill="FFFFFF"/>
        </w:rPr>
        <w:t>1</w:t>
      </w:r>
      <w:r w:rsidR="00870AE5">
        <w:rPr>
          <w:rFonts w:ascii="Times New Roman" w:hAnsi="Times New Roman" w:cs="Times New Roman"/>
          <w:color w:val="000000" w:themeColor="text1"/>
          <w:shd w:val="clear" w:color="auto" w:fill="FFFFFF"/>
        </w:rPr>
        <w:t xml:space="preserve">. </w:t>
      </w:r>
      <w:r w:rsidRPr="00BE3B58">
        <w:rPr>
          <w:rFonts w:ascii="Times New Roman" w:hAnsi="Times New Roman" w:cs="Times New Roman"/>
          <w:color w:val="000000" w:themeColor="text1"/>
          <w:shd w:val="clear" w:color="auto" w:fill="FFFFFF"/>
        </w:rPr>
        <w:t xml:space="preserve"> </w:t>
      </w:r>
    </w:p>
  </w:footnote>
  <w:footnote w:id="11">
    <w:p w14:paraId="4C3264D8" w14:textId="6F44182F" w:rsidR="003A054C" w:rsidRPr="003A054C" w:rsidRDefault="003A054C" w:rsidP="003A054C">
      <w:pPr>
        <w:rPr>
          <w:rFonts w:ascii="Source Sans Pro" w:hAnsi="Source Sans Pro"/>
          <w:color w:val="3A3A3A"/>
          <w:sz w:val="23"/>
          <w:szCs w:val="23"/>
          <w:shd w:val="clear" w:color="auto" w:fill="FFFFFF"/>
        </w:rPr>
      </w:pPr>
      <w:r>
        <w:rPr>
          <w:rStyle w:val="FootnoteReference"/>
        </w:rPr>
        <w:footnoteRef/>
      </w:r>
      <w:r>
        <w:t xml:space="preserve"> </w:t>
      </w:r>
      <w:r w:rsidR="00870AE5">
        <w:t xml:space="preserve">Robert S. </w:t>
      </w:r>
      <w:r w:rsidR="00870AE5" w:rsidRPr="00870AE5">
        <w:rPr>
          <w:rFonts w:ascii="Times New Roman" w:hAnsi="Times New Roman" w:cs="Times New Roman"/>
          <w:color w:val="000000" w:themeColor="text1"/>
          <w:sz w:val="20"/>
          <w:szCs w:val="20"/>
          <w:shd w:val="clear" w:color="auto" w:fill="FFFFFF"/>
        </w:rPr>
        <w:t>Nelson</w:t>
      </w:r>
      <w:r w:rsidR="00870AE5">
        <w:rPr>
          <w:rFonts w:ascii="Times New Roman" w:hAnsi="Times New Roman" w:cs="Times New Roman"/>
          <w:color w:val="000000" w:themeColor="text1"/>
          <w:sz w:val="20"/>
          <w:szCs w:val="20"/>
          <w:shd w:val="clear" w:color="auto" w:fill="FFFFFF"/>
        </w:rPr>
        <w:t xml:space="preserve">, </w:t>
      </w:r>
      <w:r w:rsidR="00870AE5" w:rsidRPr="00870AE5">
        <w:rPr>
          <w:rFonts w:ascii="Times New Roman" w:hAnsi="Times New Roman" w:cs="Times New Roman"/>
          <w:color w:val="000000" w:themeColor="text1"/>
          <w:sz w:val="20"/>
          <w:szCs w:val="20"/>
          <w:shd w:val="clear" w:color="auto" w:fill="FFFFFF"/>
        </w:rPr>
        <w:t xml:space="preserve">“Empathetic Vision: Looking at </w:t>
      </w:r>
      <w:proofErr w:type="gramStart"/>
      <w:r w:rsidR="00870AE5" w:rsidRPr="00870AE5">
        <w:rPr>
          <w:rFonts w:ascii="Times New Roman" w:hAnsi="Times New Roman" w:cs="Times New Roman"/>
          <w:color w:val="000000" w:themeColor="text1"/>
          <w:sz w:val="20"/>
          <w:szCs w:val="20"/>
          <w:shd w:val="clear" w:color="auto" w:fill="FFFFFF"/>
        </w:rPr>
        <w:t>an</w:t>
      </w:r>
      <w:proofErr w:type="gramEnd"/>
      <w:r w:rsidR="00870AE5" w:rsidRPr="00870AE5">
        <w:rPr>
          <w:rFonts w:ascii="Times New Roman" w:hAnsi="Times New Roman" w:cs="Times New Roman"/>
          <w:color w:val="000000" w:themeColor="text1"/>
          <w:sz w:val="20"/>
          <w:szCs w:val="20"/>
          <w:shd w:val="clear" w:color="auto" w:fill="FFFFFF"/>
        </w:rPr>
        <w:t xml:space="preserve"> with a Performative Byzantine Miniature”, </w:t>
      </w:r>
      <w:r w:rsidRPr="00870AE5">
        <w:rPr>
          <w:rFonts w:ascii="Times New Roman" w:hAnsi="Times New Roman" w:cs="Times New Roman"/>
          <w:i/>
          <w:iCs/>
          <w:color w:val="3A3A3A"/>
          <w:sz w:val="20"/>
          <w:szCs w:val="20"/>
          <w:shd w:val="clear" w:color="auto" w:fill="FFFFFF"/>
        </w:rPr>
        <w:t>Art History</w:t>
      </w:r>
      <w:r w:rsidRPr="00870AE5">
        <w:rPr>
          <w:rFonts w:ascii="Times New Roman" w:hAnsi="Times New Roman" w:cs="Times New Roman"/>
          <w:color w:val="3A3A3A"/>
          <w:sz w:val="20"/>
          <w:szCs w:val="20"/>
          <w:shd w:val="clear" w:color="auto" w:fill="FFFFFF"/>
        </w:rPr>
        <w:t>, 30.4 (2007), 489–502</w:t>
      </w:r>
      <w:r w:rsidR="00870AE5" w:rsidRPr="00870AE5">
        <w:rPr>
          <w:rFonts w:ascii="Times New Roman" w:hAnsi="Times New Roman" w:cs="Times New Roman"/>
          <w:color w:val="3A3A3A"/>
          <w:sz w:val="20"/>
          <w:szCs w:val="20"/>
          <w:shd w:val="clear" w:color="auto" w:fill="FFFFFF"/>
        </w:rPr>
        <w:t xml:space="preserve"> (p. </w:t>
      </w:r>
      <w:r w:rsidRPr="00870AE5">
        <w:rPr>
          <w:rFonts w:ascii="Times New Roman" w:hAnsi="Times New Roman" w:cs="Times New Roman"/>
          <w:color w:val="3A3A3A"/>
          <w:sz w:val="20"/>
          <w:szCs w:val="20"/>
          <w:shd w:val="clear" w:color="auto" w:fill="FFFFFF"/>
        </w:rPr>
        <w:t>496</w:t>
      </w:r>
      <w:r w:rsidR="00870AE5" w:rsidRPr="00870AE5">
        <w:rPr>
          <w:rFonts w:ascii="Times New Roman" w:hAnsi="Times New Roman" w:cs="Times New Roman"/>
          <w:color w:val="3A3A3A"/>
          <w:sz w:val="20"/>
          <w:szCs w:val="20"/>
          <w:shd w:val="clear" w:color="auto" w:fill="FFFFFF"/>
        </w:rPr>
        <w:t>).</w:t>
      </w:r>
      <w:r w:rsidR="00870AE5">
        <w:rPr>
          <w:rFonts w:ascii="Source Sans Pro" w:hAnsi="Source Sans Pro"/>
          <w:color w:val="3A3A3A"/>
          <w:sz w:val="23"/>
          <w:szCs w:val="23"/>
          <w:shd w:val="clear" w:color="auto" w:fill="FFFFFF"/>
        </w:rPr>
        <w:t xml:space="preserve"> </w:t>
      </w:r>
      <w:r>
        <w:rPr>
          <w:rFonts w:ascii="Source Sans Pro" w:hAnsi="Source Sans Pro"/>
          <w:color w:val="3A3A3A"/>
          <w:sz w:val="23"/>
          <w:szCs w:val="23"/>
          <w:shd w:val="clear" w:color="auto" w:fill="FFFFFF"/>
        </w:rPr>
        <w:t xml:space="preserve"> </w:t>
      </w:r>
    </w:p>
  </w:footnote>
  <w:footnote w:id="12">
    <w:p w14:paraId="387349D0" w14:textId="03A54922" w:rsidR="00DD5728" w:rsidRPr="00DD5728" w:rsidRDefault="00DD5728" w:rsidP="00DD5728">
      <w:pPr>
        <w:rPr>
          <w:rFonts w:ascii="Source Sans Pro" w:hAnsi="Source Sans Pro"/>
          <w:color w:val="3A3A3A"/>
          <w:sz w:val="23"/>
          <w:szCs w:val="23"/>
          <w:shd w:val="clear" w:color="auto" w:fill="FFFFFF"/>
        </w:rPr>
      </w:pPr>
      <w:r>
        <w:rPr>
          <w:rStyle w:val="FootnoteReference"/>
        </w:rPr>
        <w:footnoteRef/>
      </w:r>
      <w:r>
        <w:t xml:space="preserve"> </w:t>
      </w:r>
      <w:r w:rsidR="00870AE5" w:rsidRPr="00870AE5">
        <w:rPr>
          <w:rFonts w:ascii="Times New Roman" w:hAnsi="Times New Roman" w:cs="Times New Roman"/>
          <w:color w:val="000000" w:themeColor="text1"/>
          <w:sz w:val="20"/>
          <w:szCs w:val="20"/>
          <w:shd w:val="clear" w:color="auto" w:fill="FFFFFF"/>
        </w:rPr>
        <w:t>Nelson</w:t>
      </w:r>
      <w:r w:rsidR="00870AE5">
        <w:rPr>
          <w:rFonts w:ascii="Times New Roman" w:hAnsi="Times New Roman" w:cs="Times New Roman"/>
          <w:color w:val="000000" w:themeColor="text1"/>
          <w:sz w:val="20"/>
          <w:szCs w:val="20"/>
          <w:shd w:val="clear" w:color="auto" w:fill="FFFFFF"/>
        </w:rPr>
        <w:t xml:space="preserve">, </w:t>
      </w:r>
      <w:r w:rsidR="00870AE5" w:rsidRPr="00870AE5">
        <w:rPr>
          <w:rFonts w:ascii="Times New Roman" w:hAnsi="Times New Roman" w:cs="Times New Roman"/>
          <w:color w:val="000000" w:themeColor="text1"/>
          <w:sz w:val="20"/>
          <w:szCs w:val="20"/>
          <w:shd w:val="clear" w:color="auto" w:fill="FFFFFF"/>
        </w:rPr>
        <w:t xml:space="preserve">“Empathetic Vision: Looking at </w:t>
      </w:r>
      <w:proofErr w:type="gramStart"/>
      <w:r w:rsidR="00870AE5" w:rsidRPr="00870AE5">
        <w:rPr>
          <w:rFonts w:ascii="Times New Roman" w:hAnsi="Times New Roman" w:cs="Times New Roman"/>
          <w:color w:val="000000" w:themeColor="text1"/>
          <w:sz w:val="20"/>
          <w:szCs w:val="20"/>
          <w:shd w:val="clear" w:color="auto" w:fill="FFFFFF"/>
        </w:rPr>
        <w:t>an</w:t>
      </w:r>
      <w:proofErr w:type="gramEnd"/>
      <w:r w:rsidR="00870AE5" w:rsidRPr="00870AE5">
        <w:rPr>
          <w:rFonts w:ascii="Times New Roman" w:hAnsi="Times New Roman" w:cs="Times New Roman"/>
          <w:color w:val="000000" w:themeColor="text1"/>
          <w:sz w:val="20"/>
          <w:szCs w:val="20"/>
          <w:shd w:val="clear" w:color="auto" w:fill="FFFFFF"/>
        </w:rPr>
        <w:t xml:space="preserve"> with a Performative Byzantine Miniature”, </w:t>
      </w:r>
      <w:r w:rsidR="00373852">
        <w:rPr>
          <w:rFonts w:ascii="Times New Roman" w:hAnsi="Times New Roman" w:cs="Times New Roman"/>
          <w:color w:val="000000" w:themeColor="text1"/>
          <w:sz w:val="20"/>
          <w:szCs w:val="20"/>
          <w:shd w:val="clear" w:color="auto" w:fill="FFFFFF"/>
        </w:rPr>
        <w:t xml:space="preserve">p. 496-497. </w:t>
      </w:r>
      <w:r>
        <w:rPr>
          <w:rFonts w:ascii="Source Sans Pro" w:hAnsi="Source Sans Pro"/>
          <w:color w:val="3A3A3A"/>
          <w:sz w:val="23"/>
          <w:szCs w:val="23"/>
          <w:shd w:val="clear" w:color="auto" w:fill="FFFFFF"/>
        </w:rPr>
        <w:t xml:space="preserve"> </w:t>
      </w:r>
    </w:p>
  </w:footnote>
  <w:footnote w:id="13">
    <w:p w14:paraId="7C90E756" w14:textId="27A9E999" w:rsidR="00865255" w:rsidRDefault="00865255" w:rsidP="00865255">
      <w:pPr>
        <w:pStyle w:val="FootnoteText"/>
        <w:rPr>
          <w:rFonts w:ascii="Times New Roman" w:hAnsi="Times New Roman" w:cs="Times New Roman"/>
          <w:color w:val="000000" w:themeColor="text1"/>
          <w:shd w:val="clear" w:color="auto" w:fill="FFFFFF"/>
        </w:rPr>
      </w:pPr>
      <w:r w:rsidRPr="00BE3B58">
        <w:rPr>
          <w:rStyle w:val="FootnoteReference"/>
          <w:rFonts w:ascii="Times New Roman" w:hAnsi="Times New Roman" w:cs="Times New Roman"/>
          <w:color w:val="000000" w:themeColor="text1"/>
        </w:rPr>
        <w:footnoteRef/>
      </w:r>
      <w:r w:rsidRPr="00BE3B58">
        <w:rPr>
          <w:rFonts w:ascii="Times New Roman" w:hAnsi="Times New Roman" w:cs="Times New Roman"/>
          <w:color w:val="000000" w:themeColor="text1"/>
        </w:rPr>
        <w:t xml:space="preserve"> The suppedaneum was a common medieval artistic invention, and no record of such a footrest is found in records of Roman crucifixions. </w:t>
      </w:r>
      <w:r w:rsidR="00373852">
        <w:rPr>
          <w:rFonts w:ascii="Times New Roman" w:hAnsi="Times New Roman" w:cs="Times New Roman"/>
          <w:color w:val="000000" w:themeColor="text1"/>
        </w:rPr>
        <w:t xml:space="preserve">James </w:t>
      </w:r>
      <w:r w:rsidRPr="00BE3B58">
        <w:rPr>
          <w:rFonts w:ascii="Times New Roman" w:hAnsi="Times New Roman" w:cs="Times New Roman"/>
          <w:color w:val="000000" w:themeColor="text1"/>
          <w:shd w:val="clear" w:color="auto" w:fill="FFFFFF"/>
        </w:rPr>
        <w:t xml:space="preserve">Hall, </w:t>
      </w:r>
      <w:r w:rsidRPr="00BE3B58">
        <w:rPr>
          <w:rFonts w:ascii="Times New Roman" w:hAnsi="Times New Roman" w:cs="Times New Roman"/>
          <w:i/>
          <w:iCs/>
          <w:color w:val="000000" w:themeColor="text1"/>
          <w:shd w:val="clear" w:color="auto" w:fill="FFFFFF"/>
        </w:rPr>
        <w:t>Dictionary of Subjects and Symbols in Art</w:t>
      </w:r>
      <w:r w:rsidRPr="00BE3B58">
        <w:rPr>
          <w:rFonts w:ascii="Times New Roman" w:hAnsi="Times New Roman" w:cs="Times New Roman"/>
          <w:color w:val="000000" w:themeColor="text1"/>
          <w:shd w:val="clear" w:color="auto" w:fill="FFFFFF"/>
        </w:rPr>
        <w:t>, 2nd ed. (Place of publication not identified: Taylor &amp; Francis Ltd, 2008), p</w:t>
      </w:r>
      <w:r w:rsidR="00373852">
        <w:rPr>
          <w:rFonts w:ascii="Times New Roman" w:hAnsi="Times New Roman" w:cs="Times New Roman"/>
          <w:color w:val="000000" w:themeColor="text1"/>
          <w:shd w:val="clear" w:color="auto" w:fill="FFFFFF"/>
        </w:rPr>
        <w:t>.</w:t>
      </w:r>
      <w:r w:rsidRPr="00BE3B58">
        <w:rPr>
          <w:rFonts w:ascii="Times New Roman" w:hAnsi="Times New Roman" w:cs="Times New Roman"/>
          <w:color w:val="000000" w:themeColor="text1"/>
          <w:shd w:val="clear" w:color="auto" w:fill="FFFFFF"/>
        </w:rPr>
        <w:t xml:space="preserve"> 85</w:t>
      </w:r>
      <w:r w:rsidR="00373852">
        <w:rPr>
          <w:rFonts w:ascii="Times New Roman" w:hAnsi="Times New Roman" w:cs="Times New Roman"/>
          <w:color w:val="000000" w:themeColor="text1"/>
          <w:shd w:val="clear" w:color="auto" w:fill="FFFFFF"/>
        </w:rPr>
        <w:t>.</w:t>
      </w:r>
    </w:p>
    <w:p w14:paraId="3C73495B" w14:textId="77777777" w:rsidR="00373852" w:rsidRPr="00BE3B58" w:rsidRDefault="00373852" w:rsidP="00865255">
      <w:pPr>
        <w:pStyle w:val="FootnoteText"/>
        <w:rPr>
          <w:rFonts w:ascii="Times New Roman" w:hAnsi="Times New Roman" w:cs="Times New Roman"/>
          <w:color w:val="000000" w:themeColor="text1"/>
        </w:rPr>
      </w:pPr>
    </w:p>
  </w:footnote>
  <w:footnote w:id="14">
    <w:p w14:paraId="31724783" w14:textId="2DD1F96F" w:rsidR="000626C0" w:rsidRPr="00373852" w:rsidRDefault="000626C0">
      <w:pPr>
        <w:pStyle w:val="FootnoteText"/>
        <w:rPr>
          <w:rFonts w:ascii="Times New Roman" w:hAnsi="Times New Roman" w:cs="Times New Roman"/>
        </w:rPr>
      </w:pPr>
      <w:r w:rsidRPr="00373852">
        <w:rPr>
          <w:rStyle w:val="FootnoteReference"/>
          <w:rFonts w:ascii="Times New Roman" w:hAnsi="Times New Roman" w:cs="Times New Roman"/>
        </w:rPr>
        <w:footnoteRef/>
      </w:r>
      <w:r w:rsidRPr="00373852">
        <w:rPr>
          <w:rFonts w:ascii="Times New Roman" w:hAnsi="Times New Roman" w:cs="Times New Roman"/>
        </w:rPr>
        <w:t xml:space="preserve"> Above Christ, two angelic beings raise their arms in gestures of lament. </w:t>
      </w:r>
      <w:r w:rsidR="006F507E" w:rsidRPr="00373852">
        <w:rPr>
          <w:rFonts w:ascii="Times New Roman" w:hAnsi="Times New Roman" w:cs="Times New Roman"/>
        </w:rPr>
        <w:t xml:space="preserve">Above Christ’s head, the cross splits, “branching” out to each heavenly figure, and perhaps further alluding to the Tree of Life motif. </w:t>
      </w:r>
    </w:p>
    <w:p w14:paraId="6B5AD4D7" w14:textId="77777777" w:rsidR="00373852" w:rsidRDefault="00373852">
      <w:pPr>
        <w:pStyle w:val="FootnoteText"/>
      </w:pPr>
    </w:p>
  </w:footnote>
  <w:footnote w:id="15">
    <w:p w14:paraId="5E07BE7C" w14:textId="772788AD" w:rsidR="00865255" w:rsidRDefault="00865255" w:rsidP="00865255">
      <w:pPr>
        <w:pStyle w:val="FootnoteText"/>
        <w:rPr>
          <w:rStyle w:val="text"/>
          <w:rFonts w:ascii="Times New Roman" w:hAnsi="Times New Roman" w:cs="Times New Roman"/>
          <w:color w:val="000000" w:themeColor="text1"/>
          <w:shd w:val="clear" w:color="auto" w:fill="FFFFFF"/>
        </w:rPr>
      </w:pPr>
      <w:r w:rsidRPr="00BE3B58">
        <w:rPr>
          <w:rStyle w:val="FootnoteReference"/>
          <w:rFonts w:ascii="Times New Roman" w:hAnsi="Times New Roman" w:cs="Times New Roman"/>
          <w:color w:val="000000" w:themeColor="text1"/>
        </w:rPr>
        <w:footnoteRef/>
      </w:r>
      <w:r w:rsidR="00BE3B58">
        <w:rPr>
          <w:rFonts w:ascii="Times New Roman" w:hAnsi="Times New Roman" w:cs="Times New Roman"/>
          <w:color w:val="000000" w:themeColor="text1"/>
        </w:rPr>
        <w:t xml:space="preserve"> </w:t>
      </w:r>
      <w:r w:rsidR="00373852">
        <w:rPr>
          <w:rFonts w:ascii="Times New Roman" w:hAnsi="Times New Roman" w:cs="Times New Roman"/>
          <w:color w:val="000000" w:themeColor="text1"/>
        </w:rPr>
        <w:t>“</w:t>
      </w:r>
      <w:proofErr w:type="gramStart"/>
      <w:r w:rsidR="00BE3B58" w:rsidRPr="00BE3B58">
        <w:rPr>
          <w:rFonts w:ascii="Times New Roman" w:hAnsi="Times New Roman" w:cs="Times New Roman"/>
          <w:color w:val="000000" w:themeColor="text1"/>
        </w:rPr>
        <w:t>So</w:t>
      </w:r>
      <w:proofErr w:type="gramEnd"/>
      <w:r w:rsidR="00BE3B58" w:rsidRPr="00BE3B58">
        <w:rPr>
          <w:rFonts w:ascii="Times New Roman" w:hAnsi="Times New Roman" w:cs="Times New Roman"/>
          <w:color w:val="000000" w:themeColor="text1"/>
        </w:rPr>
        <w:t xml:space="preserve"> they took the body of Jesus and bound it in linen wrappings with the spices, as is the burial custom of the Jews. Now in the place where He was crucified there was a garden, and in the garden was a new tomb in which no one had yet been laid. Therefore because of the Jewish day of preparation, since the tomb was nearby, they laid Jesus ther</w:t>
      </w:r>
      <w:r w:rsidR="00BE3B58">
        <w:rPr>
          <w:rFonts w:ascii="Times New Roman" w:hAnsi="Times New Roman" w:cs="Times New Roman"/>
          <w:color w:val="000000" w:themeColor="text1"/>
        </w:rPr>
        <w:t>e.”</w:t>
      </w:r>
      <w:r w:rsidR="00373852" w:rsidRPr="00373852">
        <w:t xml:space="preserve"> </w:t>
      </w:r>
      <w:r w:rsidR="00373852" w:rsidRPr="00373852">
        <w:rPr>
          <w:rFonts w:ascii="Times New Roman" w:hAnsi="Times New Roman" w:cs="Times New Roman"/>
          <w:i/>
          <w:iCs/>
          <w:color w:val="000000" w:themeColor="text1"/>
        </w:rPr>
        <w:t>New American Standard Bible</w:t>
      </w:r>
      <w:r w:rsidR="00373852" w:rsidRPr="00373852">
        <w:rPr>
          <w:rStyle w:val="text"/>
          <w:rFonts w:ascii="Times New Roman" w:hAnsi="Times New Roman" w:cs="Times New Roman"/>
          <w:shd w:val="clear" w:color="auto" w:fill="FFFFFF"/>
        </w:rPr>
        <w:t xml:space="preserve">, (La Habra: The Lockman Foundation, California), </w:t>
      </w:r>
      <w:r w:rsidRPr="00373852">
        <w:rPr>
          <w:rStyle w:val="text"/>
          <w:rFonts w:ascii="Times New Roman" w:hAnsi="Times New Roman" w:cs="Times New Roman"/>
          <w:color w:val="000000" w:themeColor="text1"/>
          <w:shd w:val="clear" w:color="auto" w:fill="FFFFFF"/>
        </w:rPr>
        <w:t>John 19:40-42</w:t>
      </w:r>
      <w:r w:rsidR="00373852" w:rsidRPr="00373852">
        <w:rPr>
          <w:rStyle w:val="text"/>
          <w:rFonts w:ascii="Times New Roman" w:hAnsi="Times New Roman" w:cs="Times New Roman"/>
          <w:color w:val="000000" w:themeColor="text1"/>
          <w:shd w:val="clear" w:color="auto" w:fill="FFFFFF"/>
        </w:rPr>
        <w:t>.</w:t>
      </w:r>
      <w:r w:rsidR="00373852">
        <w:rPr>
          <w:rStyle w:val="text"/>
          <w:rFonts w:ascii="Times New Roman" w:hAnsi="Times New Roman" w:cs="Times New Roman"/>
          <w:color w:val="000000" w:themeColor="text1"/>
          <w:shd w:val="clear" w:color="auto" w:fill="FFFFFF"/>
        </w:rPr>
        <w:t xml:space="preserve"> </w:t>
      </w:r>
    </w:p>
    <w:p w14:paraId="37354641" w14:textId="77777777" w:rsidR="00373852" w:rsidRPr="00BE3B58" w:rsidRDefault="00373852" w:rsidP="00865255">
      <w:pPr>
        <w:pStyle w:val="FootnoteText"/>
        <w:rPr>
          <w:color w:val="000000" w:themeColor="text1"/>
        </w:rPr>
      </w:pPr>
    </w:p>
  </w:footnote>
  <w:footnote w:id="16">
    <w:p w14:paraId="6A2378C8" w14:textId="0CF9A6BF" w:rsidR="00865255" w:rsidRPr="00BE3B58" w:rsidRDefault="00865255" w:rsidP="00865255">
      <w:pPr>
        <w:pStyle w:val="FootnoteText"/>
        <w:rPr>
          <w:rFonts w:ascii="Times New Roman" w:hAnsi="Times New Roman" w:cs="Times New Roman"/>
        </w:rPr>
      </w:pPr>
      <w:r w:rsidRPr="00BE3B58">
        <w:rPr>
          <w:rStyle w:val="FootnoteReference"/>
          <w:rFonts w:ascii="Times New Roman" w:hAnsi="Times New Roman" w:cs="Times New Roman"/>
          <w:color w:val="000000" w:themeColor="text1"/>
        </w:rPr>
        <w:footnoteRef/>
      </w:r>
      <w:r w:rsidRPr="00BE3B58">
        <w:rPr>
          <w:rFonts w:ascii="Times New Roman" w:hAnsi="Times New Roman" w:cs="Times New Roman"/>
          <w:color w:val="000000" w:themeColor="text1"/>
        </w:rPr>
        <w:t xml:space="preserve"> </w:t>
      </w:r>
      <w:r w:rsidRPr="00BE3B58">
        <w:rPr>
          <w:rFonts w:ascii="Times New Roman" w:hAnsi="Times New Roman" w:cs="Times New Roman"/>
          <w:color w:val="000000" w:themeColor="text1"/>
          <w:shd w:val="clear" w:color="auto" w:fill="FFFFFF"/>
        </w:rPr>
        <w:t>James</w:t>
      </w:r>
      <w:r w:rsidR="003D686A">
        <w:rPr>
          <w:rFonts w:ascii="Times New Roman" w:hAnsi="Times New Roman" w:cs="Times New Roman"/>
          <w:color w:val="000000" w:themeColor="text1"/>
          <w:shd w:val="clear" w:color="auto" w:fill="FFFFFF"/>
        </w:rPr>
        <w:t xml:space="preserve"> Hall,</w:t>
      </w:r>
      <w:r w:rsidRPr="00BE3B58">
        <w:rPr>
          <w:rFonts w:ascii="Times New Roman" w:hAnsi="Times New Roman" w:cs="Times New Roman"/>
          <w:color w:val="000000" w:themeColor="text1"/>
          <w:shd w:val="clear" w:color="auto" w:fill="FFFFFF"/>
        </w:rPr>
        <w:t> </w:t>
      </w:r>
      <w:r w:rsidRPr="00BE3B58">
        <w:rPr>
          <w:rFonts w:ascii="Times New Roman" w:hAnsi="Times New Roman" w:cs="Times New Roman"/>
          <w:i/>
          <w:iCs/>
          <w:color w:val="000000" w:themeColor="text1"/>
          <w:shd w:val="clear" w:color="auto" w:fill="FFFFFF"/>
        </w:rPr>
        <w:t>Dictionary of Subjects and Symbols in Art</w:t>
      </w:r>
      <w:r w:rsidRPr="00BE3B58">
        <w:rPr>
          <w:rFonts w:ascii="Times New Roman" w:hAnsi="Times New Roman" w:cs="Times New Roman"/>
          <w:color w:val="000000" w:themeColor="text1"/>
          <w:shd w:val="clear" w:color="auto" w:fill="FFFFFF"/>
        </w:rPr>
        <w:t xml:space="preserve">, </w:t>
      </w:r>
      <w:r w:rsidR="00373852">
        <w:rPr>
          <w:rFonts w:ascii="Times New Roman" w:hAnsi="Times New Roman" w:cs="Times New Roman"/>
          <w:color w:val="000000" w:themeColor="text1"/>
          <w:shd w:val="clear" w:color="auto" w:fill="FFFFFF"/>
        </w:rPr>
        <w:t xml:space="preserve">p. </w:t>
      </w:r>
      <w:r w:rsidRPr="00BE3B58">
        <w:rPr>
          <w:rFonts w:ascii="Times New Roman" w:hAnsi="Times New Roman" w:cs="Times New Roman"/>
          <w:color w:val="000000" w:themeColor="text1"/>
          <w:shd w:val="clear" w:color="auto" w:fill="FFFFFF"/>
        </w:rPr>
        <w:t>117</w:t>
      </w:r>
      <w:r w:rsidR="00373852">
        <w:rPr>
          <w:rFonts w:ascii="Times New Roman" w:hAnsi="Times New Roman" w:cs="Times New Roman"/>
          <w:color w:val="000000" w:themeColor="text1"/>
          <w:shd w:val="clear" w:color="auto" w:fill="FFFFFF"/>
        </w:rPr>
        <w:t>.</w:t>
      </w:r>
      <w:r w:rsidRPr="00BE3B58">
        <w:rPr>
          <w:rFonts w:ascii="Times New Roman" w:hAnsi="Times New Roman" w:cs="Times New Roman"/>
          <w:color w:val="000000" w:themeColor="text1"/>
          <w:shd w:val="clear" w:color="auto" w:fill="FFFFFF"/>
        </w:rPr>
        <w:t xml:space="preserve"> </w:t>
      </w:r>
    </w:p>
  </w:footnote>
  <w:footnote w:id="17">
    <w:p w14:paraId="059A7A6E" w14:textId="5A08B27E" w:rsidR="00941320" w:rsidRPr="00373852" w:rsidRDefault="00941320" w:rsidP="00BE3B58">
      <w:pPr>
        <w:rPr>
          <w:rFonts w:ascii="Times New Roman" w:hAnsi="Times New Roman" w:cs="Times New Roman"/>
          <w:color w:val="000000" w:themeColor="text1"/>
          <w:sz w:val="20"/>
          <w:szCs w:val="20"/>
        </w:rPr>
      </w:pPr>
      <w:r w:rsidRPr="00BE3B58">
        <w:rPr>
          <w:rStyle w:val="FootnoteReference"/>
          <w:rFonts w:ascii="Times New Roman" w:hAnsi="Times New Roman" w:cs="Times New Roman"/>
          <w:sz w:val="20"/>
          <w:szCs w:val="20"/>
        </w:rPr>
        <w:footnoteRef/>
      </w:r>
      <w:r w:rsidRPr="00BE3B58">
        <w:rPr>
          <w:rFonts w:ascii="Times New Roman" w:hAnsi="Times New Roman" w:cs="Times New Roman"/>
          <w:sz w:val="20"/>
          <w:szCs w:val="20"/>
        </w:rPr>
        <w:t xml:space="preserve"> </w:t>
      </w:r>
      <w:r w:rsidRPr="00373852">
        <w:rPr>
          <w:rFonts w:ascii="Times New Roman" w:hAnsi="Times New Roman" w:cs="Times New Roman"/>
          <w:color w:val="000000" w:themeColor="text1"/>
          <w:sz w:val="20"/>
          <w:szCs w:val="20"/>
          <w:shd w:val="clear" w:color="auto" w:fill="FFFFFF"/>
        </w:rPr>
        <w:t>The distinctive pierced pupil of the eyes is a stylistic similarity of all the ivory carving coming out of the Salerno area of this time</w:t>
      </w:r>
      <w:r w:rsidR="00373852" w:rsidRPr="00373852">
        <w:rPr>
          <w:rFonts w:ascii="Times New Roman" w:hAnsi="Times New Roman" w:cs="Times New Roman"/>
          <w:color w:val="000000" w:themeColor="text1"/>
          <w:sz w:val="20"/>
          <w:szCs w:val="20"/>
          <w:shd w:val="clear" w:color="auto" w:fill="FFFFFF"/>
        </w:rPr>
        <w:t xml:space="preserve"> </w:t>
      </w:r>
      <w:r w:rsidRPr="00373852">
        <w:rPr>
          <w:rFonts w:ascii="Times New Roman" w:hAnsi="Times New Roman" w:cs="Times New Roman"/>
          <w:color w:val="000000" w:themeColor="text1"/>
          <w:sz w:val="20"/>
          <w:szCs w:val="20"/>
          <w:shd w:val="clear" w:color="auto" w:fill="FFFFFF"/>
        </w:rPr>
        <w:t xml:space="preserve">and adds extra weight to the gaze of each figure. </w:t>
      </w:r>
      <w:r w:rsidR="00373852" w:rsidRPr="00373852">
        <w:rPr>
          <w:rFonts w:ascii="Times New Roman" w:hAnsi="Times New Roman" w:cs="Times New Roman"/>
          <w:color w:val="000000" w:themeColor="text1"/>
          <w:sz w:val="20"/>
          <w:szCs w:val="20"/>
          <w:shd w:val="clear" w:color="auto" w:fill="FFFFFF"/>
        </w:rPr>
        <w:t xml:space="preserve">Herbert L. </w:t>
      </w:r>
      <w:r w:rsidRPr="00373852">
        <w:rPr>
          <w:rFonts w:ascii="Times New Roman" w:hAnsi="Times New Roman" w:cs="Times New Roman"/>
          <w:color w:val="000000" w:themeColor="text1"/>
          <w:sz w:val="20"/>
          <w:szCs w:val="20"/>
          <w:shd w:val="clear" w:color="auto" w:fill="FFFFFF"/>
        </w:rPr>
        <w:t xml:space="preserve">Kessler, ‘An Eleventh Century Ivory Plaque from South Italy and the </w:t>
      </w:r>
      <w:proofErr w:type="spellStart"/>
      <w:r w:rsidRPr="00373852">
        <w:rPr>
          <w:rFonts w:ascii="Times New Roman" w:hAnsi="Times New Roman" w:cs="Times New Roman"/>
          <w:color w:val="000000" w:themeColor="text1"/>
          <w:sz w:val="20"/>
          <w:szCs w:val="20"/>
          <w:shd w:val="clear" w:color="auto" w:fill="FFFFFF"/>
        </w:rPr>
        <w:t>Cassinese</w:t>
      </w:r>
      <w:proofErr w:type="spellEnd"/>
      <w:r w:rsidRPr="00373852">
        <w:rPr>
          <w:rFonts w:ascii="Times New Roman" w:hAnsi="Times New Roman" w:cs="Times New Roman"/>
          <w:color w:val="000000" w:themeColor="text1"/>
          <w:sz w:val="20"/>
          <w:szCs w:val="20"/>
          <w:shd w:val="clear" w:color="auto" w:fill="FFFFFF"/>
        </w:rPr>
        <w:t xml:space="preserve"> Revival’, </w:t>
      </w:r>
      <w:proofErr w:type="spellStart"/>
      <w:r w:rsidRPr="00373852">
        <w:rPr>
          <w:rFonts w:ascii="Times New Roman" w:hAnsi="Times New Roman" w:cs="Times New Roman"/>
          <w:i/>
          <w:iCs/>
          <w:color w:val="000000" w:themeColor="text1"/>
          <w:sz w:val="20"/>
          <w:szCs w:val="20"/>
          <w:shd w:val="clear" w:color="auto" w:fill="FFFFFF"/>
        </w:rPr>
        <w:t>Jahrbuch</w:t>
      </w:r>
      <w:proofErr w:type="spellEnd"/>
      <w:r w:rsidRPr="00373852">
        <w:rPr>
          <w:rFonts w:ascii="Times New Roman" w:hAnsi="Times New Roman" w:cs="Times New Roman"/>
          <w:i/>
          <w:iCs/>
          <w:color w:val="000000" w:themeColor="text1"/>
          <w:sz w:val="20"/>
          <w:szCs w:val="20"/>
          <w:shd w:val="clear" w:color="auto" w:fill="FFFFFF"/>
        </w:rPr>
        <w:t xml:space="preserve"> Der Berliner </w:t>
      </w:r>
      <w:proofErr w:type="spellStart"/>
      <w:r w:rsidRPr="00373852">
        <w:rPr>
          <w:rFonts w:ascii="Times New Roman" w:hAnsi="Times New Roman" w:cs="Times New Roman"/>
          <w:i/>
          <w:iCs/>
          <w:color w:val="000000" w:themeColor="text1"/>
          <w:sz w:val="20"/>
          <w:szCs w:val="20"/>
          <w:shd w:val="clear" w:color="auto" w:fill="FFFFFF"/>
        </w:rPr>
        <w:t>Museen</w:t>
      </w:r>
      <w:proofErr w:type="spellEnd"/>
      <w:r w:rsidRPr="00373852">
        <w:rPr>
          <w:rFonts w:ascii="Times New Roman" w:hAnsi="Times New Roman" w:cs="Times New Roman"/>
          <w:color w:val="000000" w:themeColor="text1"/>
          <w:sz w:val="20"/>
          <w:szCs w:val="20"/>
          <w:shd w:val="clear" w:color="auto" w:fill="FFFFFF"/>
        </w:rPr>
        <w:t xml:space="preserve">, 8 (1966), 67–95 </w:t>
      </w:r>
      <w:r w:rsidR="00373852" w:rsidRPr="00373852">
        <w:rPr>
          <w:rFonts w:ascii="Times New Roman" w:hAnsi="Times New Roman" w:cs="Times New Roman"/>
          <w:color w:val="000000" w:themeColor="text1"/>
          <w:sz w:val="20"/>
          <w:szCs w:val="20"/>
          <w:shd w:val="clear" w:color="auto" w:fill="FFFFFF"/>
        </w:rPr>
        <w:t xml:space="preserve">(p. </w:t>
      </w:r>
      <w:r w:rsidRPr="00373852">
        <w:rPr>
          <w:rFonts w:ascii="Times New Roman" w:hAnsi="Times New Roman" w:cs="Times New Roman"/>
          <w:color w:val="000000" w:themeColor="text1"/>
          <w:sz w:val="20"/>
          <w:szCs w:val="20"/>
          <w:shd w:val="clear" w:color="auto" w:fill="FFFFFF"/>
        </w:rPr>
        <w:t>72</w:t>
      </w:r>
      <w:r w:rsidR="00373852" w:rsidRPr="00373852">
        <w:rPr>
          <w:rFonts w:ascii="Times New Roman" w:hAnsi="Times New Roman" w:cs="Times New Roman"/>
          <w:color w:val="000000" w:themeColor="text1"/>
          <w:sz w:val="20"/>
          <w:szCs w:val="20"/>
          <w:shd w:val="clear" w:color="auto" w:fill="FFFFFF"/>
        </w:rPr>
        <w:t xml:space="preserve">). </w:t>
      </w:r>
    </w:p>
  </w:footnote>
  <w:footnote w:id="18">
    <w:p w14:paraId="69D81334" w14:textId="401A0659" w:rsidR="00D62240" w:rsidRPr="00373852" w:rsidRDefault="0053626B">
      <w:pPr>
        <w:pStyle w:val="FootnoteText"/>
        <w:rPr>
          <w:rFonts w:ascii="Times New Roman" w:hAnsi="Times New Roman" w:cs="Times New Roman"/>
          <w:color w:val="000000" w:themeColor="text1"/>
        </w:rPr>
      </w:pPr>
      <w:r w:rsidRPr="00373852">
        <w:rPr>
          <w:rStyle w:val="FootnoteReference"/>
          <w:rFonts w:ascii="Times New Roman" w:hAnsi="Times New Roman" w:cs="Times New Roman"/>
          <w:color w:val="000000" w:themeColor="text1"/>
        </w:rPr>
        <w:footnoteRef/>
      </w:r>
      <w:r w:rsidRPr="00373852">
        <w:rPr>
          <w:rFonts w:ascii="Times New Roman" w:hAnsi="Times New Roman" w:cs="Times New Roman"/>
          <w:color w:val="000000" w:themeColor="text1"/>
        </w:rPr>
        <w:t xml:space="preserve"> To further reinforce this mediation on Christ’s sacred death, the space below the table has been carved out, likely to house a religious relic of the crucifixion. </w:t>
      </w:r>
      <w:r w:rsidR="00373852" w:rsidRPr="00373852">
        <w:rPr>
          <w:rFonts w:ascii="Times New Roman" w:hAnsi="Times New Roman" w:cs="Times New Roman"/>
          <w:color w:val="000000" w:themeColor="text1"/>
        </w:rPr>
        <w:t xml:space="preserve">Center Panel of a Triptych with the Crucifixion and the Entombment, Southern Italy (1100) [ivory], The Metropolitan Museum of Art (Gift of J. Pierpont Morgan, 1917), New York City, New York. Dimensions: 8 7/8 x 4 1/8 x 9/16 in. (22.5 x 10.4 x 1.4 cm), Accession number: 17.190.43. </w:t>
      </w:r>
      <w:hyperlink r:id="rId4" w:history="1">
        <w:r w:rsidR="00373852" w:rsidRPr="00373852">
          <w:rPr>
            <w:rStyle w:val="Hyperlink"/>
            <w:rFonts w:ascii="Times New Roman" w:hAnsi="Times New Roman" w:cs="Times New Roman"/>
            <w:color w:val="000000" w:themeColor="text1"/>
          </w:rPr>
          <w:t>https://www.metmuseum.org/art/collection/search/464418?deptids=17%7c7&amp;amp;what=Ivory&amp;amp;ao=on&amp;amp;ft=Salerno&amp;amp;offset=0&amp;amp;rpp=40&amp;amp;pos=3</w:t>
        </w:r>
      </w:hyperlink>
      <w:r w:rsidR="00373852" w:rsidRPr="00373852">
        <w:rPr>
          <w:rFonts w:ascii="Times New Roman" w:hAnsi="Times New Roman" w:cs="Times New Roman"/>
          <w:color w:val="000000" w:themeColor="text1"/>
        </w:rPr>
        <w:t xml:space="preserve"> </w:t>
      </w:r>
    </w:p>
    <w:p w14:paraId="5710A66B" w14:textId="77777777" w:rsidR="00D62240" w:rsidRPr="00373852" w:rsidRDefault="00D62240">
      <w:pPr>
        <w:pStyle w:val="FootnoteText"/>
        <w:rPr>
          <w:rFonts w:ascii="Times New Roman" w:hAnsi="Times New Roman" w:cs="Times New Roman"/>
          <w:color w:val="000000" w:themeColor="text1"/>
        </w:rPr>
      </w:pPr>
    </w:p>
  </w:footnote>
  <w:footnote w:id="19">
    <w:p w14:paraId="4B3516E8" w14:textId="4F1C00C7" w:rsidR="001278F7" w:rsidRPr="00373852" w:rsidRDefault="001278F7">
      <w:pPr>
        <w:pStyle w:val="FootnoteText"/>
        <w:rPr>
          <w:rFonts w:ascii="Times New Roman" w:hAnsi="Times New Roman" w:cs="Times New Roman"/>
          <w:color w:val="000000" w:themeColor="text1"/>
        </w:rPr>
      </w:pPr>
      <w:r w:rsidRPr="00373852">
        <w:rPr>
          <w:rStyle w:val="FootnoteReference"/>
          <w:rFonts w:ascii="Times New Roman" w:hAnsi="Times New Roman" w:cs="Times New Roman"/>
          <w:color w:val="000000" w:themeColor="text1"/>
        </w:rPr>
        <w:footnoteRef/>
      </w:r>
      <w:r w:rsidRPr="00373852">
        <w:rPr>
          <w:rFonts w:ascii="Times New Roman" w:hAnsi="Times New Roman" w:cs="Times New Roman"/>
          <w:color w:val="000000" w:themeColor="text1"/>
        </w:rPr>
        <w:t xml:space="preserve"> The presence of the soldier with a spear identifies this as an interpretation of John’s account of the crucifixion, the only Gospel narrative to include the incident. </w:t>
      </w:r>
      <w:r w:rsidR="00373852" w:rsidRPr="00373852">
        <w:rPr>
          <w:rFonts w:ascii="Times New Roman" w:hAnsi="Times New Roman" w:cs="Times New Roman"/>
          <w:i/>
          <w:iCs/>
          <w:color w:val="000000" w:themeColor="text1"/>
        </w:rPr>
        <w:t>New American Standard Bible</w:t>
      </w:r>
      <w:r w:rsidR="00373852" w:rsidRPr="00373852">
        <w:rPr>
          <w:rStyle w:val="text"/>
          <w:rFonts w:ascii="Times New Roman" w:hAnsi="Times New Roman" w:cs="Times New Roman"/>
          <w:color w:val="000000" w:themeColor="text1"/>
          <w:shd w:val="clear" w:color="auto" w:fill="FFFFFF"/>
        </w:rPr>
        <w:t xml:space="preserve">, </w:t>
      </w:r>
      <w:r w:rsidRPr="00373852">
        <w:rPr>
          <w:rFonts w:ascii="Times New Roman" w:hAnsi="Times New Roman" w:cs="Times New Roman"/>
          <w:color w:val="000000" w:themeColor="text1"/>
        </w:rPr>
        <w:t>John 19:33-35</w:t>
      </w:r>
      <w:r w:rsidR="00373852" w:rsidRPr="00373852">
        <w:rPr>
          <w:rFonts w:ascii="Times New Roman" w:hAnsi="Times New Roman" w:cs="Times New Roman"/>
          <w:color w:val="000000" w:themeColor="text1"/>
        </w:rPr>
        <w:t xml:space="preserve">. </w:t>
      </w:r>
    </w:p>
    <w:p w14:paraId="51BA7155" w14:textId="77777777" w:rsidR="00373852" w:rsidRPr="00373852" w:rsidRDefault="00373852">
      <w:pPr>
        <w:pStyle w:val="FootnoteText"/>
        <w:rPr>
          <w:rFonts w:ascii="Times New Roman" w:hAnsi="Times New Roman" w:cs="Times New Roman"/>
          <w:color w:val="000000" w:themeColor="text1"/>
        </w:rPr>
      </w:pPr>
    </w:p>
  </w:footnote>
  <w:footnote w:id="20">
    <w:p w14:paraId="2B8C1110" w14:textId="45092A7C" w:rsidR="00FE0411" w:rsidRDefault="00FE0411">
      <w:pPr>
        <w:pStyle w:val="FootnoteText"/>
      </w:pPr>
      <w:r w:rsidRPr="00373852">
        <w:rPr>
          <w:rStyle w:val="FootnoteReference"/>
          <w:rFonts w:ascii="Times New Roman" w:hAnsi="Times New Roman" w:cs="Times New Roman"/>
          <w:color w:val="000000" w:themeColor="text1"/>
        </w:rPr>
        <w:footnoteRef/>
      </w:r>
      <w:r w:rsidRPr="00373852">
        <w:rPr>
          <w:rFonts w:ascii="Times New Roman" w:hAnsi="Times New Roman" w:cs="Times New Roman"/>
          <w:color w:val="000000" w:themeColor="text1"/>
        </w:rPr>
        <w:t xml:space="preserve"> </w:t>
      </w:r>
      <w:r w:rsidR="00373852" w:rsidRPr="00373852">
        <w:rPr>
          <w:rFonts w:ascii="Times New Roman" w:hAnsi="Times New Roman" w:cs="Times New Roman"/>
          <w:color w:val="000000" w:themeColor="text1"/>
          <w:shd w:val="clear" w:color="auto" w:fill="FFFFFF"/>
        </w:rPr>
        <w:t>James Hall, </w:t>
      </w:r>
      <w:r w:rsidR="00373852" w:rsidRPr="00373852">
        <w:rPr>
          <w:rFonts w:ascii="Times New Roman" w:hAnsi="Times New Roman" w:cs="Times New Roman"/>
          <w:i/>
          <w:iCs/>
          <w:color w:val="000000" w:themeColor="text1"/>
          <w:shd w:val="clear" w:color="auto" w:fill="FFFFFF"/>
        </w:rPr>
        <w:t>Dictionary of Subjects and Symbols in Art</w:t>
      </w:r>
      <w:r w:rsidR="00373852" w:rsidRPr="00373852">
        <w:rPr>
          <w:rFonts w:ascii="Times New Roman" w:hAnsi="Times New Roman" w:cs="Times New Roman"/>
          <w:color w:val="000000" w:themeColor="text1"/>
          <w:shd w:val="clear" w:color="auto" w:fill="FFFFFF"/>
        </w:rPr>
        <w:t xml:space="preserve">, p. </w:t>
      </w:r>
      <w:r w:rsidRPr="00373852">
        <w:rPr>
          <w:rFonts w:ascii="Times New Roman" w:hAnsi="Times New Roman" w:cs="Times New Roman"/>
          <w:color w:val="000000" w:themeColor="text1"/>
          <w:shd w:val="clear" w:color="auto" w:fill="FFFFFF"/>
        </w:rPr>
        <w:t>86.</w:t>
      </w:r>
      <w:r w:rsidRPr="00373852">
        <w:rPr>
          <w:rFonts w:ascii="Source Sans Pro" w:hAnsi="Source Sans Pro"/>
          <w:color w:val="000000" w:themeColor="text1"/>
          <w:sz w:val="23"/>
          <w:szCs w:val="23"/>
          <w:shd w:val="clear" w:color="auto" w:fill="FFFFFF"/>
        </w:rPr>
        <w:t xml:space="preserve"> </w:t>
      </w:r>
    </w:p>
  </w:footnote>
  <w:footnote w:id="21">
    <w:p w14:paraId="52F02E24" w14:textId="2E8428D1" w:rsidR="00373852" w:rsidRDefault="00865255" w:rsidP="00865255">
      <w:pPr>
        <w:pStyle w:val="FootnoteText"/>
        <w:rPr>
          <w:rStyle w:val="text"/>
          <w:rFonts w:ascii="Times New Roman" w:hAnsi="Times New Roman" w:cs="Times New Roman"/>
          <w:color w:val="000000" w:themeColor="text1"/>
        </w:rPr>
      </w:pPr>
      <w:r w:rsidRPr="00BE3B58">
        <w:rPr>
          <w:rStyle w:val="FootnoteReference"/>
          <w:rFonts w:ascii="Times New Roman" w:hAnsi="Times New Roman" w:cs="Times New Roman"/>
          <w:color w:val="000000" w:themeColor="text1"/>
        </w:rPr>
        <w:footnoteRef/>
      </w:r>
      <w:r w:rsidRPr="00BE3B58">
        <w:rPr>
          <w:rFonts w:ascii="Times New Roman" w:hAnsi="Times New Roman" w:cs="Times New Roman"/>
          <w:color w:val="000000" w:themeColor="text1"/>
        </w:rPr>
        <w:t xml:space="preserve"> </w:t>
      </w:r>
      <w:r w:rsidR="00A755B8">
        <w:rPr>
          <w:rFonts w:ascii="Times New Roman" w:hAnsi="Times New Roman" w:cs="Times New Roman"/>
          <w:color w:val="000000" w:themeColor="text1"/>
        </w:rPr>
        <w:t>“</w:t>
      </w:r>
      <w:proofErr w:type="gramStart"/>
      <w:r w:rsidR="00A755B8" w:rsidRPr="00A755B8">
        <w:rPr>
          <w:rFonts w:ascii="Times New Roman" w:hAnsi="Times New Roman" w:cs="Times New Roman"/>
          <w:color w:val="000000" w:themeColor="text1"/>
        </w:rPr>
        <w:t>but</w:t>
      </w:r>
      <w:proofErr w:type="gramEnd"/>
      <w:r w:rsidR="00A755B8" w:rsidRPr="00A755B8">
        <w:rPr>
          <w:rFonts w:ascii="Times New Roman" w:hAnsi="Times New Roman" w:cs="Times New Roman"/>
          <w:color w:val="000000" w:themeColor="text1"/>
        </w:rPr>
        <w:t xml:space="preserve"> after they came to Jesus when they saw that He was already dead, they did not break His legs. Yet one of the soldiers pierced His side with a spear, and immediately blood and water came out</w:t>
      </w:r>
      <w:r w:rsidR="00A755B8">
        <w:rPr>
          <w:rStyle w:val="text"/>
          <w:rFonts w:ascii="Times New Roman" w:hAnsi="Times New Roman" w:cs="Times New Roman"/>
          <w:color w:val="000000" w:themeColor="text1"/>
        </w:rPr>
        <w:t>.”</w:t>
      </w:r>
      <w:r w:rsidR="00373852">
        <w:rPr>
          <w:rStyle w:val="text"/>
          <w:rFonts w:ascii="Times New Roman" w:hAnsi="Times New Roman" w:cs="Times New Roman"/>
          <w:color w:val="000000" w:themeColor="text1"/>
        </w:rPr>
        <w:t xml:space="preserve"> </w:t>
      </w:r>
      <w:r w:rsidR="00373852" w:rsidRPr="00373852">
        <w:rPr>
          <w:rFonts w:ascii="Times New Roman" w:hAnsi="Times New Roman" w:cs="Times New Roman"/>
          <w:i/>
          <w:iCs/>
          <w:color w:val="000000" w:themeColor="text1"/>
        </w:rPr>
        <w:t>New American Standard Bible</w:t>
      </w:r>
      <w:r w:rsidR="00373852" w:rsidRPr="00373852">
        <w:rPr>
          <w:rStyle w:val="text"/>
          <w:rFonts w:ascii="Times New Roman" w:hAnsi="Times New Roman" w:cs="Times New Roman"/>
          <w:color w:val="000000" w:themeColor="text1"/>
          <w:shd w:val="clear" w:color="auto" w:fill="FFFFFF"/>
        </w:rPr>
        <w:t xml:space="preserve">, </w:t>
      </w:r>
      <w:r w:rsidR="00373852" w:rsidRPr="00373852">
        <w:rPr>
          <w:rFonts w:ascii="Times New Roman" w:hAnsi="Times New Roman" w:cs="Times New Roman"/>
          <w:color w:val="000000" w:themeColor="text1"/>
        </w:rPr>
        <w:t>John 19:33-3</w:t>
      </w:r>
      <w:r w:rsidR="00373852">
        <w:rPr>
          <w:rFonts w:ascii="Times New Roman" w:hAnsi="Times New Roman" w:cs="Times New Roman"/>
          <w:color w:val="000000" w:themeColor="text1"/>
        </w:rPr>
        <w:t>4</w:t>
      </w:r>
      <w:r w:rsidR="00373852">
        <w:rPr>
          <w:rStyle w:val="text"/>
          <w:rFonts w:ascii="Times New Roman" w:hAnsi="Times New Roman" w:cs="Times New Roman"/>
          <w:color w:val="000000" w:themeColor="text1"/>
        </w:rPr>
        <w:t xml:space="preserve">. </w:t>
      </w:r>
    </w:p>
    <w:p w14:paraId="6DDD7369" w14:textId="19790637" w:rsidR="00865255" w:rsidRPr="00BE3B58" w:rsidRDefault="00865255" w:rsidP="00865255">
      <w:pPr>
        <w:pStyle w:val="FootnoteText"/>
        <w:rPr>
          <w:rFonts w:ascii="Times New Roman" w:hAnsi="Times New Roman" w:cs="Times New Roman"/>
          <w:color w:val="000000" w:themeColor="text1"/>
        </w:rPr>
      </w:pPr>
      <w:r w:rsidRPr="00BE3B58">
        <w:rPr>
          <w:rStyle w:val="text"/>
          <w:rFonts w:ascii="Times New Roman" w:hAnsi="Times New Roman" w:cs="Times New Roman"/>
          <w:color w:val="000000" w:themeColor="text1"/>
          <w:shd w:val="clear" w:color="auto" w:fill="FFFFFF"/>
        </w:rPr>
        <w:t xml:space="preserve"> </w:t>
      </w:r>
    </w:p>
  </w:footnote>
  <w:footnote w:id="22">
    <w:p w14:paraId="67C8B9CD" w14:textId="46C443D4" w:rsidR="00346DFA" w:rsidRPr="00BE3B58" w:rsidRDefault="00346DFA" w:rsidP="00346DFA">
      <w:pPr>
        <w:rPr>
          <w:rFonts w:ascii="Times New Roman" w:hAnsi="Times New Roman" w:cs="Times New Roman"/>
          <w:color w:val="000000" w:themeColor="text1"/>
          <w:sz w:val="20"/>
          <w:szCs w:val="20"/>
        </w:rPr>
      </w:pPr>
      <w:r w:rsidRPr="00BE3B58">
        <w:rPr>
          <w:rStyle w:val="FootnoteReference"/>
          <w:rFonts w:ascii="Times New Roman" w:hAnsi="Times New Roman" w:cs="Times New Roman"/>
          <w:color w:val="000000" w:themeColor="text1"/>
          <w:sz w:val="20"/>
          <w:szCs w:val="20"/>
        </w:rPr>
        <w:footnoteRef/>
      </w:r>
      <w:r w:rsidRPr="00BE3B58">
        <w:rPr>
          <w:rFonts w:ascii="Times New Roman" w:hAnsi="Times New Roman" w:cs="Times New Roman"/>
          <w:color w:val="000000" w:themeColor="text1"/>
          <w:sz w:val="20"/>
          <w:szCs w:val="20"/>
        </w:rPr>
        <w:t xml:space="preserve"> Later medieval conventions would identify the solider and wine bearer as </w:t>
      </w:r>
      <w:r w:rsidRPr="00BE3B58">
        <w:rPr>
          <w:rFonts w:ascii="Times New Roman" w:hAnsi="Times New Roman" w:cs="Times New Roman"/>
          <w:color w:val="000000" w:themeColor="text1"/>
          <w:sz w:val="20"/>
          <w:szCs w:val="20"/>
          <w:shd w:val="clear" w:color="auto" w:fill="FFFFFF"/>
        </w:rPr>
        <w:t xml:space="preserve">Longinus and </w:t>
      </w:r>
      <w:proofErr w:type="spellStart"/>
      <w:r w:rsidRPr="00BE3B58">
        <w:rPr>
          <w:rFonts w:ascii="Times New Roman" w:hAnsi="Times New Roman" w:cs="Times New Roman"/>
          <w:color w:val="000000" w:themeColor="text1"/>
          <w:sz w:val="20"/>
          <w:szCs w:val="20"/>
          <w:shd w:val="clear" w:color="auto" w:fill="FFFFFF"/>
        </w:rPr>
        <w:t>Stephaton</w:t>
      </w:r>
      <w:proofErr w:type="spellEnd"/>
      <w:r w:rsidRPr="00BE3B58">
        <w:rPr>
          <w:rFonts w:ascii="Times New Roman" w:hAnsi="Times New Roman" w:cs="Times New Roman"/>
          <w:color w:val="000000" w:themeColor="text1"/>
          <w:sz w:val="20"/>
          <w:szCs w:val="20"/>
          <w:shd w:val="clear" w:color="auto" w:fill="FFFFFF"/>
        </w:rPr>
        <w:t xml:space="preserve">, respectively. While Longinus would later be redeemed through his belief in Christ and even made a saint by the Catholic Church, </w:t>
      </w:r>
      <w:proofErr w:type="spellStart"/>
      <w:r w:rsidRPr="00BE3B58">
        <w:rPr>
          <w:rFonts w:ascii="Times New Roman" w:hAnsi="Times New Roman" w:cs="Times New Roman"/>
          <w:color w:val="000000" w:themeColor="text1"/>
          <w:sz w:val="20"/>
          <w:szCs w:val="20"/>
          <w:shd w:val="clear" w:color="auto" w:fill="FFFFFF"/>
        </w:rPr>
        <w:t>Stephaton</w:t>
      </w:r>
      <w:proofErr w:type="spellEnd"/>
      <w:r w:rsidRPr="00BE3B58">
        <w:rPr>
          <w:rFonts w:ascii="Times New Roman" w:hAnsi="Times New Roman" w:cs="Times New Roman"/>
          <w:color w:val="000000" w:themeColor="text1"/>
          <w:sz w:val="20"/>
          <w:szCs w:val="20"/>
          <w:shd w:val="clear" w:color="auto" w:fill="FFFFFF"/>
        </w:rPr>
        <w:t xml:space="preserve"> was viewed as irredeemable, and the offering of sour wine was often interpreted as an act of torture rather than mercy. Kessler, ‘An Eleventh Century Ivory Plaque from South Italy and the </w:t>
      </w:r>
      <w:proofErr w:type="spellStart"/>
      <w:r w:rsidRPr="00BE3B58">
        <w:rPr>
          <w:rFonts w:ascii="Times New Roman" w:hAnsi="Times New Roman" w:cs="Times New Roman"/>
          <w:color w:val="000000" w:themeColor="text1"/>
          <w:sz w:val="20"/>
          <w:szCs w:val="20"/>
          <w:shd w:val="clear" w:color="auto" w:fill="FFFFFF"/>
        </w:rPr>
        <w:t>Cassinese</w:t>
      </w:r>
      <w:proofErr w:type="spellEnd"/>
      <w:r w:rsidRPr="00BE3B58">
        <w:rPr>
          <w:rFonts w:ascii="Times New Roman" w:hAnsi="Times New Roman" w:cs="Times New Roman"/>
          <w:color w:val="000000" w:themeColor="text1"/>
          <w:sz w:val="20"/>
          <w:szCs w:val="20"/>
          <w:shd w:val="clear" w:color="auto" w:fill="FFFFFF"/>
        </w:rPr>
        <w:t xml:space="preserve"> Revival’, </w:t>
      </w:r>
      <w:r w:rsidR="00373852">
        <w:rPr>
          <w:rFonts w:ascii="Times New Roman" w:hAnsi="Times New Roman" w:cs="Times New Roman"/>
          <w:color w:val="000000" w:themeColor="text1"/>
          <w:sz w:val="20"/>
          <w:szCs w:val="20"/>
          <w:shd w:val="clear" w:color="auto" w:fill="FFFFFF"/>
        </w:rPr>
        <w:t>p. 7</w:t>
      </w:r>
      <w:r w:rsidRPr="00BE3B58">
        <w:rPr>
          <w:rFonts w:ascii="Times New Roman" w:hAnsi="Times New Roman" w:cs="Times New Roman"/>
          <w:color w:val="000000" w:themeColor="text1"/>
          <w:sz w:val="20"/>
          <w:szCs w:val="20"/>
          <w:shd w:val="clear" w:color="auto" w:fill="FFFFFF"/>
        </w:rPr>
        <w:t>6</w:t>
      </w:r>
      <w:r w:rsidR="00373852">
        <w:rPr>
          <w:rFonts w:ascii="Times New Roman" w:hAnsi="Times New Roman" w:cs="Times New Roman"/>
          <w:color w:val="000000" w:themeColor="text1"/>
          <w:sz w:val="20"/>
          <w:szCs w:val="20"/>
          <w:shd w:val="clear" w:color="auto" w:fill="FFFFFF"/>
        </w:rPr>
        <w:t>.</w:t>
      </w:r>
      <w:r w:rsidRPr="00BE3B58">
        <w:rPr>
          <w:rFonts w:ascii="Times New Roman" w:hAnsi="Times New Roman" w:cs="Times New Roman"/>
          <w:color w:val="000000" w:themeColor="text1"/>
          <w:sz w:val="20"/>
          <w:szCs w:val="20"/>
          <w:shd w:val="clear" w:color="auto" w:fill="FFFFFF"/>
        </w:rPr>
        <w:t xml:space="preserve"> </w:t>
      </w:r>
    </w:p>
  </w:footnote>
  <w:footnote w:id="23">
    <w:p w14:paraId="1760F675" w14:textId="44E9BFCD" w:rsidR="00955174" w:rsidRPr="00955174" w:rsidRDefault="00955174">
      <w:pPr>
        <w:pStyle w:val="FootnoteText"/>
        <w:rPr>
          <w:rFonts w:ascii="Times New Roman" w:hAnsi="Times New Roman" w:cs="Times New Roman"/>
        </w:rPr>
      </w:pPr>
      <w:r>
        <w:rPr>
          <w:rStyle w:val="FootnoteReference"/>
        </w:rPr>
        <w:footnoteRef/>
      </w:r>
      <w:r>
        <w:t xml:space="preserve"> </w:t>
      </w:r>
      <w:r w:rsidRPr="00955174">
        <w:rPr>
          <w:rFonts w:ascii="Times New Roman" w:hAnsi="Times New Roman" w:cs="Times New Roman"/>
          <w:i/>
          <w:iCs/>
        </w:rPr>
        <w:t>New American Standard Bible,</w:t>
      </w:r>
      <w:r w:rsidRPr="00955174">
        <w:rPr>
          <w:rFonts w:ascii="Times New Roman" w:hAnsi="Times New Roman" w:cs="Times New Roman"/>
        </w:rPr>
        <w:t xml:space="preserve"> John 19:</w:t>
      </w:r>
      <w:r w:rsidRPr="00955174">
        <w:rPr>
          <w:rFonts w:ascii="Times New Roman" w:hAnsi="Times New Roman" w:cs="Times New Roman"/>
        </w:rPr>
        <w:t>28-30</w:t>
      </w:r>
      <w:r w:rsidRPr="00955174">
        <w:rPr>
          <w:rFonts w:ascii="Times New Roman" w:hAnsi="Times New Roman" w:cs="Times New Roman"/>
        </w:rPr>
        <w:t>.</w:t>
      </w:r>
    </w:p>
  </w:footnote>
  <w:footnote w:id="24">
    <w:p w14:paraId="1B9C8451" w14:textId="24BAB2E7" w:rsidR="001278F7" w:rsidRDefault="001278F7" w:rsidP="001278F7">
      <w:pPr>
        <w:pStyle w:val="FootnoteText"/>
        <w:rPr>
          <w:rFonts w:ascii="Times New Roman" w:hAnsi="Times New Roman" w:cs="Times New Roman"/>
          <w:color w:val="000000" w:themeColor="text1"/>
          <w:shd w:val="clear" w:color="auto" w:fill="FFFFFF"/>
        </w:rPr>
      </w:pPr>
      <w:r w:rsidRPr="00941320">
        <w:rPr>
          <w:rStyle w:val="FootnoteReference"/>
          <w:rFonts w:ascii="Times New Roman" w:hAnsi="Times New Roman" w:cs="Times New Roman"/>
          <w:color w:val="000000" w:themeColor="text1"/>
        </w:rPr>
        <w:footnoteRef/>
      </w:r>
      <w:r w:rsidRPr="00941320">
        <w:rPr>
          <w:rFonts w:ascii="Times New Roman" w:hAnsi="Times New Roman" w:cs="Times New Roman"/>
          <w:color w:val="000000" w:themeColor="text1"/>
        </w:rPr>
        <w:t xml:space="preserve"> </w:t>
      </w:r>
      <w:r w:rsidR="0053626B">
        <w:rPr>
          <w:rFonts w:ascii="Times New Roman" w:hAnsi="Times New Roman" w:cs="Times New Roman"/>
          <w:color w:val="000000" w:themeColor="text1"/>
        </w:rPr>
        <w:t>St. John the Apostle and St. John the Evangelist have canonically been identified as the same figure. In accordance with the Gospel of John, crucifixion scenes representing Mary at the foot of the cross often also display John</w:t>
      </w:r>
      <w:r w:rsidR="00373852">
        <w:rPr>
          <w:rFonts w:ascii="Times New Roman" w:hAnsi="Times New Roman" w:cs="Times New Roman"/>
          <w:color w:val="000000" w:themeColor="text1"/>
        </w:rPr>
        <w:t xml:space="preserve"> </w:t>
      </w:r>
      <w:r w:rsidRPr="00941320">
        <w:rPr>
          <w:rFonts w:ascii="Times New Roman" w:hAnsi="Times New Roman" w:cs="Times New Roman"/>
          <w:color w:val="000000" w:themeColor="text1"/>
          <w:shd w:val="clear" w:color="auto" w:fill="FFFFFF"/>
        </w:rPr>
        <w:t>Chadwick, "St. John the Apostle"</w:t>
      </w:r>
      <w:r w:rsidR="00373852">
        <w:rPr>
          <w:rFonts w:ascii="Times New Roman" w:hAnsi="Times New Roman" w:cs="Times New Roman"/>
          <w:color w:val="000000" w:themeColor="text1"/>
          <w:shd w:val="clear" w:color="auto" w:fill="FFFFFF"/>
        </w:rPr>
        <w:t>,</w:t>
      </w:r>
      <w:r w:rsidRPr="00941320">
        <w:rPr>
          <w:rFonts w:ascii="Times New Roman" w:hAnsi="Times New Roman" w:cs="Times New Roman"/>
          <w:color w:val="000000" w:themeColor="text1"/>
          <w:shd w:val="clear" w:color="auto" w:fill="FFFFFF"/>
        </w:rPr>
        <w:t xml:space="preserve"> </w:t>
      </w:r>
      <w:r w:rsidRPr="00373852">
        <w:rPr>
          <w:rFonts w:ascii="Times New Roman" w:hAnsi="Times New Roman" w:cs="Times New Roman"/>
          <w:i/>
          <w:iCs/>
          <w:color w:val="000000" w:themeColor="text1"/>
          <w:shd w:val="clear" w:color="auto" w:fill="FFFFFF"/>
        </w:rPr>
        <w:t>Encyclopedia Britannica</w:t>
      </w:r>
      <w:r w:rsidRPr="00941320">
        <w:rPr>
          <w:rFonts w:ascii="Times New Roman" w:hAnsi="Times New Roman" w:cs="Times New Roman"/>
          <w:color w:val="000000" w:themeColor="text1"/>
          <w:shd w:val="clear" w:color="auto" w:fill="FFFFFF"/>
        </w:rPr>
        <w:t xml:space="preserve">, </w:t>
      </w:r>
      <w:r w:rsidR="003B311D">
        <w:rPr>
          <w:rFonts w:ascii="Times New Roman" w:hAnsi="Times New Roman" w:cs="Times New Roman"/>
          <w:color w:val="000000" w:themeColor="text1"/>
          <w:shd w:val="clear" w:color="auto" w:fill="FFFFFF"/>
        </w:rPr>
        <w:t>(accessed 10 December</w:t>
      </w:r>
      <w:r w:rsidRPr="00941320">
        <w:rPr>
          <w:rFonts w:ascii="Times New Roman" w:hAnsi="Times New Roman" w:cs="Times New Roman"/>
          <w:color w:val="000000" w:themeColor="text1"/>
          <w:shd w:val="clear" w:color="auto" w:fill="FFFFFF"/>
        </w:rPr>
        <w:t xml:space="preserve"> 2022</w:t>
      </w:r>
      <w:r w:rsidR="003B311D">
        <w:rPr>
          <w:rFonts w:ascii="Times New Roman" w:hAnsi="Times New Roman" w:cs="Times New Roman"/>
          <w:color w:val="000000" w:themeColor="text1"/>
          <w:shd w:val="clear" w:color="auto" w:fill="FFFFFF"/>
        </w:rPr>
        <w:t>)</w:t>
      </w:r>
      <w:r w:rsidRPr="00941320">
        <w:rPr>
          <w:rFonts w:ascii="Times New Roman" w:hAnsi="Times New Roman" w:cs="Times New Roman"/>
          <w:color w:val="000000" w:themeColor="text1"/>
          <w:shd w:val="clear" w:color="auto" w:fill="FFFFFF"/>
        </w:rPr>
        <w:t xml:space="preserve">. </w:t>
      </w:r>
      <w:hyperlink r:id="rId5" w:history="1">
        <w:r w:rsidRPr="003B311D">
          <w:rPr>
            <w:rStyle w:val="Hyperlink"/>
            <w:rFonts w:ascii="Times New Roman" w:hAnsi="Times New Roman" w:cs="Times New Roman"/>
            <w:color w:val="000000" w:themeColor="text1"/>
            <w:shd w:val="clear" w:color="auto" w:fill="FFFFFF"/>
          </w:rPr>
          <w:t>https://www.britannica.com/biography/Saint-John-the-Apostle</w:t>
        </w:r>
      </w:hyperlink>
      <w:r w:rsidRPr="003B311D">
        <w:rPr>
          <w:rFonts w:ascii="Times New Roman" w:hAnsi="Times New Roman" w:cs="Times New Roman"/>
          <w:color w:val="000000" w:themeColor="text1"/>
          <w:shd w:val="clear" w:color="auto" w:fill="FFFFFF"/>
        </w:rPr>
        <w:t>.</w:t>
      </w:r>
    </w:p>
    <w:p w14:paraId="1F37A9E0" w14:textId="77777777" w:rsidR="00373852" w:rsidRPr="00BE3B58" w:rsidRDefault="00373852" w:rsidP="001278F7">
      <w:pPr>
        <w:pStyle w:val="FootnoteText"/>
        <w:rPr>
          <w:rFonts w:ascii="Times New Roman" w:hAnsi="Times New Roman" w:cs="Times New Roman"/>
          <w:color w:val="000000" w:themeColor="text1"/>
          <w:shd w:val="clear" w:color="auto" w:fill="FFFFFF"/>
        </w:rPr>
      </w:pPr>
    </w:p>
  </w:footnote>
  <w:footnote w:id="25">
    <w:p w14:paraId="5E8CC6DB" w14:textId="0D32B306" w:rsidR="001278F7" w:rsidRDefault="001278F7" w:rsidP="001278F7">
      <w:pPr>
        <w:pStyle w:val="FootnoteText"/>
        <w:rPr>
          <w:rFonts w:ascii="Times New Roman" w:hAnsi="Times New Roman" w:cs="Times New Roman"/>
          <w:color w:val="000000" w:themeColor="text1"/>
        </w:rPr>
      </w:pPr>
      <w:r w:rsidRPr="00941320">
        <w:rPr>
          <w:rStyle w:val="FootnoteReference"/>
          <w:rFonts w:ascii="Times New Roman" w:hAnsi="Times New Roman" w:cs="Times New Roman"/>
          <w:color w:val="000000" w:themeColor="text1"/>
        </w:rPr>
        <w:footnoteRef/>
      </w:r>
      <w:r w:rsidRPr="00941320">
        <w:rPr>
          <w:rFonts w:ascii="Times New Roman" w:hAnsi="Times New Roman" w:cs="Times New Roman"/>
          <w:color w:val="000000" w:themeColor="text1"/>
        </w:rPr>
        <w:t xml:space="preserve"> </w:t>
      </w:r>
      <w:r w:rsidR="00373852" w:rsidRPr="00373852">
        <w:rPr>
          <w:rFonts w:ascii="Times New Roman" w:hAnsi="Times New Roman" w:cs="Times New Roman"/>
          <w:i/>
          <w:iCs/>
          <w:color w:val="000000" w:themeColor="text1"/>
        </w:rPr>
        <w:t>New American Standard Bible</w:t>
      </w:r>
      <w:r w:rsidR="00373852" w:rsidRPr="00373852">
        <w:rPr>
          <w:rStyle w:val="text"/>
          <w:rFonts w:ascii="Times New Roman" w:hAnsi="Times New Roman" w:cs="Times New Roman"/>
          <w:color w:val="000000" w:themeColor="text1"/>
          <w:shd w:val="clear" w:color="auto" w:fill="FFFFFF"/>
        </w:rPr>
        <w:t xml:space="preserve">, </w:t>
      </w:r>
      <w:r w:rsidRPr="00941320">
        <w:rPr>
          <w:rFonts w:ascii="Times New Roman" w:hAnsi="Times New Roman" w:cs="Times New Roman"/>
          <w:color w:val="000000" w:themeColor="text1"/>
        </w:rPr>
        <w:t>John 19:25-27</w:t>
      </w:r>
      <w:r w:rsidR="00373852">
        <w:rPr>
          <w:rFonts w:ascii="Times New Roman" w:hAnsi="Times New Roman" w:cs="Times New Roman"/>
          <w:color w:val="000000" w:themeColor="text1"/>
        </w:rPr>
        <w:t xml:space="preserve">. </w:t>
      </w:r>
    </w:p>
    <w:p w14:paraId="6D0AB51C" w14:textId="77777777" w:rsidR="00373852" w:rsidRPr="00941320" w:rsidRDefault="00373852" w:rsidP="001278F7">
      <w:pPr>
        <w:pStyle w:val="FootnoteText"/>
        <w:rPr>
          <w:rFonts w:ascii="Times New Roman" w:hAnsi="Times New Roman" w:cs="Times New Roman"/>
          <w:color w:val="000000" w:themeColor="text1"/>
        </w:rPr>
      </w:pPr>
    </w:p>
  </w:footnote>
  <w:footnote w:id="26">
    <w:p w14:paraId="59B59892" w14:textId="38392A6A" w:rsidR="001278F7" w:rsidRDefault="001278F7" w:rsidP="001278F7">
      <w:pPr>
        <w:pStyle w:val="FootnoteText"/>
        <w:rPr>
          <w:rFonts w:ascii="Times New Roman" w:hAnsi="Times New Roman" w:cs="Times New Roman"/>
          <w:color w:val="000000" w:themeColor="text1"/>
          <w:shd w:val="clear" w:color="auto" w:fill="FFFFFF"/>
        </w:rPr>
      </w:pPr>
      <w:r w:rsidRPr="00941320">
        <w:rPr>
          <w:rStyle w:val="FootnoteReference"/>
          <w:rFonts w:ascii="Times New Roman" w:hAnsi="Times New Roman" w:cs="Times New Roman"/>
          <w:color w:val="000000" w:themeColor="text1"/>
        </w:rPr>
        <w:footnoteRef/>
      </w:r>
      <w:r w:rsidRPr="00941320">
        <w:rPr>
          <w:rFonts w:ascii="Times New Roman" w:hAnsi="Times New Roman" w:cs="Times New Roman"/>
          <w:color w:val="000000" w:themeColor="text1"/>
        </w:rPr>
        <w:t xml:space="preserve"> Adhering to the artistic convention, Mary is positioned on Christ’s Right, with St. John on his left. The credibility of the Gospel account is validated and reinforced by the inclusion of St. John at the foot of the cross, as he his visual inclusion offers further proof that his Gospel is an eyewitness account of the crucifixion. </w:t>
      </w:r>
      <w:r w:rsidRPr="00941320">
        <w:rPr>
          <w:rFonts w:ascii="Times New Roman" w:hAnsi="Times New Roman" w:cs="Times New Roman"/>
          <w:color w:val="000000" w:themeColor="text1"/>
          <w:shd w:val="clear" w:color="auto" w:fill="FFFFFF"/>
        </w:rPr>
        <w:t>Hall, </w:t>
      </w:r>
      <w:r w:rsidRPr="00941320">
        <w:rPr>
          <w:rFonts w:ascii="Times New Roman" w:hAnsi="Times New Roman" w:cs="Times New Roman"/>
          <w:i/>
          <w:iCs/>
          <w:color w:val="000000" w:themeColor="text1"/>
          <w:shd w:val="clear" w:color="auto" w:fill="FFFFFF"/>
        </w:rPr>
        <w:t>Dictionary of Subjects and Symbols in Art</w:t>
      </w:r>
      <w:r w:rsidRPr="00941320">
        <w:rPr>
          <w:rFonts w:ascii="Times New Roman" w:hAnsi="Times New Roman" w:cs="Times New Roman"/>
          <w:color w:val="000000" w:themeColor="text1"/>
          <w:shd w:val="clear" w:color="auto" w:fill="FFFFFF"/>
        </w:rPr>
        <w:t xml:space="preserve">, </w:t>
      </w:r>
      <w:r w:rsidR="003B311D">
        <w:rPr>
          <w:rFonts w:ascii="Times New Roman" w:hAnsi="Times New Roman" w:cs="Times New Roman"/>
          <w:color w:val="000000" w:themeColor="text1"/>
          <w:shd w:val="clear" w:color="auto" w:fill="FFFFFF"/>
        </w:rPr>
        <w:t xml:space="preserve">p. 86. </w:t>
      </w:r>
    </w:p>
    <w:p w14:paraId="041CFDC0" w14:textId="77777777" w:rsidR="003B311D" w:rsidRPr="00BE3B58" w:rsidRDefault="003B311D" w:rsidP="001278F7">
      <w:pPr>
        <w:pStyle w:val="FootnoteText"/>
        <w:rPr>
          <w:rFonts w:ascii="Times New Roman" w:hAnsi="Times New Roman" w:cs="Times New Roman"/>
          <w:color w:val="000000" w:themeColor="text1"/>
          <w:shd w:val="clear" w:color="auto" w:fill="FFFFFF"/>
        </w:rPr>
      </w:pPr>
    </w:p>
  </w:footnote>
  <w:footnote w:id="27">
    <w:p w14:paraId="38E9CCC9" w14:textId="1F4299D3" w:rsidR="00674A47" w:rsidRDefault="00674A47">
      <w:pPr>
        <w:pStyle w:val="FootnoteText"/>
      </w:pPr>
      <w:r w:rsidRPr="00BE3B58">
        <w:rPr>
          <w:rStyle w:val="FootnoteReference"/>
          <w:rFonts w:ascii="Times New Roman" w:hAnsi="Times New Roman" w:cs="Times New Roman"/>
          <w:color w:val="000000" w:themeColor="text1"/>
        </w:rPr>
        <w:footnoteRef/>
      </w:r>
      <w:r w:rsidRPr="00BE3B58">
        <w:rPr>
          <w:rFonts w:ascii="Times New Roman" w:hAnsi="Times New Roman" w:cs="Times New Roman"/>
          <w:color w:val="000000" w:themeColor="text1"/>
        </w:rPr>
        <w:t xml:space="preserve"> </w:t>
      </w:r>
      <w:r w:rsidR="00373852" w:rsidRPr="00373852">
        <w:rPr>
          <w:rFonts w:ascii="Times New Roman" w:hAnsi="Times New Roman" w:cs="Times New Roman"/>
          <w:i/>
          <w:iCs/>
          <w:color w:val="000000" w:themeColor="text1"/>
        </w:rPr>
        <w:t>New American Standard Bible</w:t>
      </w:r>
      <w:r w:rsidR="00373852" w:rsidRPr="00373852">
        <w:rPr>
          <w:rStyle w:val="text"/>
          <w:rFonts w:ascii="Times New Roman" w:hAnsi="Times New Roman" w:cs="Times New Roman"/>
          <w:color w:val="000000" w:themeColor="text1"/>
          <w:shd w:val="clear" w:color="auto" w:fill="FFFFFF"/>
        </w:rPr>
        <w:t xml:space="preserve">, </w:t>
      </w:r>
      <w:r w:rsidR="00373852" w:rsidRPr="00941320">
        <w:rPr>
          <w:rFonts w:ascii="Times New Roman" w:hAnsi="Times New Roman" w:cs="Times New Roman"/>
          <w:color w:val="000000" w:themeColor="text1"/>
        </w:rPr>
        <w:t>John 19:25-2</w:t>
      </w:r>
      <w:r w:rsidR="00955174">
        <w:rPr>
          <w:rFonts w:ascii="Times New Roman" w:hAnsi="Times New Roman" w:cs="Times New Roman"/>
          <w:color w:val="000000" w:themeColor="text1"/>
        </w:rPr>
        <w:t>7</w:t>
      </w:r>
      <w:r w:rsidR="00373852">
        <w:rPr>
          <w:rFonts w:ascii="Times New Roman" w:hAnsi="Times New Roman" w:cs="Times New Roman"/>
          <w:color w:val="000000" w:themeColor="text1"/>
        </w:rP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45C48"/>
    <w:multiLevelType w:val="multilevel"/>
    <w:tmpl w:val="08BED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8706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9F6"/>
    <w:rsid w:val="000626C0"/>
    <w:rsid w:val="00074BC1"/>
    <w:rsid w:val="000A7082"/>
    <w:rsid w:val="000B2A6F"/>
    <w:rsid w:val="000C11E8"/>
    <w:rsid w:val="000C63B8"/>
    <w:rsid w:val="000D3D8D"/>
    <w:rsid w:val="00121729"/>
    <w:rsid w:val="001278F7"/>
    <w:rsid w:val="00135D30"/>
    <w:rsid w:val="0013690C"/>
    <w:rsid w:val="00197B60"/>
    <w:rsid w:val="00197CD3"/>
    <w:rsid w:val="001E2D69"/>
    <w:rsid w:val="001F795E"/>
    <w:rsid w:val="00211810"/>
    <w:rsid w:val="00214678"/>
    <w:rsid w:val="00280B07"/>
    <w:rsid w:val="002B4622"/>
    <w:rsid w:val="002E1FC9"/>
    <w:rsid w:val="002E4906"/>
    <w:rsid w:val="002F0584"/>
    <w:rsid w:val="00346DFA"/>
    <w:rsid w:val="0035490E"/>
    <w:rsid w:val="00373852"/>
    <w:rsid w:val="00376FFE"/>
    <w:rsid w:val="003A054C"/>
    <w:rsid w:val="003A2C70"/>
    <w:rsid w:val="003B311D"/>
    <w:rsid w:val="003D33B6"/>
    <w:rsid w:val="003D686A"/>
    <w:rsid w:val="00410A86"/>
    <w:rsid w:val="0042025B"/>
    <w:rsid w:val="004211A8"/>
    <w:rsid w:val="00455E66"/>
    <w:rsid w:val="004C49F6"/>
    <w:rsid w:val="004D3637"/>
    <w:rsid w:val="004E5012"/>
    <w:rsid w:val="0053626B"/>
    <w:rsid w:val="0054273A"/>
    <w:rsid w:val="005C74F3"/>
    <w:rsid w:val="00604848"/>
    <w:rsid w:val="00674A47"/>
    <w:rsid w:val="006B4D2B"/>
    <w:rsid w:val="006D66B1"/>
    <w:rsid w:val="006E6933"/>
    <w:rsid w:val="006F507E"/>
    <w:rsid w:val="007464E8"/>
    <w:rsid w:val="007F2DEA"/>
    <w:rsid w:val="00800685"/>
    <w:rsid w:val="00821A17"/>
    <w:rsid w:val="008415CD"/>
    <w:rsid w:val="00846767"/>
    <w:rsid w:val="00865255"/>
    <w:rsid w:val="00870AE5"/>
    <w:rsid w:val="00875E0B"/>
    <w:rsid w:val="00881D57"/>
    <w:rsid w:val="00897283"/>
    <w:rsid w:val="008C5FE7"/>
    <w:rsid w:val="008D2E68"/>
    <w:rsid w:val="00941320"/>
    <w:rsid w:val="00955174"/>
    <w:rsid w:val="009661B7"/>
    <w:rsid w:val="00990209"/>
    <w:rsid w:val="00995D29"/>
    <w:rsid w:val="009A1158"/>
    <w:rsid w:val="009A39A5"/>
    <w:rsid w:val="009C3531"/>
    <w:rsid w:val="009C37A7"/>
    <w:rsid w:val="00A1202C"/>
    <w:rsid w:val="00A213DF"/>
    <w:rsid w:val="00A755B8"/>
    <w:rsid w:val="00A87C2A"/>
    <w:rsid w:val="00AD0FA5"/>
    <w:rsid w:val="00AE7971"/>
    <w:rsid w:val="00B222E5"/>
    <w:rsid w:val="00B258B8"/>
    <w:rsid w:val="00BB7952"/>
    <w:rsid w:val="00BE3B58"/>
    <w:rsid w:val="00BF3013"/>
    <w:rsid w:val="00C017D4"/>
    <w:rsid w:val="00C104C6"/>
    <w:rsid w:val="00C14EA4"/>
    <w:rsid w:val="00C15796"/>
    <w:rsid w:val="00C2017C"/>
    <w:rsid w:val="00C80979"/>
    <w:rsid w:val="00C836FA"/>
    <w:rsid w:val="00CA24D7"/>
    <w:rsid w:val="00CC2690"/>
    <w:rsid w:val="00D06BEA"/>
    <w:rsid w:val="00D62240"/>
    <w:rsid w:val="00D73262"/>
    <w:rsid w:val="00DC7D66"/>
    <w:rsid w:val="00DD5728"/>
    <w:rsid w:val="00E057D6"/>
    <w:rsid w:val="00E15549"/>
    <w:rsid w:val="00E23CBD"/>
    <w:rsid w:val="00EA6909"/>
    <w:rsid w:val="00EC6E01"/>
    <w:rsid w:val="00EE0D58"/>
    <w:rsid w:val="00EF5335"/>
    <w:rsid w:val="00F372D3"/>
    <w:rsid w:val="00F54E3B"/>
    <w:rsid w:val="00FD68DE"/>
    <w:rsid w:val="00FE04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0DEFD1"/>
  <w15:chartTrackingRefBased/>
  <w15:docId w15:val="{17250DCA-23F6-4155-8CE5-98A3B3D89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4C49F6"/>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C49F6"/>
    <w:rPr>
      <w:rFonts w:ascii="Times New Roman" w:eastAsia="Times New Roman" w:hAnsi="Times New Roman" w:cs="Times New Roman"/>
      <w:b/>
      <w:bCs/>
      <w:sz w:val="27"/>
      <w:szCs w:val="27"/>
    </w:rPr>
  </w:style>
  <w:style w:type="paragraph" w:styleId="NormalWeb">
    <w:name w:val="Normal (Web)"/>
    <w:basedOn w:val="Normal"/>
    <w:uiPriority w:val="99"/>
    <w:unhideWhenUsed/>
    <w:rsid w:val="004C49F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C49F6"/>
    <w:rPr>
      <w:b/>
      <w:bCs/>
    </w:rPr>
  </w:style>
  <w:style w:type="character" w:styleId="Hyperlink">
    <w:name w:val="Hyperlink"/>
    <w:basedOn w:val="DefaultParagraphFont"/>
    <w:uiPriority w:val="99"/>
    <w:unhideWhenUsed/>
    <w:rsid w:val="0054273A"/>
    <w:rPr>
      <w:color w:val="0563C1" w:themeColor="hyperlink"/>
      <w:u w:val="single"/>
    </w:rPr>
  </w:style>
  <w:style w:type="character" w:styleId="UnresolvedMention">
    <w:name w:val="Unresolved Mention"/>
    <w:basedOn w:val="DefaultParagraphFont"/>
    <w:uiPriority w:val="99"/>
    <w:semiHidden/>
    <w:unhideWhenUsed/>
    <w:rsid w:val="0054273A"/>
    <w:rPr>
      <w:color w:val="605E5C"/>
      <w:shd w:val="clear" w:color="auto" w:fill="E1DFDD"/>
    </w:rPr>
  </w:style>
  <w:style w:type="character" w:styleId="FollowedHyperlink">
    <w:name w:val="FollowedHyperlink"/>
    <w:basedOn w:val="DefaultParagraphFont"/>
    <w:uiPriority w:val="99"/>
    <w:semiHidden/>
    <w:unhideWhenUsed/>
    <w:rsid w:val="008415CD"/>
    <w:rPr>
      <w:color w:val="954F72" w:themeColor="followedHyperlink"/>
      <w:u w:val="single"/>
    </w:rPr>
  </w:style>
  <w:style w:type="character" w:customStyle="1" w:styleId="text">
    <w:name w:val="text"/>
    <w:basedOn w:val="DefaultParagraphFont"/>
    <w:rsid w:val="00C2017C"/>
  </w:style>
  <w:style w:type="character" w:customStyle="1" w:styleId="woj">
    <w:name w:val="woj"/>
    <w:basedOn w:val="DefaultParagraphFont"/>
    <w:rsid w:val="00C2017C"/>
  </w:style>
  <w:style w:type="character" w:customStyle="1" w:styleId="text-smallcaps">
    <w:name w:val="text-smallcaps"/>
    <w:basedOn w:val="DefaultParagraphFont"/>
    <w:rsid w:val="00455E66"/>
  </w:style>
  <w:style w:type="character" w:styleId="Emphasis">
    <w:name w:val="Emphasis"/>
    <w:basedOn w:val="DefaultParagraphFont"/>
    <w:uiPriority w:val="20"/>
    <w:qFormat/>
    <w:rsid w:val="000B2A6F"/>
    <w:rPr>
      <w:i/>
      <w:iCs/>
    </w:rPr>
  </w:style>
  <w:style w:type="paragraph" w:styleId="FootnoteText">
    <w:name w:val="footnote text"/>
    <w:basedOn w:val="Normal"/>
    <w:link w:val="FootnoteTextChar"/>
    <w:uiPriority w:val="99"/>
    <w:unhideWhenUsed/>
    <w:rsid w:val="00C017D4"/>
    <w:pPr>
      <w:spacing w:after="0" w:line="240" w:lineRule="auto"/>
    </w:pPr>
    <w:rPr>
      <w:sz w:val="20"/>
      <w:szCs w:val="20"/>
    </w:rPr>
  </w:style>
  <w:style w:type="character" w:customStyle="1" w:styleId="FootnoteTextChar">
    <w:name w:val="Footnote Text Char"/>
    <w:basedOn w:val="DefaultParagraphFont"/>
    <w:link w:val="FootnoteText"/>
    <w:uiPriority w:val="99"/>
    <w:rsid w:val="00C017D4"/>
    <w:rPr>
      <w:sz w:val="20"/>
      <w:szCs w:val="20"/>
    </w:rPr>
  </w:style>
  <w:style w:type="character" w:styleId="FootnoteReference">
    <w:name w:val="footnote reference"/>
    <w:basedOn w:val="DefaultParagraphFont"/>
    <w:uiPriority w:val="99"/>
    <w:semiHidden/>
    <w:unhideWhenUsed/>
    <w:rsid w:val="00C017D4"/>
    <w:rPr>
      <w:vertAlign w:val="superscript"/>
    </w:rPr>
  </w:style>
  <w:style w:type="character" w:customStyle="1" w:styleId="artwork-tombstone--value">
    <w:name w:val="artwork-tombstone--value"/>
    <w:basedOn w:val="DefaultParagraphFont"/>
    <w:rsid w:val="00881D57"/>
  </w:style>
  <w:style w:type="character" w:customStyle="1" w:styleId="artwork-tombstone--label">
    <w:name w:val="artwork-tombstone--label"/>
    <w:basedOn w:val="DefaultParagraphFont"/>
    <w:rsid w:val="00881D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9824940">
      <w:bodyDiv w:val="1"/>
      <w:marLeft w:val="0"/>
      <w:marRight w:val="0"/>
      <w:marTop w:val="0"/>
      <w:marBottom w:val="0"/>
      <w:divBdr>
        <w:top w:val="none" w:sz="0" w:space="0" w:color="auto"/>
        <w:left w:val="none" w:sz="0" w:space="0" w:color="auto"/>
        <w:bottom w:val="none" w:sz="0" w:space="0" w:color="auto"/>
        <w:right w:val="none" w:sz="0" w:space="0" w:color="auto"/>
      </w:divBdr>
    </w:div>
    <w:div w:id="1136676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ordreference.com/view/10.1093/acref/9780198662037.001.0001/acref-9780198662037-e-1302"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tmuseum.org/art/collection/search/464418?deptids=17%7c7&amp;amp;what=Ivory&amp;amp;ao=on&amp;amp;ft=Salerno&amp;amp;offset=0&amp;amp;rpp=40&amp;amp;pos=3" TargetMode="External"/><Relationship Id="rId5" Type="http://schemas.openxmlformats.org/officeDocument/2006/relationships/webSettings" Target="webSettings.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https://www.britannica.com/biography/Saint-John-the-Apostle"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metmuseum.org/toah/hd/priv/hd_priv.htm" TargetMode="External"/><Relationship Id="rId2" Type="http://schemas.openxmlformats.org/officeDocument/2006/relationships/hyperlink" Target="https://www.oxfordreference.com/view/10.1093/acref/9780198662037.001.0001/acref-9780198662037-e-1302" TargetMode="External"/><Relationship Id="rId1" Type="http://schemas.openxmlformats.org/officeDocument/2006/relationships/hyperlink" Target="https://www-oxfordbibliographies-com.ezproxy.uwtsd.ac.uk/view/document/obo-9780195396584/obo-9780195396584-0227.xml" TargetMode="External"/><Relationship Id="rId5" Type="http://schemas.openxmlformats.org/officeDocument/2006/relationships/hyperlink" Target="https://www.britannica.com/biography/Saint-John-the-Apostle" TargetMode="External"/><Relationship Id="rId4" Type="http://schemas.openxmlformats.org/officeDocument/2006/relationships/hyperlink" Target="https://www.metmuseum.org/art/collection/search/464418?deptids=17%7c7&amp;amp;what=Ivory&amp;amp;ao=on&amp;amp;ft=Salerno&amp;amp;offset=0&amp;amp;rpp=40&amp;amp;pos=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263ED1-2EAB-4256-ABF3-611983F77E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2987</TotalTime>
  <Pages>8</Pages>
  <Words>2408</Words>
  <Characters>13732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Zenith Prep Academy</dc:creator>
  <cp:keywords/>
  <dc:description/>
  <cp:lastModifiedBy>Zenith Prep Academy </cp:lastModifiedBy>
  <cp:revision>40</cp:revision>
  <dcterms:created xsi:type="dcterms:W3CDTF">2022-12-06T20:23:00Z</dcterms:created>
  <dcterms:modified xsi:type="dcterms:W3CDTF">2022-12-16T21:26:00Z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0e1b5508-9e99-447e-8cc1-a9cec23ad23e</vt:lpwstr>
  </property>
</Properties>
</file>