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08FAE" w14:textId="0A9AFE87" w:rsidR="009A3EA9" w:rsidRPr="00E54A9C" w:rsidRDefault="009A3EA9" w:rsidP="005153DA">
      <w:pPr>
        <w:pStyle w:val="p1"/>
        <w:spacing w:line="360" w:lineRule="auto"/>
        <w:rPr>
          <w:rFonts w:ascii="Arial" w:hAnsi="Arial" w:cs="Arial"/>
          <w:sz w:val="22"/>
          <w:szCs w:val="22"/>
        </w:rPr>
      </w:pPr>
      <w:r w:rsidRPr="00E54A9C">
        <w:rPr>
          <w:rStyle w:val="s1"/>
          <w:rFonts w:ascii="Arial" w:hAnsi="Arial" w:cs="Arial"/>
          <w:sz w:val="22"/>
          <w:szCs w:val="22"/>
        </w:rPr>
        <w:t>Student Name:</w:t>
      </w:r>
      <w:r w:rsidRPr="00E54A9C">
        <w:rPr>
          <w:rStyle w:val="s2"/>
          <w:rFonts w:ascii="Arial" w:hAnsi="Arial" w:cs="Arial"/>
          <w:sz w:val="22"/>
          <w:szCs w:val="22"/>
        </w:rPr>
        <w:t xml:space="preserve"> Hania – Amani Ashraf</w:t>
      </w:r>
    </w:p>
    <w:p w14:paraId="054D14E1" w14:textId="41282408" w:rsidR="009A3EA9" w:rsidRPr="00E54A9C" w:rsidRDefault="009A3EA9" w:rsidP="005153DA">
      <w:pPr>
        <w:pStyle w:val="p1"/>
        <w:spacing w:line="360" w:lineRule="auto"/>
        <w:rPr>
          <w:rFonts w:ascii="Arial" w:hAnsi="Arial" w:cs="Arial"/>
          <w:sz w:val="22"/>
          <w:szCs w:val="22"/>
        </w:rPr>
      </w:pPr>
      <w:r w:rsidRPr="00E54A9C">
        <w:rPr>
          <w:rStyle w:val="s1"/>
          <w:rFonts w:ascii="Arial" w:hAnsi="Arial" w:cs="Arial"/>
          <w:sz w:val="22"/>
          <w:szCs w:val="22"/>
        </w:rPr>
        <w:t>Student Number:</w:t>
      </w:r>
      <w:r w:rsidRPr="00E54A9C">
        <w:rPr>
          <w:rStyle w:val="s2"/>
          <w:rFonts w:ascii="Arial" w:hAnsi="Arial" w:cs="Arial"/>
          <w:sz w:val="22"/>
          <w:szCs w:val="22"/>
        </w:rPr>
        <w:t xml:space="preserve"> </w:t>
      </w:r>
      <w:r w:rsidR="00365869" w:rsidRPr="00E54A9C">
        <w:rPr>
          <w:rStyle w:val="s2"/>
          <w:rFonts w:ascii="Arial" w:hAnsi="Arial" w:cs="Arial"/>
          <w:sz w:val="22"/>
          <w:szCs w:val="22"/>
        </w:rPr>
        <w:t>2420735</w:t>
      </w:r>
    </w:p>
    <w:p w14:paraId="7926B2F5" w14:textId="22E44B75" w:rsidR="009A3EA9" w:rsidRPr="00E54A9C" w:rsidRDefault="009A3EA9" w:rsidP="005153DA">
      <w:pPr>
        <w:pStyle w:val="p1"/>
        <w:spacing w:line="360" w:lineRule="auto"/>
        <w:rPr>
          <w:rFonts w:ascii="Arial" w:hAnsi="Arial" w:cs="Arial"/>
          <w:sz w:val="22"/>
          <w:szCs w:val="22"/>
        </w:rPr>
      </w:pPr>
      <w:r w:rsidRPr="00E54A9C">
        <w:rPr>
          <w:rStyle w:val="s1"/>
          <w:rFonts w:ascii="Arial" w:hAnsi="Arial" w:cs="Arial"/>
          <w:sz w:val="22"/>
          <w:szCs w:val="22"/>
        </w:rPr>
        <w:t>Module Code &amp; Title:</w:t>
      </w:r>
      <w:r w:rsidR="00365869" w:rsidRPr="00E54A9C">
        <w:rPr>
          <w:rStyle w:val="s2"/>
          <w:rFonts w:ascii="Arial" w:hAnsi="Arial" w:cs="Arial"/>
          <w:sz w:val="22"/>
          <w:szCs w:val="22"/>
        </w:rPr>
        <w:t xml:space="preserve"> </w:t>
      </w:r>
      <w:r w:rsidRPr="00E54A9C">
        <w:rPr>
          <w:rStyle w:val="s2"/>
          <w:rFonts w:ascii="Arial" w:hAnsi="Arial" w:cs="Arial"/>
          <w:sz w:val="22"/>
          <w:szCs w:val="22"/>
        </w:rPr>
        <w:t>Psychological Perspectives Across the Lifespan</w:t>
      </w:r>
    </w:p>
    <w:p w14:paraId="5B596897" w14:textId="4285452C" w:rsidR="009A3EA9" w:rsidRPr="00E54A9C" w:rsidRDefault="009A3EA9" w:rsidP="005153DA">
      <w:pPr>
        <w:pStyle w:val="p1"/>
        <w:spacing w:line="360" w:lineRule="auto"/>
        <w:rPr>
          <w:rFonts w:ascii="Arial" w:hAnsi="Arial" w:cs="Arial"/>
          <w:sz w:val="22"/>
          <w:szCs w:val="22"/>
        </w:rPr>
      </w:pPr>
      <w:r w:rsidRPr="00E54A9C">
        <w:rPr>
          <w:rStyle w:val="s1"/>
          <w:rFonts w:ascii="Arial" w:hAnsi="Arial" w:cs="Arial"/>
          <w:sz w:val="22"/>
          <w:szCs w:val="22"/>
        </w:rPr>
        <w:t>Lecturer’s Name:</w:t>
      </w:r>
      <w:r w:rsidRPr="00E54A9C">
        <w:rPr>
          <w:rStyle w:val="s2"/>
          <w:rFonts w:ascii="Arial" w:hAnsi="Arial" w:cs="Arial"/>
          <w:sz w:val="22"/>
          <w:szCs w:val="22"/>
        </w:rPr>
        <w:t xml:space="preserve"> </w:t>
      </w:r>
      <w:r w:rsidR="004A3F46">
        <w:rPr>
          <w:rStyle w:val="s2"/>
          <w:rFonts w:ascii="Arial" w:hAnsi="Arial" w:cs="Arial"/>
          <w:sz w:val="22"/>
          <w:szCs w:val="22"/>
        </w:rPr>
        <w:t>Kal Alnababath</w:t>
      </w:r>
    </w:p>
    <w:p w14:paraId="54975C57" w14:textId="515F0BDB" w:rsidR="009A3EA9" w:rsidRPr="00E54A9C" w:rsidRDefault="009A3EA9" w:rsidP="005153DA">
      <w:pPr>
        <w:pStyle w:val="p1"/>
        <w:spacing w:line="360" w:lineRule="auto"/>
        <w:rPr>
          <w:rFonts w:ascii="Arial" w:hAnsi="Arial" w:cs="Arial"/>
          <w:sz w:val="22"/>
          <w:szCs w:val="22"/>
        </w:rPr>
      </w:pPr>
      <w:r w:rsidRPr="00E54A9C">
        <w:rPr>
          <w:rStyle w:val="s1"/>
          <w:rFonts w:ascii="Arial" w:hAnsi="Arial" w:cs="Arial"/>
          <w:sz w:val="22"/>
          <w:szCs w:val="22"/>
        </w:rPr>
        <w:t>Assignment Title:</w:t>
      </w:r>
      <w:r w:rsidR="00FD69F4" w:rsidRPr="00E54A9C">
        <w:rPr>
          <w:rFonts w:ascii="Arial" w:hAnsi="Arial" w:cs="Arial"/>
          <w:sz w:val="22"/>
          <w:szCs w:val="22"/>
        </w:rPr>
        <w:t xml:space="preserve"> </w:t>
      </w:r>
      <w:r w:rsidRPr="00E54A9C">
        <w:rPr>
          <w:rStyle w:val="s3"/>
          <w:rFonts w:ascii="Arial" w:hAnsi="Arial" w:cs="Arial"/>
          <w:sz w:val="22"/>
          <w:szCs w:val="22"/>
        </w:rPr>
        <w:t>Using Psychological Theories to Support Adults Aged 65+ Living with Dementia in a Care Home Setting</w:t>
      </w:r>
    </w:p>
    <w:p w14:paraId="0BE24822" w14:textId="77777777" w:rsidR="009A3EA9" w:rsidRPr="00E54A9C" w:rsidRDefault="009A3EA9" w:rsidP="005153DA">
      <w:pPr>
        <w:spacing w:line="360" w:lineRule="auto"/>
        <w:rPr>
          <w:rFonts w:ascii="Arial" w:hAnsi="Arial" w:cs="Arial"/>
          <w:sz w:val="22"/>
          <w:szCs w:val="22"/>
        </w:rPr>
      </w:pPr>
    </w:p>
    <w:p w14:paraId="04F3A6D1" w14:textId="77777777" w:rsidR="00FD69F4" w:rsidRPr="00E54A9C" w:rsidRDefault="00FD69F4" w:rsidP="005153DA">
      <w:pPr>
        <w:spacing w:line="360" w:lineRule="auto"/>
        <w:rPr>
          <w:rFonts w:ascii="Arial" w:hAnsi="Arial" w:cs="Arial"/>
          <w:sz w:val="22"/>
          <w:szCs w:val="22"/>
        </w:rPr>
      </w:pPr>
    </w:p>
    <w:p w14:paraId="23CFCFC7" w14:textId="77777777" w:rsidR="00FD69F4" w:rsidRPr="00E54A9C" w:rsidRDefault="00FD69F4" w:rsidP="005153DA">
      <w:pPr>
        <w:spacing w:line="360" w:lineRule="auto"/>
        <w:rPr>
          <w:rFonts w:ascii="Arial" w:hAnsi="Arial" w:cs="Arial"/>
          <w:sz w:val="22"/>
          <w:szCs w:val="22"/>
        </w:rPr>
      </w:pPr>
    </w:p>
    <w:p w14:paraId="48E63ABB" w14:textId="77777777" w:rsidR="00FD69F4" w:rsidRPr="00E54A9C" w:rsidRDefault="00FD69F4" w:rsidP="005153DA">
      <w:pPr>
        <w:spacing w:line="360" w:lineRule="auto"/>
        <w:rPr>
          <w:rFonts w:ascii="Arial" w:hAnsi="Arial" w:cs="Arial"/>
          <w:sz w:val="22"/>
          <w:szCs w:val="22"/>
        </w:rPr>
      </w:pPr>
    </w:p>
    <w:p w14:paraId="69DB09F6" w14:textId="77777777" w:rsidR="00371DD1" w:rsidRPr="00E54A9C" w:rsidRDefault="00371DD1" w:rsidP="005153DA">
      <w:pPr>
        <w:spacing w:line="360" w:lineRule="auto"/>
        <w:rPr>
          <w:rFonts w:ascii="Arial" w:hAnsi="Arial" w:cs="Arial"/>
          <w:sz w:val="22"/>
          <w:szCs w:val="22"/>
        </w:rPr>
      </w:pPr>
    </w:p>
    <w:p w14:paraId="6896BBC9" w14:textId="77777777" w:rsidR="00371DD1" w:rsidRPr="00E54A9C" w:rsidRDefault="00371DD1" w:rsidP="005153DA">
      <w:pPr>
        <w:spacing w:line="360" w:lineRule="auto"/>
        <w:rPr>
          <w:rFonts w:ascii="Arial" w:hAnsi="Arial" w:cs="Arial"/>
          <w:sz w:val="22"/>
          <w:szCs w:val="22"/>
        </w:rPr>
      </w:pPr>
    </w:p>
    <w:p w14:paraId="4685EEA5" w14:textId="77777777" w:rsidR="00371DD1" w:rsidRPr="00E54A9C" w:rsidRDefault="00371DD1" w:rsidP="005153DA">
      <w:pPr>
        <w:spacing w:line="360" w:lineRule="auto"/>
        <w:rPr>
          <w:rFonts w:ascii="Arial" w:hAnsi="Arial" w:cs="Arial"/>
          <w:sz w:val="22"/>
          <w:szCs w:val="22"/>
        </w:rPr>
      </w:pPr>
    </w:p>
    <w:p w14:paraId="5DC60C39" w14:textId="77777777" w:rsidR="00371DD1" w:rsidRPr="00E54A9C" w:rsidRDefault="00371DD1" w:rsidP="005153DA">
      <w:pPr>
        <w:spacing w:line="360" w:lineRule="auto"/>
        <w:rPr>
          <w:rFonts w:ascii="Arial" w:hAnsi="Arial" w:cs="Arial"/>
          <w:sz w:val="22"/>
          <w:szCs w:val="22"/>
        </w:rPr>
      </w:pPr>
    </w:p>
    <w:p w14:paraId="6C76315F" w14:textId="77777777" w:rsidR="00371DD1" w:rsidRPr="00E54A9C" w:rsidRDefault="00371DD1" w:rsidP="005153DA">
      <w:pPr>
        <w:spacing w:line="360" w:lineRule="auto"/>
        <w:rPr>
          <w:rFonts w:ascii="Arial" w:hAnsi="Arial" w:cs="Arial"/>
          <w:sz w:val="22"/>
          <w:szCs w:val="22"/>
        </w:rPr>
      </w:pPr>
    </w:p>
    <w:p w14:paraId="75A728FD" w14:textId="77777777" w:rsidR="00371DD1" w:rsidRPr="00E54A9C" w:rsidRDefault="00371DD1" w:rsidP="005153DA">
      <w:pPr>
        <w:spacing w:line="360" w:lineRule="auto"/>
        <w:rPr>
          <w:rFonts w:ascii="Arial" w:hAnsi="Arial" w:cs="Arial"/>
          <w:sz w:val="22"/>
          <w:szCs w:val="22"/>
        </w:rPr>
      </w:pPr>
    </w:p>
    <w:p w14:paraId="296952DC" w14:textId="77777777" w:rsidR="00371DD1" w:rsidRPr="00E54A9C" w:rsidRDefault="00371DD1" w:rsidP="005153DA">
      <w:pPr>
        <w:spacing w:line="360" w:lineRule="auto"/>
        <w:rPr>
          <w:rFonts w:ascii="Arial" w:hAnsi="Arial" w:cs="Arial"/>
          <w:sz w:val="22"/>
          <w:szCs w:val="22"/>
        </w:rPr>
      </w:pPr>
    </w:p>
    <w:p w14:paraId="37E2DE1D" w14:textId="77777777" w:rsidR="00371DD1" w:rsidRPr="00E54A9C" w:rsidRDefault="00371DD1" w:rsidP="005153DA">
      <w:pPr>
        <w:spacing w:line="360" w:lineRule="auto"/>
        <w:rPr>
          <w:rFonts w:ascii="Arial" w:hAnsi="Arial" w:cs="Arial"/>
          <w:sz w:val="22"/>
          <w:szCs w:val="22"/>
        </w:rPr>
      </w:pPr>
    </w:p>
    <w:p w14:paraId="7B48F506" w14:textId="77777777" w:rsidR="00371DD1" w:rsidRPr="00E54A9C" w:rsidRDefault="00371DD1" w:rsidP="005153DA">
      <w:pPr>
        <w:spacing w:line="360" w:lineRule="auto"/>
        <w:rPr>
          <w:rFonts w:ascii="Arial" w:hAnsi="Arial" w:cs="Arial"/>
          <w:sz w:val="22"/>
          <w:szCs w:val="22"/>
        </w:rPr>
      </w:pPr>
    </w:p>
    <w:p w14:paraId="71396602" w14:textId="77777777" w:rsidR="00371DD1" w:rsidRPr="00E54A9C" w:rsidRDefault="00371DD1" w:rsidP="005153DA">
      <w:pPr>
        <w:spacing w:line="360" w:lineRule="auto"/>
        <w:rPr>
          <w:rFonts w:ascii="Arial" w:hAnsi="Arial" w:cs="Arial"/>
          <w:sz w:val="22"/>
          <w:szCs w:val="22"/>
        </w:rPr>
      </w:pPr>
    </w:p>
    <w:p w14:paraId="4505F82A" w14:textId="77777777" w:rsidR="00371DD1" w:rsidRPr="00E54A9C" w:rsidRDefault="00371DD1" w:rsidP="005153DA">
      <w:pPr>
        <w:spacing w:line="360" w:lineRule="auto"/>
        <w:rPr>
          <w:rFonts w:ascii="Arial" w:hAnsi="Arial" w:cs="Arial"/>
          <w:sz w:val="22"/>
          <w:szCs w:val="22"/>
        </w:rPr>
      </w:pPr>
    </w:p>
    <w:p w14:paraId="69B82059" w14:textId="77777777" w:rsidR="00371DD1" w:rsidRPr="00E54A9C" w:rsidRDefault="00371DD1" w:rsidP="005153DA">
      <w:pPr>
        <w:spacing w:line="360" w:lineRule="auto"/>
        <w:rPr>
          <w:rFonts w:ascii="Arial" w:hAnsi="Arial" w:cs="Arial"/>
          <w:sz w:val="22"/>
          <w:szCs w:val="22"/>
        </w:rPr>
      </w:pPr>
    </w:p>
    <w:p w14:paraId="2A96FAC0" w14:textId="77777777" w:rsidR="00371DD1" w:rsidRPr="00E54A9C" w:rsidRDefault="00371DD1" w:rsidP="005153DA">
      <w:pPr>
        <w:spacing w:line="360" w:lineRule="auto"/>
        <w:rPr>
          <w:rFonts w:ascii="Arial" w:hAnsi="Arial" w:cs="Arial"/>
          <w:sz w:val="22"/>
          <w:szCs w:val="22"/>
        </w:rPr>
      </w:pPr>
    </w:p>
    <w:p w14:paraId="07DAF1C6" w14:textId="77777777" w:rsidR="00FD69F4" w:rsidRPr="00E54A9C" w:rsidRDefault="00FD69F4" w:rsidP="005153DA">
      <w:pPr>
        <w:spacing w:line="360" w:lineRule="auto"/>
        <w:rPr>
          <w:rFonts w:ascii="Arial" w:hAnsi="Arial" w:cs="Arial"/>
          <w:sz w:val="22"/>
          <w:szCs w:val="22"/>
        </w:rPr>
      </w:pPr>
    </w:p>
    <w:p w14:paraId="037CFCDD" w14:textId="77777777" w:rsidR="00371DD1" w:rsidRPr="00371DD1" w:rsidRDefault="00371DD1" w:rsidP="005153DA">
      <w:pPr>
        <w:spacing w:before="100" w:beforeAutospacing="1" w:after="100" w:afterAutospacing="1" w:line="360" w:lineRule="auto"/>
        <w:outlineLvl w:val="0"/>
        <w:rPr>
          <w:rFonts w:ascii="Arial" w:eastAsia="Times New Roman" w:hAnsi="Arial" w:cs="Arial"/>
          <w:b/>
          <w:bCs/>
          <w:kern w:val="36"/>
          <w:sz w:val="22"/>
          <w:szCs w:val="22"/>
          <w14:ligatures w14:val="none"/>
        </w:rPr>
      </w:pPr>
      <w:r w:rsidRPr="00371DD1">
        <w:rPr>
          <w:rFonts w:ascii="Arial" w:eastAsia="Times New Roman" w:hAnsi="Arial" w:cs="Arial"/>
          <w:b/>
          <w:bCs/>
          <w:kern w:val="36"/>
          <w:sz w:val="22"/>
          <w:szCs w:val="22"/>
          <w14:ligatures w14:val="none"/>
        </w:rPr>
        <w:lastRenderedPageBreak/>
        <w:t>Using Psychological Theories to Support Older Adults with Dementia in a Care Home Setting</w:t>
      </w:r>
    </w:p>
    <w:p w14:paraId="6CFD6A92"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50EE5D65" w14:textId="77777777" w:rsidR="00371DD1" w:rsidRPr="00371DD1" w:rsidRDefault="00371DD1" w:rsidP="005153DA">
      <w:pPr>
        <w:spacing w:before="100" w:beforeAutospacing="1" w:after="100" w:afterAutospacing="1" w:line="360" w:lineRule="auto"/>
        <w:outlineLvl w:val="1"/>
        <w:rPr>
          <w:rFonts w:ascii="Arial" w:eastAsia="Times New Roman" w:hAnsi="Arial" w:cs="Arial"/>
          <w:b/>
          <w:bCs/>
          <w:kern w:val="0"/>
          <w:sz w:val="22"/>
          <w:szCs w:val="22"/>
          <w14:ligatures w14:val="none"/>
        </w:rPr>
      </w:pPr>
      <w:r w:rsidRPr="00371DD1">
        <w:rPr>
          <w:rFonts w:ascii="Arial" w:eastAsia="Times New Roman" w:hAnsi="Arial" w:cs="Arial"/>
          <w:b/>
          <w:bCs/>
          <w:kern w:val="0"/>
          <w:sz w:val="22"/>
          <w:szCs w:val="22"/>
          <w14:ligatures w14:val="none"/>
        </w:rPr>
        <w:t>Introduction</w:t>
      </w:r>
    </w:p>
    <w:p w14:paraId="6381DD5B"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815DAF5"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Supporting older adults living with dementia involves understanding not only their physical needs but also the psychological changes that affect their behaviour, emotions, and communication. Dementia can make daily life confusing and overwhelming, which means that health and social care professionals must use psychological theories to guide their practice. These theories offer explanations for why people behave the way they do and help carers provide support that is compassionate, effective, and grounded in evidence. When staff understand the psychological processes that influence behaviour in later life, they are better prepared to respond sensitively to the challenges that arise in dementia care.</w:t>
      </w:r>
    </w:p>
    <w:p w14:paraId="497D95E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71EBF7BC"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This report focuses on two theories relevant to adults aged 65 and over: Erikson’s Psychosocial Theory and Carl Rogers’ Person-Centred Theory. Both theories are helpful for understanding the emotional needs and personal identities of older adults, especially those living in a dementia care home. Erikson’s theory explores how individuals make sense of their life as they age, while Rogers’ theory highlights the importance of empathy, respect, and individuality. The report explains each theory, shows how they apply to dementia care, and discusses practical ways health and social care staff can use them in everyday practice. It also explores some of the challenges that may arise and suggests ways to overcome them so that older adults receive high-quality and compassionate care.</w:t>
      </w:r>
    </w:p>
    <w:p w14:paraId="048BD21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306D03D"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w:t>
      </w:r>
    </w:p>
    <w:p w14:paraId="376F6384"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47499100" w14:textId="77777777" w:rsidR="00371DD1" w:rsidRPr="00371DD1" w:rsidRDefault="00371DD1" w:rsidP="005153DA">
      <w:pPr>
        <w:spacing w:before="100" w:beforeAutospacing="1" w:after="100" w:afterAutospacing="1" w:line="360" w:lineRule="auto"/>
        <w:outlineLvl w:val="1"/>
        <w:rPr>
          <w:rFonts w:ascii="Arial" w:eastAsia="Times New Roman" w:hAnsi="Arial" w:cs="Arial"/>
          <w:b/>
          <w:bCs/>
          <w:kern w:val="0"/>
          <w:sz w:val="22"/>
          <w:szCs w:val="22"/>
          <w14:ligatures w14:val="none"/>
        </w:rPr>
      </w:pPr>
      <w:r w:rsidRPr="00371DD1">
        <w:rPr>
          <w:rFonts w:ascii="Arial" w:eastAsia="Times New Roman" w:hAnsi="Arial" w:cs="Arial"/>
          <w:b/>
          <w:bCs/>
          <w:kern w:val="0"/>
          <w:sz w:val="22"/>
          <w:szCs w:val="22"/>
          <w14:ligatures w14:val="none"/>
        </w:rPr>
        <w:t>Erikson’s Psychosocial Theory</w:t>
      </w:r>
    </w:p>
    <w:p w14:paraId="6C4C99DE"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51B7D6EE"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lastRenderedPageBreak/>
        <w:t>Erikson’s Psychosocial Theory describes human development as a lifelong journey made up of eight stages, each with a particular psychological conflict. Older adults aged 65 and above are thought to be in the final stage, known as Integrity versus Despair. In this stage, individuals reflect on their lives and think about whether they feel proud of what they achieved or disappointed by what they did not. A sense of integrity usually comes from acceptance, wisdom, and the belief that one’s life has been meaningful. Despair, on the other hand, may arise when individuals feel regret, sadness, or dissatisfaction with the choices they made throughout life. According to McLeod (2018), this stage influences an older person’s emotional wellbeing and can affect how they cope with ageing and illness.</w:t>
      </w:r>
    </w:p>
    <w:p w14:paraId="14BD36EA"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39F0694D"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For people living with dementia, the Integrity versus Despair stage can be more complex because memory loss and confusion may make reflection difficult. Many residents struggle to remember recent events, but long-term memories often remain clearer. This means they may still recognise people from their past or remember significant events like weddings, childhood experiences, or important accomplishments. Emotional memories are particularly strong, so even if a resident cannot recall a specific moment, they may still feel the emotional connection associated with it. For example, hearing a familiar song may bring a sense of comfort or joy, even if the person cannot remember why it feels familiar.</w:t>
      </w:r>
    </w:p>
    <w:p w14:paraId="570494F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65D31048"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In a dementia care home, Erikson’s theory can guide staff in helping residents maintain a sense of meaning through familiar experiences. Activities such as listening to music from their youth, looking at old photographs, or discussing past events can help stimulate long-term memories. This approach, known as reminiscence therapy, not only supports memory but can also improve mood, reduce anxiety, and encourage social interaction. Reminiscence can be done individually or in groups, and it often creates a positive atmosphere where residents feel valued and included.</w:t>
      </w:r>
    </w:p>
    <w:p w14:paraId="6D248A79"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2DE1288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 xml:space="preserve">Life story work is another practice connected to Erikson’s theory. Creating a life story book allows residents to share their personal history through photographs, written memories, and important milestones. These books can help staff understand the resident’s identity beyond their illness, which leads to more personalised and meaningful care. For example, knowing a </w:t>
      </w:r>
      <w:r w:rsidRPr="00371DD1">
        <w:rPr>
          <w:rFonts w:ascii="Arial" w:hAnsi="Arial" w:cs="Arial"/>
          <w:kern w:val="0"/>
          <w:sz w:val="22"/>
          <w:szCs w:val="22"/>
          <w14:ligatures w14:val="none"/>
        </w:rPr>
        <w:lastRenderedPageBreak/>
        <w:t>resident worked as a teacher may help staff engage them in activities involving reading or conversation, which can make them feel more comfortable and understood.</w:t>
      </w:r>
    </w:p>
    <w:p w14:paraId="31DBFA4A"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5F1DB469"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However, applying Erikson’s theory does come with challenges. Some residents may become upset when they struggle to remember certain events, while others may be distressed by memories associated with loss or trauma. Staff must be trained to recognise when a resident is becoming overwhelmed and know how to respond in a calm and comforting manner. Time pressure can also be an issue, as reminiscence activities require patience and attention, and busy care environments may limit how often staff can carry them out.</w:t>
      </w:r>
    </w:p>
    <w:p w14:paraId="119EFD95"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1B73040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Despite these difficulties, Erikson’s ideas remain extremely useful. Understanding the emotional needs of older adults helps staff create a supportive environment where residents feel respected and valued. When reminiscence is approached gently and flexibly, and when staff allow residents to lead the conversation, the experience can be positive and meaningful. Applying the theory in a sensitive way helps older adults maintain a sense of identity and emotional wellbeing, even in the later stages of dementia.</w:t>
      </w:r>
    </w:p>
    <w:p w14:paraId="266DBA7D"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5A980741"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w:t>
      </w:r>
    </w:p>
    <w:p w14:paraId="155B2B26"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6592FECF" w14:textId="77777777" w:rsidR="00371DD1" w:rsidRPr="00371DD1" w:rsidRDefault="00371DD1" w:rsidP="005153DA">
      <w:pPr>
        <w:spacing w:before="100" w:beforeAutospacing="1" w:after="100" w:afterAutospacing="1" w:line="360" w:lineRule="auto"/>
        <w:outlineLvl w:val="1"/>
        <w:rPr>
          <w:rFonts w:ascii="Arial" w:eastAsia="Times New Roman" w:hAnsi="Arial" w:cs="Arial"/>
          <w:b/>
          <w:bCs/>
          <w:kern w:val="0"/>
          <w:sz w:val="22"/>
          <w:szCs w:val="22"/>
          <w14:ligatures w14:val="none"/>
        </w:rPr>
      </w:pPr>
      <w:r w:rsidRPr="00371DD1">
        <w:rPr>
          <w:rFonts w:ascii="Arial" w:eastAsia="Times New Roman" w:hAnsi="Arial" w:cs="Arial"/>
          <w:b/>
          <w:bCs/>
          <w:kern w:val="0"/>
          <w:sz w:val="22"/>
          <w:szCs w:val="22"/>
          <w14:ligatures w14:val="none"/>
        </w:rPr>
        <w:t>Person-Centred Theory</w:t>
      </w:r>
    </w:p>
    <w:p w14:paraId="53463945"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480FDF6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Carl Rogers’ Person-Centred Theory is widely used in health and social care because it focuses on seeing the individual as a whole person rather than a set of symptoms. Rogers believed that every person needs empathy, acceptance, and genuine human connection in order to feel valued. These elements help individuals maintain a positive self-concept, which is especially important for those who may feel vulnerable or confused due to dementia. Even when someone has significant memory loss or difficulty communicating, they continue to experience emotions deeply and respond strongly to the way they are treated.</w:t>
      </w:r>
    </w:p>
    <w:p w14:paraId="23F9B235"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3D365B8B"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In a dementia care home, person-centred care encourages staff to focus on the resident’s personal experiences, preferences, and values. This means taking time to understand what matters to each person, whether that is a favourite meal, a religious practice, or a familiar daily routine. For instance, a resident may feel calmer if they sit in the same chair each morning or participate in a routine they followed before moving into the care home. When staff take these preferences seriously, it helps residents feel more secure and respected.</w:t>
      </w:r>
    </w:p>
    <w:p w14:paraId="6962B77D"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B262801"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Rogers’ theory also reminds professionals that behaviours often have emotional causes. Instead of labelling behaviours as “challenging,” staff are encouraged to look deeper and identify possible triggers. For example, if a resident is shouting, it may be because they are frightened or in pain. If someone keeps walking around, they may be bored, restless, or searching for something familiar. Viewing behaviour through this lens helps staff respond with empathy rather than frustration.</w:t>
      </w:r>
    </w:p>
    <w:p w14:paraId="51D96FED"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1DA7AE77"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Using person-centred care can make everyday life feel more meaningful for residents. Small actions such as offering choices, involving the resident in decisions about their care, or simply taking a moment to chat can boost self-esteem and help maintain a sense of independence. These interactions also strengthen the relationship between residents and staff, which can improve cooperation and reduce distress. This is especially important for people with dementia because familiar voices and gentle communication can help calm confusion.</w:t>
      </w:r>
    </w:p>
    <w:p w14:paraId="44DCDD21"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681C02EB"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However, person-centred care also comes with challenges. Busy care homes often face staffing shortages or high workloads, which can make it hard to spend quality time with each resident. Some staff may unintentionally focus more on completing tasks quickly rather than building relationships, especially during busy shifts. Communication difficulties may also make it harder to understand residents with advanced dementia, which can be frustrating for both staff and families.</w:t>
      </w:r>
    </w:p>
    <w:p w14:paraId="15A8D999"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9B08F76"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lastRenderedPageBreak/>
        <w:t>To overcome these challenges, staff can integrate small but meaningful person-centred actions into their daily routine. Even brief moments of eye contact, a warm tone of voice, or offering simple choices can make a difference. Teamwork is also essential, as sharing information about residents helps create consistent and personalised care. Regular training in dementia care and communication can further support staff in feeling confident when using person-centred approaches.</w:t>
      </w:r>
    </w:p>
    <w:p w14:paraId="557C6347"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1FF98A97"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w:t>
      </w:r>
    </w:p>
    <w:p w14:paraId="434676A2" w14:textId="77777777" w:rsidR="00371DD1" w:rsidRPr="00E54A9C" w:rsidRDefault="00371DD1" w:rsidP="005153DA">
      <w:pPr>
        <w:spacing w:before="100" w:beforeAutospacing="1" w:after="100" w:afterAutospacing="1" w:line="360" w:lineRule="auto"/>
        <w:rPr>
          <w:rFonts w:ascii="Arial" w:hAnsi="Arial" w:cs="Arial"/>
          <w:kern w:val="0"/>
          <w:sz w:val="22"/>
          <w:szCs w:val="22"/>
          <w14:ligatures w14:val="none"/>
        </w:rPr>
      </w:pPr>
    </w:p>
    <w:p w14:paraId="00D2CEA3" w14:textId="77777777" w:rsidR="00371DD1" w:rsidRPr="00E54A9C" w:rsidRDefault="00371DD1" w:rsidP="005153DA">
      <w:pPr>
        <w:spacing w:before="100" w:beforeAutospacing="1" w:after="100" w:afterAutospacing="1" w:line="360" w:lineRule="auto"/>
        <w:rPr>
          <w:rFonts w:ascii="Arial" w:hAnsi="Arial" w:cs="Arial"/>
          <w:kern w:val="0"/>
          <w:sz w:val="22"/>
          <w:szCs w:val="22"/>
          <w14:ligatures w14:val="none"/>
        </w:rPr>
      </w:pPr>
    </w:p>
    <w:p w14:paraId="74795069"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141EC0A" w14:textId="77777777" w:rsidR="00371DD1" w:rsidRPr="00371DD1" w:rsidRDefault="00371DD1" w:rsidP="005153DA">
      <w:pPr>
        <w:spacing w:before="100" w:beforeAutospacing="1" w:after="100" w:afterAutospacing="1" w:line="360" w:lineRule="auto"/>
        <w:outlineLvl w:val="1"/>
        <w:rPr>
          <w:rFonts w:ascii="Arial" w:eastAsia="Times New Roman" w:hAnsi="Arial" w:cs="Arial"/>
          <w:b/>
          <w:bCs/>
          <w:kern w:val="0"/>
          <w:sz w:val="22"/>
          <w:szCs w:val="22"/>
          <w14:ligatures w14:val="none"/>
        </w:rPr>
      </w:pPr>
      <w:r w:rsidRPr="00371DD1">
        <w:rPr>
          <w:rFonts w:ascii="Arial" w:eastAsia="Times New Roman" w:hAnsi="Arial" w:cs="Arial"/>
          <w:b/>
          <w:bCs/>
          <w:kern w:val="0"/>
          <w:sz w:val="22"/>
          <w:szCs w:val="22"/>
          <w14:ligatures w14:val="none"/>
        </w:rPr>
        <w:t>Conclusion</w:t>
      </w:r>
    </w:p>
    <w:p w14:paraId="5908DE2C"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44403413"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Psychological theories play a vital role in helping health and social care professionals understand and support older adults living with dementia. Erikson’s Psychosocial Theory emphasises the importance of identity, life reflection, and emotional acceptance in later life. By using reminiscence therapy and life story work, staff can help residents feel connected to their past and maintain a sense of integrity. Carl Rogers’ Person-Centred Theory highlights the need for empathy, respect, and individualised care, reminding professionals that every resident deserves to be treated with dignity and compassion.</w:t>
      </w:r>
    </w:p>
    <w:p w14:paraId="6E1A8608"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A94C58A"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Although challenges such as limited time, communication difficulties, and staffing pressures may affect how easily these theories can be applied, these issues can be managed through teamwork, training, and the use of small, meaningful interactions. When used together, Erikson’s and Rogers’ theories support a compassionate and effective approach to caring for adults aged 65 and over in a dementia care home. By grounding practice in psychological understanding, health and social care professionals can improve the emotional wellbeing, comfort, and quality of life of the residents they support.</w:t>
      </w:r>
    </w:p>
    <w:p w14:paraId="086AF084"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09999FF8"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w:t>
      </w:r>
    </w:p>
    <w:p w14:paraId="659AA06B"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780912F7" w14:textId="77777777" w:rsidR="00371DD1" w:rsidRPr="00371DD1" w:rsidRDefault="00371DD1" w:rsidP="005153DA">
      <w:pPr>
        <w:spacing w:before="100" w:beforeAutospacing="1" w:after="100" w:afterAutospacing="1" w:line="360" w:lineRule="auto"/>
        <w:outlineLvl w:val="1"/>
        <w:rPr>
          <w:rFonts w:ascii="Arial" w:eastAsia="Times New Roman" w:hAnsi="Arial" w:cs="Arial"/>
          <w:b/>
          <w:bCs/>
          <w:kern w:val="0"/>
          <w:sz w:val="22"/>
          <w:szCs w:val="22"/>
          <w14:ligatures w14:val="none"/>
        </w:rPr>
      </w:pPr>
      <w:r w:rsidRPr="00371DD1">
        <w:rPr>
          <w:rFonts w:ascii="Arial" w:eastAsia="Times New Roman" w:hAnsi="Arial" w:cs="Arial"/>
          <w:b/>
          <w:bCs/>
          <w:kern w:val="0"/>
          <w:sz w:val="22"/>
          <w:szCs w:val="22"/>
          <w14:ligatures w14:val="none"/>
        </w:rPr>
        <w:t>References (UWTSD Harvard Style)</w:t>
      </w:r>
    </w:p>
    <w:p w14:paraId="0F2995BB"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p>
    <w:p w14:paraId="4961CE1F"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Brooker, D. (2007) Person-Centred Dementia Care: Making Services Better. London: Jessica Kingsley Publishers.</w:t>
      </w:r>
    </w:p>
    <w:p w14:paraId="482D5507"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Erikson, E. (1995) Childhood and Society. London: Vintage.</w:t>
      </w:r>
    </w:p>
    <w:p w14:paraId="0E23B840"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Kitwood, T. (1997) Dementia Reconsidered: The Person Comes First. Buckingham: Open University Press.</w:t>
      </w:r>
    </w:p>
    <w:p w14:paraId="0B602667"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McLeod, S. (2018) ‘Erik Erikson’s stages of psychosocial development’, Simply Psychology.</w:t>
      </w:r>
    </w:p>
    <w:p w14:paraId="02ADE4E9"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Rogers, C. (2004) On Becoming a Person. London: Constable.</w:t>
      </w:r>
    </w:p>
    <w:p w14:paraId="6433678E" w14:textId="77777777" w:rsidR="00371DD1" w:rsidRPr="00371DD1" w:rsidRDefault="00371DD1" w:rsidP="005153DA">
      <w:pPr>
        <w:spacing w:before="100" w:beforeAutospacing="1" w:after="100" w:afterAutospacing="1" w:line="360" w:lineRule="auto"/>
        <w:rPr>
          <w:rFonts w:ascii="Arial" w:hAnsi="Arial" w:cs="Arial"/>
          <w:kern w:val="0"/>
          <w:sz w:val="22"/>
          <w:szCs w:val="22"/>
          <w14:ligatures w14:val="none"/>
        </w:rPr>
      </w:pPr>
      <w:r w:rsidRPr="00371DD1">
        <w:rPr>
          <w:rFonts w:ascii="Arial" w:hAnsi="Arial" w:cs="Arial"/>
          <w:kern w:val="0"/>
          <w:sz w:val="22"/>
          <w:szCs w:val="22"/>
          <w14:ligatures w14:val="none"/>
        </w:rPr>
        <w:t>Woods, B., O’Philbin, L., Farrell, E., Spector, A. and Orrell, M. (2018) ‘Reminiscence therapy for dementia’, Cochrane Database of Systematic Reviews, 3, pp. 1–87.</w:t>
      </w:r>
    </w:p>
    <w:p w14:paraId="6385CB66" w14:textId="77777777" w:rsidR="00FD69F4" w:rsidRPr="00E54A9C" w:rsidRDefault="00FD69F4" w:rsidP="005153DA">
      <w:pPr>
        <w:spacing w:line="360" w:lineRule="auto"/>
        <w:rPr>
          <w:rFonts w:ascii="Arial" w:hAnsi="Arial" w:cs="Arial"/>
          <w:sz w:val="22"/>
          <w:szCs w:val="22"/>
        </w:rPr>
      </w:pPr>
    </w:p>
    <w:p w14:paraId="016A5F5A" w14:textId="77777777" w:rsidR="00FD69F4" w:rsidRPr="00E54A9C" w:rsidRDefault="00FD69F4" w:rsidP="005153DA">
      <w:pPr>
        <w:spacing w:line="360" w:lineRule="auto"/>
        <w:rPr>
          <w:rFonts w:ascii="Arial" w:hAnsi="Arial" w:cs="Arial"/>
          <w:sz w:val="22"/>
          <w:szCs w:val="22"/>
        </w:rPr>
      </w:pPr>
    </w:p>
    <w:p w14:paraId="59D4CDE2" w14:textId="77777777" w:rsidR="00FD69F4" w:rsidRPr="00E54A9C" w:rsidRDefault="00FD69F4" w:rsidP="005153DA">
      <w:pPr>
        <w:spacing w:line="360" w:lineRule="auto"/>
        <w:rPr>
          <w:rFonts w:ascii="Arial" w:hAnsi="Arial" w:cs="Arial"/>
          <w:sz w:val="22"/>
          <w:szCs w:val="22"/>
        </w:rPr>
      </w:pPr>
    </w:p>
    <w:p w14:paraId="040019DA" w14:textId="77777777" w:rsidR="00FD69F4" w:rsidRPr="00E54A9C" w:rsidRDefault="00FD69F4" w:rsidP="005153DA">
      <w:pPr>
        <w:spacing w:line="360" w:lineRule="auto"/>
        <w:rPr>
          <w:rFonts w:ascii="Arial" w:hAnsi="Arial" w:cs="Arial"/>
          <w:sz w:val="22"/>
          <w:szCs w:val="22"/>
        </w:rPr>
      </w:pPr>
    </w:p>
    <w:p w14:paraId="13CB02E9" w14:textId="77777777" w:rsidR="00FD69F4" w:rsidRPr="00E54A9C" w:rsidRDefault="00FD69F4" w:rsidP="005153DA">
      <w:pPr>
        <w:spacing w:line="360" w:lineRule="auto"/>
        <w:rPr>
          <w:rFonts w:ascii="Arial" w:hAnsi="Arial" w:cs="Arial"/>
          <w:sz w:val="22"/>
          <w:szCs w:val="22"/>
        </w:rPr>
      </w:pPr>
    </w:p>
    <w:p w14:paraId="7648C814" w14:textId="77777777" w:rsidR="00FD69F4" w:rsidRPr="00E54A9C" w:rsidRDefault="00FD69F4" w:rsidP="005153DA">
      <w:pPr>
        <w:spacing w:line="360" w:lineRule="auto"/>
        <w:rPr>
          <w:rFonts w:ascii="Arial" w:hAnsi="Arial" w:cs="Arial"/>
          <w:sz w:val="22"/>
          <w:szCs w:val="22"/>
        </w:rPr>
      </w:pPr>
    </w:p>
    <w:p w14:paraId="1E8AA6E6" w14:textId="77777777" w:rsidR="00FD69F4" w:rsidRPr="00E54A9C" w:rsidRDefault="00FD69F4" w:rsidP="005153DA">
      <w:pPr>
        <w:spacing w:line="360" w:lineRule="auto"/>
        <w:rPr>
          <w:rFonts w:ascii="Arial" w:hAnsi="Arial" w:cs="Arial"/>
          <w:sz w:val="22"/>
          <w:szCs w:val="22"/>
        </w:rPr>
      </w:pPr>
    </w:p>
    <w:p w14:paraId="31D3E1D7" w14:textId="77777777" w:rsidR="00FD69F4" w:rsidRPr="00E54A9C" w:rsidRDefault="00FD69F4" w:rsidP="005153DA">
      <w:pPr>
        <w:spacing w:line="360" w:lineRule="auto"/>
        <w:rPr>
          <w:rFonts w:ascii="Arial" w:hAnsi="Arial" w:cs="Arial"/>
          <w:sz w:val="22"/>
          <w:szCs w:val="22"/>
        </w:rPr>
      </w:pPr>
    </w:p>
    <w:p w14:paraId="14C5E027" w14:textId="77777777" w:rsidR="00FD69F4" w:rsidRPr="00E54A9C" w:rsidRDefault="00FD69F4" w:rsidP="005153DA">
      <w:pPr>
        <w:spacing w:line="360" w:lineRule="auto"/>
        <w:rPr>
          <w:rFonts w:ascii="Arial" w:hAnsi="Arial" w:cs="Arial"/>
          <w:sz w:val="22"/>
          <w:szCs w:val="22"/>
        </w:rPr>
      </w:pPr>
    </w:p>
    <w:p w14:paraId="37A58616" w14:textId="77777777" w:rsidR="00FD69F4" w:rsidRPr="00E54A9C" w:rsidRDefault="00FD69F4" w:rsidP="005153DA">
      <w:pPr>
        <w:spacing w:line="360" w:lineRule="auto"/>
        <w:rPr>
          <w:rFonts w:ascii="Arial" w:hAnsi="Arial" w:cs="Arial"/>
          <w:sz w:val="22"/>
          <w:szCs w:val="22"/>
        </w:rPr>
      </w:pPr>
    </w:p>
    <w:p w14:paraId="35BCB4EC" w14:textId="77777777" w:rsidR="00FD69F4" w:rsidRPr="00E54A9C" w:rsidRDefault="00FD69F4" w:rsidP="005153DA">
      <w:pPr>
        <w:spacing w:line="360" w:lineRule="auto"/>
        <w:rPr>
          <w:rFonts w:ascii="Arial" w:hAnsi="Arial" w:cs="Arial"/>
          <w:sz w:val="22"/>
          <w:szCs w:val="22"/>
        </w:rPr>
      </w:pPr>
    </w:p>
    <w:p w14:paraId="6E886E7B" w14:textId="77777777" w:rsidR="00FD69F4" w:rsidRPr="00E54A9C" w:rsidRDefault="00FD69F4" w:rsidP="005153DA">
      <w:pPr>
        <w:spacing w:line="360" w:lineRule="auto"/>
        <w:rPr>
          <w:rFonts w:ascii="Arial" w:hAnsi="Arial" w:cs="Arial"/>
          <w:sz w:val="22"/>
          <w:szCs w:val="22"/>
        </w:rPr>
      </w:pPr>
    </w:p>
    <w:p w14:paraId="33A41140" w14:textId="77777777" w:rsidR="00FD69F4" w:rsidRPr="00E54A9C" w:rsidRDefault="00FD69F4" w:rsidP="005153DA">
      <w:pPr>
        <w:spacing w:line="360" w:lineRule="auto"/>
        <w:rPr>
          <w:rFonts w:ascii="Arial" w:hAnsi="Arial" w:cs="Arial"/>
          <w:sz w:val="22"/>
          <w:szCs w:val="22"/>
        </w:rPr>
      </w:pPr>
    </w:p>
    <w:p w14:paraId="21C367E3" w14:textId="77777777" w:rsidR="00FD69F4" w:rsidRPr="00E54A9C" w:rsidRDefault="00FD69F4" w:rsidP="005153DA">
      <w:pPr>
        <w:spacing w:line="360" w:lineRule="auto"/>
        <w:rPr>
          <w:rFonts w:ascii="Arial" w:hAnsi="Arial" w:cs="Arial"/>
          <w:sz w:val="22"/>
          <w:szCs w:val="22"/>
        </w:rPr>
      </w:pPr>
    </w:p>
    <w:p w14:paraId="34C6F300" w14:textId="77777777" w:rsidR="00B31677" w:rsidRPr="00E54A9C" w:rsidRDefault="00B31677" w:rsidP="005153DA">
      <w:pPr>
        <w:spacing w:line="360" w:lineRule="auto"/>
        <w:rPr>
          <w:rFonts w:ascii="Arial" w:hAnsi="Arial" w:cs="Arial"/>
          <w:sz w:val="22"/>
          <w:szCs w:val="22"/>
        </w:rPr>
      </w:pPr>
    </w:p>
    <w:sectPr w:rsidR="00B31677" w:rsidRPr="00E54A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A9"/>
    <w:rsid w:val="00052C4B"/>
    <w:rsid w:val="00317BBD"/>
    <w:rsid w:val="00365869"/>
    <w:rsid w:val="00371DD1"/>
    <w:rsid w:val="004A3F46"/>
    <w:rsid w:val="005153DA"/>
    <w:rsid w:val="009A3EA9"/>
    <w:rsid w:val="00B31677"/>
    <w:rsid w:val="00B521EC"/>
    <w:rsid w:val="00E54A9C"/>
    <w:rsid w:val="00E66E00"/>
    <w:rsid w:val="00F91CA7"/>
    <w:rsid w:val="00FD6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9DA4B1"/>
  <w15:chartTrackingRefBased/>
  <w15:docId w15:val="{85FA0C26-FD63-D643-81DC-E10DCFC69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3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EA9"/>
    <w:rPr>
      <w:rFonts w:eastAsiaTheme="majorEastAsia" w:cstheme="majorBidi"/>
      <w:color w:val="272727" w:themeColor="text1" w:themeTint="D8"/>
    </w:rPr>
  </w:style>
  <w:style w:type="paragraph" w:styleId="Title">
    <w:name w:val="Title"/>
    <w:basedOn w:val="Normal"/>
    <w:next w:val="Normal"/>
    <w:link w:val="TitleChar"/>
    <w:uiPriority w:val="10"/>
    <w:qFormat/>
    <w:rsid w:val="009A3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EA9"/>
    <w:pPr>
      <w:spacing w:before="160"/>
      <w:jc w:val="center"/>
    </w:pPr>
    <w:rPr>
      <w:i/>
      <w:iCs/>
      <w:color w:val="404040" w:themeColor="text1" w:themeTint="BF"/>
    </w:rPr>
  </w:style>
  <w:style w:type="character" w:customStyle="1" w:styleId="QuoteChar">
    <w:name w:val="Quote Char"/>
    <w:basedOn w:val="DefaultParagraphFont"/>
    <w:link w:val="Quote"/>
    <w:uiPriority w:val="29"/>
    <w:rsid w:val="009A3EA9"/>
    <w:rPr>
      <w:i/>
      <w:iCs/>
      <w:color w:val="404040" w:themeColor="text1" w:themeTint="BF"/>
    </w:rPr>
  </w:style>
  <w:style w:type="paragraph" w:styleId="ListParagraph">
    <w:name w:val="List Paragraph"/>
    <w:basedOn w:val="Normal"/>
    <w:uiPriority w:val="34"/>
    <w:qFormat/>
    <w:rsid w:val="009A3EA9"/>
    <w:pPr>
      <w:ind w:left="720"/>
      <w:contextualSpacing/>
    </w:pPr>
  </w:style>
  <w:style w:type="character" w:styleId="IntenseEmphasis">
    <w:name w:val="Intense Emphasis"/>
    <w:basedOn w:val="DefaultParagraphFont"/>
    <w:uiPriority w:val="21"/>
    <w:qFormat/>
    <w:rsid w:val="009A3EA9"/>
    <w:rPr>
      <w:i/>
      <w:iCs/>
      <w:color w:val="0F4761" w:themeColor="accent1" w:themeShade="BF"/>
    </w:rPr>
  </w:style>
  <w:style w:type="paragraph" w:styleId="IntenseQuote">
    <w:name w:val="Intense Quote"/>
    <w:basedOn w:val="Normal"/>
    <w:next w:val="Normal"/>
    <w:link w:val="IntenseQuoteChar"/>
    <w:uiPriority w:val="30"/>
    <w:qFormat/>
    <w:rsid w:val="009A3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EA9"/>
    <w:rPr>
      <w:i/>
      <w:iCs/>
      <w:color w:val="0F4761" w:themeColor="accent1" w:themeShade="BF"/>
    </w:rPr>
  </w:style>
  <w:style w:type="character" w:styleId="IntenseReference">
    <w:name w:val="Intense Reference"/>
    <w:basedOn w:val="DefaultParagraphFont"/>
    <w:uiPriority w:val="32"/>
    <w:qFormat/>
    <w:rsid w:val="009A3EA9"/>
    <w:rPr>
      <w:b/>
      <w:bCs/>
      <w:smallCaps/>
      <w:color w:val="0F4761" w:themeColor="accent1" w:themeShade="BF"/>
      <w:spacing w:val="5"/>
    </w:rPr>
  </w:style>
  <w:style w:type="paragraph" w:customStyle="1" w:styleId="p1">
    <w:name w:val="p1"/>
    <w:basedOn w:val="Normal"/>
    <w:rsid w:val="009A3EA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A3EA9"/>
  </w:style>
  <w:style w:type="character" w:customStyle="1" w:styleId="s2">
    <w:name w:val="s2"/>
    <w:basedOn w:val="DefaultParagraphFont"/>
    <w:rsid w:val="009A3EA9"/>
  </w:style>
  <w:style w:type="paragraph" w:customStyle="1" w:styleId="p2">
    <w:name w:val="p2"/>
    <w:basedOn w:val="Normal"/>
    <w:rsid w:val="009A3EA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A3EA9"/>
  </w:style>
  <w:style w:type="paragraph" w:customStyle="1" w:styleId="p3">
    <w:name w:val="p3"/>
    <w:basedOn w:val="Normal"/>
    <w:rsid w:val="00B31677"/>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B31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1582</Words>
  <Characters>9019</Characters>
  <Application>Microsoft Office Word</Application>
  <DocSecurity>0</DocSecurity>
  <Lines>75</Lines>
  <Paragraphs>21</Paragraphs>
  <ScaleCrop>false</ScaleCrop>
  <Company/>
  <LinksUpToDate>false</LinksUpToDate>
  <CharactersWithSpaces>10580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Hania Ashraf (2420735)</dc:creator>
  <cp:keywords/>
  <dc:description/>
  <cp:lastModifiedBy>Hania Ashraf (2420735)</cp:lastModifiedBy>
  <cp:revision>2</cp:revision>
  <dcterms:created xsi:type="dcterms:W3CDTF">2025-11-07T11:06:00Z</dcterms:created>
  <dcterms:modified xsi:type="dcterms:W3CDTF">2025-11-07T11:06:00Z</dcterms:modified>
</cp:coreProperties>
</file>