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New Roman" w:hAnsi="Times New Roman" w:cs="Times New Roman"/>
          <w:sz w:val="24"/>
          <w:sz-cs w:val="24"/>
          <w:b/>
        </w:rPr>
        <w:t xml:space="preserve"/>
      </w:r>
    </w:p>
    <w:p>
      <w:pPr>
        <w:jc w:val="center"/>
      </w:pPr>
      <w:r>
        <w:rPr>
          <w:rFonts w:ascii="Times New Roman" w:hAnsi="Times New Roman" w:cs="Times New Roman"/>
          <w:sz w:val="24"/>
          <w:sz-cs w:val="24"/>
          <w:b/>
        </w:rPr>
        <w:t xml:space="preserve"/>
      </w:r>
    </w:p>
    <w:p>
      <w:pPr>
        <w:jc w:val="center"/>
      </w:pPr>
      <w:r>
        <w:rPr>
          <w:rFonts w:ascii="Times New Roman" w:hAnsi="Times New Roman" w:cs="Times New Roman"/>
          <w:sz w:val="24"/>
          <w:sz-cs w:val="24"/>
          <w:b/>
        </w:rPr>
        <w:t xml:space="preserve"/>
      </w:r>
    </w:p>
    <w:p>
      <w:pPr>
        <w:jc w:val="center"/>
      </w:pPr>
      <w:r>
        <w:rPr>
          <w:rFonts w:ascii="Times New Roman" w:hAnsi="Times New Roman" w:cs="Times New Roman"/>
          <w:sz w:val="32"/>
          <w:sz-cs w:val="32"/>
          <w:b/>
        </w:rPr>
        <w:t xml:space="preserve">STUDENT NAME: Parth Jagdishbhai Bhingradiya</w:t>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STUDENT ID: 2505862</w:t>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MODULE NAME: MARKETING MANAGEMENT</w:t>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MODULE CODE: LCMB7024</w:t>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LECTURER’S NAME:</w:t>
      </w:r>
    </w:p>
    <w:p>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WORK COUNT: 2563</w:t>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TERM 1</w:t>
      </w:r>
    </w:p>
    <w:p>
      <w:pPr/>
      <w:r>
        <w:rPr>
          <w:rFonts w:ascii="Times New Roman" w:hAnsi="Times New Roman" w:cs="Times New Roman"/>
          <w:sz w:val="32"/>
          <w:sz-cs w:val="32"/>
          <w:b/>
        </w:rPr>
        <w:t xml:space="preserve"/>
        <w:br w:type="page"/>
        <w:t xml:space="preserve"/>
      </w:r>
    </w:p>
    <w:p>
      <w:pPr>
        <w:jc w:val="center"/>
      </w:pPr>
      <w:r>
        <w:rPr>
          <w:rFonts w:ascii="Times" w:hAnsi="Times" w:cs="Times"/>
          <w:sz w:val="24"/>
          <w:sz-cs w:val="24"/>
          <w:b/>
        </w:rPr>
        <w:t xml:space="preserve">Executive Summary</w:t>
      </w:r>
    </w:p>
    <w:p>
      <w:pPr/>
      <w:r>
        <w:rPr>
          <w:rFonts w:ascii="Times" w:hAnsi="Times" w:cs="Times"/>
          <w:sz w:val="24"/>
          <w:sz-cs w:val="24"/>
        </w:rPr>
        <w:t xml:space="preserve">In this report, the macro marketing environment has been critically evaluated with proper attention being given to economic and technological environment that influences business strategies. It discusses how first-mover firms such as Amazon and Alibaba use innovations to increase their growth, whereas other companies such as Flipkart and JD.com adjust to these innovations. The report uses the comparative approach where opportunities and challenges that these companies encounter have been discussed with a focus on how the company has responded strategically to changing economic conditions and technological changes. The results highlight the value of agility, innovation, and adopting changes in the modern competitive environment.</w:t>
      </w:r>
    </w:p>
    <w:p>
      <w:pPr>
        <w:jc w:val="center"/>
      </w:pPr>
      <w:r>
        <w:rPr>
          <w:rFonts w:ascii="Times" w:hAnsi="Times" w:cs="Times"/>
          <w:sz w:val="24"/>
          <w:sz-cs w:val="24"/>
        </w:rPr>
        <w:t xml:space="preserve"/>
      </w:r>
    </w:p>
    <w:p>
      <w:pPr/>
      <w:r>
        <w:rPr>
          <w:rFonts w:ascii="Times New Roman" w:hAnsi="Times New Roman" w:cs="Times New Roman"/>
          <w:sz w:val="32"/>
          <w:sz-cs w:val="32"/>
          <w:b/>
        </w:rPr>
        <w:t xml:space="preserve"/>
        <w:br w:type="page"/>
        <w:t xml:space="preserve"/>
      </w:r>
    </w:p>
    <w:p>
      <w:pPr>
        <w:jc w:val="center"/>
      </w:pPr>
      <w:r>
        <w:rPr>
          <w:rFonts w:ascii="Times New Roman" w:hAnsi="Times New Roman" w:cs="Times New Roman"/>
          <w:sz w:val="24"/>
          <w:sz-cs w:val="24"/>
          <w:color w:val="00000A"/>
        </w:rPr>
        <w:t xml:space="preserve">Table of Contents</w:t>
      </w:r>
    </w:p>
    <w:p>
      <w:pPr/>
      <w:r>
        <w:rPr>
          <w:rFonts w:ascii="Times" w:hAnsi="Times" w:cs="Times"/>
          <w:sz w:val="24"/>
          <w:sz-cs w:val="24"/>
        </w:rPr>
        <w:t xml:space="preserve">1. Introduction</w:t>
        <w:tab/>
        <w:t xml:space="preserve">4</w:t>
      </w:r>
    </w:p>
    <w:p>
      <w:pPr/>
      <w:r>
        <w:rPr>
          <w:rFonts w:ascii="Times" w:hAnsi="Times" w:cs="Times"/>
          <w:sz w:val="24"/>
          <w:sz-cs w:val="24"/>
        </w:rPr>
        <w:t xml:space="preserve">2. Task 1: Critical Analysis of The Macro Marketing Environment</w:t>
        <w:tab/>
        <w:t xml:space="preserve">4</w:t>
      </w:r>
    </w:p>
    <w:p>
      <w:pPr/>
      <w:r>
        <w:rPr>
          <w:rFonts w:ascii="Times" w:hAnsi="Times" w:cs="Times"/>
          <w:sz w:val="24"/>
          <w:sz-cs w:val="24"/>
        </w:rPr>
        <w:t xml:space="preserve">2.1 Overview of The Macro Marketing Environment</w:t>
        <w:tab/>
        <w:t xml:space="preserve">4</w:t>
      </w:r>
    </w:p>
    <w:p>
      <w:pPr/>
      <w:r>
        <w:rPr>
          <w:rFonts w:ascii="Times" w:hAnsi="Times" w:cs="Times"/>
          <w:sz w:val="24"/>
          <w:sz-cs w:val="24"/>
        </w:rPr>
        <w:t xml:space="preserve">2.2 Selection of Two External Macro Marketing Factors</w:t>
        <w:tab/>
        <w:t xml:space="preserve">5</w:t>
      </w:r>
    </w:p>
    <w:p>
      <w:pPr/>
      <w:r>
        <w:rPr>
          <w:rFonts w:ascii="Times" w:hAnsi="Times" w:cs="Times"/>
          <w:sz w:val="24"/>
          <w:sz-cs w:val="24"/>
        </w:rPr>
        <w:t xml:space="preserve">2.3 Critical Analysis of Each Factor</w:t>
        <w:tab/>
        <w:t xml:space="preserve">6</w:t>
      </w:r>
    </w:p>
    <w:p>
      <w:pPr/>
      <w:r>
        <w:rPr>
          <w:rFonts w:ascii="Times" w:hAnsi="Times" w:cs="Times"/>
          <w:sz w:val="24"/>
          <w:sz-cs w:val="24"/>
        </w:rPr>
        <w:t xml:space="preserve">3. Task 2: Strategic Responses of Pioneering and Follower Organisations</w:t>
        <w:tab/>
        <w:t xml:space="preserve">8</w:t>
      </w:r>
    </w:p>
    <w:p>
      <w:pPr/>
      <w:r>
        <w:rPr>
          <w:rFonts w:ascii="Times" w:hAnsi="Times" w:cs="Times"/>
          <w:sz w:val="24"/>
          <w:sz-cs w:val="24"/>
        </w:rPr>
        <w:t xml:space="preserve">3.1 Pioneering Organisations’ Strategic Responses</w:t>
        <w:tab/>
        <w:t xml:space="preserve">8</w:t>
      </w:r>
    </w:p>
    <w:p>
      <w:pPr/>
      <w:r>
        <w:rPr>
          <w:rFonts w:ascii="Times" w:hAnsi="Times" w:cs="Times"/>
          <w:sz w:val="24"/>
          <w:sz-cs w:val="24"/>
        </w:rPr>
        <w:t xml:space="preserve">3.2 Follower Organisations’ Strategic Responses</w:t>
        <w:tab/>
        <w:t xml:space="preserve">11</w:t>
      </w:r>
    </w:p>
    <w:p>
      <w:pPr/>
      <w:r>
        <w:rPr>
          <w:rFonts w:ascii="Times" w:hAnsi="Times" w:cs="Times"/>
          <w:sz w:val="24"/>
          <w:sz-cs w:val="24"/>
        </w:rPr>
        <w:t xml:space="preserve">4. Conclusion</w:t>
        <w:tab/>
        <w:t xml:space="preserve">13</w:t>
      </w:r>
    </w:p>
    <w:p>
      <w:pPr/>
      <w:r>
        <w:rPr>
          <w:rFonts w:ascii="Times" w:hAnsi="Times" w:cs="Times"/>
          <w:sz w:val="24"/>
          <w:sz-cs w:val="24"/>
        </w:rPr>
        <w:t xml:space="preserve">References</w:t>
        <w:tab/>
        <w:t xml:space="preserve">15</w:t>
      </w:r>
    </w:p>
    <w:p>
      <w:pPr/>
      <w:r>
        <w:rPr>
          <w:rFonts w:ascii="Times New Roman" w:hAnsi="Times New Roman" w:cs="Times New Roman"/>
          <w:sz w:val="24"/>
          <w:sz-cs w:val="24"/>
        </w:rPr>
        <w:t xml:space="preserve"/>
      </w:r>
    </w:p>
    <w:p>
      <w:pPr>
        <w:jc w:val="center"/>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
        <w:br w:type="page"/>
        <w:t xml:space="preserve"/>
      </w:r>
    </w:p>
    <w:p>
      <w:pPr/>
      <w:r>
        <w:rPr>
          <w:rFonts w:ascii="Times" w:hAnsi="Times" w:cs="Times"/>
          <w:sz w:val="24"/>
          <w:sz-cs w:val="24"/>
        </w:rPr>
        <w:t xml:space="preserve">1. Introduction </w:t>
      </w:r>
    </w:p>
    <w:p>
      <w:pPr/>
      <w:r>
        <w:rPr>
          <w:rFonts w:ascii="Times" w:hAnsi="Times" w:cs="Times"/>
          <w:sz w:val="24"/>
          <w:sz-cs w:val="24"/>
        </w:rPr>
        <w:t xml:space="preserve">The macro marketing environment is dynamic in the current business environment and it is important that organizations comprehend it in order to design effective strategies and sustain competitive edges. The report is a critical analysis of the major macro factors affecting business decision making on economic and technological environment. The external forces that affect the macro marketing environment include political, economic, social, technological, environmental and legal forces that in different ways affect pioneering and follower organizations.</w:t>
      </w:r>
    </w:p>
    <w:p>
      <w:pPr/>
      <w:r>
        <w:rPr>
          <w:rFonts w:ascii="Times" w:hAnsi="Times" w:cs="Times"/>
          <w:sz w:val="24"/>
          <w:sz-cs w:val="24"/>
        </w:rPr>
        <w:t xml:space="preserve">The aim of this report is to elaborate on the details of these elements specifically economic and technological drivers. The economic force looks at the projections in the world growth, market changes, and investment trends that may be either an opportunity or a challenge to companies. Alternatively, the technological aspect is concerned with the fast development of AI and automation, and how organizations are utilizing the new technology to develop enterprises and improve operational effectiveness. The leading companies such as </w:t>
      </w:r>
      <w:r>
        <w:rPr>
          <w:rFonts w:ascii="Times" w:hAnsi="Times" w:cs="Times"/>
          <w:sz w:val="24"/>
          <w:sz-cs w:val="24"/>
          <w:b/>
          <w:i/>
        </w:rPr>
        <w:t xml:space="preserve">Amazon</w:t>
      </w:r>
      <w:r>
        <w:rPr>
          <w:rFonts w:ascii="Times" w:hAnsi="Times" w:cs="Times"/>
          <w:sz w:val="24"/>
          <w:sz-cs w:val="24"/>
        </w:rPr>
        <w:t xml:space="preserve"> and </w:t>
      </w:r>
      <w:r>
        <w:rPr>
          <w:rFonts w:ascii="Times" w:hAnsi="Times" w:cs="Times"/>
          <w:sz w:val="24"/>
          <w:sz-cs w:val="24"/>
          <w:b/>
          <w:i/>
        </w:rPr>
        <w:t xml:space="preserve">Alibaba</w:t>
      </w:r>
      <w:r>
        <w:rPr>
          <w:rFonts w:ascii="Times" w:hAnsi="Times" w:cs="Times"/>
          <w:sz w:val="24"/>
          <w:sz-cs w:val="24"/>
        </w:rPr>
        <w:t xml:space="preserve"> are leading these changes as they establish the industry standards and the companies that are following them such as </w:t>
      </w:r>
      <w:r>
        <w:rPr>
          <w:rFonts w:ascii="Times" w:hAnsi="Times" w:cs="Times"/>
          <w:sz w:val="24"/>
          <w:sz-cs w:val="24"/>
          <w:b/>
          <w:i/>
        </w:rPr>
        <w:t xml:space="preserve">Flipkart </w:t>
      </w:r>
      <w:r>
        <w:rPr>
          <w:rFonts w:ascii="Times" w:hAnsi="Times" w:cs="Times"/>
          <w:sz w:val="24"/>
          <w:sz-cs w:val="24"/>
        </w:rPr>
        <w:t xml:space="preserve">and </w:t>
      </w:r>
      <w:r>
        <w:rPr>
          <w:rFonts w:ascii="Times" w:hAnsi="Times" w:cs="Times"/>
          <w:sz w:val="24"/>
          <w:sz-cs w:val="24"/>
          <w:b/>
          <w:i/>
        </w:rPr>
        <w:t xml:space="preserve">JD.com</w:t>
      </w:r>
      <w:r>
        <w:rPr>
          <w:rFonts w:ascii="Times" w:hAnsi="Times" w:cs="Times"/>
          <w:sz w:val="24"/>
          <w:sz-cs w:val="24"/>
        </w:rPr>
        <w:t xml:space="preserve"> are already planning and shaping the innovations in order to remain competitive.</w:t>
      </w:r>
    </w:p>
    <w:p>
      <w:pPr/>
      <w:r>
        <w:rPr>
          <w:rFonts w:ascii="Times" w:hAnsi="Times" w:cs="Times"/>
          <w:sz w:val="24"/>
          <w:sz-cs w:val="24"/>
        </w:rPr>
        <w:t xml:space="preserve">The comparison will show how these </w:t>
      </w:r>
      <w:r>
        <w:rPr>
          <w:rFonts w:ascii="Times" w:hAnsi="Times" w:cs="Times"/>
          <w:sz w:val="24"/>
          <w:sz-cs w:val="24"/>
          <w:b/>
          <w:i/>
        </w:rPr>
        <w:t xml:space="preserve">macro factors</w:t>
      </w:r>
      <w:r>
        <w:rPr>
          <w:rFonts w:ascii="Times" w:hAnsi="Times" w:cs="Times"/>
          <w:sz w:val="24"/>
          <w:sz-cs w:val="24"/>
        </w:rPr>
        <w:t xml:space="preserve"> have been responded to by the pioneer and follower organizations strategically and show how businesses need to adapt to the changing forces of </w:t>
      </w:r>
      <w:r>
        <w:rPr>
          <w:rFonts w:ascii="Times" w:hAnsi="Times" w:cs="Times"/>
          <w:sz w:val="24"/>
          <w:sz-cs w:val="24"/>
          <w:b/>
          <w:i/>
        </w:rPr>
        <w:t xml:space="preserve">Economic </w:t>
      </w:r>
      <w:r>
        <w:rPr>
          <w:rFonts w:ascii="Times" w:hAnsi="Times" w:cs="Times"/>
          <w:sz w:val="24"/>
          <w:sz-cs w:val="24"/>
        </w:rPr>
        <w:t xml:space="preserve">and</w:t>
      </w:r>
      <w:r>
        <w:rPr>
          <w:rFonts w:ascii="Times" w:hAnsi="Times" w:cs="Times"/>
          <w:sz w:val="24"/>
          <w:sz-cs w:val="24"/>
          <w:b/>
          <w:i/>
        </w:rPr>
        <w:t xml:space="preserve"> Technological</w:t>
      </w:r>
      <w:r>
        <w:rPr>
          <w:rFonts w:ascii="Times" w:hAnsi="Times" w:cs="Times"/>
          <w:sz w:val="24"/>
          <w:sz-cs w:val="24"/>
        </w:rPr>
        <w:t xml:space="preserve"> factors. This analysis will provide the businesses with an idea of how to move through them to exploit the opportunities that come with the fast-evolving global environment and how to address the risks that may arise.</w:t>
      </w:r>
    </w:p>
    <w:p>
      <w:pPr/>
      <w:r>
        <w:rPr>
          <w:rFonts w:ascii="Times" w:hAnsi="Times" w:cs="Times"/>
          <w:sz w:val="24"/>
          <w:sz-cs w:val="24"/>
        </w:rPr>
        <w:t xml:space="preserve">2. Task 1: Critical Analysis of The Macro Marketing Environment </w:t>
      </w:r>
    </w:p>
    <w:p>
      <w:pPr/>
      <w:r>
        <w:rPr>
          <w:rFonts w:ascii="Times" w:hAnsi="Times" w:cs="Times"/>
          <w:sz w:val="24"/>
          <w:sz-cs w:val="24"/>
        </w:rPr>
        <w:t xml:space="preserve">2.1 Overview of The Macro Marketing Environment </w:t>
      </w:r>
    </w:p>
    <w:p>
      <w:pPr/>
      <w:r>
        <w:rPr>
          <w:rFonts w:ascii="Times New Roman" w:hAnsi="Times New Roman" w:cs="Times New Roman"/>
          <w:sz w:val="24"/>
          <w:sz-cs w:val="24"/>
          <w:b/>
        </w:rPr>
        <w:t xml:space="preserve">Factor </w:t>
      </w:r>
    </w:p>
    <w:p>
      <w:pPr/>
      <w:r>
        <w:rPr>
          <w:rFonts w:ascii="Times New Roman" w:hAnsi="Times New Roman" w:cs="Times New Roman"/>
          <w:sz w:val="24"/>
          <w:sz-cs w:val="24"/>
          <w:b/>
        </w:rPr>
        <w:t xml:space="preserve">Description </w:t>
      </w:r>
    </w:p>
    <w:p>
      <w:pPr/>
      <w:r>
        <w:rPr>
          <w:rFonts w:ascii="Times New Roman" w:hAnsi="Times New Roman" w:cs="Times New Roman"/>
          <w:sz w:val="24"/>
          <w:sz-cs w:val="24"/>
          <w:b/>
        </w:rPr>
        <w:t xml:space="preserve">Opportunity/</w:t>
      </w:r>
      <w:r>
        <w:rPr>
          <w:rFonts w:ascii="Times" w:hAnsi="Times" w:cs="Times"/>
          <w:sz w:val="24"/>
          <w:sz-cs w:val="24"/>
          <w:b/>
        </w:rPr>
        <w:t xml:space="preserve">C</w:t>
      </w:r>
      <w:r>
        <w:rPr>
          <w:rFonts w:ascii="Times New Roman" w:hAnsi="Times New Roman" w:cs="Times New Roman"/>
          <w:sz w:val="24"/>
          <w:sz-cs w:val="24"/>
          <w:b/>
        </w:rPr>
        <w:t xml:space="preserve">hallenges</w:t>
      </w:r>
    </w:p>
    <w:p>
      <w:pPr/>
      <w:r>
        <w:rPr>
          <w:rFonts w:ascii="Times" w:hAnsi="Times" w:cs="Times"/>
          <w:sz w:val="24"/>
          <w:sz-cs w:val="24"/>
          <w:b/>
          <w:i/>
        </w:rPr>
        <w:t xml:space="preserve">Political</w:t>
      </w:r>
    </w:p>
    <w:p>
      <w:pPr/>
      <w:r>
        <w:rPr>
          <w:rFonts w:ascii="Times" w:hAnsi="Times" w:cs="Times"/>
          <w:sz w:val="24"/>
          <w:sz-cs w:val="24"/>
        </w:rPr>
        <w:t xml:space="preserve">OECD corporate tax rate declined from 33% in 2000 to 24.2% in 2025. (Statista, 2025)</w:t>
      </w:r>
    </w:p>
    <w:p>
      <w:pPr>
        <w:jc w:val="center"/>
      </w:pPr>
      <w:r>
        <w:rPr>
          <w:rFonts w:ascii="Times" w:hAnsi="Times" w:cs="Times"/>
          <w:sz w:val="24"/>
          <w:sz-cs w:val="24"/>
        </w:rPr>
        <w:t xml:space="preserve">Challenge</w:t>
      </w:r>
    </w:p>
    <w:p>
      <w:pPr>
        <w:jc w:val="center"/>
      </w:pPr>
      <w:r>
        <w:rPr>
          <w:rFonts w:ascii="Times" w:hAnsi="Times" w:cs="Times"/>
          <w:sz w:val="24"/>
          <w:sz-cs w:val="24"/>
        </w:rPr>
        <w:t xml:space="preserve"/>
      </w:r>
    </w:p>
    <w:p>
      <w:pPr/>
      <w:r>
        <w:rPr>
          <w:rFonts w:ascii="Times" w:hAnsi="Times" w:cs="Times"/>
          <w:sz w:val="24"/>
          <w:sz-cs w:val="24"/>
          <w:b/>
          <w:i/>
        </w:rPr>
        <w:t xml:space="preserve">Economic</w:t>
      </w:r>
    </w:p>
    <w:p>
      <w:pPr/>
      <w:r>
        <w:rPr>
          <w:rFonts w:ascii="Times" w:hAnsi="Times" w:cs="Times"/>
          <w:sz w:val="24"/>
          <w:sz-cs w:val="24"/>
        </w:rPr>
        <w:t xml:space="preserve">Global Economic growth is projected to slow from 3.3% in 2024 to 3.2% in 2025 (IMF, 2025).</w:t>
      </w:r>
    </w:p>
    <w:p>
      <w:pPr>
        <w:jc w:val="center"/>
      </w:pPr>
      <w:r>
        <w:rPr>
          <w:rFonts w:ascii="Times" w:hAnsi="Times" w:cs="Times"/>
          <w:sz w:val="24"/>
          <w:sz-cs w:val="24"/>
        </w:rPr>
        <w:t xml:space="preserve">Opportunity</w:t>
      </w:r>
    </w:p>
    <w:p>
      <w:pPr/>
      <w:r>
        <w:rPr>
          <w:rFonts w:ascii="Times" w:hAnsi="Times" w:cs="Times"/>
          <w:sz w:val="24"/>
          <w:sz-cs w:val="24"/>
          <w:b/>
          <w:i/>
        </w:rPr>
        <w:t xml:space="preserve">Social</w:t>
      </w:r>
    </w:p>
    <w:p>
      <w:pPr/>
      <w:r>
        <w:rPr>
          <w:rFonts w:ascii="Times" w:hAnsi="Times" w:cs="Times"/>
          <w:sz w:val="24"/>
          <w:sz-cs w:val="24"/>
        </w:rPr>
        <w:t xml:space="preserve"> In 2025, workplace safety programs are focused on mitigating risks and preventing fatalities (Protex.ai, 2025 ).</w:t>
      </w:r>
    </w:p>
    <w:p>
      <w:pPr>
        <w:jc w:val="center"/>
      </w:pPr>
      <w:r>
        <w:rPr>
          <w:rFonts w:ascii="Times" w:hAnsi="Times" w:cs="Times"/>
          <w:sz w:val="24"/>
          <w:sz-cs w:val="24"/>
        </w:rPr>
        <w:t xml:space="preserve">Challenge</w:t>
      </w:r>
    </w:p>
    <w:p>
      <w:pPr/>
      <w:r>
        <w:rPr>
          <w:rFonts w:ascii="Times" w:hAnsi="Times" w:cs="Times"/>
          <w:sz w:val="24"/>
          <w:sz-cs w:val="24"/>
          <w:b/>
          <w:i/>
        </w:rPr>
        <w:t xml:space="preserve">Technological</w:t>
      </w:r>
    </w:p>
    <w:p>
      <w:pPr/>
      <w:r>
        <w:rPr>
          <w:rFonts w:ascii="Times" w:hAnsi="Times" w:cs="Times"/>
          <w:sz w:val="24"/>
          <w:sz-cs w:val="24"/>
        </w:rPr>
        <w:t xml:space="preserve">AI-powered products and services could contribute up to USD 15.7 trillion to the global economy by 2030 (Digital regulation, 2025). </w:t>
      </w:r>
    </w:p>
    <w:p>
      <w:pPr>
        <w:jc w:val="center"/>
      </w:pPr>
      <w:r>
        <w:rPr>
          <w:rFonts w:ascii="Times" w:hAnsi="Times" w:cs="Times"/>
          <w:sz w:val="24"/>
          <w:sz-cs w:val="24"/>
        </w:rPr>
        <w:t xml:space="preserve">Opportunity</w:t>
      </w:r>
    </w:p>
    <w:p>
      <w:pPr/>
      <w:r>
        <w:rPr>
          <w:rFonts w:ascii="Times" w:hAnsi="Times" w:cs="Times"/>
          <w:sz w:val="24"/>
          <w:sz-cs w:val="24"/>
          <w:b/>
          <w:i/>
        </w:rPr>
        <w:t xml:space="preserve">Legal</w:t>
      </w:r>
    </w:p>
    <w:p>
      <w:pPr>
        <w:spacing w:before="240" w:after="240"/>
      </w:pPr>
      <w:r>
        <w:rPr>
          <w:rFonts w:ascii="Times" w:hAnsi="Times" w:cs="Times"/>
          <w:sz w:val="24"/>
          <w:sz-cs w:val="24"/>
        </w:rPr>
        <w:t xml:space="preserve">Palestine Action targeted arms manufacturers since 2020, causing millions in damage, including to Elbit (Ibanet, 2025).</w:t>
      </w:r>
    </w:p>
    <w:p>
      <w:pPr>
        <w:jc w:val="center"/>
      </w:pPr>
      <w:r>
        <w:rPr>
          <w:rFonts w:ascii="Times" w:hAnsi="Times" w:cs="Times"/>
          <w:sz w:val="24"/>
          <w:sz-cs w:val="24"/>
        </w:rPr>
        <w:t xml:space="preserve">Opportunity</w:t>
      </w:r>
    </w:p>
    <w:p>
      <w:pPr/>
      <w:r>
        <w:rPr>
          <w:rFonts w:ascii="Times" w:hAnsi="Times" w:cs="Times"/>
          <w:sz w:val="24"/>
          <w:sz-cs w:val="24"/>
          <w:b/>
          <w:i/>
        </w:rPr>
        <w:t xml:space="preserve">Environmental</w:t>
      </w:r>
    </w:p>
    <w:p>
      <w:pPr/>
      <w:r>
        <w:rPr>
          <w:rFonts w:ascii="Times" w:hAnsi="Times" w:cs="Times"/>
          <w:sz w:val="24"/>
          <w:sz-cs w:val="24"/>
        </w:rPr>
        <w:t xml:space="preserve">The Climate Change Performance Index (CCPI) tracks the climate performance of 63 countries, covering 90% of global emissions. (CCPI, 2025)</w:t>
      </w:r>
    </w:p>
    <w:p>
      <w:pPr>
        <w:jc w:val="center"/>
      </w:pPr>
      <w:r>
        <w:rPr>
          <w:rFonts w:ascii="Times" w:hAnsi="Times" w:cs="Times"/>
          <w:sz w:val="24"/>
          <w:sz-cs w:val="24"/>
        </w:rPr>
        <w:t xml:space="preserve">Challenge</w:t>
      </w:r>
    </w:p>
    <w:p>
      <w:pPr>
        <w:jc w:val="center"/>
      </w:pPr>
      <w:r>
        <w:rPr>
          <w:rFonts w:ascii="Times" w:hAnsi="Times" w:cs="Times"/>
          <w:sz w:val="24"/>
          <w:sz-cs w:val="24"/>
          <w:b/>
        </w:rPr>
        <w:t xml:space="preserve">Table 1: PESTLE Analysis Table</w:t>
      </w:r>
    </w:p>
    <w:p>
      <w:pPr>
        <w:jc w:val="center"/>
      </w:pPr>
      <w:r>
        <w:rPr>
          <w:rFonts w:ascii="Times" w:hAnsi="Times" w:cs="Times"/>
          <w:sz w:val="24"/>
          <w:sz-cs w:val="24"/>
        </w:rPr>
        <w:t xml:space="preserve">(Source: Self Develop)</w:t>
      </w:r>
    </w:p>
    <w:p>
      <w:pPr/>
      <w:r>
        <w:rPr>
          <w:rFonts w:ascii="Times" w:hAnsi="Times" w:cs="Times"/>
          <w:sz w:val="24"/>
          <w:sz-cs w:val="24"/>
        </w:rPr>
        <w:t xml:space="preserve">The PESTLE analysis brings out a number of external forces that influence business strategies. Political aspect, whose OECD tax rate is going down, is a challenge to the multinational companies that are exposed to increased taxation. The future of the global economic growth is slower, and this provides AI-driven innovation opportunities. The compliance costs are a challenge to the social focus on the work place safety. The opportunities that can be developed are substantial because of the technological improvements and especially AI, whereas the changes in the legislation give the environment more regulation. The environmental factor compels companies to invest in sustainable practices especially in areas where the climate has low performance.</w:t>
      </w:r>
    </w:p>
    <w:p>
      <w:pPr/>
      <w:r>
        <w:rPr>
          <w:rFonts w:ascii="Times" w:hAnsi="Times" w:cs="Times"/>
          <w:sz w:val="24"/>
          <w:sz-cs w:val="24"/>
        </w:rPr>
        <w:t xml:space="preserve">2.2 Selection of Two External Macro Marketing Factors </w:t>
      </w:r>
    </w:p>
    <w:p>
      <w:pPr/>
      <w:r>
        <w:rPr>
          <w:rFonts w:ascii="Times" w:hAnsi="Times" w:cs="Times"/>
          <w:sz w:val="24"/>
          <w:sz-cs w:val="24"/>
          <w:b/>
          <w:i/>
        </w:rPr>
        <w:t xml:space="preserve">Economic Factor:</w:t>
      </w:r>
    </w:p>
    <w:p>
      <w:pPr/>
      <w:r>
        <w:rPr>
          <w:rFonts w:ascii="Times" w:hAnsi="Times" w:cs="Times"/>
          <w:sz w:val="24"/>
          <w:sz-cs w:val="24"/>
        </w:rPr>
        <w:t xml:space="preserve">The world economy has its bright and dark sides with its opportunities and threats to businesses. As the world growth rate is expected to slow down to 3.2% in 2025 compared to 3.3% in 2024, companies are forced to adjust to the average growth rates (IMF, 2025). The result of this slowdown coupled with inflation issues particularly in developed economies can decrease consumer demand and business earnings. Nevertheless, companies that primarily aim at cost-optimization, this may stimulate more strategic investments and operational efficiencies, and they have a chance to reinforce their positions in the market at the unpredictable economic times.</w:t>
        <w:tab/>
        <w:t xml:space="preserve"/>
      </w:r>
    </w:p>
    <w:p>
      <w:pPr/>
      <w:r>
        <w:rPr>
          <w:rFonts w:ascii="Times" w:hAnsi="Times" w:cs="Times"/>
          <w:sz w:val="24"/>
          <w:sz-cs w:val="24"/>
          <w:b/>
          <w:i/>
        </w:rPr>
        <w:t xml:space="preserve">Technological Factor:</w:t>
      </w:r>
    </w:p>
    <w:p>
      <w:pPr>
        <w:jc w:val="center"/>
      </w:pPr>
      <w:r>
        <w:rPr>
          <w:rFonts w:ascii="Times" w:hAnsi="Times" w:cs="Times"/>
          <w:sz w:val="24"/>
          <w:sz-cs w:val="24"/>
        </w:rPr>
        <w:t xml:space="preserve"/>
      </w:r>
    </w:p>
    <w:p>
      <w:pPr>
        <w:jc w:val="center"/>
      </w:pPr>
      <w:r>
        <w:rPr>
          <w:rFonts w:ascii="Times" w:hAnsi="Times" w:cs="Times"/>
          <w:sz w:val="24"/>
          <w:sz-cs w:val="24"/>
          <w:b/>
        </w:rPr>
        <w:t xml:space="preserve">Figure 1: Economic benefits of AI anticipated by various parts of the world</w:t>
      </w:r>
    </w:p>
    <w:p>
      <w:pPr>
        <w:jc w:val="center"/>
      </w:pPr>
      <w:r>
        <w:rPr>
          <w:rFonts w:ascii="Times" w:hAnsi="Times" w:cs="Times"/>
          <w:sz w:val="24"/>
          <w:sz-cs w:val="24"/>
        </w:rPr>
        <w:t xml:space="preserve">(Source: Digital regulation, 2025)</w:t>
      </w:r>
    </w:p>
    <w:p>
      <w:pPr/>
      <w:r>
        <w:rPr>
          <w:rFonts w:ascii="Times" w:hAnsi="Times" w:cs="Times"/>
          <w:sz w:val="24"/>
          <w:sz-cs w:val="24"/>
        </w:rPr>
        <w:t xml:space="preserve">The accelerated development of the AI technology has a high potential to convert the businesses into an economic growth. By 2030, AI will bring as much as USD 15.7 trillion to the world economy that will provide companies with the opportunity to enjoy productivity and consumption-side impacts (Digital regulation, 2025). This opens up tremendous opportunities in the areas of healthcare, the development of a low-carbon economy, and the emergence of novel inventions, including AI-driven medicines. Those that are effective in identifying and implementing AI technology are able to exploit new markets, enhance efficiency, and remain competitive in a more technologically driven world.</w:t>
      </w:r>
    </w:p>
    <w:p>
      <w:pPr/>
      <w:r>
        <w:rPr>
          <w:rFonts w:ascii="Times" w:hAnsi="Times" w:cs="Times"/>
          <w:sz w:val="24"/>
          <w:sz-cs w:val="24"/>
        </w:rPr>
        <w:t xml:space="preserve">2.3 Critical Analysis of Each Factor</w:t>
      </w:r>
    </w:p>
    <w:p>
      <w:pPr/>
      <w:r>
        <w:rPr>
          <w:rFonts w:ascii="Times" w:hAnsi="Times" w:cs="Times"/>
          <w:sz w:val="24"/>
          <w:sz-cs w:val="24"/>
          <w:b/>
        </w:rPr>
        <w:t xml:space="preserve">Comparison of Economic Growth and Technological Strategies between Amazon and Flipkart Companies.</w:t>
      </w:r>
    </w:p>
    <w:p>
      <w:pPr/>
      <w:r>
        <w:rPr>
          <w:rFonts w:ascii="Times" w:hAnsi="Times" w:cs="Times"/>
          <w:sz w:val="24"/>
          <w:sz-cs w:val="24"/>
        </w:rPr>
        <w:t xml:space="preserve">Against the economic and technological environment, the first mover firms such as Amazon and the successor firms such as Flipkart hold different ways of applying growth opportunities. On the one hand, the high costs incurred by Amazon in generating jobs in the U.S. with an average hourly wage of $22 (three times the federal minimum wage) makes the company a leader in the economic development and job satisfaction (Aboutamazon, 2025). Its presence in the U.S. and the amount of its investment in the country in 2023 (244 billion dollars) supports its leadership in the field of e-commerce and logistics. The innovation of Amazon through high-technology infrastructure and technology has put competitors on high standards.</w:t>
      </w:r>
    </w:p>
    <w:p>
      <w:pPr/>
      <w:r>
        <w:rPr>
          <w:rFonts w:ascii="Times" w:hAnsi="Times" w:cs="Times"/>
          <w:sz w:val="24"/>
          <w:sz-cs w:val="24"/>
        </w:rPr>
        <w:t xml:space="preserve">Flipkart on the other hand is a follower company that is capitalizing on the success of Amazon because it puts emphasis on customer-centricity and a robust logistic base. The total worth noting that the revenue of </w:t>
      </w:r>
      <w:r>
        <w:rPr>
          <w:rFonts w:ascii="Songti SC" w:hAnsi="Songti SC" w:cs="Songti SC"/>
          <w:sz w:val="24"/>
          <w:sz-cs w:val="24"/>
        </w:rPr>
        <w:t xml:space="preserve">₹</w:t>
      </w:r>
      <w:r>
        <w:rPr>
          <w:rFonts w:ascii="Times" w:hAnsi="Times" w:cs="Times"/>
          <w:sz w:val="24"/>
          <w:sz-cs w:val="24"/>
        </w:rPr>
        <w:t xml:space="preserve">43,000 crore recorded by Flipkart in 2025 is a strong indicator of the company in terms of its status in India, which is the emerging e-commerce market (IIDE, 2025). Flipkart uses AI-driven personalization to enhance customer satisfaction, which is in line with the approaches launched by Amazon, especially, in the field of logistics and technological integration.</w:t>
      </w:r>
    </w:p>
    <w:p>
      <w:pPr/>
      <w:r>
        <w:rPr>
          <w:rFonts w:ascii="Times" w:hAnsi="Times" w:cs="Times"/>
          <w:sz w:val="24"/>
          <w:sz-cs w:val="24"/>
        </w:rPr>
        <w:t xml:space="preserve">Both corporations are using AI in order to improve customer experiences and operations. In the fulfilment centres, Amazon incorporates AI and robotics technology such as Blue Jay and Project Eluna to enhance workflows and increase deliveries (Amazon, 2025). Flipkart operates AI in personalized shopping experiences by working on customer behaviour and enhancing customized suggestions (Flipkart, 2025). The two companies have defined e-commerce that is tech-driven.</w:t>
      </w:r>
    </w:p>
    <w:p>
      <w:pPr/>
      <w:r>
        <w:rPr>
          <w:rFonts w:ascii="Times" w:hAnsi="Times" w:cs="Times"/>
          <w:sz w:val="24"/>
          <w:sz-cs w:val="24"/>
          <w:b/>
        </w:rPr>
        <w:t xml:space="preserve">Economic Growth and Technological Strategies: Comparative Analysis between Alibaba and JD.com</w:t>
      </w:r>
    </w:p>
    <w:p>
      <w:pPr/>
      <w:r>
        <w:rPr>
          <w:rFonts w:ascii="Times" w:hAnsi="Times" w:cs="Times"/>
          <w:sz w:val="24"/>
          <w:sz-cs w:val="24"/>
        </w:rPr>
        <w:t xml:space="preserve">Alibaba Cloud is an example of an innovative approach to technology by ruthlessly making inroads into other parts of the world. The move by the company to establish data centres in such countries as Brazil, France, and Japan is expected to help it innovate AI all over the world to cater to the increasing needs of cloud computing and AI technologies. Conversely, JD.com, one of its followers, is directed at the utilization of AI to empower the supply chains. The company also uses AI and big data in its logistics to achieve carbon reduction targets, with the Supply Chain Emission Management Platform (Procurementmag, 2025). The relationships with other businesses and sustainability preferences of JD.com are associated with the implementation of effective technological trends launched by innovative companies such as Alibaba.</w:t>
      </w:r>
    </w:p>
    <w:p>
      <w:pPr/>
      <w:r>
        <w:rPr>
          <w:rFonts w:ascii="Times" w:hAnsi="Times" w:cs="Times"/>
          <w:sz w:val="24"/>
          <w:sz-cs w:val="24"/>
        </w:rPr>
        <w:t xml:space="preserve">The economy of Alibaba is experiencing the process of change in a difficult situation. Although the second-quarter 2026 earnings are projected to increase by a small margin of 2.6% annually, the company is projected to increase its earnings per share (EPS) (IG, 2025). In the same year by 63.6% compared to the past year, illustrating the challenges in changing its traditional e-commerce system to a technology-based business. Nevertheless, the long-term concept of expansion and adjustment of Alibaba because of its strategic transition to cloud, AI, and international trade is possible.</w:t>
      </w:r>
    </w:p>
    <w:p>
      <w:pPr/>
      <w:r>
        <w:rPr>
          <w:rFonts w:ascii="Times" w:hAnsi="Times" w:cs="Times"/>
          <w:sz w:val="24"/>
          <w:sz-cs w:val="24"/>
        </w:rPr>
        <w:t xml:space="preserve">In contrast, JD.com, as a follower, reported a revenue increase of 14.9% in Q3 2025, totalling RMB299.1 billion (IR. JD, 2025). Although JD.com’s growth trajectory is strong, it remains closely aligned with the strategies pioneered by Amazon, focusing on logistics optimization and customer-centric technological integration. JD.com continues to adapt to market demands by enhancing its supply chain and AI capabilities, though it is not yet leading the innovation charge.</w:t>
      </w:r>
    </w:p>
    <w:p>
      <w:pPr/>
      <w:r>
        <w:rPr>
          <w:rFonts w:ascii="Times" w:hAnsi="Times" w:cs="Times"/>
          <w:sz w:val="24"/>
          <w:sz-cs w:val="24"/>
        </w:rPr>
        <w:t xml:space="preserve"/>
      </w:r>
    </w:p>
    <w:p>
      <w:pPr/>
      <w:r>
        <w:rPr>
          <w:rFonts w:ascii="Times" w:hAnsi="Times" w:cs="Times"/>
          <w:sz w:val="24"/>
          <w:sz-cs w:val="24"/>
        </w:rPr>
        <w:t xml:space="preserve">3. Task 2: Strategic Responses of Pioneering and Follower Organisations </w:t>
      </w:r>
    </w:p>
    <w:p>
      <w:pPr/>
      <w:r>
        <w:rPr>
          <w:rFonts w:ascii="Times" w:hAnsi="Times" w:cs="Times"/>
          <w:sz w:val="24"/>
          <w:sz-cs w:val="24"/>
        </w:rPr>
        <w:t xml:space="preserve">3.1 Pioneering Organisations’ Strategic Responses</w:t>
      </w:r>
    </w:p>
    <w:p>
      <w:pPr/>
      <w:r>
        <w:rPr>
          <w:rFonts w:ascii="Times" w:hAnsi="Times" w:cs="Times"/>
          <w:sz w:val="24"/>
          <w:sz-cs w:val="24"/>
          <w:b/>
        </w:rPr>
        <w:t xml:space="preserve">Critical evaluation of Amazon’s strategic response </w:t>
      </w:r>
    </w:p>
    <w:p>
      <w:pPr>
        <w:jc w:val="both"/>
        <w:spacing w:before="200"/>
      </w:pPr>
      <w:r>
        <w:rPr>
          <w:rFonts w:ascii="Times New Roman" w:hAnsi="Times New Roman" w:cs="Times New Roman"/>
          <w:sz w:val="24"/>
          <w:sz-cs w:val="24"/>
          <w:b/>
        </w:rPr>
        <w:t xml:space="preserve">Ansoff’s Growth Matrix </w:t>
      </w:r>
    </w:p>
    <w:p>
      <w:pPr>
        <w:jc w:val="both"/>
      </w:pPr>
      <w:r>
        <w:rPr>
          <w:rFonts w:ascii="Times New Roman" w:hAnsi="Times New Roman" w:cs="Times New Roman"/>
          <w:sz w:val="24"/>
          <w:sz-cs w:val="24"/>
          <w:b/>
        </w:rPr>
        <w:t xml:space="preserve">Market Penetration</w:t>
      </w:r>
    </w:p>
    <w:p>
      <w:pPr>
        <w:jc w:val="both"/>
      </w:pPr>
      <w:r>
        <w:rPr>
          <w:rFonts w:ascii="Times New Roman" w:hAnsi="Times New Roman" w:cs="Times New Roman"/>
          <w:sz w:val="24"/>
          <w:sz-cs w:val="24"/>
        </w:rPr>
        <w:t xml:space="preserve">Amazon offers a “recommended for you” option in the website that offers tailored suggestions (Amazon, 2025)</w:t>
      </w:r>
    </w:p>
    <w:p>
      <w:pPr>
        <w:jc w:val="both"/>
      </w:pPr>
      <w:r>
        <w:rPr>
          <w:rFonts w:ascii="Times New Roman" w:hAnsi="Times New Roman" w:cs="Times New Roman"/>
          <w:sz w:val="24"/>
          <w:sz-cs w:val="24"/>
          <w:b/>
        </w:rPr>
        <w:t xml:space="preserve">Market Development</w:t>
      </w:r>
    </w:p>
    <w:p>
      <w:pPr>
        <w:jc w:val="both"/>
      </w:pPr>
      <w:r>
        <w:rPr>
          <w:rFonts w:ascii="Times New Roman" w:hAnsi="Times New Roman" w:cs="Times New Roman"/>
          <w:sz w:val="24"/>
          <w:sz-cs w:val="24"/>
        </w:rPr>
        <w:t xml:space="preserve">Amazon emphasises on large-scale acquisitions to expand business across emerging markets (Lee and Lieberman, 2024).</w:t>
      </w:r>
    </w:p>
    <w:p>
      <w:pPr>
        <w:jc w:val="both"/>
      </w:pPr>
      <w:r>
        <w:rPr>
          <w:rFonts w:ascii="Times New Roman" w:hAnsi="Times New Roman" w:cs="Times New Roman"/>
          <w:sz w:val="24"/>
          <w:sz-cs w:val="24"/>
          <w:b/>
        </w:rPr>
        <w:t xml:space="preserve">Product Development</w:t>
      </w:r>
    </w:p>
    <w:p>
      <w:pPr>
        <w:jc w:val="both"/>
      </w:pPr>
      <w:r>
        <w:rPr>
          <w:rFonts w:ascii="Times New Roman" w:hAnsi="Times New Roman" w:cs="Times New Roman"/>
          <w:sz w:val="24"/>
          <w:sz-cs w:val="24"/>
        </w:rPr>
        <w:t xml:space="preserve">Product development of Amazon involves obtaining 5.3 million product reviews and incorporating specific changes (Wassan </w:t>
      </w:r>
      <w:r>
        <w:rPr>
          <w:rFonts w:ascii="Times New Roman" w:hAnsi="Times New Roman" w:cs="Times New Roman"/>
          <w:sz w:val="24"/>
          <w:sz-cs w:val="24"/>
          <w:i/>
        </w:rPr>
        <w:t xml:space="preserve">et al., </w:t>
      </w:r>
      <w:r>
        <w:rPr>
          <w:rFonts w:ascii="Times New Roman" w:hAnsi="Times New Roman" w:cs="Times New Roman"/>
          <w:sz w:val="24"/>
          <w:sz-cs w:val="24"/>
        </w:rPr>
        <w:t xml:space="preserve">2021)</w:t>
      </w:r>
    </w:p>
    <w:p>
      <w:pPr>
        <w:jc w:val="both"/>
      </w:pPr>
      <w:r>
        <w:rPr>
          <w:rFonts w:ascii="Times New Roman" w:hAnsi="Times New Roman" w:cs="Times New Roman"/>
          <w:sz w:val="24"/>
          <w:sz-cs w:val="24"/>
          <w:b/>
        </w:rPr>
        <w:t xml:space="preserve">Diversification</w:t>
      </w:r>
    </w:p>
    <w:p>
      <w:pPr>
        <w:jc w:val="both"/>
      </w:pPr>
      <w:r>
        <w:rPr>
          <w:rFonts w:ascii="Times New Roman" w:hAnsi="Times New Roman" w:cs="Times New Roman"/>
          <w:sz w:val="24"/>
          <w:sz-cs w:val="24"/>
        </w:rPr>
        <w:t xml:space="preserve">Amazon has diversified its retail e-commerce by connecting publishers to technology and launching Kindle (Aversa and Hueller, 2023). </w:t>
      </w:r>
    </w:p>
    <w:p>
      <w:pPr>
        <w:jc w:val="center"/>
        <w:spacing w:before="200"/>
      </w:pPr>
      <w:r>
        <w:rPr>
          <w:rFonts w:ascii="Times New Roman" w:hAnsi="Times New Roman" w:cs="Times New Roman"/>
          <w:sz w:val="24"/>
          <w:sz-cs w:val="24"/>
          <w:b/>
        </w:rPr>
        <w:t xml:space="preserve">Table 2: Ansoff’s Matrix of Amazon</w:t>
      </w:r>
    </w:p>
    <w:p>
      <w:pPr>
        <w:jc w:val="center"/>
        <w:spacing w:before="200"/>
      </w:pPr>
      <w:r>
        <w:rPr>
          <w:rFonts w:ascii="Times New Roman" w:hAnsi="Times New Roman" w:cs="Times New Roman"/>
          <w:sz w:val="24"/>
          <w:sz-cs w:val="24"/>
        </w:rPr>
        <w:t xml:space="preserve">(Source: Self-Developed)</w:t>
      </w:r>
    </w:p>
    <w:p>
      <w:pPr>
        <w:jc w:val="both"/>
        <w:spacing w:before="200"/>
      </w:pPr>
      <w:r>
        <w:rPr>
          <w:rFonts w:ascii="Times New Roman" w:hAnsi="Times New Roman" w:cs="Times New Roman"/>
          <w:sz w:val="24"/>
          <w:sz-cs w:val="24"/>
        </w:rPr>
        <w:t xml:space="preserve">Amazon’s strategic responses to technological challenges involving difficulty integrating advanced technologies during market expansion involves emphasising on large-scale acquisitions. According to Lee and Lieberman (2024), Amazon’s market entry strategy involves mergers and acquisition, as it enables the company to access knowledge and resources of existing organisations. Hence, implementing strategies as diversifying e-commerce platforms of Amazon to provide access to Kindle and digital books further strengthens competitive advantage. </w:t>
      </w:r>
    </w:p>
    <w:p>
      <w:pPr>
        <w:jc w:val="both"/>
        <w:spacing w:before="200"/>
      </w:pPr>
      <w:r>
        <w:rPr>
          <w:rFonts w:ascii="Times New Roman" w:hAnsi="Times New Roman" w:cs="Times New Roman"/>
          <w:sz w:val="24"/>
          <w:sz-cs w:val="24"/>
          <w:b/>
        </w:rPr>
        <w:t xml:space="preserve">Porter’s Generic Strategies</w:t>
      </w:r>
    </w:p>
    <w:p>
      <w:pPr>
        <w:jc w:val="both"/>
        <w:spacing w:before="200"/>
      </w:pPr>
      <w:r>
        <w:rPr>
          <w:rFonts w:ascii="Times New Roman" w:hAnsi="Times New Roman" w:cs="Times New Roman"/>
          <w:sz w:val="24"/>
          <w:sz-cs w:val="24"/>
        </w:rPr>
        <w:t xml:space="preserve">Key elements of Porter’s Generic Strategies consist of adopting a market-entry approach to drive competitive advantage in the market. For instance, the Reuters highlighted that Microsoft and Amazon have been dominating the cloud-platforms with owning 30% to 40% market-share (Sandle, 2025). In this context, Amazon has been experiencing high-end competition in the retail and IT sector from large-scale companies, leading to the organisation adopting a differentiation approach. As per Ali and Anwar (2021), differentiation strategy concentrates on providing a valuable service and utilising brand name to gain consumer attention. Thus, relying on uniqueness, Amazon targets a broad market and tackles economic issues by providing a range of services such as e-commerce, entertainment, books, and cloud-solutions. </w:t>
      </w:r>
    </w:p>
    <w:p>
      <w:pPr>
        <w:jc w:val="center"/>
        <w:spacing w:before="200"/>
      </w:pPr>
      <w:r>
        <w:rPr>
          <w:rFonts w:ascii="Times New Roman" w:hAnsi="Times New Roman" w:cs="Times New Roman"/>
          <w:sz w:val="24"/>
          <w:sz-cs w:val="24"/>
        </w:rPr>
        <w:t xml:space="preserve"/>
      </w:r>
    </w:p>
    <w:p>
      <w:pPr>
        <w:jc w:val="center"/>
        <w:spacing w:before="200"/>
      </w:pPr>
      <w:r>
        <w:rPr>
          <w:rFonts w:ascii="Times New Roman" w:hAnsi="Times New Roman" w:cs="Times New Roman"/>
          <w:sz w:val="24"/>
          <w:sz-cs w:val="24"/>
          <w:b/>
        </w:rPr>
        <w:t xml:space="preserve">Figure 2: Porter’s Generic Strategies</w:t>
      </w:r>
    </w:p>
    <w:p>
      <w:pPr>
        <w:jc w:val="center"/>
        <w:spacing w:before="200"/>
      </w:pPr>
      <w:r>
        <w:rPr>
          <w:rFonts w:ascii="Times New Roman" w:hAnsi="Times New Roman" w:cs="Times New Roman"/>
          <w:sz w:val="24"/>
          <w:sz-cs w:val="24"/>
        </w:rPr>
        <w:t xml:space="preserve">(Source: Ali and Anwar, 2021)</w:t>
      </w:r>
    </w:p>
    <w:p>
      <w:pPr/>
      <w:r>
        <w:rPr>
          <w:rFonts w:ascii="Times" w:hAnsi="Times" w:cs="Times"/>
          <w:sz w:val="24"/>
          <w:sz-cs w:val="24"/>
          <w:b/>
        </w:rPr>
        <w:t xml:space="preserve">Critical evaluation of Alibaba’s strategic response </w:t>
      </w:r>
    </w:p>
    <w:p>
      <w:pPr>
        <w:jc w:val="both"/>
        <w:spacing w:before="200"/>
      </w:pPr>
      <w:r>
        <w:rPr>
          <w:rFonts w:ascii="Times New Roman" w:hAnsi="Times New Roman" w:cs="Times New Roman"/>
          <w:sz w:val="24"/>
          <w:sz-cs w:val="24"/>
          <w:b/>
        </w:rPr>
        <w:t xml:space="preserve">Ansoff’s Growth Matrix</w:t>
      </w:r>
    </w:p>
    <w:p>
      <w:pPr>
        <w:jc w:val="both"/>
      </w:pPr>
      <w:r>
        <w:rPr>
          <w:rFonts w:ascii="Times New Roman" w:hAnsi="Times New Roman" w:cs="Times New Roman"/>
          <w:sz w:val="24"/>
          <w:sz-cs w:val="24"/>
          <w:b/>
        </w:rPr>
        <w:t xml:space="preserve">Market Penetration</w:t>
      </w:r>
    </w:p>
    <w:p>
      <w:pPr>
        <w:jc w:val="both"/>
      </w:pPr>
      <w:r>
        <w:rPr>
          <w:rFonts w:ascii="Times New Roman" w:hAnsi="Times New Roman" w:cs="Times New Roman"/>
          <w:sz w:val="24"/>
          <w:sz-cs w:val="24"/>
        </w:rPr>
        <w:t xml:space="preserve">Alibaba combined its international and Chinese e-commerce platforms Taobao and Tmall to increase sales (Hall, 2024).</w:t>
      </w:r>
    </w:p>
    <w:p>
      <w:pPr>
        <w:jc w:val="both"/>
      </w:pPr>
      <w:r>
        <w:rPr>
          <w:rFonts w:ascii="Times New Roman" w:hAnsi="Times New Roman" w:cs="Times New Roman"/>
          <w:sz w:val="24"/>
          <w:sz-cs w:val="24"/>
          <w:b/>
        </w:rPr>
        <w:t xml:space="preserve">Market Development</w:t>
      </w:r>
    </w:p>
    <w:p>
      <w:pPr>
        <w:jc w:val="both"/>
      </w:pPr>
      <w:r>
        <w:rPr>
          <w:rFonts w:ascii="Times New Roman" w:hAnsi="Times New Roman" w:cs="Times New Roman"/>
          <w:sz w:val="24"/>
          <w:sz-cs w:val="24"/>
        </w:rPr>
        <w:t xml:space="preserve">Strategic investments in e-commerce companies of emerging markets are a key market development strategy of Alibaba (He </w:t>
      </w:r>
      <w:r>
        <w:rPr>
          <w:rFonts w:ascii="Times New Roman" w:hAnsi="Times New Roman" w:cs="Times New Roman"/>
          <w:sz w:val="24"/>
          <w:sz-cs w:val="24"/>
          <w:i/>
        </w:rPr>
        <w:t xml:space="preserve">et al.,</w:t>
      </w:r>
      <w:r>
        <w:rPr>
          <w:rFonts w:ascii="Times New Roman" w:hAnsi="Times New Roman" w:cs="Times New Roman"/>
          <w:sz w:val="24"/>
          <w:sz-cs w:val="24"/>
        </w:rPr>
        <w:t xml:space="preserve"> 2025). </w:t>
      </w:r>
    </w:p>
    <w:p>
      <w:pPr>
        <w:jc w:val="both"/>
      </w:pPr>
      <w:r>
        <w:rPr>
          <w:rFonts w:ascii="Times New Roman" w:hAnsi="Times New Roman" w:cs="Times New Roman"/>
          <w:sz w:val="24"/>
          <w:sz-cs w:val="24"/>
          <w:b/>
        </w:rPr>
        <w:t xml:space="preserve">Product Development</w:t>
      </w:r>
    </w:p>
    <w:p>
      <w:pPr>
        <w:jc w:val="both"/>
      </w:pPr>
      <w:r>
        <w:rPr>
          <w:rFonts w:ascii="Times New Roman" w:hAnsi="Times New Roman" w:cs="Times New Roman"/>
          <w:sz w:val="24"/>
          <w:sz-cs w:val="24"/>
        </w:rPr>
        <w:t xml:space="preserve">Alibaba expanded its e-commerce and offered cloud solutions including servers and elastic computing (Alibaba, 2025).</w:t>
      </w:r>
    </w:p>
    <w:p>
      <w:pPr>
        <w:jc w:val="both"/>
      </w:pPr>
      <w:r>
        <w:rPr>
          <w:rFonts w:ascii="Times New Roman" w:hAnsi="Times New Roman" w:cs="Times New Roman"/>
          <w:sz w:val="24"/>
          <w:sz-cs w:val="24"/>
          <w:b/>
        </w:rPr>
        <w:t xml:space="preserve">Diversification</w:t>
      </w:r>
    </w:p>
    <w:p>
      <w:pPr>
        <w:jc w:val="both"/>
      </w:pPr>
      <w:r>
        <w:rPr>
          <w:rFonts w:ascii="Times New Roman" w:hAnsi="Times New Roman" w:cs="Times New Roman"/>
          <w:sz w:val="24"/>
          <w:sz-cs w:val="24"/>
        </w:rPr>
        <w:t xml:space="preserve">The company expanded into the entertainment sector using Alibaba Pictures that offers access to cinema (Tse and Pun, 2024). </w:t>
      </w:r>
    </w:p>
    <w:p>
      <w:pPr>
        <w:jc w:val="center"/>
        <w:spacing w:before="200"/>
      </w:pPr>
      <w:r>
        <w:rPr>
          <w:rFonts w:ascii="Times New Roman" w:hAnsi="Times New Roman" w:cs="Times New Roman"/>
          <w:sz w:val="24"/>
          <w:sz-cs w:val="24"/>
          <w:b/>
        </w:rPr>
        <w:t xml:space="preserve">Table 3: Ansoff’s Matrix of Alibaba</w:t>
      </w:r>
    </w:p>
    <w:p>
      <w:pPr>
        <w:jc w:val="center"/>
        <w:spacing w:before="200"/>
      </w:pPr>
      <w:r>
        <w:rPr>
          <w:rFonts w:ascii="Times New Roman" w:hAnsi="Times New Roman" w:cs="Times New Roman"/>
          <w:sz w:val="24"/>
          <w:sz-cs w:val="24"/>
        </w:rPr>
        <w:t xml:space="preserve">(Source: Self-Developed)</w:t>
      </w:r>
    </w:p>
    <w:p>
      <w:pPr>
        <w:jc w:val="both"/>
        <w:spacing w:before="200"/>
      </w:pPr>
      <w:r>
        <w:rPr>
          <w:rFonts w:ascii="Times New Roman" w:hAnsi="Times New Roman" w:cs="Times New Roman"/>
          <w:sz w:val="24"/>
          <w:sz-cs w:val="24"/>
        </w:rPr>
        <w:t xml:space="preserve">Alibaba has experienced technological barriers including integrating high-end technology across different markets. The organisation has adopted a similar strategy as Amazon by making strategy investments in technological companies of Indonesia to build a strong market presence. According to Tse and Pun (2024), Alibaba has adopted diversification by offering entertainment services through Alibaba pictures which enables targeted broad audiences. Thus, utilising its effective technological infrastructure and making strategic investments, Alibaba focuses on overcoming technological barriers. </w:t>
      </w:r>
    </w:p>
    <w:p>
      <w:pPr>
        <w:jc w:val="both"/>
        <w:spacing w:before="200"/>
      </w:pPr>
      <w:r>
        <w:rPr>
          <w:rFonts w:ascii="Times New Roman" w:hAnsi="Times New Roman" w:cs="Times New Roman"/>
          <w:sz w:val="24"/>
          <w:sz-cs w:val="24"/>
          <w:b/>
        </w:rPr>
        <w:t xml:space="preserve">Porter’s Generic Strategies</w:t>
      </w:r>
    </w:p>
    <w:p>
      <w:pPr>
        <w:jc w:val="both"/>
        <w:spacing w:before="200"/>
      </w:pPr>
      <w:r>
        <w:rPr>
          <w:rFonts w:ascii="Times New Roman" w:hAnsi="Times New Roman" w:cs="Times New Roman"/>
          <w:sz w:val="24"/>
          <w:sz-cs w:val="24"/>
        </w:rPr>
        <w:t xml:space="preserve">Economic issues such as inflation and cost-of-living crisis negatively affects pricing and entry strategies of Alibaba. As per Zhang (2025), Alibaba has a low-cost business model that involves offering services in lower-price range, especially to meet expectations of Chinese consumers. Alibaba further utilises its low-cost model to achieve business expansion and secure materials from developing countries. Therefore, comparing the pioneering companies, Alibaba differs from Amazon by relying on a cost-leadership approach that emphasises meeting the requirements of a price-sensitive target market. </w:t>
      </w:r>
    </w:p>
    <w:p>
      <w:pPr/>
      <w:r>
        <w:rPr>
          <w:rFonts w:ascii="Times" w:hAnsi="Times" w:cs="Times"/>
          <w:sz w:val="24"/>
          <w:sz-cs w:val="24"/>
        </w:rPr>
        <w:t xml:space="preserve">3.2 Follower Organisations’ Strategic Responses</w:t>
      </w:r>
    </w:p>
    <w:p>
      <w:pPr/>
      <w:r>
        <w:rPr>
          <w:rFonts w:ascii="Times" w:hAnsi="Times" w:cs="Times"/>
          <w:sz w:val="24"/>
          <w:sz-cs w:val="24"/>
          <w:b/>
        </w:rPr>
        <w:t xml:space="preserve">Critical evaluation of Flipkart’s strategic response </w:t>
      </w:r>
    </w:p>
    <w:p>
      <w:pPr>
        <w:jc w:val="both"/>
        <w:spacing w:before="200"/>
      </w:pPr>
      <w:r>
        <w:rPr>
          <w:rFonts w:ascii="Times New Roman" w:hAnsi="Times New Roman" w:cs="Times New Roman"/>
          <w:sz w:val="24"/>
          <w:sz-cs w:val="24"/>
          <w:b/>
        </w:rPr>
        <w:t xml:space="preserve">Ansoff’s Growth Matrix </w:t>
      </w:r>
    </w:p>
    <w:p>
      <w:pPr>
        <w:jc w:val="both"/>
      </w:pPr>
      <w:r>
        <w:rPr>
          <w:rFonts w:ascii="Times New Roman" w:hAnsi="Times New Roman" w:cs="Times New Roman"/>
          <w:sz w:val="24"/>
          <w:sz-cs w:val="24"/>
          <w:b/>
        </w:rPr>
        <w:t xml:space="preserve">Market Penetration</w:t>
      </w:r>
    </w:p>
    <w:p>
      <w:pPr>
        <w:jc w:val="both"/>
      </w:pPr>
      <w:r>
        <w:rPr>
          <w:rFonts w:ascii="Times New Roman" w:hAnsi="Times New Roman" w:cs="Times New Roman"/>
          <w:sz w:val="24"/>
          <w:sz-cs w:val="24"/>
        </w:rPr>
        <w:t xml:space="preserve">Flipkart drives higher conversion and sales through loyalty programmes and personalisation (Kumar and Babu, 2023).</w:t>
      </w:r>
    </w:p>
    <w:p>
      <w:pPr>
        <w:jc w:val="both"/>
      </w:pPr>
      <w:r>
        <w:rPr>
          <w:rFonts w:ascii="Times New Roman" w:hAnsi="Times New Roman" w:cs="Times New Roman"/>
          <w:sz w:val="24"/>
          <w:sz-cs w:val="24"/>
          <w:b/>
        </w:rPr>
        <w:t xml:space="preserve">Market Development</w:t>
      </w:r>
    </w:p>
    <w:p>
      <w:pPr>
        <w:jc w:val="both"/>
      </w:pPr>
      <w:r>
        <w:rPr>
          <w:rFonts w:ascii="Times New Roman" w:hAnsi="Times New Roman" w:cs="Times New Roman"/>
          <w:sz w:val="24"/>
          <w:sz-cs w:val="24"/>
        </w:rPr>
        <w:t xml:space="preserve">Flipkart has utilised social media marketing to strengthen brand awareness and expand across rural regions of India (Kappagantu, Mahindra, and Sandeep, 2024). </w:t>
      </w:r>
    </w:p>
    <w:p>
      <w:pPr>
        <w:jc w:val="both"/>
      </w:pPr>
      <w:r>
        <w:rPr>
          <w:rFonts w:ascii="Times New Roman" w:hAnsi="Times New Roman" w:cs="Times New Roman"/>
          <w:sz w:val="24"/>
          <w:sz-cs w:val="24"/>
          <w:b/>
        </w:rPr>
        <w:t xml:space="preserve">Product Development</w:t>
      </w:r>
    </w:p>
    <w:p>
      <w:pPr>
        <w:jc w:val="both"/>
      </w:pPr>
      <w:r>
        <w:rPr>
          <w:rFonts w:ascii="Times New Roman" w:hAnsi="Times New Roman" w:cs="Times New Roman"/>
          <w:sz w:val="24"/>
          <w:sz-cs w:val="24"/>
        </w:rPr>
        <w:t xml:space="preserve">The Marketplace of Flipkart has evolved by the company launching its logistics E-kart for seamless delivery (Rajan, 2021). </w:t>
      </w:r>
    </w:p>
    <w:p>
      <w:pPr>
        <w:jc w:val="both"/>
      </w:pPr>
      <w:r>
        <w:rPr>
          <w:rFonts w:ascii="Times New Roman" w:hAnsi="Times New Roman" w:cs="Times New Roman"/>
          <w:sz w:val="24"/>
          <w:sz-cs w:val="24"/>
          <w:b/>
        </w:rPr>
        <w:t xml:space="preserve">Diversification</w:t>
      </w:r>
    </w:p>
    <w:p>
      <w:pPr>
        <w:jc w:val="both"/>
      </w:pPr>
      <w:r>
        <w:rPr>
          <w:rFonts w:ascii="Times New Roman" w:hAnsi="Times New Roman" w:cs="Times New Roman"/>
          <w:sz w:val="24"/>
          <w:sz-cs w:val="24"/>
        </w:rPr>
        <w:t xml:space="preserve">Acquisition of ClearTrip enabled Flipkart to expand into travel and tourism segments (Nandy, 2022). </w:t>
      </w:r>
    </w:p>
    <w:p>
      <w:pPr>
        <w:jc w:val="center"/>
        <w:spacing w:before="200"/>
      </w:pPr>
      <w:r>
        <w:rPr>
          <w:rFonts w:ascii="Times New Roman" w:hAnsi="Times New Roman" w:cs="Times New Roman"/>
          <w:sz w:val="24"/>
          <w:sz-cs w:val="24"/>
          <w:b/>
        </w:rPr>
        <w:t xml:space="preserve">Table 4: Ansoff Matrix of Flipkart</w:t>
      </w:r>
    </w:p>
    <w:p>
      <w:pPr>
        <w:jc w:val="center"/>
        <w:spacing w:before="200"/>
      </w:pPr>
      <w:r>
        <w:rPr>
          <w:rFonts w:ascii="Times New Roman" w:hAnsi="Times New Roman" w:cs="Times New Roman"/>
          <w:sz w:val="24"/>
          <w:sz-cs w:val="24"/>
        </w:rPr>
        <w:t xml:space="preserve">(Source: Self-Developed)</w:t>
      </w:r>
    </w:p>
    <w:p>
      <w:pPr>
        <w:jc w:val="both"/>
        <w:spacing w:before="200"/>
      </w:pPr>
      <w:r>
        <w:rPr>
          <w:rFonts w:ascii="Times New Roman" w:hAnsi="Times New Roman" w:cs="Times New Roman"/>
          <w:sz w:val="24"/>
          <w:sz-cs w:val="24"/>
        </w:rPr>
        <w:t xml:space="preserve">Flipkart’s approach to technological barriers is highly similar to Amazon, as the company has utilised personalised recommendations and providing unique services to strengthen its presence in India. For instance, Rajan (2021) mentioned that Flipkart has reduced dependencies by launching its individual logistics services through E-kart and introduced same-day deliveries to attract consumers. As a result, the approach is highly similar to Amazon’s response towards technological opportunities and has allowed the company to expand across rural regions of India. </w:t>
      </w:r>
    </w:p>
    <w:p>
      <w:pPr>
        <w:jc w:val="both"/>
        <w:spacing w:before="200"/>
      </w:pPr>
      <w:r>
        <w:rPr>
          <w:rFonts w:ascii="Times New Roman" w:hAnsi="Times New Roman" w:cs="Times New Roman"/>
          <w:sz w:val="24"/>
          <w:sz-cs w:val="24"/>
          <w:b/>
        </w:rPr>
        <w:t xml:space="preserve">Porter’s Generic Strategies</w:t>
      </w:r>
    </w:p>
    <w:p>
      <w:pPr>
        <w:jc w:val="both"/>
        <w:spacing w:before="200"/>
      </w:pPr>
      <w:r>
        <w:rPr>
          <w:rFonts w:ascii="Times New Roman" w:hAnsi="Times New Roman" w:cs="Times New Roman"/>
          <w:sz w:val="24"/>
          <w:sz-cs w:val="24"/>
        </w:rPr>
        <w:t xml:space="preserve">Tackling economic challenges of its domestic market, Flipkart has adopted a cost-leadership market by targeting price-sensitive customers of India. Kumar and Babu (2023) highlighted that the Flipkart offers a range of loyalty programmes to price-sensitive customers that increases conversion rates. Hence, in terms of leveraging economic factors, Flipkart has adopted a similar strategy as Alibaba by offering low-cost products to the target market. </w:t>
      </w:r>
    </w:p>
    <w:p>
      <w:pPr/>
      <w:r>
        <w:rPr>
          <w:rFonts w:ascii="Times" w:hAnsi="Times" w:cs="Times"/>
          <w:sz w:val="24"/>
          <w:sz-cs w:val="24"/>
          <w:b/>
        </w:rPr>
        <w:t xml:space="preserve">Critical evaluation of JD.com strategic response </w:t>
      </w:r>
    </w:p>
    <w:p>
      <w:pPr>
        <w:jc w:val="both"/>
        <w:spacing w:before="200"/>
      </w:pPr>
      <w:r>
        <w:rPr>
          <w:rFonts w:ascii="Times New Roman" w:hAnsi="Times New Roman" w:cs="Times New Roman"/>
          <w:sz w:val="24"/>
          <w:sz-cs w:val="24"/>
          <w:b/>
        </w:rPr>
        <w:t xml:space="preserve">Ansoff’s Growth Matrix </w:t>
      </w:r>
    </w:p>
    <w:p>
      <w:pPr>
        <w:jc w:val="both"/>
      </w:pPr>
      <w:r>
        <w:rPr>
          <w:rFonts w:ascii="Times New Roman" w:hAnsi="Times New Roman" w:cs="Times New Roman"/>
          <w:sz w:val="24"/>
          <w:sz-cs w:val="24"/>
          <w:b/>
        </w:rPr>
        <w:t xml:space="preserve">Market Penetration</w:t>
      </w:r>
    </w:p>
    <w:p>
      <w:pPr>
        <w:jc w:val="both"/>
      </w:pPr>
      <w:r>
        <w:rPr>
          <w:rFonts w:ascii="Times New Roman" w:hAnsi="Times New Roman" w:cs="Times New Roman"/>
          <w:sz w:val="24"/>
          <w:sz-cs w:val="24"/>
        </w:rPr>
        <w:t xml:space="preserve">JD.com implements aggressive marketing as price cutting to expand sales and tackle competitions as Alibaba (Sriram and Hall, 2024). </w:t>
      </w:r>
    </w:p>
    <w:p>
      <w:pPr>
        <w:jc w:val="both"/>
      </w:pPr>
      <w:r>
        <w:rPr>
          <w:rFonts w:ascii="Times New Roman" w:hAnsi="Times New Roman" w:cs="Times New Roman"/>
          <w:sz w:val="24"/>
          <w:sz-cs w:val="24"/>
          <w:b/>
        </w:rPr>
        <w:t xml:space="preserve">Market Development</w:t>
      </w:r>
    </w:p>
    <w:p>
      <w:pPr>
        <w:jc w:val="both"/>
      </w:pPr>
      <w:r>
        <w:rPr>
          <w:rFonts w:ascii="Times New Roman" w:hAnsi="Times New Roman" w:cs="Times New Roman"/>
          <w:sz w:val="24"/>
          <w:sz-cs w:val="24"/>
        </w:rPr>
        <w:t xml:space="preserve">The Chinese e-commerce JD.com has focused on refocusing on the Chinese market by ceasing operations across Thailand and Indonesia (Jiang, 2023). </w:t>
      </w:r>
    </w:p>
    <w:p>
      <w:pPr>
        <w:jc w:val="both"/>
      </w:pPr>
      <w:r>
        <w:rPr>
          <w:rFonts w:ascii="Times New Roman" w:hAnsi="Times New Roman" w:cs="Times New Roman"/>
          <w:sz w:val="24"/>
          <w:sz-cs w:val="24"/>
          <w:b/>
        </w:rPr>
        <w:t xml:space="preserve">Product Development</w:t>
      </w:r>
    </w:p>
    <w:p>
      <w:pPr>
        <w:jc w:val="both"/>
      </w:pPr>
      <w:r>
        <w:rPr>
          <w:rFonts w:ascii="Times New Roman" w:hAnsi="Times New Roman" w:cs="Times New Roman"/>
          <w:sz w:val="24"/>
          <w:sz-cs w:val="24"/>
        </w:rPr>
        <w:t xml:space="preserve">JD.com developed in-house logistics and reduced dependencies on torrid-parties for warehouse management (Changyi and Xiaoyu, 2024). </w:t>
      </w:r>
    </w:p>
    <w:p>
      <w:pPr>
        <w:jc w:val="both"/>
      </w:pPr>
      <w:r>
        <w:rPr>
          <w:rFonts w:ascii="Times New Roman" w:hAnsi="Times New Roman" w:cs="Times New Roman"/>
          <w:sz w:val="24"/>
          <w:sz-cs w:val="24"/>
          <w:b/>
        </w:rPr>
        <w:t xml:space="preserve">Diversification</w:t>
      </w:r>
    </w:p>
    <w:p>
      <w:pPr>
        <w:jc w:val="both"/>
      </w:pPr>
      <w:r>
        <w:rPr>
          <w:rFonts w:ascii="Times New Roman" w:hAnsi="Times New Roman" w:cs="Times New Roman"/>
          <w:sz w:val="24"/>
          <w:sz-cs w:val="24"/>
        </w:rPr>
        <w:t xml:space="preserve">Building an individual logistics centre and Jindong Cargo Airlines improved logistics and delivery (Zhao, 2024). </w:t>
      </w:r>
    </w:p>
    <w:p>
      <w:pPr>
        <w:jc w:val="center"/>
        <w:spacing w:before="200"/>
      </w:pPr>
      <w:r>
        <w:rPr>
          <w:rFonts w:ascii="Times New Roman" w:hAnsi="Times New Roman" w:cs="Times New Roman"/>
          <w:sz w:val="24"/>
          <w:sz-cs w:val="24"/>
          <w:b/>
        </w:rPr>
        <w:t xml:space="preserve">Table 5: Ansoff’s Growth Matrix of JD.com</w:t>
      </w:r>
    </w:p>
    <w:p>
      <w:pPr>
        <w:jc w:val="center"/>
        <w:spacing w:before="200"/>
      </w:pPr>
      <w:r>
        <w:rPr>
          <w:rFonts w:ascii="Times New Roman" w:hAnsi="Times New Roman" w:cs="Times New Roman"/>
          <w:sz w:val="24"/>
          <w:sz-cs w:val="24"/>
        </w:rPr>
        <w:t xml:space="preserve">(Source: Self-Developed)</w:t>
      </w:r>
    </w:p>
    <w:p>
      <w:pPr>
        <w:jc w:val="both"/>
        <w:spacing w:before="200"/>
      </w:pPr>
      <w:r>
        <w:rPr>
          <w:rFonts w:ascii="Times New Roman" w:hAnsi="Times New Roman" w:cs="Times New Roman"/>
          <w:sz w:val="24"/>
          <w:sz-cs w:val="24"/>
        </w:rPr>
        <w:t xml:space="preserve">JD.com has focused on leveraging technological opportunities by merging technologies and achieving diversification. However, compared to pioneer companies, JD.com has chosen to focus on its domestic market, while ceasing operations in Thailand and Indonesia. Therefore, the company’s response to market-growth is limited compared to Alibaba and Amazon, as it has chosen to remain in the Chinese market. </w:t>
      </w:r>
    </w:p>
    <w:p>
      <w:pPr>
        <w:jc w:val="both"/>
        <w:spacing w:before="200"/>
      </w:pPr>
      <w:r>
        <w:rPr>
          <w:rFonts w:ascii="Times New Roman" w:hAnsi="Times New Roman" w:cs="Times New Roman"/>
          <w:sz w:val="24"/>
          <w:sz-cs w:val="24"/>
          <w:b/>
        </w:rPr>
        <w:t xml:space="preserve">Porter’s Generic Strategies</w:t>
      </w:r>
    </w:p>
    <w:p>
      <w:pPr>
        <w:jc w:val="both"/>
        <w:spacing w:before="200"/>
      </w:pPr>
      <w:r>
        <w:rPr>
          <w:rFonts w:ascii="Times New Roman" w:hAnsi="Times New Roman" w:cs="Times New Roman"/>
          <w:sz w:val="24"/>
          <w:sz-cs w:val="24"/>
        </w:rPr>
        <w:t xml:space="preserve">Response to economic factors of JD.com is highly similar to Alibaba, as the brand has adopted strategies aggressive marketing and cost-cutting to tackle competition. For instance, Reuters highlighted that JD.com offers products and services at extremely low-cost to compete with Alibaba and maintain a strong customer base in China (Sriram and Hall, 2024). Therefore, JD.com has adopted the low-cost business model of Alibaba, while focused on making strategic investments in the domestic market. </w:t>
      </w:r>
    </w:p>
    <w:p>
      <w:pPr/>
      <w:r>
        <w:rPr>
          <w:rFonts w:ascii="Times" w:hAnsi="Times" w:cs="Times"/>
          <w:sz w:val="24"/>
          <w:sz-cs w:val="24"/>
        </w:rPr>
        <w:t xml:space="preserve">4. Conclusion</w:t>
      </w:r>
    </w:p>
    <w:p>
      <w:pPr/>
      <w:r>
        <w:rPr>
          <w:rFonts w:ascii="Times" w:hAnsi="Times" w:cs="Times"/>
          <w:sz w:val="24"/>
          <w:sz-cs w:val="24"/>
        </w:rPr>
        <w:t xml:space="preserve">In conclusion a macro marketing environment is crucial in the design of both the pioneer and the follower company. It is the economic and technological factors, which present their own opportunities and challenges to business operating in the modern international environment. Such ground-breaking organizations as Amazon and Alibaba have proved that big investments and technological development can result in economic development and a leading position in the market. The skill to exploit the developed technologies, including AI and robotics, has raised the standards of their competitors. Meanwhile, the follower companies such as Flipkart and JD.com have effectively implemented those innovations, tailoring their businesses to remain competitive. </w:t>
      </w:r>
    </w:p>
    <w:p>
      <w:pPr/>
      <w:r>
        <w:rPr>
          <w:rFonts w:ascii="Times" w:hAnsi="Times" w:cs="Times"/>
          <w:sz w:val="24"/>
          <w:sz-cs w:val="24"/>
        </w:rPr>
        <w:t xml:space="preserve">It is necessary that the companies stay nimble, constantly scanning the environment to find new opportunities, at the same time minimizing risks with the changes in the economic and technological environment. The ability to adapt to the technological changes, including AI, and know the economic changes in the international market will be important to the success of businesses. Finally, the innovations should be adopted by both pioneers and followers, who should improve their working efficiencies and be long-term sustainable to stay competitive and exploit the existing global market dynamics.</w:t>
      </w:r>
    </w:p>
    <w:p>
      <w:pPr>
        <w:jc w:val="both"/>
        <w:spacing w:before="200"/>
      </w:pPr>
      <w:r>
        <w:rPr>
          <w:rFonts w:ascii="Times" w:hAnsi="Times" w:cs="Times"/>
          <w:sz w:val="24"/>
          <w:sz-cs w:val="24"/>
        </w:rPr>
        <w:t xml:space="preserve"/>
        <w:br w:type="page"/>
        <w:t xml:space="preserve"/>
      </w:r>
    </w:p>
    <w:p>
      <w:pPr/>
      <w:r>
        <w:rPr>
          <w:rFonts w:ascii="Times" w:hAnsi="Times" w:cs="Times"/>
          <w:sz w:val="24"/>
          <w:sz-cs w:val="24"/>
        </w:rPr>
        <w:t xml:space="preserve">References</w:t>
      </w:r>
    </w:p>
    <w:p>
      <w:pPr>
        <w:spacing w:before="240"/>
      </w:pPr>
      <w:r>
        <w:rPr>
          <w:rFonts w:ascii="Times" w:hAnsi="Times" w:cs="Times"/>
          <w:sz w:val="24"/>
          <w:sz-cs w:val="24"/>
        </w:rPr>
        <w:t xml:space="preserve">Aboutamazon, (2025) </w:t>
      </w:r>
      <w:r>
        <w:rPr>
          <w:rFonts w:ascii="Times" w:hAnsi="Times" w:cs="Times"/>
          <w:sz w:val="24"/>
          <w:sz-cs w:val="24"/>
          <w:i/>
        </w:rPr>
        <w:t xml:space="preserve">Economic Growth.</w:t>
      </w:r>
      <w:r>
        <w:rPr>
          <w:rFonts w:ascii="Times" w:hAnsi="Times" w:cs="Times"/>
          <w:sz w:val="24"/>
          <w:sz-cs w:val="24"/>
        </w:rPr>
        <w:t xml:space="preserve"> Available at: </w:t>
      </w:r>
      <w:r>
        <w:rPr>
          <w:rFonts w:ascii="Times" w:hAnsi="Times" w:cs="Times"/>
          <w:sz w:val="24"/>
          <w:sz-cs w:val="24"/>
          <w:u w:val="single"/>
        </w:rPr>
        <w:t xml:space="preserve">https://www.aboutamazon.com/impact/economy/growth</w:t>
      </w:r>
      <w:r>
        <w:rPr>
          <w:rFonts w:ascii="Times" w:hAnsi="Times" w:cs="Times"/>
          <w:sz w:val="24"/>
          <w:sz-cs w:val="24"/>
        </w:rPr>
        <w:t xml:space="preserve"> (Accessed: 20th November 2025)</w:t>
      </w:r>
    </w:p>
    <w:p>
      <w:pPr>
        <w:jc w:val="both"/>
        <w:spacing w:before="240"/>
      </w:pPr>
      <w:r>
        <w:rPr>
          <w:rFonts w:ascii="Times New Roman" w:hAnsi="Times New Roman" w:cs="Times New Roman"/>
          <w:sz w:val="24"/>
          <w:sz-cs w:val="24"/>
        </w:rPr>
        <w:t xml:space="preserve">Ali, B.J. and Anwar, G., (2021) ‘Porter’s Generic Competitive Strategies and its influence on the Competitive Advantage’. </w:t>
      </w:r>
      <w:r>
        <w:rPr>
          <w:rFonts w:ascii="Times New Roman" w:hAnsi="Times New Roman" w:cs="Times New Roman"/>
          <w:sz w:val="24"/>
          <w:sz-cs w:val="24"/>
          <w:i/>
        </w:rPr>
        <w:t xml:space="preserve">International Journal of Advanced Engineering, Management and Science</w:t>
      </w:r>
      <w:r>
        <w:rPr>
          <w:rFonts w:ascii="Times New Roman" w:hAnsi="Times New Roman" w:cs="Times New Roman"/>
          <w:sz w:val="24"/>
          <w:sz-cs w:val="24"/>
        </w:rPr>
        <w:t xml:space="preserve">, </w:t>
      </w:r>
      <w:r>
        <w:rPr>
          <w:rFonts w:ascii="Times New Roman" w:hAnsi="Times New Roman" w:cs="Times New Roman"/>
          <w:sz w:val="24"/>
          <w:sz-cs w:val="24"/>
          <w:i/>
        </w:rPr>
        <w:t xml:space="preserve">7</w:t>
      </w:r>
      <w:r>
        <w:rPr>
          <w:rFonts w:ascii="Times New Roman" w:hAnsi="Times New Roman" w:cs="Times New Roman"/>
          <w:sz w:val="24"/>
          <w:sz-cs w:val="24"/>
        </w:rPr>
        <w:t xml:space="preserve">(6), pp.42-51. Available at: </w:t>
      </w:r>
      <w:r>
        <w:rPr>
          <w:rFonts w:ascii="Times New Roman" w:hAnsi="Times New Roman" w:cs="Times New Roman"/>
          <w:sz w:val="24"/>
          <w:sz-cs w:val="24"/>
          <w:u w:val="single"/>
        </w:rPr>
        <w:t xml:space="preserve">https://doi.org/10.17265/1537-1514</w:t>
      </w:r>
      <w:r>
        <w:rPr>
          <w:rFonts w:ascii="Times New Roman" w:hAnsi="Times New Roman" w:cs="Times New Roman"/>
          <w:sz w:val="24"/>
          <w:sz-cs w:val="24"/>
        </w:rPr>
        <w:t xml:space="preserve"> </w:t>
      </w:r>
    </w:p>
    <w:p>
      <w:pPr>
        <w:jc w:val="both"/>
        <w:spacing w:before="240"/>
      </w:pPr>
      <w:r>
        <w:rPr>
          <w:rFonts w:ascii="Times New Roman" w:hAnsi="Times New Roman" w:cs="Times New Roman"/>
          <w:sz w:val="24"/>
          <w:sz-cs w:val="24"/>
        </w:rPr>
        <w:t xml:space="preserve">Alibaba, (2025) </w:t>
      </w:r>
      <w:r>
        <w:rPr>
          <w:rFonts w:ascii="Times New Roman" w:hAnsi="Times New Roman" w:cs="Times New Roman"/>
          <w:sz w:val="24"/>
          <w:sz-cs w:val="24"/>
          <w:i/>
        </w:rPr>
        <w:t xml:space="preserve">Alibaba Cloud Products &amp; Services</w:t>
      </w:r>
      <w:r>
        <w:rPr>
          <w:rFonts w:ascii="Times New Roman" w:hAnsi="Times New Roman" w:cs="Times New Roman"/>
          <w:sz w:val="24"/>
          <w:sz-cs w:val="24"/>
        </w:rPr>
        <w:t xml:space="preserve">. Available at: </w:t>
      </w:r>
      <w:r>
        <w:rPr>
          <w:rFonts w:ascii="Times New Roman" w:hAnsi="Times New Roman" w:cs="Times New Roman"/>
          <w:sz w:val="24"/>
          <w:sz-cs w:val="24"/>
          <w:u w:val="single"/>
        </w:rPr>
        <w:t xml:space="preserve">https://www.alibabacloud.com/en/product?_p_lc=1</w:t>
      </w:r>
      <w:r>
        <w:rPr>
          <w:rFonts w:ascii="Times New Roman" w:hAnsi="Times New Roman" w:cs="Times New Roman"/>
          <w:sz w:val="24"/>
          <w:sz-cs w:val="24"/>
        </w:rPr>
        <w:t xml:space="preserve"> (Accessed: 20 November 2025).</w:t>
      </w:r>
    </w:p>
    <w:p>
      <w:pPr>
        <w:spacing w:before="240"/>
      </w:pPr>
      <w:r>
        <w:rPr>
          <w:rFonts w:ascii="Times" w:hAnsi="Times" w:cs="Times"/>
          <w:sz w:val="24"/>
          <w:sz-cs w:val="24"/>
        </w:rPr>
        <w:t xml:space="preserve">Amazon, (2025) </w:t>
      </w:r>
      <w:r>
        <w:rPr>
          <w:rFonts w:ascii="Times" w:hAnsi="Times" w:cs="Times"/>
          <w:sz w:val="24"/>
          <w:sz-cs w:val="24"/>
          <w:i/>
        </w:rPr>
        <w:t xml:space="preserve">Amazon's newest AI and robotics systems are empowering employees and speeding up delivery.</w:t>
      </w:r>
      <w:r>
        <w:rPr>
          <w:rFonts w:ascii="Times" w:hAnsi="Times" w:cs="Times"/>
          <w:sz w:val="24"/>
          <w:sz-cs w:val="24"/>
        </w:rPr>
        <w:t xml:space="preserve"> Available at:</w:t>
      </w:r>
      <w:r>
        <w:rPr>
          <w:rFonts w:ascii="Times" w:hAnsi="Times" w:cs="Times"/>
          <w:sz w:val="24"/>
          <w:sz-cs w:val="24"/>
          <w:u w:val="single"/>
        </w:rPr>
        <w:t xml:space="preserve">https://www.aboutamazon.com/news/operations/amazon-delivering-future-2025-online-shopping-speed-delivery</w:t>
      </w:r>
      <w:r>
        <w:rPr>
          <w:rFonts w:ascii="Times" w:hAnsi="Times" w:cs="Times"/>
          <w:sz w:val="24"/>
          <w:sz-cs w:val="24"/>
        </w:rPr>
        <w:t xml:space="preserve">  (Accessed: 20th November 2025) </w:t>
      </w:r>
    </w:p>
    <w:p>
      <w:pPr>
        <w:jc w:val="both"/>
        <w:spacing w:before="240"/>
      </w:pPr>
      <w:r>
        <w:rPr>
          <w:rFonts w:ascii="Times New Roman" w:hAnsi="Times New Roman" w:cs="Times New Roman"/>
          <w:sz w:val="24"/>
          <w:sz-cs w:val="24"/>
        </w:rPr>
        <w:t xml:space="preserve">Amazon, (2025) </w:t>
      </w:r>
      <w:r>
        <w:rPr>
          <w:rFonts w:ascii="Times New Roman" w:hAnsi="Times New Roman" w:cs="Times New Roman"/>
          <w:sz w:val="24"/>
          <w:sz-cs w:val="24"/>
          <w:i/>
        </w:rPr>
        <w:t xml:space="preserve">Recommended for you</w:t>
      </w:r>
      <w:r>
        <w:rPr>
          <w:rFonts w:ascii="Times New Roman" w:hAnsi="Times New Roman" w:cs="Times New Roman"/>
          <w:sz w:val="24"/>
          <w:sz-cs w:val="24"/>
        </w:rPr>
        <w:t xml:space="preserve">. Available at: </w:t>
      </w:r>
      <w:r>
        <w:rPr>
          <w:rFonts w:ascii="Times New Roman" w:hAnsi="Times New Roman" w:cs="Times New Roman"/>
          <w:sz w:val="24"/>
          <w:sz-cs w:val="24"/>
          <w:u w:val="single"/>
        </w:rPr>
        <w:t xml:space="preserve">https://www.amazon.in/gp/help/customer/display.html?nodeId=GA6BNA7X9ZMEFWUN#:~:text=The%20Recommended%20for%20you%20section,order%20to%20suggest%20certain%20products</w:t>
      </w:r>
      <w:r>
        <w:rPr>
          <w:rFonts w:ascii="Times New Roman" w:hAnsi="Times New Roman" w:cs="Times New Roman"/>
          <w:sz w:val="24"/>
          <w:sz-cs w:val="24"/>
        </w:rPr>
        <w:t xml:space="preserve">. (Accessed: 20 November 2025).</w:t>
      </w:r>
    </w:p>
    <w:p>
      <w:pPr>
        <w:jc w:val="both"/>
        <w:spacing w:before="240"/>
      </w:pPr>
      <w:r>
        <w:rPr>
          <w:rFonts w:ascii="Times New Roman" w:hAnsi="Times New Roman" w:cs="Times New Roman"/>
          <w:sz w:val="24"/>
          <w:sz-cs w:val="24"/>
        </w:rPr>
        <w:t xml:space="preserve">Aversa, P. and Hueller, F., (2023) ‘Digital diversification’. In </w:t>
      </w:r>
      <w:r>
        <w:rPr>
          <w:rFonts w:ascii="Times New Roman" w:hAnsi="Times New Roman" w:cs="Times New Roman"/>
          <w:sz w:val="24"/>
          <w:sz-cs w:val="24"/>
          <w:i/>
        </w:rPr>
        <w:t xml:space="preserve">Research handbook on digital strategy</w:t>
      </w:r>
      <w:r>
        <w:rPr>
          <w:rFonts w:ascii="Times New Roman" w:hAnsi="Times New Roman" w:cs="Times New Roman"/>
          <w:sz w:val="24"/>
          <w:sz-cs w:val="24"/>
        </w:rPr>
        <w:t xml:space="preserve"> (pp. 18-42). Edward Elgar Publishing. Available at: </w:t>
      </w:r>
      <w:r>
        <w:rPr>
          <w:rFonts w:ascii="Times New Roman" w:hAnsi="Times New Roman" w:cs="Times New Roman"/>
          <w:sz w:val="24"/>
          <w:sz-cs w:val="24"/>
          <w:u w:val="single"/>
        </w:rPr>
        <w:t xml:space="preserve">https://doi.org/10.4337/9781800378902.00007</w:t>
      </w:r>
      <w:r>
        <w:rPr>
          <w:rFonts w:ascii="Times New Roman" w:hAnsi="Times New Roman" w:cs="Times New Roman"/>
          <w:sz w:val="24"/>
          <w:sz-cs w:val="24"/>
        </w:rPr>
        <w:t xml:space="preserve"> </w:t>
      </w:r>
    </w:p>
    <w:p>
      <w:pPr>
        <w:spacing w:before="240" w:after="200"/>
      </w:pPr>
      <w:r>
        <w:rPr>
          <w:rFonts w:ascii="Times" w:hAnsi="Times" w:cs="Times"/>
          <w:sz w:val="24"/>
          <w:sz-cs w:val="24"/>
        </w:rPr>
        <w:t xml:space="preserve">CCPI, (2025) </w:t>
      </w:r>
      <w:r>
        <w:rPr>
          <w:rFonts w:ascii="Times" w:hAnsi="Times" w:cs="Times"/>
          <w:sz w:val="24"/>
          <w:sz-cs w:val="24"/>
          <w:i/>
        </w:rPr>
        <w:t xml:space="preserve">CCPI 2026 was released yesterday – Click here to watch the press conference.</w:t>
      </w:r>
      <w:r>
        <w:rPr>
          <w:rFonts w:ascii="Times" w:hAnsi="Times" w:cs="Times"/>
          <w:sz w:val="24"/>
          <w:sz-cs w:val="24"/>
        </w:rPr>
        <w:t xml:space="preserve"> Available at: </w:t>
      </w:r>
      <w:r>
        <w:rPr>
          <w:rFonts w:ascii="Times" w:hAnsi="Times" w:cs="Times"/>
          <w:sz w:val="24"/>
          <w:sz-cs w:val="24"/>
          <w:u w:val="single"/>
        </w:rPr>
        <w:t xml:space="preserve">https://ccpi.org/</w:t>
      </w:r>
      <w:r>
        <w:rPr>
          <w:rFonts w:ascii="Times" w:hAnsi="Times" w:cs="Times"/>
          <w:sz w:val="24"/>
          <w:sz-cs w:val="24"/>
        </w:rPr>
        <w:t xml:space="preserve"> (Accessed: 20th November 2025)</w:t>
      </w:r>
    </w:p>
    <w:p>
      <w:pPr>
        <w:jc w:val="both"/>
        <w:spacing w:before="240"/>
      </w:pPr>
      <w:r>
        <w:rPr>
          <w:rFonts w:ascii="Times New Roman" w:hAnsi="Times New Roman" w:cs="Times New Roman"/>
          <w:sz w:val="24"/>
          <w:sz-cs w:val="24"/>
        </w:rPr>
        <w:t xml:space="preserve">Changyi, Z. and Xiaoyu, L., (2024) ‘JD. com: A Strategic Analysis of Its Evolution, Innovation, and Market Adaptation’. </w:t>
      </w:r>
      <w:r>
        <w:rPr>
          <w:rFonts w:ascii="Times New Roman" w:hAnsi="Times New Roman" w:cs="Times New Roman"/>
          <w:sz w:val="24"/>
          <w:sz-cs w:val="24"/>
          <w:i/>
        </w:rPr>
        <w:t xml:space="preserve">China-USA Business Review</w:t>
      </w:r>
      <w:r>
        <w:rPr>
          <w:rFonts w:ascii="Times New Roman" w:hAnsi="Times New Roman" w:cs="Times New Roman"/>
          <w:sz w:val="24"/>
          <w:sz-cs w:val="24"/>
        </w:rPr>
        <w:t xml:space="preserve">, p.77. Available at: </w:t>
      </w:r>
      <w:r>
        <w:rPr>
          <w:rFonts w:ascii="Times New Roman" w:hAnsi="Times New Roman" w:cs="Times New Roman"/>
          <w:sz w:val="24"/>
          <w:sz-cs w:val="24"/>
          <w:u w:val="single"/>
        </w:rPr>
        <w:t xml:space="preserve">https://doi.org/10.17265/1537-1514/2024.02.003</w:t>
      </w:r>
      <w:r>
        <w:rPr>
          <w:rFonts w:ascii="Times New Roman" w:hAnsi="Times New Roman" w:cs="Times New Roman"/>
          <w:sz w:val="24"/>
          <w:sz-cs w:val="24"/>
        </w:rPr>
        <w:t xml:space="preserve"> </w:t>
      </w:r>
    </w:p>
    <w:p>
      <w:pPr>
        <w:spacing w:before="240" w:after="200"/>
      </w:pPr>
      <w:r>
        <w:rPr>
          <w:rFonts w:ascii="Times" w:hAnsi="Times" w:cs="Times"/>
          <w:sz w:val="24"/>
          <w:sz-cs w:val="24"/>
        </w:rPr>
        <w:t xml:space="preserve">Digital regulation, (2025) </w:t>
      </w:r>
      <w:r>
        <w:rPr>
          <w:rFonts w:ascii="Times" w:hAnsi="Times" w:cs="Times"/>
          <w:sz w:val="24"/>
          <w:sz-cs w:val="24"/>
          <w:i/>
        </w:rPr>
        <w:t xml:space="preserve">Transformative technologies.</w:t>
      </w:r>
      <w:r>
        <w:rPr>
          <w:rFonts w:ascii="Times" w:hAnsi="Times" w:cs="Times"/>
          <w:sz w:val="24"/>
          <w:sz-cs w:val="24"/>
        </w:rPr>
        <w:t xml:space="preserve"> Available at: </w:t>
      </w:r>
      <w:r>
        <w:rPr>
          <w:rFonts w:ascii="Times" w:hAnsi="Times" w:cs="Times"/>
          <w:sz w:val="24"/>
          <w:sz-cs w:val="24"/>
          <w:u w:val="single"/>
        </w:rPr>
        <w:t xml:space="preserve">https://digitalregulation.org/3004297-2/</w:t>
      </w:r>
      <w:r>
        <w:rPr>
          <w:rFonts w:ascii="Times" w:hAnsi="Times" w:cs="Times"/>
          <w:sz w:val="24"/>
          <w:sz-cs w:val="24"/>
        </w:rPr>
        <w:t xml:space="preserve">  (Accessed: 20th November 2025)</w:t>
      </w:r>
    </w:p>
    <w:p>
      <w:pPr>
        <w:spacing w:before="240"/>
      </w:pPr>
      <w:r>
        <w:rPr>
          <w:rFonts w:ascii="Times" w:hAnsi="Times" w:cs="Times"/>
          <w:sz w:val="24"/>
          <w:sz-cs w:val="24"/>
        </w:rPr>
        <w:t xml:space="preserve">Flipkart, (2025) </w:t>
      </w:r>
      <w:r>
        <w:rPr>
          <w:rFonts w:ascii="Times" w:hAnsi="Times" w:cs="Times"/>
          <w:sz w:val="24"/>
          <w:sz-cs w:val="24"/>
          <w:i/>
        </w:rPr>
        <w:t xml:space="preserve">Unleashing the Power of AI: Transforming E-commerce and Beyond – Insights from Mayur Datar, Flipkart’s Chief Data Scientist.</w:t>
      </w:r>
      <w:r>
        <w:rPr>
          <w:rFonts w:ascii="Times" w:hAnsi="Times" w:cs="Times"/>
          <w:sz w:val="24"/>
          <w:sz-cs w:val="24"/>
        </w:rPr>
        <w:t xml:space="preserve"> Available at: </w:t>
      </w:r>
      <w:r>
        <w:rPr>
          <w:rFonts w:ascii="Times" w:hAnsi="Times" w:cs="Times"/>
          <w:sz w:val="24"/>
          <w:sz-cs w:val="24"/>
          <w:u w:val="single"/>
        </w:rPr>
        <w:t xml:space="preserve">https://stories.flipkart.com/ai-qna-mayur-datar/</w:t>
      </w:r>
      <w:r>
        <w:rPr>
          <w:rFonts w:ascii="Times" w:hAnsi="Times" w:cs="Times"/>
          <w:sz w:val="24"/>
          <w:sz-cs w:val="24"/>
        </w:rPr>
        <w:t xml:space="preserve"> (Accessed: 20th November 2025) </w:t>
      </w:r>
    </w:p>
    <w:p>
      <w:pPr>
        <w:jc w:val="both"/>
        <w:spacing w:before="240"/>
      </w:pPr>
      <w:r>
        <w:rPr>
          <w:rFonts w:ascii="Times New Roman" w:hAnsi="Times New Roman" w:cs="Times New Roman"/>
          <w:sz w:val="24"/>
          <w:sz-cs w:val="24"/>
        </w:rPr>
        <w:t xml:space="preserve">Hall, C., (2024) ‘Alibaba combines e-commerce arms to tackle growing competition’, </w:t>
      </w:r>
      <w:r>
        <w:rPr>
          <w:rFonts w:ascii="Times New Roman" w:hAnsi="Times New Roman" w:cs="Times New Roman"/>
          <w:sz w:val="24"/>
          <w:sz-cs w:val="24"/>
          <w:i/>
        </w:rPr>
        <w:t xml:space="preserve">Reuters, 21 November. </w:t>
      </w:r>
      <w:r>
        <w:rPr>
          <w:rFonts w:ascii="Times New Roman" w:hAnsi="Times New Roman" w:cs="Times New Roman"/>
          <w:sz w:val="24"/>
          <w:sz-cs w:val="24"/>
        </w:rPr>
        <w:t xml:space="preserve">Available at: </w:t>
      </w:r>
      <w:r>
        <w:rPr>
          <w:rFonts w:ascii="Times New Roman" w:hAnsi="Times New Roman" w:cs="Times New Roman"/>
          <w:sz w:val="24"/>
          <w:sz-cs w:val="24"/>
          <w:u w:val="single"/>
        </w:rPr>
        <w:t xml:space="preserve">https://www.reuters.com/business/retail-consumer/alibaba-integrate-e-commerce-platforms-into-one-business-group-2024-11-21/</w:t>
      </w:r>
      <w:r>
        <w:rPr>
          <w:rFonts w:ascii="Times New Roman" w:hAnsi="Times New Roman" w:cs="Times New Roman"/>
          <w:sz w:val="24"/>
          <w:sz-cs w:val="24"/>
        </w:rPr>
        <w:t xml:space="preserve"> (Accessed: 20 November 2025).</w:t>
      </w:r>
    </w:p>
    <w:p>
      <w:pPr>
        <w:jc w:val="both"/>
        <w:spacing w:before="240"/>
      </w:pPr>
      <w:r>
        <w:rPr>
          <w:rFonts w:ascii="Times New Roman" w:hAnsi="Times New Roman" w:cs="Times New Roman"/>
          <w:sz w:val="24"/>
          <w:sz-cs w:val="24"/>
        </w:rPr>
        <w:t xml:space="preserve">He, B., Dong, J., Li, H., Chen, G. and Chen, Y., (2025) ‘The Business Expansion of Alibaba Group to Indonesia’. </w:t>
      </w:r>
      <w:r>
        <w:rPr>
          <w:rFonts w:ascii="Times New Roman" w:hAnsi="Times New Roman" w:cs="Times New Roman"/>
          <w:sz w:val="24"/>
          <w:sz-cs w:val="24"/>
          <w:i/>
        </w:rPr>
        <w:t xml:space="preserve">American Journal of Humanities and Social Sciences Research (AJHSSR)</w:t>
      </w:r>
      <w:r>
        <w:rPr>
          <w:rFonts w:ascii="Times New Roman" w:hAnsi="Times New Roman" w:cs="Times New Roman"/>
          <w:sz w:val="24"/>
          <w:sz-cs w:val="24"/>
        </w:rPr>
        <w:t xml:space="preserve">, pp.1-20. Available at: </w:t>
      </w:r>
      <w:r>
        <w:rPr>
          <w:rFonts w:ascii="Times New Roman" w:hAnsi="Times New Roman" w:cs="Times New Roman"/>
          <w:sz w:val="24"/>
          <w:sz-cs w:val="24"/>
          <w:u w:val="single"/>
        </w:rPr>
        <w:t xml:space="preserve">https://www.ajhssr.com/wp-content/uploads/2025/01/A259010120.pdf</w:t>
      </w:r>
      <w:r>
        <w:rPr>
          <w:rFonts w:ascii="Times New Roman" w:hAnsi="Times New Roman" w:cs="Times New Roman"/>
          <w:sz w:val="24"/>
          <w:sz-cs w:val="24"/>
        </w:rPr>
        <w:t xml:space="preserve"> </w:t>
      </w:r>
    </w:p>
    <w:p>
      <w:pPr>
        <w:spacing w:before="240" w:after="200"/>
      </w:pPr>
      <w:r>
        <w:rPr>
          <w:rFonts w:ascii="Times" w:hAnsi="Times" w:cs="Times"/>
          <w:sz w:val="24"/>
          <w:sz-cs w:val="24"/>
        </w:rPr>
        <w:t xml:space="preserve">Ibanet, (2025) </w:t>
      </w:r>
      <w:r>
        <w:rPr>
          <w:rFonts w:ascii="Times" w:hAnsi="Times" w:cs="Times"/>
          <w:sz w:val="24"/>
          <w:sz-cs w:val="24"/>
          <w:i/>
        </w:rPr>
        <w:t xml:space="preserve">WProscription of Palestine Action ‘a dangerous shift in the law’.</w:t>
      </w:r>
      <w:r>
        <w:rPr>
          <w:rFonts w:ascii="Times" w:hAnsi="Times" w:cs="Times"/>
          <w:sz w:val="24"/>
          <w:sz-cs w:val="24"/>
        </w:rPr>
        <w:t xml:space="preserve"> Available at: </w:t>
      </w:r>
      <w:r>
        <w:rPr>
          <w:rFonts w:ascii="Times" w:hAnsi="Times" w:cs="Times"/>
          <w:sz w:val="24"/>
          <w:sz-cs w:val="24"/>
          <w:u w:val="single"/>
        </w:rPr>
        <w:t xml:space="preserve">https://www.ibanet.org/Proscription-of-Palestine-Action-a-dangerous-shift-in-the-law</w:t>
      </w:r>
      <w:r>
        <w:rPr>
          <w:rFonts w:ascii="Times" w:hAnsi="Times" w:cs="Times"/>
          <w:sz w:val="24"/>
          <w:sz-cs w:val="24"/>
        </w:rPr>
        <w:t xml:space="preserve"> (Accessed: 20th November 2025)</w:t>
      </w:r>
    </w:p>
    <w:p>
      <w:pPr>
        <w:spacing w:before="240"/>
      </w:pPr>
      <w:r>
        <w:rPr>
          <w:rFonts w:ascii="Times" w:hAnsi="Times" w:cs="Times"/>
          <w:sz w:val="24"/>
          <w:sz-cs w:val="24"/>
        </w:rPr>
        <w:t xml:space="preserve">IG, (2025) </w:t>
      </w:r>
      <w:r>
        <w:rPr>
          <w:rFonts w:ascii="Times" w:hAnsi="Times" w:cs="Times"/>
          <w:sz w:val="24"/>
          <w:sz-cs w:val="24"/>
          <w:i/>
        </w:rPr>
        <w:t xml:space="preserve">Alibaba Q2 2026 earnings preview: cloud and AI growth under scrutiny​.</w:t>
      </w:r>
      <w:r>
        <w:rPr>
          <w:rFonts w:ascii="Times" w:hAnsi="Times" w:cs="Times"/>
          <w:sz w:val="24"/>
          <w:sz-cs w:val="24"/>
        </w:rPr>
        <w:t xml:space="preserve"> Available at: </w:t>
      </w:r>
      <w:r>
        <w:rPr>
          <w:rFonts w:ascii="Times" w:hAnsi="Times" w:cs="Times"/>
          <w:sz w:val="24"/>
          <w:sz-cs w:val="24"/>
          <w:u w:val="single"/>
        </w:rPr>
        <w:t xml:space="preserve">https://www.ig.com/en/news-and-trade-ideas/_alibaba-q2-2026-earnings-preview--cloud-and-ai-growth-under-scr-251105</w:t>
      </w:r>
      <w:r>
        <w:rPr>
          <w:rFonts w:ascii="Times" w:hAnsi="Times" w:cs="Times"/>
          <w:sz w:val="24"/>
          <w:sz-cs w:val="24"/>
        </w:rPr>
        <w:t xml:space="preserve"> (Accessed: 20th November 2025) </w:t>
      </w:r>
    </w:p>
    <w:p>
      <w:pPr>
        <w:spacing w:before="240"/>
      </w:pPr>
      <w:r>
        <w:rPr>
          <w:rFonts w:ascii="Times" w:hAnsi="Times" w:cs="Times"/>
          <w:sz w:val="24"/>
          <w:sz-cs w:val="24"/>
        </w:rPr>
        <w:t xml:space="preserve">IIDE, (2025) </w:t>
      </w:r>
      <w:r>
        <w:rPr>
          <w:rFonts w:ascii="Times" w:hAnsi="Times" w:cs="Times"/>
          <w:sz w:val="24"/>
          <w:sz-cs w:val="24"/>
          <w:i/>
        </w:rPr>
        <w:t xml:space="preserve">Decoding Flipkart’s Business Model in 2025: How It Dominates Indian E-Commerce.</w:t>
      </w:r>
      <w:r>
        <w:rPr>
          <w:rFonts w:ascii="Times" w:hAnsi="Times" w:cs="Times"/>
          <w:sz w:val="24"/>
          <w:sz-cs w:val="24"/>
        </w:rPr>
        <w:t xml:space="preserve"> Available at: </w:t>
      </w:r>
      <w:r>
        <w:rPr>
          <w:rFonts w:ascii="Times" w:hAnsi="Times" w:cs="Times"/>
          <w:sz w:val="24"/>
          <w:sz-cs w:val="24"/>
          <w:u w:val="single"/>
        </w:rPr>
        <w:t xml:space="preserve">https://iide.co/case-studies/business-model-of-flipkart/</w:t>
      </w:r>
      <w:r>
        <w:rPr>
          <w:rFonts w:ascii="Times" w:hAnsi="Times" w:cs="Times"/>
          <w:sz w:val="24"/>
          <w:sz-cs w:val="24"/>
        </w:rPr>
        <w:t xml:space="preserve">   (Accessed: 20th November 2025) </w:t>
      </w:r>
    </w:p>
    <w:p>
      <w:pPr>
        <w:spacing w:before="240" w:after="200"/>
      </w:pPr>
      <w:r>
        <w:rPr>
          <w:rFonts w:ascii="Times" w:hAnsi="Times" w:cs="Times"/>
          <w:sz w:val="24"/>
          <w:sz-cs w:val="24"/>
        </w:rPr>
        <w:t xml:space="preserve">IMF, (2025) </w:t>
      </w:r>
      <w:r>
        <w:rPr>
          <w:rFonts w:ascii="Times" w:hAnsi="Times" w:cs="Times"/>
          <w:sz w:val="24"/>
          <w:sz-cs w:val="24"/>
          <w:i/>
        </w:rPr>
        <w:t xml:space="preserve">Global Economy in Flux, Prospects Remain Dim.</w:t>
      </w:r>
      <w:r>
        <w:rPr>
          <w:rFonts w:ascii="Times" w:hAnsi="Times" w:cs="Times"/>
          <w:sz w:val="24"/>
          <w:sz-cs w:val="24"/>
        </w:rPr>
        <w:t xml:space="preserve"> Available at: </w:t>
      </w:r>
      <w:r>
        <w:rPr>
          <w:rFonts w:ascii="Times" w:hAnsi="Times" w:cs="Times"/>
          <w:sz w:val="24"/>
          <w:sz-cs w:val="24"/>
          <w:u w:val="single"/>
        </w:rPr>
        <w:t xml:space="preserve">https://www.imf.org/en/publications/weo/issues/2025/10/14/world-economic-outlook-october-2025</w:t>
      </w:r>
      <w:r>
        <w:rPr>
          <w:rFonts w:ascii="Times" w:hAnsi="Times" w:cs="Times"/>
          <w:sz w:val="24"/>
          <w:sz-cs w:val="24"/>
        </w:rPr>
        <w:t xml:space="preserve"> (Accessed: 20th November 2025)</w:t>
      </w:r>
    </w:p>
    <w:p>
      <w:pPr>
        <w:spacing w:before="240"/>
      </w:pPr>
      <w:r>
        <w:rPr>
          <w:rFonts w:ascii="Times" w:hAnsi="Times" w:cs="Times"/>
          <w:sz w:val="24"/>
          <w:sz-cs w:val="24"/>
        </w:rPr>
        <w:t xml:space="preserve">IR.JD, (2025) </w:t>
      </w:r>
      <w:r>
        <w:rPr>
          <w:rFonts w:ascii="Times" w:hAnsi="Times" w:cs="Times"/>
          <w:sz w:val="24"/>
          <w:sz-cs w:val="24"/>
          <w:i/>
        </w:rPr>
        <w:t xml:space="preserve">Press Release.</w:t>
      </w:r>
      <w:r>
        <w:rPr>
          <w:rFonts w:ascii="Times" w:hAnsi="Times" w:cs="Times"/>
          <w:sz w:val="24"/>
          <w:sz-cs w:val="24"/>
        </w:rPr>
        <w:t xml:space="preserve"> Available at: </w:t>
      </w:r>
      <w:r>
        <w:rPr>
          <w:rFonts w:ascii="Times" w:hAnsi="Times" w:cs="Times"/>
          <w:sz w:val="24"/>
          <w:sz-cs w:val="24"/>
          <w:u w:val="single"/>
        </w:rPr>
        <w:t xml:space="preserve">https://ir.jd.com/news-releases/news-release-details/jdcom-announces-third-quarter-2025-results</w:t>
      </w:r>
      <w:r>
        <w:rPr>
          <w:rFonts w:ascii="Times" w:hAnsi="Times" w:cs="Times"/>
          <w:sz w:val="24"/>
          <w:sz-cs w:val="24"/>
        </w:rPr>
        <w:t xml:space="preserve">  (Accessed: 20th November 2025) </w:t>
      </w:r>
    </w:p>
    <w:p>
      <w:pPr>
        <w:jc w:val="both"/>
        <w:spacing w:before="240"/>
      </w:pPr>
      <w:r>
        <w:rPr>
          <w:rFonts w:ascii="Times New Roman" w:hAnsi="Times New Roman" w:cs="Times New Roman"/>
          <w:sz w:val="24"/>
          <w:sz-cs w:val="24"/>
        </w:rPr>
        <w:t xml:space="preserve">Jiang, B., (2023) ‘Chinese e-commerce giant JD.com pulls the plug on Indonesia and Thailand sites in Southeast Asia logistics pivot,’ </w:t>
      </w:r>
      <w:r>
        <w:rPr>
          <w:rFonts w:ascii="Times New Roman" w:hAnsi="Times New Roman" w:cs="Times New Roman"/>
          <w:sz w:val="24"/>
          <w:sz-cs w:val="24"/>
          <w:i/>
        </w:rPr>
        <w:t xml:space="preserve">South China Morning Post, 30 January.</w:t>
      </w:r>
      <w:r>
        <w:rPr>
          <w:rFonts w:ascii="Times New Roman" w:hAnsi="Times New Roman" w:cs="Times New Roman"/>
          <w:sz w:val="24"/>
          <w:sz-cs w:val="24"/>
        </w:rPr>
        <w:t xml:space="preserve"> Available at: </w:t>
      </w:r>
      <w:r>
        <w:rPr>
          <w:rFonts w:ascii="Times New Roman" w:hAnsi="Times New Roman" w:cs="Times New Roman"/>
          <w:sz w:val="24"/>
          <w:sz-cs w:val="24"/>
          <w:u w:val="single"/>
        </w:rPr>
        <w:t xml:space="preserve">https://www.scmp.com/tech/big-tech/article/3208431/chinese-e-commerce-giant-jdcom-pulls-plug-indonesia-and-thailand-sites-southeast-asia-logistics</w:t>
      </w:r>
      <w:r>
        <w:rPr>
          <w:rFonts w:ascii="Times New Roman" w:hAnsi="Times New Roman" w:cs="Times New Roman"/>
          <w:sz w:val="24"/>
          <w:sz-cs w:val="24"/>
        </w:rPr>
        <w:t xml:space="preserve"> (Accessed: 20 November 2025).</w:t>
      </w:r>
    </w:p>
    <w:p>
      <w:pPr>
        <w:jc w:val="both"/>
        <w:spacing w:before="240"/>
      </w:pPr>
      <w:r>
        <w:rPr>
          <w:rFonts w:ascii="Times New Roman" w:hAnsi="Times New Roman" w:cs="Times New Roman"/>
          <w:sz w:val="24"/>
          <w:sz-cs w:val="24"/>
        </w:rPr>
        <w:t xml:space="preserve">Kappagantu, D., Mahindra, N. and Sandeep, B.S., (2024) ‘A comparative study on online marketing strategies with reference to amazon and flipkart in twin cities of telangana’. </w:t>
      </w:r>
      <w:r>
        <w:rPr>
          <w:rFonts w:ascii="Times New Roman" w:hAnsi="Times New Roman" w:cs="Times New Roman"/>
          <w:sz w:val="24"/>
          <w:sz-cs w:val="24"/>
          <w:i/>
        </w:rPr>
        <w:t xml:space="preserve">Feedback international journal of communication</w:t>
      </w:r>
      <w:r>
        <w:rPr>
          <w:rFonts w:ascii="Times New Roman" w:hAnsi="Times New Roman" w:cs="Times New Roman"/>
          <w:sz w:val="24"/>
          <w:sz-cs w:val="24"/>
        </w:rPr>
        <w:t xml:space="preserve">, </w:t>
      </w:r>
      <w:r>
        <w:rPr>
          <w:rFonts w:ascii="Times New Roman" w:hAnsi="Times New Roman" w:cs="Times New Roman"/>
          <w:sz w:val="24"/>
          <w:sz-cs w:val="24"/>
          <w:i/>
        </w:rPr>
        <w:t xml:space="preserve">1</w:t>
      </w:r>
      <w:r>
        <w:rPr>
          <w:rFonts w:ascii="Times New Roman" w:hAnsi="Times New Roman" w:cs="Times New Roman"/>
          <w:sz w:val="24"/>
          <w:sz-cs w:val="24"/>
        </w:rPr>
        <w:t xml:space="preserve">(2), pp.86-95. Available at: </w:t>
      </w:r>
      <w:r>
        <w:rPr>
          <w:rFonts w:ascii="Times New Roman" w:hAnsi="Times New Roman" w:cs="Times New Roman"/>
          <w:sz w:val="24"/>
          <w:sz-cs w:val="24"/>
          <w:u w:val="single"/>
        </w:rPr>
        <w:t xml:space="preserve">https://doi.org/10.62569/fijc.v1i1.10</w:t>
      </w:r>
      <w:r>
        <w:rPr>
          <w:rFonts w:ascii="Times New Roman" w:hAnsi="Times New Roman" w:cs="Times New Roman"/>
          <w:sz w:val="24"/>
          <w:sz-cs w:val="24"/>
        </w:rPr>
        <w:t xml:space="preserve"> </w:t>
      </w:r>
    </w:p>
    <w:p>
      <w:pPr>
        <w:jc w:val="both"/>
        <w:spacing w:before="240"/>
      </w:pPr>
      <w:r>
        <w:rPr>
          <w:rFonts w:ascii="Times New Roman" w:hAnsi="Times New Roman" w:cs="Times New Roman"/>
          <w:sz w:val="24"/>
          <w:sz-cs w:val="24"/>
        </w:rPr>
        <w:t xml:space="preserve">Kumar, T.Y. and Babu, N.K., (2023) ‘Customers perception on SEM &amp; PPC Advertising (A Study on Advertising for Amazon and Flipkart)’. </w:t>
      </w:r>
      <w:r>
        <w:rPr>
          <w:rFonts w:ascii="Times New Roman" w:hAnsi="Times New Roman" w:cs="Times New Roman"/>
          <w:sz w:val="24"/>
          <w:sz-cs w:val="24"/>
          <w:i/>
        </w:rPr>
        <w:t xml:space="preserve">Remittances Review</w:t>
      </w:r>
      <w:r>
        <w:rPr>
          <w:rFonts w:ascii="Times New Roman" w:hAnsi="Times New Roman" w:cs="Times New Roman"/>
          <w:sz w:val="24"/>
          <w:sz-cs w:val="24"/>
        </w:rPr>
        <w:t xml:space="preserve">, </w:t>
      </w:r>
      <w:r>
        <w:rPr>
          <w:rFonts w:ascii="Times New Roman" w:hAnsi="Times New Roman" w:cs="Times New Roman"/>
          <w:sz w:val="24"/>
          <w:sz-cs w:val="24"/>
          <w:i/>
        </w:rPr>
        <w:t xml:space="preserve">8</w:t>
      </w:r>
      <w:r>
        <w:rPr>
          <w:rFonts w:ascii="Times New Roman" w:hAnsi="Times New Roman" w:cs="Times New Roman"/>
          <w:sz w:val="24"/>
          <w:sz-cs w:val="24"/>
        </w:rPr>
        <w:t xml:space="preserve">(4), pp.3473-3492. Available at: </w:t>
      </w:r>
      <w:r>
        <w:rPr>
          <w:rFonts w:ascii="Times New Roman" w:hAnsi="Times New Roman" w:cs="Times New Roman"/>
          <w:sz w:val="24"/>
          <w:sz-cs w:val="24"/>
          <w:u w:val="single"/>
        </w:rPr>
        <w:t xml:space="preserve">https://doi.org/10.33182/rr.v8i4.239</w:t>
      </w:r>
      <w:r>
        <w:rPr>
          <w:rFonts w:ascii="Times New Roman" w:hAnsi="Times New Roman" w:cs="Times New Roman"/>
          <w:sz w:val="24"/>
          <w:sz-cs w:val="24"/>
        </w:rPr>
        <w:t xml:space="preserve"> </w:t>
      </w:r>
    </w:p>
    <w:p>
      <w:pPr>
        <w:jc w:val="both"/>
        <w:spacing w:before="240"/>
      </w:pPr>
      <w:r>
        <w:rPr>
          <w:rFonts w:ascii="Times New Roman" w:hAnsi="Times New Roman" w:cs="Times New Roman"/>
          <w:sz w:val="24"/>
          <w:sz-cs w:val="24"/>
        </w:rPr>
        <w:t xml:space="preserve">Lee, G.K. and Lieberman, M.B., (2024) ‘Exploration, exploitation, and mode of market entry: acquisition versus internal development by Amazon and Alphabet’. </w:t>
      </w:r>
      <w:r>
        <w:rPr>
          <w:rFonts w:ascii="Times New Roman" w:hAnsi="Times New Roman" w:cs="Times New Roman"/>
          <w:sz w:val="24"/>
          <w:sz-cs w:val="24"/>
          <w:i/>
        </w:rPr>
        <w:t xml:space="preserve">Industrial and Corporate Change</w:t>
      </w:r>
      <w:r>
        <w:rPr>
          <w:rFonts w:ascii="Times New Roman" w:hAnsi="Times New Roman" w:cs="Times New Roman"/>
          <w:sz w:val="24"/>
          <w:sz-cs w:val="24"/>
        </w:rPr>
        <w:t xml:space="preserve">, </w:t>
      </w:r>
      <w:r>
        <w:rPr>
          <w:rFonts w:ascii="Times New Roman" w:hAnsi="Times New Roman" w:cs="Times New Roman"/>
          <w:sz w:val="24"/>
          <w:sz-cs w:val="24"/>
          <w:i/>
        </w:rPr>
        <w:t xml:space="preserve">33</w:t>
      </w:r>
      <w:r>
        <w:rPr>
          <w:rFonts w:ascii="Times New Roman" w:hAnsi="Times New Roman" w:cs="Times New Roman"/>
          <w:sz w:val="24"/>
          <w:sz-cs w:val="24"/>
        </w:rPr>
        <w:t xml:space="preserve">(1), pp.253-267. Available at: </w:t>
      </w:r>
      <w:r>
        <w:rPr>
          <w:rFonts w:ascii="Times New Roman" w:hAnsi="Times New Roman" w:cs="Times New Roman"/>
          <w:sz w:val="24"/>
          <w:sz-cs w:val="24"/>
          <w:u w:val="single"/>
        </w:rPr>
        <w:t xml:space="preserve">https://doi.org/10.1093/icc/dtad015</w:t>
      </w:r>
      <w:r>
        <w:rPr>
          <w:rFonts w:ascii="Times New Roman" w:hAnsi="Times New Roman" w:cs="Times New Roman"/>
          <w:sz w:val="24"/>
          <w:sz-cs w:val="24"/>
        </w:rPr>
        <w:t xml:space="preserve"> </w:t>
      </w:r>
    </w:p>
    <w:p>
      <w:pPr>
        <w:jc w:val="both"/>
        <w:spacing w:before="240"/>
      </w:pPr>
      <w:r>
        <w:rPr>
          <w:rFonts w:ascii="Times New Roman" w:hAnsi="Times New Roman" w:cs="Times New Roman"/>
          <w:sz w:val="24"/>
          <w:sz-cs w:val="24"/>
        </w:rPr>
        <w:t xml:space="preserve">Nandy, M., (2022) ‘Flipkart adds to its cart diverse sectors, but will that pay off?,’ </w:t>
      </w:r>
      <w:r>
        <w:rPr>
          <w:rFonts w:ascii="Times New Roman" w:hAnsi="Times New Roman" w:cs="Times New Roman"/>
          <w:sz w:val="24"/>
          <w:sz-cs w:val="24"/>
          <w:i/>
        </w:rPr>
        <w:t xml:space="preserve">Livemint, 10 December. </w:t>
      </w:r>
      <w:r>
        <w:rPr>
          <w:rFonts w:ascii="Times New Roman" w:hAnsi="Times New Roman" w:cs="Times New Roman"/>
          <w:sz w:val="24"/>
          <w:sz-cs w:val="24"/>
        </w:rPr>
        <w:t xml:space="preserve">Available at: </w:t>
      </w:r>
      <w:r>
        <w:rPr>
          <w:rFonts w:ascii="Times New Roman" w:hAnsi="Times New Roman" w:cs="Times New Roman"/>
          <w:sz w:val="24"/>
          <w:sz-cs w:val="24"/>
          <w:u w:val="single"/>
        </w:rPr>
        <w:t xml:space="preserve">https://www.livemint.com/companies/news/inside-flipkart-s-plan-to-diversify-11670430650251.html</w:t>
      </w:r>
      <w:r>
        <w:rPr>
          <w:rFonts w:ascii="Times New Roman" w:hAnsi="Times New Roman" w:cs="Times New Roman"/>
          <w:sz w:val="24"/>
          <w:sz-cs w:val="24"/>
        </w:rPr>
        <w:t xml:space="preserve"> (Accessed: 20 November 2025).</w:t>
      </w:r>
    </w:p>
    <w:p>
      <w:pPr>
        <w:spacing w:before="240"/>
      </w:pPr>
      <w:r>
        <w:rPr>
          <w:rFonts w:ascii="Times" w:hAnsi="Times" w:cs="Times"/>
          <w:sz w:val="24"/>
          <w:sz-cs w:val="24"/>
        </w:rPr>
        <w:t xml:space="preserve">Procurementmag, (2025) </w:t>
      </w:r>
      <w:r>
        <w:rPr>
          <w:rFonts w:ascii="Times" w:hAnsi="Times" w:cs="Times"/>
          <w:sz w:val="24"/>
          <w:sz-cs w:val="24"/>
          <w:i/>
        </w:rPr>
        <w:t xml:space="preserve">How JD.com is Harnessing AI to Strengthen Supply Chains.</w:t>
      </w:r>
      <w:r>
        <w:rPr>
          <w:rFonts w:ascii="Times" w:hAnsi="Times" w:cs="Times"/>
          <w:sz w:val="24"/>
          <w:sz-cs w:val="24"/>
        </w:rPr>
        <w:t xml:space="preserve"> Available at: </w:t>
      </w:r>
      <w:r>
        <w:rPr>
          <w:rFonts w:ascii="Times" w:hAnsi="Times" w:cs="Times"/>
          <w:sz w:val="24"/>
          <w:sz-cs w:val="24"/>
          <w:u w:val="single"/>
        </w:rPr>
        <w:t xml:space="preserve">https://procurementmag.com/supply-chain-management/how-jd-com-is-harnessing-ai-to-strengthen-supply-chains</w:t>
      </w:r>
      <w:r>
        <w:rPr>
          <w:rFonts w:ascii="Times" w:hAnsi="Times" w:cs="Times"/>
          <w:sz w:val="24"/>
          <w:sz-cs w:val="24"/>
        </w:rPr>
        <w:t xml:space="preserve"> (Accessed: 20th November 2025) </w:t>
      </w:r>
    </w:p>
    <w:p>
      <w:pPr>
        <w:spacing w:before="240" w:after="200"/>
      </w:pPr>
      <w:r>
        <w:rPr>
          <w:rFonts w:ascii="Times" w:hAnsi="Times" w:cs="Times"/>
          <w:sz w:val="24"/>
          <w:sz-cs w:val="24"/>
        </w:rPr>
        <w:t xml:space="preserve">Protex.ai, (2025) </w:t>
      </w:r>
      <w:r>
        <w:rPr>
          <w:rFonts w:ascii="Times" w:hAnsi="Times" w:cs="Times"/>
          <w:sz w:val="24"/>
          <w:sz-cs w:val="24"/>
          <w:i/>
        </w:rPr>
        <w:t xml:space="preserve">Health &amp; Safety Stats - Leveraging Data To Build Safer Workplaces In 2025.</w:t>
      </w:r>
      <w:r>
        <w:rPr>
          <w:rFonts w:ascii="Times" w:hAnsi="Times" w:cs="Times"/>
          <w:sz w:val="24"/>
          <w:sz-cs w:val="24"/>
        </w:rPr>
        <w:t xml:space="preserve"> Available at: </w:t>
      </w:r>
      <w:r>
        <w:rPr>
          <w:rFonts w:ascii="Times" w:hAnsi="Times" w:cs="Times"/>
          <w:sz w:val="24"/>
          <w:sz-cs w:val="24"/>
          <w:u w:val="single"/>
        </w:rPr>
        <w:t xml:space="preserve">https://www.protex.ai/guides/health-and-safety-stats</w:t>
      </w:r>
      <w:r>
        <w:rPr>
          <w:rFonts w:ascii="Times" w:hAnsi="Times" w:cs="Times"/>
          <w:sz w:val="24"/>
          <w:sz-cs w:val="24"/>
        </w:rPr>
        <w:t xml:space="preserve"> (Accessed: 20th November 2025)</w:t>
      </w:r>
    </w:p>
    <w:p>
      <w:pPr>
        <w:jc w:val="both"/>
        <w:spacing w:before="240"/>
      </w:pPr>
      <w:r>
        <w:rPr>
          <w:rFonts w:ascii="Times New Roman" w:hAnsi="Times New Roman" w:cs="Times New Roman"/>
          <w:sz w:val="24"/>
          <w:sz-cs w:val="24"/>
        </w:rPr>
        <w:t xml:space="preserve">Rajan, T., (2021) ‘The Flipkart story in India: From the start to Walmart’. </w:t>
      </w:r>
      <w:r>
        <w:rPr>
          <w:rFonts w:ascii="Times New Roman" w:hAnsi="Times New Roman" w:cs="Times New Roman"/>
          <w:sz w:val="24"/>
          <w:sz-cs w:val="24"/>
          <w:i/>
        </w:rPr>
        <w:t xml:space="preserve">Asian Journal of Management Cases</w:t>
      </w:r>
      <w:r>
        <w:rPr>
          <w:rFonts w:ascii="Times New Roman" w:hAnsi="Times New Roman" w:cs="Times New Roman"/>
          <w:sz w:val="24"/>
          <w:sz-cs w:val="24"/>
        </w:rPr>
        <w:t xml:space="preserve">, </w:t>
      </w:r>
      <w:r>
        <w:rPr>
          <w:rFonts w:ascii="Times New Roman" w:hAnsi="Times New Roman" w:cs="Times New Roman"/>
          <w:sz w:val="24"/>
          <w:sz-cs w:val="24"/>
          <w:i/>
        </w:rPr>
        <w:t xml:space="preserve">18</w:t>
      </w:r>
      <w:r>
        <w:rPr>
          <w:rFonts w:ascii="Times New Roman" w:hAnsi="Times New Roman" w:cs="Times New Roman"/>
          <w:sz w:val="24"/>
          <w:sz-cs w:val="24"/>
        </w:rPr>
        <w:t xml:space="preserve">(2), pp.126-143. Available at: </w:t>
      </w:r>
      <w:r>
        <w:rPr>
          <w:rFonts w:ascii="Times New Roman" w:hAnsi="Times New Roman" w:cs="Times New Roman"/>
          <w:sz w:val="24"/>
          <w:sz-cs w:val="24"/>
          <w:color w:val="00000A"/>
        </w:rPr>
        <w:t xml:space="preserve">https://doi.org/10.1177/0972820120914526</w:t>
      </w:r>
      <w:r>
        <w:rPr>
          <w:rFonts w:ascii="Times New Roman" w:hAnsi="Times New Roman" w:cs="Times New Roman"/>
          <w:sz w:val="24"/>
          <w:sz-cs w:val="24"/>
        </w:rPr>
        <w:t xml:space="preserve"> </w:t>
      </w:r>
    </w:p>
    <w:p>
      <w:pPr>
        <w:jc w:val="both"/>
        <w:spacing w:before="240"/>
      </w:pPr>
      <w:r>
        <w:rPr>
          <w:rFonts w:ascii="Times New Roman" w:hAnsi="Times New Roman" w:cs="Times New Roman"/>
          <w:sz w:val="24"/>
          <w:sz-cs w:val="24"/>
        </w:rPr>
        <w:t xml:space="preserve">Sandle, P., (2025) ‘Dominance of Amazon and Microsoft in cloud harming competition, UK says’, </w:t>
      </w:r>
      <w:r>
        <w:rPr>
          <w:rFonts w:ascii="Times New Roman" w:hAnsi="Times New Roman" w:cs="Times New Roman"/>
          <w:sz w:val="24"/>
          <w:sz-cs w:val="24"/>
          <w:i/>
        </w:rPr>
        <w:t xml:space="preserve">Reuters, 1 August.</w:t>
      </w:r>
      <w:r>
        <w:rPr>
          <w:rFonts w:ascii="Times New Roman" w:hAnsi="Times New Roman" w:cs="Times New Roman"/>
          <w:sz w:val="24"/>
          <w:sz-cs w:val="24"/>
        </w:rPr>
        <w:t xml:space="preserve"> Available at: </w:t>
      </w:r>
      <w:r>
        <w:rPr>
          <w:rFonts w:ascii="Times New Roman" w:hAnsi="Times New Roman" w:cs="Times New Roman"/>
          <w:sz w:val="24"/>
          <w:sz-cs w:val="24"/>
          <w:u w:val="single"/>
        </w:rPr>
        <w:t xml:space="preserve">https://www.reuters.com/legal/litigation/dominance-amazon-microsoft-cloud-harming-competition-uk-says-2025-07-31/</w:t>
      </w:r>
      <w:r>
        <w:rPr>
          <w:rFonts w:ascii="Times New Roman" w:hAnsi="Times New Roman" w:cs="Times New Roman"/>
          <w:sz w:val="24"/>
          <w:sz-cs w:val="24"/>
        </w:rPr>
        <w:t xml:space="preserve"> (Accessed: 20 November 2025).</w:t>
      </w:r>
    </w:p>
    <w:p>
      <w:pPr>
        <w:jc w:val="both"/>
        <w:spacing w:before="240"/>
      </w:pPr>
      <w:r>
        <w:rPr>
          <w:rFonts w:ascii="Times New Roman" w:hAnsi="Times New Roman" w:cs="Times New Roman"/>
          <w:sz w:val="24"/>
          <w:sz-cs w:val="24"/>
        </w:rPr>
        <w:t xml:space="preserve">Sriram A., and Hall, C., (2024) ‘Chinese retailer JD.com's low price strategy helps revenue beat expectations’, </w:t>
      </w:r>
      <w:r>
        <w:rPr>
          <w:rFonts w:ascii="Times New Roman" w:hAnsi="Times New Roman" w:cs="Times New Roman"/>
          <w:sz w:val="24"/>
          <w:sz-cs w:val="24"/>
          <w:i/>
        </w:rPr>
        <w:t xml:space="preserve">Reuters, 16 May.</w:t>
      </w:r>
      <w:r>
        <w:rPr>
          <w:rFonts w:ascii="Times New Roman" w:hAnsi="Times New Roman" w:cs="Times New Roman"/>
          <w:sz w:val="24"/>
          <w:sz-cs w:val="24"/>
        </w:rPr>
        <w:t xml:space="preserve"> Available at: </w:t>
      </w:r>
      <w:r>
        <w:rPr>
          <w:rFonts w:ascii="Times New Roman" w:hAnsi="Times New Roman" w:cs="Times New Roman"/>
          <w:sz w:val="24"/>
          <w:sz-cs w:val="24"/>
          <w:u w:val="single"/>
        </w:rPr>
        <w:t xml:space="preserve">https://www.reuters.com/business/retail-consumer/chinese-retailer-jdcom-reports-q1-revenue-that-beats-estimates-2024-05-16/</w:t>
      </w:r>
      <w:r>
        <w:rPr>
          <w:rFonts w:ascii="Times New Roman" w:hAnsi="Times New Roman" w:cs="Times New Roman"/>
          <w:sz w:val="24"/>
          <w:sz-cs w:val="24"/>
        </w:rPr>
        <w:t xml:space="preserve"> (Accessed: 20 November 2025).</w:t>
      </w:r>
    </w:p>
    <w:p>
      <w:pPr>
        <w:spacing w:before="240" w:after="200"/>
      </w:pPr>
      <w:r>
        <w:rPr>
          <w:rFonts w:ascii="Times" w:hAnsi="Times" w:cs="Times"/>
          <w:sz w:val="24"/>
          <w:sz-cs w:val="24"/>
        </w:rPr>
        <w:t xml:space="preserve">Statista, (2025) </w:t>
      </w:r>
      <w:r>
        <w:rPr>
          <w:rFonts w:ascii="Times" w:hAnsi="Times" w:cs="Times"/>
          <w:sz w:val="24"/>
          <w:sz-cs w:val="24"/>
          <w:i/>
        </w:rPr>
        <w:t xml:space="preserve">Global Corporation Tax Levels In Perspective.</w:t>
      </w:r>
      <w:r>
        <w:rPr>
          <w:rFonts w:ascii="Times" w:hAnsi="Times" w:cs="Times"/>
          <w:sz w:val="24"/>
          <w:sz-cs w:val="24"/>
        </w:rPr>
        <w:t xml:space="preserve"> Available at: </w:t>
      </w:r>
      <w:r>
        <w:rPr>
          <w:rFonts w:ascii="Times" w:hAnsi="Times" w:cs="Times"/>
          <w:sz w:val="24"/>
          <w:sz-cs w:val="24"/>
          <w:u w:val="single"/>
        </w:rPr>
        <w:t xml:space="preserve">https://www.statista.com/chart/5594/maximum-corporate-income-tax-rate-in-oecd-countries/?srsltid=AfmBOopSdDh9t0fvQhpVn9TsT1LD7AyFHo7tmhS0M0eY1QuBLV_UOJI_</w:t>
      </w:r>
      <w:r>
        <w:rPr>
          <w:rFonts w:ascii="Times" w:hAnsi="Times" w:cs="Times"/>
          <w:sz w:val="24"/>
          <w:sz-cs w:val="24"/>
        </w:rPr>
        <w:t xml:space="preserve"> (Accessed: 20th November 2025)</w:t>
      </w:r>
    </w:p>
    <w:p>
      <w:pPr>
        <w:jc w:val="both"/>
        <w:spacing w:before="240"/>
      </w:pPr>
      <w:r>
        <w:rPr>
          <w:rFonts w:ascii="Times New Roman" w:hAnsi="Times New Roman" w:cs="Times New Roman"/>
          <w:sz w:val="24"/>
          <w:sz-cs w:val="24"/>
        </w:rPr>
        <w:t xml:space="preserve">Tse, T. and Pun, N., (2024) ‘Infrastructural capitalism in China: Alibaba, its corporate culture and three infrastructural mechanisms’. </w:t>
      </w:r>
      <w:r>
        <w:rPr>
          <w:rFonts w:ascii="Times New Roman" w:hAnsi="Times New Roman" w:cs="Times New Roman"/>
          <w:sz w:val="24"/>
          <w:sz-cs w:val="24"/>
          <w:i/>
        </w:rPr>
        <w:t xml:space="preserve">Global Media and China</w:t>
      </w:r>
      <w:r>
        <w:rPr>
          <w:rFonts w:ascii="Times New Roman" w:hAnsi="Times New Roman" w:cs="Times New Roman"/>
          <w:sz w:val="24"/>
          <w:sz-cs w:val="24"/>
        </w:rPr>
        <w:t xml:space="preserve">, </w:t>
      </w:r>
      <w:r>
        <w:rPr>
          <w:rFonts w:ascii="Times New Roman" w:hAnsi="Times New Roman" w:cs="Times New Roman"/>
          <w:sz w:val="24"/>
          <w:sz-cs w:val="24"/>
          <w:i/>
        </w:rPr>
        <w:t xml:space="preserve">9</w:t>
      </w:r>
      <w:r>
        <w:rPr>
          <w:rFonts w:ascii="Times New Roman" w:hAnsi="Times New Roman" w:cs="Times New Roman"/>
          <w:sz w:val="24"/>
          <w:sz-cs w:val="24"/>
        </w:rPr>
        <w:t xml:space="preserve">(1), pp.11-30. Available at: </w:t>
      </w:r>
      <w:r>
        <w:rPr>
          <w:rFonts w:ascii="Times New Roman" w:hAnsi="Times New Roman" w:cs="Times New Roman"/>
          <w:sz w:val="24"/>
          <w:sz-cs w:val="24"/>
          <w:u w:val="single"/>
        </w:rPr>
        <w:t xml:space="preserve">https://doi.org/10.1177/20594364241226846</w:t>
      </w:r>
      <w:r>
        <w:rPr>
          <w:rFonts w:ascii="Times New Roman" w:hAnsi="Times New Roman" w:cs="Times New Roman"/>
          <w:sz w:val="24"/>
          <w:sz-cs w:val="24"/>
        </w:rPr>
        <w:t xml:space="preserve"> </w:t>
      </w:r>
    </w:p>
    <w:p>
      <w:pPr>
        <w:jc w:val="both"/>
        <w:spacing w:before="240"/>
      </w:pPr>
      <w:r>
        <w:rPr>
          <w:rFonts w:ascii="Times New Roman" w:hAnsi="Times New Roman" w:cs="Times New Roman"/>
          <w:sz w:val="24"/>
          <w:sz-cs w:val="24"/>
        </w:rPr>
        <w:t xml:space="preserve">Wassan, S., Chen, X., Shen, T., Waqar, M. and Jhanjhi, N.Z., (2021) ‘Amazon product sentiment analysis using machine learning techniques’. </w:t>
      </w:r>
      <w:r>
        <w:rPr>
          <w:rFonts w:ascii="Times New Roman" w:hAnsi="Times New Roman" w:cs="Times New Roman"/>
          <w:sz w:val="24"/>
          <w:sz-cs w:val="24"/>
          <w:i/>
        </w:rPr>
        <w:t xml:space="preserve">Revista Argentina de Clínica Psicológica</w:t>
      </w:r>
      <w:r>
        <w:rPr>
          <w:rFonts w:ascii="Times New Roman" w:hAnsi="Times New Roman" w:cs="Times New Roman"/>
          <w:sz w:val="24"/>
          <w:sz-cs w:val="24"/>
        </w:rPr>
        <w:t xml:space="preserve">, </w:t>
      </w:r>
      <w:r>
        <w:rPr>
          <w:rFonts w:ascii="Times New Roman" w:hAnsi="Times New Roman" w:cs="Times New Roman"/>
          <w:sz w:val="24"/>
          <w:sz-cs w:val="24"/>
          <w:i/>
        </w:rPr>
        <w:t xml:space="preserve">30</w:t>
      </w:r>
      <w:r>
        <w:rPr>
          <w:rFonts w:ascii="Times New Roman" w:hAnsi="Times New Roman" w:cs="Times New Roman"/>
          <w:sz w:val="24"/>
          <w:sz-cs w:val="24"/>
        </w:rPr>
        <w:t xml:space="preserve">(1), p.695. Available at: </w:t>
      </w:r>
      <w:r>
        <w:rPr>
          <w:rFonts w:ascii="Times New Roman" w:hAnsi="Times New Roman" w:cs="Times New Roman"/>
          <w:sz w:val="24"/>
          <w:sz-cs w:val="24"/>
          <w:u w:val="single"/>
        </w:rPr>
        <w:t xml:space="preserve">https://doi.org/10.24205/03276716.2020.2065</w:t>
      </w:r>
      <w:r>
        <w:rPr>
          <w:rFonts w:ascii="Times New Roman" w:hAnsi="Times New Roman" w:cs="Times New Roman"/>
          <w:sz w:val="24"/>
          <w:sz-cs w:val="24"/>
        </w:rPr>
        <w:t xml:space="preserve"> </w:t>
      </w:r>
    </w:p>
    <w:p>
      <w:pPr>
        <w:jc w:val="both"/>
        <w:spacing w:before="240"/>
      </w:pPr>
      <w:r>
        <w:rPr>
          <w:rFonts w:ascii="Times New Roman" w:hAnsi="Times New Roman" w:cs="Times New Roman"/>
          <w:sz w:val="24"/>
          <w:sz-cs w:val="24"/>
        </w:rPr>
        <w:t xml:space="preserve">Zhang, L., (2025) ‘Market in the Fragmented State: Alibaba and the Chinese Governance Regime of Big Tech’. </w:t>
      </w:r>
      <w:r>
        <w:rPr>
          <w:rFonts w:ascii="Times New Roman" w:hAnsi="Times New Roman" w:cs="Times New Roman"/>
          <w:sz w:val="24"/>
          <w:sz-cs w:val="24"/>
          <w:i/>
        </w:rPr>
        <w:t xml:space="preserve">Social Media+ Society</w:t>
      </w:r>
      <w:r>
        <w:rPr>
          <w:rFonts w:ascii="Times New Roman" w:hAnsi="Times New Roman" w:cs="Times New Roman"/>
          <w:sz w:val="24"/>
          <w:sz-cs w:val="24"/>
        </w:rPr>
        <w:t xml:space="preserve">, </w:t>
      </w:r>
      <w:r>
        <w:rPr>
          <w:rFonts w:ascii="Times New Roman" w:hAnsi="Times New Roman" w:cs="Times New Roman"/>
          <w:sz w:val="24"/>
          <w:sz-cs w:val="24"/>
          <w:i/>
        </w:rPr>
        <w:t xml:space="preserve">11</w:t>
      </w:r>
      <w:r>
        <w:rPr>
          <w:rFonts w:ascii="Times New Roman" w:hAnsi="Times New Roman" w:cs="Times New Roman"/>
          <w:sz w:val="24"/>
          <w:sz-cs w:val="24"/>
        </w:rPr>
        <w:t xml:space="preserve">(2), p.20563051251340147. Available at: </w:t>
      </w:r>
      <w:r>
        <w:rPr>
          <w:rFonts w:ascii="Times New Roman" w:hAnsi="Times New Roman" w:cs="Times New Roman"/>
          <w:sz w:val="24"/>
          <w:sz-cs w:val="24"/>
          <w:u w:val="single"/>
        </w:rPr>
        <w:t xml:space="preserve">https://doi.org/10.1177/20563051251340147</w:t>
      </w:r>
      <w:r>
        <w:rPr>
          <w:rFonts w:ascii="Times New Roman" w:hAnsi="Times New Roman" w:cs="Times New Roman"/>
          <w:sz w:val="24"/>
          <w:sz-cs w:val="24"/>
        </w:rPr>
        <w:t xml:space="preserve"> </w:t>
      </w:r>
    </w:p>
    <w:p>
      <w:pPr>
        <w:jc w:val="both"/>
        <w:spacing w:before="240"/>
      </w:pPr>
      <w:r>
        <w:rPr>
          <w:rFonts w:ascii="Times New Roman" w:hAnsi="Times New Roman" w:cs="Times New Roman"/>
          <w:sz w:val="24"/>
          <w:sz-cs w:val="24"/>
        </w:rPr>
        <w:t xml:space="preserve">Zhao, J., (2024) ‘An Analysis of JD. com's Transportation System in Support of Operational and Logistics Activities’. </w:t>
      </w:r>
      <w:r>
        <w:rPr>
          <w:rFonts w:ascii="Times New Roman" w:hAnsi="Times New Roman" w:cs="Times New Roman"/>
          <w:sz w:val="24"/>
          <w:sz-cs w:val="24"/>
          <w:i/>
        </w:rPr>
        <w:t xml:space="preserve">SCIENCE</w:t>
      </w:r>
      <w:r>
        <w:rPr>
          <w:rFonts w:ascii="Times New Roman" w:hAnsi="Times New Roman" w:cs="Times New Roman"/>
          <w:sz w:val="24"/>
          <w:sz-cs w:val="24"/>
        </w:rPr>
        <w:t xml:space="preserve">, </w:t>
      </w:r>
      <w:r>
        <w:rPr>
          <w:rFonts w:ascii="Times New Roman" w:hAnsi="Times New Roman" w:cs="Times New Roman"/>
          <w:sz w:val="24"/>
          <w:sz-cs w:val="24"/>
          <w:i/>
        </w:rPr>
        <w:t xml:space="preserve">1</w:t>
      </w:r>
      <w:r>
        <w:rPr>
          <w:rFonts w:ascii="Times New Roman" w:hAnsi="Times New Roman" w:cs="Times New Roman"/>
          <w:sz w:val="24"/>
          <w:sz-cs w:val="24"/>
        </w:rPr>
        <w:t xml:space="preserve">, pp.217-224. Available at: </w:t>
      </w:r>
      <w:r>
        <w:rPr>
          <w:rFonts w:ascii="Times New Roman" w:hAnsi="Times New Roman" w:cs="Times New Roman"/>
          <w:sz w:val="24"/>
          <w:sz-cs w:val="24"/>
          <w:u w:val="single"/>
        </w:rPr>
        <w:t xml:space="preserve">https://cpcig-colepuli.com/uploads/soft/20241015/1-241015101510V8.pdf</w:t>
      </w:r>
      <w:r>
        <w:rPr>
          <w:rFonts w:ascii="Times New Roman" w:hAnsi="Times New Roman" w:cs="Times New Roman"/>
          <w:sz w:val="24"/>
          <w:sz-cs w:val="24"/>
        </w:rPr>
        <w:t xml:space="preserve"> </w:t>
      </w:r>
    </w:p>
    <w:p>
      <w:pPr>
        <w:jc w:val="both"/>
        <w:spacing w:before="200"/>
      </w:pPr>
      <w:r>
        <w:rPr>
          <w:rFonts w:ascii="Times New Roman" w:hAnsi="Times New Roman" w:cs="Times New Roman"/>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CocoaOOXMLWriter/2575.6</generator>
</meta>
</file>