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DD58F" w14:textId="77777777" w:rsidR="003A1224" w:rsidRPr="0015490A" w:rsidRDefault="003A1224" w:rsidP="003A1224">
      <w:pPr>
        <w:pStyle w:val="Title"/>
        <w:jc w:val="center"/>
        <w:rPr>
          <w:rFonts w:ascii="Arial" w:hAnsi="Arial" w:cs="Arial"/>
          <w:sz w:val="72"/>
          <w:szCs w:val="72"/>
        </w:rPr>
      </w:pPr>
      <w:r w:rsidRPr="0015490A">
        <w:rPr>
          <w:rFonts w:ascii="Arial" w:hAnsi="Arial" w:cs="Arial"/>
          <w:sz w:val="72"/>
          <w:szCs w:val="72"/>
        </w:rPr>
        <w:t>ACCA7028</w:t>
      </w:r>
    </w:p>
    <w:p w14:paraId="72F6A2F1" w14:textId="77777777" w:rsidR="003A1224" w:rsidRPr="0015490A" w:rsidRDefault="003A1224" w:rsidP="003A1224">
      <w:pPr>
        <w:pStyle w:val="Title"/>
        <w:jc w:val="center"/>
        <w:rPr>
          <w:rFonts w:ascii="Arial" w:hAnsi="Arial" w:cs="Arial"/>
          <w:sz w:val="72"/>
          <w:szCs w:val="72"/>
        </w:rPr>
      </w:pPr>
      <w:r w:rsidRPr="0015490A">
        <w:rPr>
          <w:rFonts w:ascii="Arial" w:hAnsi="Arial" w:cs="Arial"/>
          <w:sz w:val="72"/>
          <w:szCs w:val="72"/>
        </w:rPr>
        <w:t>DATA SECURITY, GOVERNANCE AND COMPLIANCE</w:t>
      </w:r>
    </w:p>
    <w:p w14:paraId="7AD5E924" w14:textId="77777777" w:rsidR="003A1224" w:rsidRPr="0015490A" w:rsidRDefault="003A1224" w:rsidP="003A1224">
      <w:pPr>
        <w:jc w:val="both"/>
        <w:rPr>
          <w:rFonts w:ascii="Arial" w:hAnsi="Arial" w:cs="Arial"/>
        </w:rPr>
      </w:pPr>
    </w:p>
    <w:p w14:paraId="7B5DF200" w14:textId="77777777" w:rsidR="003A1224" w:rsidRPr="0015490A" w:rsidRDefault="003A1224" w:rsidP="003A1224">
      <w:pPr>
        <w:jc w:val="both"/>
        <w:rPr>
          <w:rFonts w:ascii="Arial" w:hAnsi="Arial" w:cs="Arial"/>
        </w:rPr>
      </w:pPr>
    </w:p>
    <w:p w14:paraId="5E19E7CE" w14:textId="77777777" w:rsidR="003A1224" w:rsidRPr="0015490A" w:rsidRDefault="003A1224" w:rsidP="003A1224">
      <w:pPr>
        <w:jc w:val="both"/>
        <w:rPr>
          <w:rFonts w:ascii="Arial" w:hAnsi="Arial" w:cs="Arial"/>
        </w:rPr>
      </w:pPr>
    </w:p>
    <w:p w14:paraId="22DEA2C7" w14:textId="77777777" w:rsidR="003A1224" w:rsidRPr="0015490A" w:rsidRDefault="003A1224" w:rsidP="003A1224">
      <w:pPr>
        <w:jc w:val="both"/>
        <w:rPr>
          <w:rFonts w:ascii="Arial" w:hAnsi="Arial" w:cs="Arial"/>
        </w:rPr>
      </w:pPr>
    </w:p>
    <w:p w14:paraId="52177712" w14:textId="77777777" w:rsidR="003A1224" w:rsidRPr="0015490A" w:rsidRDefault="003A1224" w:rsidP="003A1224">
      <w:pPr>
        <w:jc w:val="both"/>
        <w:rPr>
          <w:rFonts w:ascii="Arial" w:hAnsi="Arial" w:cs="Arial"/>
          <w:sz w:val="56"/>
          <w:szCs w:val="56"/>
        </w:rPr>
      </w:pPr>
    </w:p>
    <w:p w14:paraId="64FB4053" w14:textId="11C5E5AE" w:rsidR="00287115" w:rsidRDefault="003A1224" w:rsidP="003A24DD">
      <w:pPr>
        <w:jc w:val="center"/>
        <w:rPr>
          <w:rFonts w:ascii="Arial" w:hAnsi="Arial" w:cs="Arial"/>
          <w:sz w:val="56"/>
          <w:szCs w:val="56"/>
        </w:rPr>
      </w:pPr>
      <w:r w:rsidRPr="0015490A">
        <w:rPr>
          <w:rFonts w:ascii="Arial" w:hAnsi="Arial" w:cs="Arial"/>
          <w:sz w:val="56"/>
          <w:szCs w:val="56"/>
        </w:rPr>
        <w:t>TITLE</w:t>
      </w:r>
    </w:p>
    <w:p w14:paraId="693FD204" w14:textId="5DD00E6A" w:rsidR="003A1224" w:rsidRPr="003A24DD" w:rsidRDefault="00287115" w:rsidP="00287115">
      <w:pPr>
        <w:jc w:val="center"/>
        <w:rPr>
          <w:rFonts w:ascii="Times New Roman" w:hAnsi="Times New Roman" w:cs="Times New Roman"/>
          <w:sz w:val="40"/>
          <w:szCs w:val="40"/>
        </w:rPr>
      </w:pPr>
      <w:r w:rsidRPr="003A24DD">
        <w:rPr>
          <w:rFonts w:ascii="Times New Roman" w:hAnsi="Times New Roman" w:cs="Times New Roman"/>
          <w:sz w:val="36"/>
          <w:szCs w:val="36"/>
        </w:rPr>
        <w:t>Apply the principles and</w:t>
      </w:r>
      <w:r w:rsidRPr="003A24DD">
        <w:rPr>
          <w:rFonts w:ascii="Times New Roman" w:hAnsi="Times New Roman" w:cs="Times New Roman"/>
          <w:sz w:val="36"/>
          <w:szCs w:val="36"/>
        </w:rPr>
        <w:t xml:space="preserve"> </w:t>
      </w:r>
      <w:r w:rsidRPr="003A24DD">
        <w:rPr>
          <w:rFonts w:ascii="Times New Roman" w:hAnsi="Times New Roman" w:cs="Times New Roman"/>
          <w:sz w:val="36"/>
          <w:szCs w:val="36"/>
        </w:rPr>
        <w:t>practices of Data security,</w:t>
      </w:r>
      <w:r w:rsidRPr="003A24DD">
        <w:rPr>
          <w:rFonts w:ascii="Times New Roman" w:hAnsi="Times New Roman" w:cs="Times New Roman"/>
          <w:sz w:val="36"/>
          <w:szCs w:val="36"/>
        </w:rPr>
        <w:t xml:space="preserve"> </w:t>
      </w:r>
      <w:r w:rsidRPr="003A24DD">
        <w:rPr>
          <w:rFonts w:ascii="Times New Roman" w:hAnsi="Times New Roman" w:cs="Times New Roman"/>
          <w:sz w:val="36"/>
          <w:szCs w:val="36"/>
        </w:rPr>
        <w:t>Governance and Compliance</w:t>
      </w:r>
      <w:r w:rsidR="003A24DD" w:rsidRPr="003A24DD">
        <w:rPr>
          <w:rFonts w:ascii="Times New Roman" w:hAnsi="Times New Roman" w:cs="Times New Roman"/>
          <w:sz w:val="36"/>
          <w:szCs w:val="36"/>
        </w:rPr>
        <w:t xml:space="preserve"> </w:t>
      </w:r>
      <w:r w:rsidRPr="003A24DD">
        <w:rPr>
          <w:rFonts w:ascii="Times New Roman" w:hAnsi="Times New Roman" w:cs="Times New Roman"/>
          <w:sz w:val="36"/>
          <w:szCs w:val="36"/>
        </w:rPr>
        <w:t>based on a given scenario.</w:t>
      </w:r>
    </w:p>
    <w:p w14:paraId="5068D38C" w14:textId="77777777" w:rsidR="003A1224" w:rsidRPr="0015490A" w:rsidRDefault="003A1224" w:rsidP="003A1224">
      <w:pPr>
        <w:jc w:val="both"/>
        <w:rPr>
          <w:rFonts w:ascii="Arial" w:hAnsi="Arial" w:cs="Arial"/>
          <w:sz w:val="72"/>
          <w:szCs w:val="72"/>
        </w:rPr>
      </w:pPr>
    </w:p>
    <w:p w14:paraId="6D776549" w14:textId="77777777" w:rsidR="003A1224" w:rsidRPr="0015490A" w:rsidRDefault="003A1224" w:rsidP="003A1224">
      <w:pPr>
        <w:jc w:val="both"/>
        <w:rPr>
          <w:rFonts w:ascii="Arial" w:hAnsi="Arial" w:cs="Arial"/>
          <w:sz w:val="72"/>
          <w:szCs w:val="72"/>
        </w:rPr>
      </w:pPr>
    </w:p>
    <w:p w14:paraId="1875924A" w14:textId="77777777" w:rsidR="003A1224" w:rsidRPr="0015490A" w:rsidRDefault="003A1224" w:rsidP="003A1224">
      <w:pPr>
        <w:jc w:val="both"/>
        <w:rPr>
          <w:rFonts w:ascii="Arial" w:hAnsi="Arial" w:cs="Arial"/>
          <w:sz w:val="72"/>
          <w:szCs w:val="72"/>
        </w:rPr>
      </w:pPr>
    </w:p>
    <w:p w14:paraId="7179E298" w14:textId="77777777" w:rsidR="003A1224" w:rsidRPr="0015490A" w:rsidRDefault="003A1224" w:rsidP="003A1224">
      <w:pPr>
        <w:jc w:val="both"/>
        <w:rPr>
          <w:rFonts w:ascii="Arial" w:hAnsi="Arial" w:cs="Arial"/>
          <w:sz w:val="72"/>
          <w:szCs w:val="72"/>
        </w:rPr>
      </w:pPr>
    </w:p>
    <w:p w14:paraId="4375D484" w14:textId="4B425504" w:rsidR="00FC78EB" w:rsidRPr="0015490A" w:rsidRDefault="00FC78EB" w:rsidP="00FC78EB">
      <w:pPr>
        <w:pStyle w:val="Subtitle"/>
      </w:pPr>
      <w:r w:rsidRPr="00FC78EB">
        <w:rPr>
          <w:b/>
          <w:bCs/>
        </w:rPr>
        <w:t>SUBMITTED BY</w:t>
      </w:r>
      <w:r>
        <w:t xml:space="preserve"> - MOHAMMED TALHA SAJIDHUSEIN VASANWALA - 2316054</w:t>
      </w:r>
    </w:p>
    <w:p w14:paraId="6BF6C685" w14:textId="77777777" w:rsidR="003A1224" w:rsidRPr="0015490A" w:rsidRDefault="003A1224" w:rsidP="003A1224">
      <w:pPr>
        <w:jc w:val="both"/>
        <w:rPr>
          <w:rFonts w:ascii="Arial" w:hAnsi="Arial" w:cs="Arial"/>
          <w:sz w:val="72"/>
          <w:szCs w:val="72"/>
        </w:rPr>
      </w:pPr>
      <w:r w:rsidRPr="0015490A">
        <w:rPr>
          <w:rFonts w:ascii="Arial" w:hAnsi="Arial" w:cs="Arial"/>
          <w:sz w:val="72"/>
          <w:szCs w:val="72"/>
        </w:rPr>
        <w:br w:type="page"/>
      </w:r>
    </w:p>
    <w:sdt>
      <w:sdtPr>
        <w:rPr>
          <w:rFonts w:ascii="Arial" w:eastAsiaTheme="minorHAnsi" w:hAnsi="Arial" w:cs="Arial"/>
          <w:color w:val="auto"/>
          <w:kern w:val="2"/>
          <w:sz w:val="22"/>
          <w:szCs w:val="22"/>
          <w:lang w:val="en-IN"/>
          <w14:ligatures w14:val="standardContextual"/>
        </w:rPr>
        <w:id w:val="-1657064021"/>
        <w:docPartObj>
          <w:docPartGallery w:val="Table of Contents"/>
          <w:docPartUnique/>
        </w:docPartObj>
      </w:sdtPr>
      <w:sdtEndPr>
        <w:rPr>
          <w:b/>
          <w:bCs/>
          <w:noProof/>
          <w:lang w:val="en-GB"/>
        </w:rPr>
      </w:sdtEndPr>
      <w:sdtContent>
        <w:p w14:paraId="6A2C7DA2" w14:textId="507FF6A6" w:rsidR="003A1224" w:rsidRPr="0015490A" w:rsidRDefault="003A1224">
          <w:pPr>
            <w:pStyle w:val="TOCHeading"/>
            <w:rPr>
              <w:rFonts w:ascii="Arial" w:hAnsi="Arial" w:cs="Arial"/>
            </w:rPr>
          </w:pPr>
          <w:r w:rsidRPr="0015490A">
            <w:rPr>
              <w:rFonts w:ascii="Arial" w:hAnsi="Arial" w:cs="Arial"/>
            </w:rPr>
            <w:t>Table of Contents</w:t>
          </w:r>
        </w:p>
        <w:p w14:paraId="718E8040" w14:textId="06707B09" w:rsidR="004C7427" w:rsidRPr="0015490A" w:rsidRDefault="003A1224">
          <w:pPr>
            <w:pStyle w:val="TOC1"/>
            <w:tabs>
              <w:tab w:val="right" w:leader="dot" w:pos="9016"/>
            </w:tabs>
            <w:rPr>
              <w:rFonts w:ascii="Arial" w:eastAsiaTheme="minorEastAsia" w:hAnsi="Arial" w:cs="Arial"/>
              <w:noProof/>
              <w:lang w:val="en-IN" w:eastAsia="en-IN"/>
            </w:rPr>
          </w:pPr>
          <w:r w:rsidRPr="0015490A">
            <w:rPr>
              <w:rFonts w:ascii="Arial" w:hAnsi="Arial" w:cs="Arial"/>
            </w:rPr>
            <w:fldChar w:fldCharType="begin"/>
          </w:r>
          <w:r w:rsidRPr="0015490A">
            <w:rPr>
              <w:rFonts w:ascii="Arial" w:hAnsi="Arial" w:cs="Arial"/>
            </w:rPr>
            <w:instrText xml:space="preserve"> TOC \o "1-3" \h \z \u </w:instrText>
          </w:r>
          <w:r w:rsidRPr="0015490A">
            <w:rPr>
              <w:rFonts w:ascii="Arial" w:hAnsi="Arial" w:cs="Arial"/>
            </w:rPr>
            <w:fldChar w:fldCharType="separate"/>
          </w:r>
          <w:hyperlink w:anchor="_Toc153457786" w:history="1">
            <w:r w:rsidR="004C7427" w:rsidRPr="0015490A">
              <w:rPr>
                <w:rStyle w:val="Hyperlink"/>
                <w:rFonts w:ascii="Arial" w:hAnsi="Arial" w:cs="Arial"/>
                <w:noProof/>
              </w:rPr>
              <w:t>Abstract</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_Toc153457786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4</w:t>
            </w:r>
            <w:r w:rsidR="004C7427" w:rsidRPr="0015490A">
              <w:rPr>
                <w:rFonts w:ascii="Arial" w:hAnsi="Arial" w:cs="Arial"/>
                <w:noProof/>
                <w:webHidden/>
              </w:rPr>
              <w:fldChar w:fldCharType="end"/>
            </w:r>
          </w:hyperlink>
        </w:p>
        <w:p w14:paraId="02DAF956" w14:textId="2B470219" w:rsidR="004C7427" w:rsidRPr="0015490A" w:rsidRDefault="00000000">
          <w:pPr>
            <w:pStyle w:val="TOC1"/>
            <w:tabs>
              <w:tab w:val="right" w:leader="dot" w:pos="9016"/>
            </w:tabs>
            <w:rPr>
              <w:rFonts w:ascii="Arial" w:eastAsiaTheme="minorEastAsia" w:hAnsi="Arial" w:cs="Arial"/>
              <w:noProof/>
              <w:lang w:val="en-IN" w:eastAsia="en-IN"/>
            </w:rPr>
          </w:pPr>
          <w:hyperlink w:anchor="_Toc153457787" w:history="1">
            <w:r w:rsidR="004C7427" w:rsidRPr="0015490A">
              <w:rPr>
                <w:rStyle w:val="Hyperlink"/>
                <w:rFonts w:ascii="Arial" w:hAnsi="Arial" w:cs="Arial"/>
                <w:noProof/>
              </w:rPr>
              <w:t>1. Introduction</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_Toc153457787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5</w:t>
            </w:r>
            <w:r w:rsidR="004C7427" w:rsidRPr="0015490A">
              <w:rPr>
                <w:rFonts w:ascii="Arial" w:hAnsi="Arial" w:cs="Arial"/>
                <w:noProof/>
                <w:webHidden/>
              </w:rPr>
              <w:fldChar w:fldCharType="end"/>
            </w:r>
          </w:hyperlink>
        </w:p>
        <w:p w14:paraId="259C02E1" w14:textId="228E655F" w:rsidR="004C7427" w:rsidRPr="0015490A" w:rsidRDefault="00000000">
          <w:pPr>
            <w:pStyle w:val="TOC2"/>
            <w:tabs>
              <w:tab w:val="right" w:leader="dot" w:pos="9016"/>
            </w:tabs>
            <w:rPr>
              <w:rFonts w:ascii="Arial" w:eastAsiaTheme="minorEastAsia" w:hAnsi="Arial" w:cs="Arial"/>
              <w:noProof/>
              <w:lang w:val="en-IN" w:eastAsia="en-IN"/>
            </w:rPr>
          </w:pPr>
          <w:hyperlink w:anchor="_Toc153457788" w:history="1">
            <w:r w:rsidR="004C7427" w:rsidRPr="0015490A">
              <w:rPr>
                <w:rStyle w:val="Hyperlink"/>
                <w:rFonts w:ascii="Arial" w:hAnsi="Arial" w:cs="Arial"/>
                <w:noProof/>
              </w:rPr>
              <w:t>1.1 Challenges in Information Security</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_Toc153457788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5</w:t>
            </w:r>
            <w:r w:rsidR="004C7427" w:rsidRPr="0015490A">
              <w:rPr>
                <w:rFonts w:ascii="Arial" w:hAnsi="Arial" w:cs="Arial"/>
                <w:noProof/>
                <w:webHidden/>
              </w:rPr>
              <w:fldChar w:fldCharType="end"/>
            </w:r>
          </w:hyperlink>
        </w:p>
        <w:p w14:paraId="6D2732C7" w14:textId="1E77B57F" w:rsidR="004C7427" w:rsidRPr="0015490A" w:rsidRDefault="00000000">
          <w:pPr>
            <w:pStyle w:val="TOC2"/>
            <w:tabs>
              <w:tab w:val="right" w:leader="dot" w:pos="9016"/>
            </w:tabs>
            <w:rPr>
              <w:rFonts w:ascii="Arial" w:eastAsiaTheme="minorEastAsia" w:hAnsi="Arial" w:cs="Arial"/>
              <w:noProof/>
              <w:lang w:val="en-IN" w:eastAsia="en-IN"/>
            </w:rPr>
          </w:pPr>
          <w:hyperlink w:anchor="_Toc153457789" w:history="1">
            <w:r w:rsidR="004C7427" w:rsidRPr="0015490A">
              <w:rPr>
                <w:rStyle w:val="Hyperlink"/>
                <w:rFonts w:ascii="Arial" w:hAnsi="Arial" w:cs="Arial"/>
                <w:noProof/>
              </w:rPr>
              <w:t>1.2 Objectives of the Report</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_Toc153457789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5</w:t>
            </w:r>
            <w:r w:rsidR="004C7427" w:rsidRPr="0015490A">
              <w:rPr>
                <w:rFonts w:ascii="Arial" w:hAnsi="Arial" w:cs="Arial"/>
                <w:noProof/>
                <w:webHidden/>
              </w:rPr>
              <w:fldChar w:fldCharType="end"/>
            </w:r>
          </w:hyperlink>
        </w:p>
        <w:p w14:paraId="13D3E040" w14:textId="58F94506" w:rsidR="004C7427" w:rsidRPr="0015490A" w:rsidRDefault="00000000">
          <w:pPr>
            <w:pStyle w:val="TOC1"/>
            <w:tabs>
              <w:tab w:val="right" w:leader="dot" w:pos="9016"/>
            </w:tabs>
            <w:rPr>
              <w:rFonts w:ascii="Arial" w:eastAsiaTheme="minorEastAsia" w:hAnsi="Arial" w:cs="Arial"/>
              <w:noProof/>
              <w:lang w:val="en-IN" w:eastAsia="en-IN"/>
            </w:rPr>
          </w:pPr>
          <w:hyperlink w:anchor="_Toc153457790" w:history="1">
            <w:r w:rsidR="004C7427" w:rsidRPr="0015490A">
              <w:rPr>
                <w:rStyle w:val="Hyperlink"/>
                <w:rFonts w:ascii="Arial" w:hAnsi="Arial" w:cs="Arial"/>
                <w:noProof/>
              </w:rPr>
              <w:t>2. Literature Review</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_Toc153457790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6</w:t>
            </w:r>
            <w:r w:rsidR="004C7427" w:rsidRPr="0015490A">
              <w:rPr>
                <w:rFonts w:ascii="Arial" w:hAnsi="Arial" w:cs="Arial"/>
                <w:noProof/>
                <w:webHidden/>
              </w:rPr>
              <w:fldChar w:fldCharType="end"/>
            </w:r>
          </w:hyperlink>
        </w:p>
        <w:p w14:paraId="424EB6B7" w14:textId="5B5DFCA3" w:rsidR="004C7427" w:rsidRPr="0015490A" w:rsidRDefault="00000000">
          <w:pPr>
            <w:pStyle w:val="TOC2"/>
            <w:tabs>
              <w:tab w:val="right" w:leader="dot" w:pos="9016"/>
            </w:tabs>
            <w:rPr>
              <w:rFonts w:ascii="Arial" w:eastAsiaTheme="minorEastAsia" w:hAnsi="Arial" w:cs="Arial"/>
              <w:noProof/>
              <w:lang w:val="en-IN" w:eastAsia="en-IN"/>
            </w:rPr>
          </w:pPr>
          <w:hyperlink w:anchor="_Toc153457791" w:history="1">
            <w:r w:rsidR="004C7427" w:rsidRPr="0015490A">
              <w:rPr>
                <w:rStyle w:val="Hyperlink"/>
                <w:rFonts w:ascii="Arial" w:hAnsi="Arial" w:cs="Arial"/>
                <w:noProof/>
              </w:rPr>
              <w:t>2.1 Information Technology Infrastructure Library (ITIL)</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_Toc153457791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6</w:t>
            </w:r>
            <w:r w:rsidR="004C7427" w:rsidRPr="0015490A">
              <w:rPr>
                <w:rFonts w:ascii="Arial" w:hAnsi="Arial" w:cs="Arial"/>
                <w:noProof/>
                <w:webHidden/>
              </w:rPr>
              <w:fldChar w:fldCharType="end"/>
            </w:r>
          </w:hyperlink>
        </w:p>
        <w:p w14:paraId="60C45E8C" w14:textId="4AD7E47B" w:rsidR="004C7427" w:rsidRPr="0015490A" w:rsidRDefault="00000000">
          <w:pPr>
            <w:pStyle w:val="TOC2"/>
            <w:tabs>
              <w:tab w:val="right" w:leader="dot" w:pos="9016"/>
            </w:tabs>
            <w:rPr>
              <w:rFonts w:ascii="Arial" w:eastAsiaTheme="minorEastAsia" w:hAnsi="Arial" w:cs="Arial"/>
              <w:noProof/>
              <w:lang w:val="en-IN" w:eastAsia="en-IN"/>
            </w:rPr>
          </w:pPr>
          <w:hyperlink w:anchor="_Toc153457792" w:history="1">
            <w:r w:rsidR="004C7427" w:rsidRPr="0015490A">
              <w:rPr>
                <w:rStyle w:val="Hyperlink"/>
                <w:rFonts w:ascii="Arial" w:hAnsi="Arial" w:cs="Arial"/>
                <w:noProof/>
              </w:rPr>
              <w:t>2.2 ISO 27000 Series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_Toc153457792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6</w:t>
            </w:r>
            <w:r w:rsidR="004C7427" w:rsidRPr="0015490A">
              <w:rPr>
                <w:rFonts w:ascii="Arial" w:hAnsi="Arial" w:cs="Arial"/>
                <w:noProof/>
                <w:webHidden/>
              </w:rPr>
              <w:fldChar w:fldCharType="end"/>
            </w:r>
          </w:hyperlink>
        </w:p>
        <w:p w14:paraId="686C196B" w14:textId="4B717514" w:rsidR="004C7427" w:rsidRPr="0015490A" w:rsidRDefault="00000000">
          <w:pPr>
            <w:pStyle w:val="TOC2"/>
            <w:tabs>
              <w:tab w:val="right" w:leader="dot" w:pos="9016"/>
            </w:tabs>
            <w:rPr>
              <w:rFonts w:ascii="Arial" w:eastAsiaTheme="minorEastAsia" w:hAnsi="Arial" w:cs="Arial"/>
              <w:noProof/>
              <w:lang w:val="en-IN" w:eastAsia="en-IN"/>
            </w:rPr>
          </w:pPr>
          <w:hyperlink w:anchor="_Toc153457793" w:history="1">
            <w:r w:rsidR="004C7427" w:rsidRPr="0015490A">
              <w:rPr>
                <w:rStyle w:val="Hyperlink"/>
                <w:rFonts w:ascii="Arial" w:hAnsi="Arial" w:cs="Arial"/>
                <w:noProof/>
              </w:rPr>
              <w:t>2.3 Key Concepts and Principles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_Toc153457793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6</w:t>
            </w:r>
            <w:r w:rsidR="004C7427" w:rsidRPr="0015490A">
              <w:rPr>
                <w:rFonts w:ascii="Arial" w:hAnsi="Arial" w:cs="Arial"/>
                <w:noProof/>
                <w:webHidden/>
              </w:rPr>
              <w:fldChar w:fldCharType="end"/>
            </w:r>
          </w:hyperlink>
        </w:p>
        <w:p w14:paraId="161801AE" w14:textId="234B9706" w:rsidR="004C7427" w:rsidRPr="0015490A" w:rsidRDefault="00000000">
          <w:pPr>
            <w:pStyle w:val="TOC2"/>
            <w:tabs>
              <w:tab w:val="right" w:leader="dot" w:pos="9016"/>
            </w:tabs>
            <w:rPr>
              <w:rFonts w:ascii="Arial" w:eastAsiaTheme="minorEastAsia" w:hAnsi="Arial" w:cs="Arial"/>
              <w:noProof/>
              <w:lang w:val="en-IN" w:eastAsia="en-IN"/>
            </w:rPr>
          </w:pPr>
          <w:hyperlink w:anchor="_Toc153457794" w:history="1">
            <w:r w:rsidR="004C7427" w:rsidRPr="0015490A">
              <w:rPr>
                <w:rStyle w:val="Hyperlink"/>
                <w:rFonts w:ascii="Arial" w:hAnsi="Arial" w:cs="Arial"/>
                <w:noProof/>
              </w:rPr>
              <w:t>2.4 Current State Analysis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_Toc153457794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7</w:t>
            </w:r>
            <w:r w:rsidR="004C7427" w:rsidRPr="0015490A">
              <w:rPr>
                <w:rFonts w:ascii="Arial" w:hAnsi="Arial" w:cs="Arial"/>
                <w:noProof/>
                <w:webHidden/>
              </w:rPr>
              <w:fldChar w:fldCharType="end"/>
            </w:r>
          </w:hyperlink>
        </w:p>
        <w:p w14:paraId="32052197" w14:textId="139C6B85" w:rsidR="004C7427" w:rsidRPr="0015490A" w:rsidRDefault="00000000">
          <w:pPr>
            <w:pStyle w:val="TOC2"/>
            <w:tabs>
              <w:tab w:val="right" w:leader="dot" w:pos="9016"/>
            </w:tabs>
            <w:rPr>
              <w:rFonts w:ascii="Arial" w:eastAsiaTheme="minorEastAsia" w:hAnsi="Arial" w:cs="Arial"/>
              <w:noProof/>
              <w:lang w:val="en-IN" w:eastAsia="en-IN"/>
            </w:rPr>
          </w:pPr>
          <w:hyperlink w:anchor="_Toc153457795" w:history="1">
            <w:r w:rsidR="004C7427" w:rsidRPr="0015490A">
              <w:rPr>
                <w:rStyle w:val="Hyperlink"/>
                <w:rFonts w:ascii="Arial" w:hAnsi="Arial" w:cs="Arial"/>
                <w:noProof/>
              </w:rPr>
              <w:t>2.5 Information Security Situation</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_Toc153457795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7</w:t>
            </w:r>
            <w:r w:rsidR="004C7427" w:rsidRPr="0015490A">
              <w:rPr>
                <w:rFonts w:ascii="Arial" w:hAnsi="Arial" w:cs="Arial"/>
                <w:noProof/>
                <w:webHidden/>
              </w:rPr>
              <w:fldChar w:fldCharType="end"/>
            </w:r>
          </w:hyperlink>
        </w:p>
        <w:p w14:paraId="09E66C3C" w14:textId="636C87E0" w:rsidR="004C7427" w:rsidRPr="0015490A" w:rsidRDefault="00000000">
          <w:pPr>
            <w:pStyle w:val="TOC2"/>
            <w:tabs>
              <w:tab w:val="right" w:leader="dot" w:pos="9016"/>
            </w:tabs>
            <w:rPr>
              <w:rFonts w:ascii="Arial" w:eastAsiaTheme="minorEastAsia" w:hAnsi="Arial" w:cs="Arial"/>
              <w:noProof/>
              <w:lang w:val="en-IN" w:eastAsia="en-IN"/>
            </w:rPr>
          </w:pPr>
          <w:hyperlink w:anchor="_Toc153457796" w:history="1">
            <w:r w:rsidR="004C7427" w:rsidRPr="0015490A">
              <w:rPr>
                <w:rStyle w:val="Hyperlink"/>
                <w:rFonts w:ascii="Arial" w:hAnsi="Arial" w:cs="Arial"/>
                <w:noProof/>
              </w:rPr>
              <w:t>2.6 Existing Policies and Frameworks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_Toc153457796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8</w:t>
            </w:r>
            <w:r w:rsidR="004C7427" w:rsidRPr="0015490A">
              <w:rPr>
                <w:rFonts w:ascii="Arial" w:hAnsi="Arial" w:cs="Arial"/>
                <w:noProof/>
                <w:webHidden/>
              </w:rPr>
              <w:fldChar w:fldCharType="end"/>
            </w:r>
          </w:hyperlink>
        </w:p>
        <w:p w14:paraId="67D2ED1F" w14:textId="76314AE1" w:rsidR="004C7427" w:rsidRPr="0015490A" w:rsidRDefault="00000000">
          <w:pPr>
            <w:pStyle w:val="TOC2"/>
            <w:tabs>
              <w:tab w:val="right" w:leader="dot" w:pos="9016"/>
            </w:tabs>
            <w:rPr>
              <w:rFonts w:ascii="Arial" w:eastAsiaTheme="minorEastAsia" w:hAnsi="Arial" w:cs="Arial"/>
              <w:noProof/>
              <w:lang w:val="en-IN" w:eastAsia="en-IN"/>
            </w:rPr>
          </w:pPr>
          <w:hyperlink w:anchor="_Toc153457797" w:history="1">
            <w:r w:rsidR="004C7427" w:rsidRPr="0015490A">
              <w:rPr>
                <w:rStyle w:val="Hyperlink"/>
                <w:rFonts w:ascii="Arial" w:hAnsi="Arial" w:cs="Arial"/>
                <w:noProof/>
              </w:rPr>
              <w:t>2.7 Gaps and Weaknesses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_Toc153457797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8</w:t>
            </w:r>
            <w:r w:rsidR="004C7427" w:rsidRPr="0015490A">
              <w:rPr>
                <w:rFonts w:ascii="Arial" w:hAnsi="Arial" w:cs="Arial"/>
                <w:noProof/>
                <w:webHidden/>
              </w:rPr>
              <w:fldChar w:fldCharType="end"/>
            </w:r>
          </w:hyperlink>
        </w:p>
        <w:p w14:paraId="21DFA85D" w14:textId="6C42AF6A" w:rsidR="004C7427" w:rsidRPr="0015490A" w:rsidRDefault="00000000">
          <w:pPr>
            <w:pStyle w:val="TOC2"/>
            <w:tabs>
              <w:tab w:val="right" w:leader="dot" w:pos="9016"/>
            </w:tabs>
            <w:rPr>
              <w:rFonts w:ascii="Arial" w:eastAsiaTheme="minorEastAsia" w:hAnsi="Arial" w:cs="Arial"/>
              <w:noProof/>
              <w:lang w:val="en-IN" w:eastAsia="en-IN"/>
            </w:rPr>
          </w:pPr>
          <w:hyperlink w:anchor="_Toc153457798" w:history="1">
            <w:r w:rsidR="004C7427" w:rsidRPr="0015490A">
              <w:rPr>
                <w:rStyle w:val="Hyperlink"/>
                <w:rFonts w:ascii="Arial" w:hAnsi="Arial" w:cs="Arial"/>
                <w:noProof/>
              </w:rPr>
              <w:t>2.8 Concerns Related to Data and Intellectual Property Protection</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_Toc153457798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8</w:t>
            </w:r>
            <w:r w:rsidR="004C7427" w:rsidRPr="0015490A">
              <w:rPr>
                <w:rFonts w:ascii="Arial" w:hAnsi="Arial" w:cs="Arial"/>
                <w:noProof/>
                <w:webHidden/>
              </w:rPr>
              <w:fldChar w:fldCharType="end"/>
            </w:r>
          </w:hyperlink>
        </w:p>
        <w:p w14:paraId="1C4AB30E" w14:textId="708D5E3B" w:rsidR="004C7427" w:rsidRPr="0015490A" w:rsidRDefault="00000000">
          <w:pPr>
            <w:pStyle w:val="TOC1"/>
            <w:tabs>
              <w:tab w:val="right" w:leader="dot" w:pos="9016"/>
            </w:tabs>
            <w:rPr>
              <w:rFonts w:ascii="Arial" w:eastAsiaTheme="minorEastAsia" w:hAnsi="Arial" w:cs="Arial"/>
              <w:noProof/>
              <w:lang w:val="en-IN" w:eastAsia="en-IN"/>
            </w:rPr>
          </w:pPr>
          <w:hyperlink w:anchor="_Toc153457799" w:history="1">
            <w:r w:rsidR="004C7427" w:rsidRPr="0015490A">
              <w:rPr>
                <w:rStyle w:val="Hyperlink"/>
                <w:rFonts w:ascii="Arial" w:hAnsi="Arial" w:cs="Arial"/>
                <w:noProof/>
              </w:rPr>
              <w:t>3. Compliance with Laws and Regulations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_Toc153457799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9</w:t>
            </w:r>
            <w:r w:rsidR="004C7427" w:rsidRPr="0015490A">
              <w:rPr>
                <w:rFonts w:ascii="Arial" w:hAnsi="Arial" w:cs="Arial"/>
                <w:noProof/>
                <w:webHidden/>
              </w:rPr>
              <w:fldChar w:fldCharType="end"/>
            </w:r>
          </w:hyperlink>
        </w:p>
        <w:p w14:paraId="78C3ED8F" w14:textId="334A99BB" w:rsidR="004C7427" w:rsidRPr="0015490A" w:rsidRDefault="00000000">
          <w:pPr>
            <w:pStyle w:val="TOC2"/>
            <w:tabs>
              <w:tab w:val="right" w:leader="dot" w:pos="9016"/>
            </w:tabs>
            <w:rPr>
              <w:rFonts w:ascii="Arial" w:eastAsiaTheme="minorEastAsia" w:hAnsi="Arial" w:cs="Arial"/>
              <w:noProof/>
              <w:lang w:val="en-IN" w:eastAsia="en-IN"/>
            </w:rPr>
          </w:pPr>
          <w:hyperlink w:anchor="_Toc153457800" w:history="1">
            <w:r w:rsidR="004C7427" w:rsidRPr="0015490A">
              <w:rPr>
                <w:rStyle w:val="Hyperlink"/>
                <w:rFonts w:ascii="Arial" w:hAnsi="Arial" w:cs="Arial"/>
                <w:noProof/>
              </w:rPr>
              <w:t>3.1 Legal and Ethical Considerations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_Toc153457800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9</w:t>
            </w:r>
            <w:r w:rsidR="004C7427" w:rsidRPr="0015490A">
              <w:rPr>
                <w:rFonts w:ascii="Arial" w:hAnsi="Arial" w:cs="Arial"/>
                <w:noProof/>
                <w:webHidden/>
              </w:rPr>
              <w:fldChar w:fldCharType="end"/>
            </w:r>
          </w:hyperlink>
        </w:p>
        <w:p w14:paraId="0F7D801D" w14:textId="2DC209D0" w:rsidR="004C7427" w:rsidRPr="0015490A" w:rsidRDefault="00000000">
          <w:pPr>
            <w:pStyle w:val="TOC2"/>
            <w:tabs>
              <w:tab w:val="right" w:leader="dot" w:pos="9016"/>
            </w:tabs>
            <w:rPr>
              <w:rFonts w:ascii="Arial" w:eastAsiaTheme="minorEastAsia" w:hAnsi="Arial" w:cs="Arial"/>
              <w:noProof/>
              <w:lang w:val="en-IN" w:eastAsia="en-IN"/>
            </w:rPr>
          </w:pPr>
          <w:hyperlink w:anchor="_Toc153457801" w:history="1">
            <w:r w:rsidR="004C7427" w:rsidRPr="0015490A">
              <w:rPr>
                <w:rStyle w:val="Hyperlink"/>
                <w:rFonts w:ascii="Arial" w:hAnsi="Arial" w:cs="Arial"/>
                <w:noProof/>
              </w:rPr>
              <w:t>3.2 Data Protection Laws and Industry Regulations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_Toc153457801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9</w:t>
            </w:r>
            <w:r w:rsidR="004C7427" w:rsidRPr="0015490A">
              <w:rPr>
                <w:rFonts w:ascii="Arial" w:hAnsi="Arial" w:cs="Arial"/>
                <w:noProof/>
                <w:webHidden/>
              </w:rPr>
              <w:fldChar w:fldCharType="end"/>
            </w:r>
          </w:hyperlink>
        </w:p>
        <w:p w14:paraId="5CA88112" w14:textId="1BA2931C" w:rsidR="004C7427" w:rsidRPr="0015490A" w:rsidRDefault="00000000">
          <w:pPr>
            <w:pStyle w:val="TOC2"/>
            <w:tabs>
              <w:tab w:val="right" w:leader="dot" w:pos="9016"/>
            </w:tabs>
            <w:rPr>
              <w:rFonts w:ascii="Arial" w:eastAsiaTheme="minorEastAsia" w:hAnsi="Arial" w:cs="Arial"/>
              <w:noProof/>
              <w:lang w:val="en-IN" w:eastAsia="en-IN"/>
            </w:rPr>
          </w:pPr>
          <w:hyperlink w:anchor="_Toc153457802" w:history="1">
            <w:r w:rsidR="004C7427" w:rsidRPr="0015490A">
              <w:rPr>
                <w:rStyle w:val="Hyperlink"/>
                <w:rFonts w:ascii="Arial" w:hAnsi="Arial" w:cs="Arial"/>
                <w:noProof/>
              </w:rPr>
              <w:t>3.3 Potential Legal and Reputational Risks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_Toc153457802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9</w:t>
            </w:r>
            <w:r w:rsidR="004C7427" w:rsidRPr="0015490A">
              <w:rPr>
                <w:rFonts w:ascii="Arial" w:hAnsi="Arial" w:cs="Arial"/>
                <w:noProof/>
                <w:webHidden/>
              </w:rPr>
              <w:fldChar w:fldCharType="end"/>
            </w:r>
          </w:hyperlink>
        </w:p>
        <w:p w14:paraId="476C73A5" w14:textId="421C1E0E" w:rsidR="004C7427" w:rsidRPr="0015490A" w:rsidRDefault="00000000">
          <w:pPr>
            <w:pStyle w:val="TOC1"/>
            <w:tabs>
              <w:tab w:val="right" w:leader="dot" w:pos="9016"/>
            </w:tabs>
            <w:rPr>
              <w:rFonts w:ascii="Arial" w:eastAsiaTheme="minorEastAsia" w:hAnsi="Arial" w:cs="Arial"/>
              <w:noProof/>
              <w:lang w:val="en-IN" w:eastAsia="en-IN"/>
            </w:rPr>
          </w:pPr>
          <w:hyperlink w:anchor="_Toc153457803" w:history="1">
            <w:r w:rsidR="004C7427" w:rsidRPr="0015490A">
              <w:rPr>
                <w:rStyle w:val="Hyperlink"/>
                <w:rFonts w:ascii="Arial" w:hAnsi="Arial" w:cs="Arial"/>
                <w:noProof/>
              </w:rPr>
              <w:t>4. Security Governance and Strategic Planning</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_Toc153457803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11</w:t>
            </w:r>
            <w:r w:rsidR="004C7427" w:rsidRPr="0015490A">
              <w:rPr>
                <w:rFonts w:ascii="Arial" w:hAnsi="Arial" w:cs="Arial"/>
                <w:noProof/>
                <w:webHidden/>
              </w:rPr>
              <w:fldChar w:fldCharType="end"/>
            </w:r>
          </w:hyperlink>
        </w:p>
        <w:p w14:paraId="269D4E32" w14:textId="07C4C30C" w:rsidR="004C7427" w:rsidRPr="0015490A" w:rsidRDefault="00000000">
          <w:pPr>
            <w:pStyle w:val="TOC2"/>
            <w:tabs>
              <w:tab w:val="right" w:leader="dot" w:pos="9016"/>
            </w:tabs>
            <w:rPr>
              <w:rFonts w:ascii="Arial" w:eastAsiaTheme="minorEastAsia" w:hAnsi="Arial" w:cs="Arial"/>
              <w:noProof/>
              <w:lang w:val="en-IN" w:eastAsia="en-IN"/>
            </w:rPr>
          </w:pPr>
          <w:hyperlink w:anchor="_Toc153457804" w:history="1">
            <w:r w:rsidR="004C7427" w:rsidRPr="0015490A">
              <w:rPr>
                <w:rStyle w:val="Hyperlink"/>
                <w:rFonts w:ascii="Arial" w:hAnsi="Arial" w:cs="Arial"/>
                <w:noProof/>
              </w:rPr>
              <w:t>4.1 Significance of Governance in Information Security</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_Toc153457804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11</w:t>
            </w:r>
            <w:r w:rsidR="004C7427" w:rsidRPr="0015490A">
              <w:rPr>
                <w:rFonts w:ascii="Arial" w:hAnsi="Arial" w:cs="Arial"/>
                <w:noProof/>
                <w:webHidden/>
              </w:rPr>
              <w:fldChar w:fldCharType="end"/>
            </w:r>
          </w:hyperlink>
        </w:p>
        <w:p w14:paraId="7BCD920D" w14:textId="0AADC354" w:rsidR="004C7427" w:rsidRPr="0015490A" w:rsidRDefault="00000000">
          <w:pPr>
            <w:pStyle w:val="TOC1"/>
            <w:tabs>
              <w:tab w:val="right" w:leader="dot" w:pos="9016"/>
            </w:tabs>
            <w:rPr>
              <w:rFonts w:ascii="Arial" w:eastAsiaTheme="minorEastAsia" w:hAnsi="Arial" w:cs="Arial"/>
              <w:noProof/>
              <w:lang w:val="en-IN" w:eastAsia="en-IN"/>
            </w:rPr>
          </w:pPr>
          <w:hyperlink w:anchor="_Toc153457805" w:history="1">
            <w:r w:rsidR="004C7427" w:rsidRPr="0015490A">
              <w:rPr>
                <w:rStyle w:val="Hyperlink"/>
                <w:rFonts w:ascii="Arial" w:hAnsi="Arial" w:cs="Arial"/>
                <w:noProof/>
              </w:rPr>
              <w:t>5. Information Security Approach</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_Toc153457805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12</w:t>
            </w:r>
            <w:r w:rsidR="004C7427" w:rsidRPr="0015490A">
              <w:rPr>
                <w:rFonts w:ascii="Arial" w:hAnsi="Arial" w:cs="Arial"/>
                <w:noProof/>
                <w:webHidden/>
              </w:rPr>
              <w:fldChar w:fldCharType="end"/>
            </w:r>
          </w:hyperlink>
        </w:p>
        <w:p w14:paraId="1868FE47" w14:textId="58454960" w:rsidR="004C7427" w:rsidRPr="0015490A" w:rsidRDefault="00000000">
          <w:pPr>
            <w:pStyle w:val="TOC2"/>
            <w:tabs>
              <w:tab w:val="right" w:leader="dot" w:pos="9016"/>
            </w:tabs>
            <w:rPr>
              <w:rFonts w:ascii="Arial" w:eastAsiaTheme="minorEastAsia" w:hAnsi="Arial" w:cs="Arial"/>
              <w:noProof/>
              <w:lang w:val="en-IN" w:eastAsia="en-IN"/>
            </w:rPr>
          </w:pPr>
          <w:hyperlink w:anchor="_Toc153457806" w:history="1">
            <w:r w:rsidR="004C7427" w:rsidRPr="0015490A">
              <w:rPr>
                <w:rStyle w:val="Hyperlink"/>
                <w:rFonts w:ascii="Arial" w:hAnsi="Arial" w:cs="Arial"/>
                <w:noProof/>
              </w:rPr>
              <w:t>5.1 Framework Overview</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_Toc153457806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12</w:t>
            </w:r>
            <w:r w:rsidR="004C7427" w:rsidRPr="0015490A">
              <w:rPr>
                <w:rFonts w:ascii="Arial" w:hAnsi="Arial" w:cs="Arial"/>
                <w:noProof/>
                <w:webHidden/>
              </w:rPr>
              <w:fldChar w:fldCharType="end"/>
            </w:r>
          </w:hyperlink>
        </w:p>
        <w:p w14:paraId="0EEF9F85" w14:textId="523B9EE5" w:rsidR="004C7427" w:rsidRPr="0015490A" w:rsidRDefault="00000000">
          <w:pPr>
            <w:pStyle w:val="TOC1"/>
            <w:tabs>
              <w:tab w:val="right" w:leader="dot" w:pos="9016"/>
            </w:tabs>
            <w:rPr>
              <w:rFonts w:ascii="Arial" w:eastAsiaTheme="minorEastAsia" w:hAnsi="Arial" w:cs="Arial"/>
              <w:noProof/>
              <w:lang w:val="en-IN" w:eastAsia="en-IN"/>
            </w:rPr>
          </w:pPr>
          <w:hyperlink w:anchor="_Toc153457807" w:history="1">
            <w:r w:rsidR="004C7427" w:rsidRPr="0015490A">
              <w:rPr>
                <w:rStyle w:val="Hyperlink"/>
                <w:rFonts w:ascii="Arial" w:hAnsi="Arial" w:cs="Arial"/>
                <w:noProof/>
              </w:rPr>
              <w:t>6. Security Policies and Procedures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_Toc153457807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14</w:t>
            </w:r>
            <w:r w:rsidR="004C7427" w:rsidRPr="0015490A">
              <w:rPr>
                <w:rFonts w:ascii="Arial" w:hAnsi="Arial" w:cs="Arial"/>
                <w:noProof/>
                <w:webHidden/>
              </w:rPr>
              <w:fldChar w:fldCharType="end"/>
            </w:r>
          </w:hyperlink>
        </w:p>
        <w:p w14:paraId="19C76DDC" w14:textId="729E3829" w:rsidR="004C7427" w:rsidRPr="0015490A" w:rsidRDefault="00000000">
          <w:pPr>
            <w:pStyle w:val="TOC2"/>
            <w:tabs>
              <w:tab w:val="right" w:leader="dot" w:pos="9016"/>
            </w:tabs>
            <w:rPr>
              <w:rFonts w:ascii="Arial" w:eastAsiaTheme="minorEastAsia" w:hAnsi="Arial" w:cs="Arial"/>
              <w:noProof/>
              <w:lang w:val="en-IN" w:eastAsia="en-IN"/>
            </w:rPr>
          </w:pPr>
          <w:hyperlink w:anchor="_Toc153457808" w:history="1">
            <w:r w:rsidR="004C7427" w:rsidRPr="0015490A">
              <w:rPr>
                <w:rStyle w:val="Hyperlink"/>
                <w:rFonts w:ascii="Arial" w:hAnsi="Arial" w:cs="Arial"/>
                <w:noProof/>
              </w:rPr>
              <w:t>6.1 Development of Security Policies and Procedures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_Toc153457808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14</w:t>
            </w:r>
            <w:r w:rsidR="004C7427" w:rsidRPr="0015490A">
              <w:rPr>
                <w:rFonts w:ascii="Arial" w:hAnsi="Arial" w:cs="Arial"/>
                <w:noProof/>
                <w:webHidden/>
              </w:rPr>
              <w:fldChar w:fldCharType="end"/>
            </w:r>
          </w:hyperlink>
        </w:p>
        <w:p w14:paraId="12CE61C6" w14:textId="55CF4B38" w:rsidR="004C7427" w:rsidRPr="0015490A" w:rsidRDefault="00000000">
          <w:pPr>
            <w:pStyle w:val="TOC1"/>
            <w:tabs>
              <w:tab w:val="right" w:leader="dot" w:pos="9016"/>
            </w:tabs>
            <w:rPr>
              <w:rFonts w:ascii="Arial" w:eastAsiaTheme="minorEastAsia" w:hAnsi="Arial" w:cs="Arial"/>
              <w:noProof/>
              <w:lang w:val="en-IN" w:eastAsia="en-IN"/>
            </w:rPr>
          </w:pPr>
          <w:hyperlink w:anchor="_Toc153457809" w:history="1">
            <w:r w:rsidR="004C7427" w:rsidRPr="0015490A">
              <w:rPr>
                <w:rStyle w:val="Hyperlink"/>
                <w:rFonts w:ascii="Arial" w:hAnsi="Arial" w:cs="Arial"/>
                <w:noProof/>
              </w:rPr>
              <w:t>7. Risk Management</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_Toc153457809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15</w:t>
            </w:r>
            <w:r w:rsidR="004C7427" w:rsidRPr="0015490A">
              <w:rPr>
                <w:rFonts w:ascii="Arial" w:hAnsi="Arial" w:cs="Arial"/>
                <w:noProof/>
                <w:webHidden/>
              </w:rPr>
              <w:fldChar w:fldCharType="end"/>
            </w:r>
          </w:hyperlink>
        </w:p>
        <w:p w14:paraId="12899C09" w14:textId="43A4A0FA" w:rsidR="004C7427" w:rsidRPr="0015490A" w:rsidRDefault="00000000">
          <w:pPr>
            <w:pStyle w:val="TOC2"/>
            <w:tabs>
              <w:tab w:val="right" w:leader="dot" w:pos="9016"/>
            </w:tabs>
            <w:rPr>
              <w:rFonts w:ascii="Arial" w:eastAsiaTheme="minorEastAsia" w:hAnsi="Arial" w:cs="Arial"/>
              <w:noProof/>
              <w:lang w:val="en-IN" w:eastAsia="en-IN"/>
            </w:rPr>
          </w:pPr>
          <w:hyperlink w:anchor="_Toc153457810" w:history="1">
            <w:r w:rsidR="004C7427" w:rsidRPr="0015490A">
              <w:rPr>
                <w:rStyle w:val="Hyperlink"/>
                <w:rFonts w:ascii="Arial" w:hAnsi="Arial" w:cs="Arial"/>
                <w:noProof/>
              </w:rPr>
              <w:t>7.1 Approach to Identifying Security Risks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_Toc153457810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15</w:t>
            </w:r>
            <w:r w:rsidR="004C7427" w:rsidRPr="0015490A">
              <w:rPr>
                <w:rFonts w:ascii="Arial" w:hAnsi="Arial" w:cs="Arial"/>
                <w:noProof/>
                <w:webHidden/>
              </w:rPr>
              <w:fldChar w:fldCharType="end"/>
            </w:r>
          </w:hyperlink>
        </w:p>
        <w:p w14:paraId="4433B41A" w14:textId="47EE2F57" w:rsidR="004C7427" w:rsidRPr="0015490A" w:rsidRDefault="00000000">
          <w:pPr>
            <w:pStyle w:val="TOC2"/>
            <w:tabs>
              <w:tab w:val="right" w:leader="dot" w:pos="9016"/>
            </w:tabs>
            <w:rPr>
              <w:rFonts w:ascii="Arial" w:eastAsiaTheme="minorEastAsia" w:hAnsi="Arial" w:cs="Arial"/>
              <w:noProof/>
              <w:lang w:val="en-IN" w:eastAsia="en-IN"/>
            </w:rPr>
          </w:pPr>
          <w:hyperlink w:anchor="_Toc153457811" w:history="1">
            <w:r w:rsidR="004C7427" w:rsidRPr="0015490A">
              <w:rPr>
                <w:rStyle w:val="Hyperlink"/>
                <w:rFonts w:ascii="Arial" w:hAnsi="Arial" w:cs="Arial"/>
                <w:noProof/>
              </w:rPr>
              <w:t>7.2 Strategies for Prioritizing and Addressing Security Risks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_Toc153457811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15</w:t>
            </w:r>
            <w:r w:rsidR="004C7427" w:rsidRPr="0015490A">
              <w:rPr>
                <w:rFonts w:ascii="Arial" w:hAnsi="Arial" w:cs="Arial"/>
                <w:noProof/>
                <w:webHidden/>
              </w:rPr>
              <w:fldChar w:fldCharType="end"/>
            </w:r>
          </w:hyperlink>
        </w:p>
        <w:p w14:paraId="0E911115" w14:textId="697F1F20" w:rsidR="004C7427" w:rsidRPr="0015490A" w:rsidRDefault="00000000">
          <w:pPr>
            <w:pStyle w:val="TOC1"/>
            <w:tabs>
              <w:tab w:val="right" w:leader="dot" w:pos="9016"/>
            </w:tabs>
            <w:rPr>
              <w:rFonts w:ascii="Arial" w:eastAsiaTheme="minorEastAsia" w:hAnsi="Arial" w:cs="Arial"/>
              <w:noProof/>
              <w:lang w:val="en-IN" w:eastAsia="en-IN"/>
            </w:rPr>
          </w:pPr>
          <w:hyperlink w:anchor="_Toc153457812" w:history="1">
            <w:r w:rsidR="004C7427" w:rsidRPr="0015490A">
              <w:rPr>
                <w:rStyle w:val="Hyperlink"/>
                <w:rFonts w:ascii="Arial" w:hAnsi="Arial" w:cs="Arial"/>
                <w:noProof/>
              </w:rPr>
              <w:t>8. Intellectual Property Protection</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_Toc153457812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16</w:t>
            </w:r>
            <w:r w:rsidR="004C7427" w:rsidRPr="0015490A">
              <w:rPr>
                <w:rFonts w:ascii="Arial" w:hAnsi="Arial" w:cs="Arial"/>
                <w:noProof/>
                <w:webHidden/>
              </w:rPr>
              <w:fldChar w:fldCharType="end"/>
            </w:r>
          </w:hyperlink>
        </w:p>
        <w:p w14:paraId="6E48F89D" w14:textId="5854EC07" w:rsidR="004C7427" w:rsidRPr="0015490A" w:rsidRDefault="00000000">
          <w:pPr>
            <w:pStyle w:val="TOC2"/>
            <w:tabs>
              <w:tab w:val="right" w:leader="dot" w:pos="9016"/>
            </w:tabs>
            <w:rPr>
              <w:rFonts w:ascii="Arial" w:eastAsiaTheme="minorEastAsia" w:hAnsi="Arial" w:cs="Arial"/>
              <w:noProof/>
              <w:lang w:val="en-IN" w:eastAsia="en-IN"/>
            </w:rPr>
          </w:pPr>
          <w:hyperlink w:anchor="_Toc153457813" w:history="1">
            <w:r w:rsidR="004C7427" w:rsidRPr="0015490A">
              <w:rPr>
                <w:rStyle w:val="Hyperlink"/>
                <w:rFonts w:ascii="Arial" w:hAnsi="Arial" w:cs="Arial"/>
                <w:noProof/>
              </w:rPr>
              <w:t>8.1 Digital Rights Management (DRM)</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_Toc153457813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16</w:t>
            </w:r>
            <w:r w:rsidR="004C7427" w:rsidRPr="0015490A">
              <w:rPr>
                <w:rFonts w:ascii="Arial" w:hAnsi="Arial" w:cs="Arial"/>
                <w:noProof/>
                <w:webHidden/>
              </w:rPr>
              <w:fldChar w:fldCharType="end"/>
            </w:r>
          </w:hyperlink>
        </w:p>
        <w:p w14:paraId="0076A2C3" w14:textId="650A224B" w:rsidR="004C7427" w:rsidRPr="0015490A" w:rsidRDefault="00000000">
          <w:pPr>
            <w:pStyle w:val="TOC2"/>
            <w:tabs>
              <w:tab w:val="right" w:leader="dot" w:pos="9016"/>
            </w:tabs>
            <w:rPr>
              <w:rFonts w:ascii="Arial" w:eastAsiaTheme="minorEastAsia" w:hAnsi="Arial" w:cs="Arial"/>
              <w:noProof/>
              <w:lang w:val="en-IN" w:eastAsia="en-IN"/>
            </w:rPr>
          </w:pPr>
          <w:hyperlink w:anchor="_Toc153457814" w:history="1">
            <w:r w:rsidR="004C7427" w:rsidRPr="0015490A">
              <w:rPr>
                <w:rStyle w:val="Hyperlink"/>
                <w:rFonts w:ascii="Arial" w:hAnsi="Arial" w:cs="Arial"/>
                <w:noProof/>
              </w:rPr>
              <w:t>8.2 Safeguards for Intellectual Property</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_Toc153457814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16</w:t>
            </w:r>
            <w:r w:rsidR="004C7427" w:rsidRPr="0015490A">
              <w:rPr>
                <w:rFonts w:ascii="Arial" w:hAnsi="Arial" w:cs="Arial"/>
                <w:noProof/>
                <w:webHidden/>
              </w:rPr>
              <w:fldChar w:fldCharType="end"/>
            </w:r>
          </w:hyperlink>
        </w:p>
        <w:p w14:paraId="624ED2E7" w14:textId="7BCA5E71" w:rsidR="004C7427" w:rsidRPr="0015490A" w:rsidRDefault="00000000">
          <w:pPr>
            <w:pStyle w:val="TOC1"/>
            <w:tabs>
              <w:tab w:val="right" w:leader="dot" w:pos="9016"/>
            </w:tabs>
            <w:rPr>
              <w:rFonts w:ascii="Arial" w:eastAsiaTheme="minorEastAsia" w:hAnsi="Arial" w:cs="Arial"/>
              <w:noProof/>
              <w:lang w:val="en-IN" w:eastAsia="en-IN"/>
            </w:rPr>
          </w:pPr>
          <w:hyperlink w:anchor="_Toc153457815" w:history="1">
            <w:r w:rsidR="004C7427" w:rsidRPr="0015490A">
              <w:rPr>
                <w:rStyle w:val="Hyperlink"/>
                <w:rFonts w:ascii="Arial" w:hAnsi="Arial" w:cs="Arial"/>
                <w:noProof/>
              </w:rPr>
              <w:t>9. Protection Mechanisms and Controls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_Toc153457815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17</w:t>
            </w:r>
            <w:r w:rsidR="004C7427" w:rsidRPr="0015490A">
              <w:rPr>
                <w:rFonts w:ascii="Arial" w:hAnsi="Arial" w:cs="Arial"/>
                <w:noProof/>
                <w:webHidden/>
              </w:rPr>
              <w:fldChar w:fldCharType="end"/>
            </w:r>
          </w:hyperlink>
        </w:p>
        <w:p w14:paraId="04FDCD60" w14:textId="575EEB38" w:rsidR="004C7427" w:rsidRPr="0015490A" w:rsidRDefault="00000000">
          <w:pPr>
            <w:pStyle w:val="TOC1"/>
            <w:tabs>
              <w:tab w:val="right" w:leader="dot" w:pos="9016"/>
            </w:tabs>
            <w:rPr>
              <w:rFonts w:ascii="Arial" w:eastAsiaTheme="minorEastAsia" w:hAnsi="Arial" w:cs="Arial"/>
              <w:noProof/>
              <w:lang w:val="en-IN" w:eastAsia="en-IN"/>
            </w:rPr>
          </w:pPr>
          <w:hyperlink w:anchor="_Toc153457816" w:history="1">
            <w:r w:rsidR="004C7427" w:rsidRPr="0015490A">
              <w:rPr>
                <w:rStyle w:val="Hyperlink"/>
                <w:rFonts w:ascii="Arial" w:hAnsi="Arial" w:cs="Arial"/>
                <w:noProof/>
              </w:rPr>
              <w:t>10. Service Level Agreements (SLAs)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_Toc153457816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18</w:t>
            </w:r>
            <w:r w:rsidR="004C7427" w:rsidRPr="0015490A">
              <w:rPr>
                <w:rFonts w:ascii="Arial" w:hAnsi="Arial" w:cs="Arial"/>
                <w:noProof/>
                <w:webHidden/>
              </w:rPr>
              <w:fldChar w:fldCharType="end"/>
            </w:r>
          </w:hyperlink>
        </w:p>
        <w:p w14:paraId="17BC9892" w14:textId="6AAFE3EF" w:rsidR="004C7427" w:rsidRPr="0015490A" w:rsidRDefault="00000000">
          <w:pPr>
            <w:pStyle w:val="TOC2"/>
            <w:tabs>
              <w:tab w:val="right" w:leader="dot" w:pos="9016"/>
            </w:tabs>
            <w:rPr>
              <w:rFonts w:ascii="Arial" w:eastAsiaTheme="minorEastAsia" w:hAnsi="Arial" w:cs="Arial"/>
              <w:noProof/>
              <w:lang w:val="en-IN" w:eastAsia="en-IN"/>
            </w:rPr>
          </w:pPr>
          <w:hyperlink w:anchor="_Toc153457817" w:history="1">
            <w:r w:rsidR="004C7427" w:rsidRPr="0015490A">
              <w:rPr>
                <w:rStyle w:val="Hyperlink"/>
                <w:rFonts w:ascii="Arial" w:hAnsi="Arial" w:cs="Arial"/>
                <w:noProof/>
              </w:rPr>
              <w:t>10.1 Role of SLAs in Data and Service Integrity</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_Toc153457817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18</w:t>
            </w:r>
            <w:r w:rsidR="004C7427" w:rsidRPr="0015490A">
              <w:rPr>
                <w:rFonts w:ascii="Arial" w:hAnsi="Arial" w:cs="Arial"/>
                <w:noProof/>
                <w:webHidden/>
              </w:rPr>
              <w:fldChar w:fldCharType="end"/>
            </w:r>
          </w:hyperlink>
        </w:p>
        <w:p w14:paraId="3935D176" w14:textId="6ECB832B" w:rsidR="004C7427" w:rsidRPr="0015490A" w:rsidRDefault="00000000">
          <w:pPr>
            <w:pStyle w:val="TOC1"/>
            <w:tabs>
              <w:tab w:val="right" w:leader="dot" w:pos="9016"/>
            </w:tabs>
            <w:rPr>
              <w:rFonts w:ascii="Arial" w:eastAsiaTheme="minorEastAsia" w:hAnsi="Arial" w:cs="Arial"/>
              <w:noProof/>
              <w:lang w:val="en-IN" w:eastAsia="en-IN"/>
            </w:rPr>
          </w:pPr>
          <w:hyperlink w:anchor="_Toc153457818" w:history="1">
            <w:r w:rsidR="004C7427" w:rsidRPr="0015490A">
              <w:rPr>
                <w:rStyle w:val="Hyperlink"/>
                <w:rFonts w:ascii="Arial" w:hAnsi="Arial" w:cs="Arial"/>
                <w:noProof/>
              </w:rPr>
              <w:t>Conclusion</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_Toc153457818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19</w:t>
            </w:r>
            <w:r w:rsidR="004C7427" w:rsidRPr="0015490A">
              <w:rPr>
                <w:rFonts w:ascii="Arial" w:hAnsi="Arial" w:cs="Arial"/>
                <w:noProof/>
                <w:webHidden/>
              </w:rPr>
              <w:fldChar w:fldCharType="end"/>
            </w:r>
          </w:hyperlink>
        </w:p>
        <w:p w14:paraId="60B16D16" w14:textId="240B60FE" w:rsidR="004C7427" w:rsidRPr="0015490A" w:rsidRDefault="00000000">
          <w:pPr>
            <w:pStyle w:val="TOC1"/>
            <w:tabs>
              <w:tab w:val="right" w:leader="dot" w:pos="9016"/>
            </w:tabs>
            <w:rPr>
              <w:rFonts w:ascii="Arial" w:eastAsiaTheme="minorEastAsia" w:hAnsi="Arial" w:cs="Arial"/>
              <w:noProof/>
              <w:lang w:val="en-IN" w:eastAsia="en-IN"/>
            </w:rPr>
          </w:pPr>
          <w:hyperlink w:anchor="_Toc153457819" w:history="1">
            <w:r w:rsidR="004C7427" w:rsidRPr="0015490A">
              <w:rPr>
                <w:rStyle w:val="Hyperlink"/>
                <w:rFonts w:ascii="Arial" w:hAnsi="Arial" w:cs="Arial"/>
                <w:noProof/>
              </w:rPr>
              <w:t>References</w:t>
            </w:r>
            <w:r w:rsidR="004C7427" w:rsidRPr="0015490A">
              <w:rPr>
                <w:rFonts w:ascii="Arial" w:hAnsi="Arial" w:cs="Arial"/>
                <w:noProof/>
                <w:webHidden/>
              </w:rPr>
              <w:tab/>
            </w:r>
            <w:r w:rsidR="004C7427" w:rsidRPr="0015490A">
              <w:rPr>
                <w:rFonts w:ascii="Arial" w:hAnsi="Arial" w:cs="Arial"/>
                <w:noProof/>
                <w:webHidden/>
              </w:rPr>
              <w:fldChar w:fldCharType="begin"/>
            </w:r>
            <w:r w:rsidR="004C7427" w:rsidRPr="0015490A">
              <w:rPr>
                <w:rFonts w:ascii="Arial" w:hAnsi="Arial" w:cs="Arial"/>
                <w:noProof/>
                <w:webHidden/>
              </w:rPr>
              <w:instrText xml:space="preserve"> PAGEREF _Toc153457819 \h </w:instrText>
            </w:r>
            <w:r w:rsidR="004C7427" w:rsidRPr="0015490A">
              <w:rPr>
                <w:rFonts w:ascii="Arial" w:hAnsi="Arial" w:cs="Arial"/>
                <w:noProof/>
                <w:webHidden/>
              </w:rPr>
            </w:r>
            <w:r w:rsidR="004C7427" w:rsidRPr="0015490A">
              <w:rPr>
                <w:rFonts w:ascii="Arial" w:hAnsi="Arial" w:cs="Arial"/>
                <w:noProof/>
                <w:webHidden/>
              </w:rPr>
              <w:fldChar w:fldCharType="separate"/>
            </w:r>
            <w:r w:rsidR="004C7427" w:rsidRPr="0015490A">
              <w:rPr>
                <w:rFonts w:ascii="Arial" w:hAnsi="Arial" w:cs="Arial"/>
                <w:noProof/>
                <w:webHidden/>
              </w:rPr>
              <w:t>21</w:t>
            </w:r>
            <w:r w:rsidR="004C7427" w:rsidRPr="0015490A">
              <w:rPr>
                <w:rFonts w:ascii="Arial" w:hAnsi="Arial" w:cs="Arial"/>
                <w:noProof/>
                <w:webHidden/>
              </w:rPr>
              <w:fldChar w:fldCharType="end"/>
            </w:r>
          </w:hyperlink>
        </w:p>
        <w:p w14:paraId="47DCA3EA" w14:textId="6117958A" w:rsidR="003A1224" w:rsidRDefault="003A1224">
          <w:pPr>
            <w:rPr>
              <w:rFonts w:ascii="Arial" w:hAnsi="Arial" w:cs="Arial"/>
              <w:b/>
              <w:bCs/>
              <w:noProof/>
            </w:rPr>
          </w:pPr>
          <w:r w:rsidRPr="0015490A">
            <w:rPr>
              <w:rFonts w:ascii="Arial" w:hAnsi="Arial" w:cs="Arial"/>
              <w:b/>
              <w:bCs/>
              <w:noProof/>
            </w:rPr>
            <w:fldChar w:fldCharType="end"/>
          </w:r>
        </w:p>
      </w:sdtContent>
    </w:sdt>
    <w:p w14:paraId="26585BE8" w14:textId="7984E996" w:rsidR="00A91461" w:rsidRPr="0059702E" w:rsidRDefault="00A91461" w:rsidP="00A91461">
      <w:pPr>
        <w:rPr>
          <w:rFonts w:ascii="Arial" w:hAnsi="Arial" w:cs="Arial"/>
          <w:sz w:val="18"/>
          <w:szCs w:val="18"/>
        </w:rPr>
      </w:pPr>
      <w:r w:rsidRPr="000F752D">
        <w:rPr>
          <w:rFonts w:ascii="Arial" w:hAnsi="Arial" w:cs="Arial"/>
          <w:b/>
          <w:bCs/>
          <w:sz w:val="18"/>
          <w:szCs w:val="18"/>
          <w:highlight w:val="yellow"/>
        </w:rPr>
        <w:t>According to task</w:t>
      </w:r>
      <w:r w:rsidRPr="000F752D">
        <w:rPr>
          <w:rFonts w:ascii="Arial" w:hAnsi="Arial" w:cs="Arial"/>
          <w:sz w:val="18"/>
          <w:szCs w:val="18"/>
          <w:highlight w:val="yellow"/>
        </w:rPr>
        <w:t>,</w:t>
      </w:r>
      <w:r w:rsidR="004D404F" w:rsidRPr="000F752D">
        <w:rPr>
          <w:rFonts w:ascii="Arial" w:hAnsi="Arial" w:cs="Arial"/>
          <w:sz w:val="18"/>
          <w:szCs w:val="18"/>
          <w:highlight w:val="yellow"/>
        </w:rPr>
        <w:t xml:space="preserve"> the report length is around 3300</w:t>
      </w:r>
      <w:r w:rsidR="007D06F2" w:rsidRPr="000F752D">
        <w:rPr>
          <w:rFonts w:ascii="Arial" w:hAnsi="Arial" w:cs="Arial"/>
          <w:sz w:val="18"/>
          <w:szCs w:val="18"/>
          <w:highlight w:val="yellow"/>
          <w:u w:val="single"/>
        </w:rPr>
        <w:t>. Excluding index,</w:t>
      </w:r>
      <w:r w:rsidR="00FE5026" w:rsidRPr="000F752D">
        <w:rPr>
          <w:rFonts w:ascii="Arial" w:hAnsi="Arial" w:cs="Arial"/>
          <w:sz w:val="18"/>
          <w:szCs w:val="18"/>
          <w:highlight w:val="yellow"/>
          <w:u w:val="single"/>
        </w:rPr>
        <w:t xml:space="preserve"> abstract, conclusions </w:t>
      </w:r>
      <w:r w:rsidR="00AA6ECB" w:rsidRPr="000F752D">
        <w:rPr>
          <w:rFonts w:ascii="Arial" w:hAnsi="Arial" w:cs="Arial"/>
          <w:sz w:val="18"/>
          <w:szCs w:val="18"/>
          <w:highlight w:val="yellow"/>
          <w:u w:val="single"/>
        </w:rPr>
        <w:t>and references</w:t>
      </w:r>
    </w:p>
    <w:p w14:paraId="7334DE95" w14:textId="69FAB371" w:rsidR="001E42B5" w:rsidRPr="0015490A" w:rsidRDefault="003A1224" w:rsidP="003A1224">
      <w:pPr>
        <w:pStyle w:val="Heading1"/>
        <w:rPr>
          <w:rFonts w:ascii="Arial" w:hAnsi="Arial" w:cs="Arial"/>
        </w:rPr>
      </w:pPr>
      <w:bookmarkStart w:id="0" w:name="_Toc153457786"/>
      <w:r w:rsidRPr="0015490A">
        <w:rPr>
          <w:rFonts w:ascii="Arial" w:hAnsi="Arial" w:cs="Arial"/>
        </w:rPr>
        <w:lastRenderedPageBreak/>
        <w:t>Abstract</w:t>
      </w:r>
      <w:bookmarkEnd w:id="0"/>
    </w:p>
    <w:p w14:paraId="6061050D" w14:textId="77777777" w:rsidR="003A1224" w:rsidRPr="0015490A" w:rsidRDefault="003A1224" w:rsidP="003A1224">
      <w:pPr>
        <w:rPr>
          <w:rFonts w:ascii="Arial" w:hAnsi="Arial" w:cs="Arial"/>
        </w:rPr>
      </w:pPr>
      <w:r w:rsidRPr="0015490A">
        <w:rPr>
          <w:rFonts w:ascii="Arial" w:hAnsi="Arial" w:cs="Arial"/>
        </w:rPr>
        <w:t xml:space="preserve">In an era where information is the lifeblood of business, NatureGarden (NG) faces the pressing challenge of ensuring the security, governance, and compliance of its information systems. As one of the world's most sought-after brands in the domain of products promoting healthy living, NG's extensive global presence is matched by its extensive online reach and a diverse, international customer base. The company leverages cloud services to deliver IT services and operates a wireless-based network that encompasses approximately 95% of its infrastructure. </w:t>
      </w:r>
    </w:p>
    <w:p w14:paraId="050BAA3A" w14:textId="77777777" w:rsidR="003A1224" w:rsidRPr="0015490A" w:rsidRDefault="003A1224" w:rsidP="003A1224">
      <w:pPr>
        <w:rPr>
          <w:rFonts w:ascii="Arial" w:hAnsi="Arial" w:cs="Arial"/>
        </w:rPr>
      </w:pPr>
    </w:p>
    <w:p w14:paraId="2B8E3921" w14:textId="77777777" w:rsidR="003A1224" w:rsidRPr="0015490A" w:rsidRDefault="003A1224" w:rsidP="003A1224">
      <w:pPr>
        <w:rPr>
          <w:rFonts w:ascii="Arial" w:hAnsi="Arial" w:cs="Arial"/>
        </w:rPr>
      </w:pPr>
      <w:r w:rsidRPr="0015490A">
        <w:rPr>
          <w:rFonts w:ascii="Arial" w:hAnsi="Arial" w:cs="Arial"/>
        </w:rPr>
        <w:t>However, NG finds itself at a critical juncture, as the organization confronts mounting demands to allow both its staff and customers to access company resources using personal devices. This transition, while fostering convenience, has raised the stakes significantly for the security of personal staff data, client data, and safeguarding intellectual properties valued in billions. It is against this backdrop that NG recognizes the imperative need to establish a robust information security framework that is also compliant with the evolving laws and ethical standards.</w:t>
      </w:r>
    </w:p>
    <w:p w14:paraId="0A327A76" w14:textId="77777777" w:rsidR="003A1224" w:rsidRPr="0015490A" w:rsidRDefault="003A1224" w:rsidP="003A1224">
      <w:pPr>
        <w:rPr>
          <w:rFonts w:ascii="Arial" w:hAnsi="Arial" w:cs="Arial"/>
        </w:rPr>
      </w:pPr>
    </w:p>
    <w:p w14:paraId="4D90C1AE" w14:textId="0A5DF61A" w:rsidR="003A1224" w:rsidRPr="0015490A" w:rsidRDefault="003A1224" w:rsidP="003A1224">
      <w:pPr>
        <w:rPr>
          <w:rFonts w:ascii="Arial" w:hAnsi="Arial" w:cs="Arial"/>
        </w:rPr>
      </w:pPr>
      <w:r w:rsidRPr="0015490A">
        <w:rPr>
          <w:rFonts w:ascii="Arial" w:hAnsi="Arial" w:cs="Arial"/>
        </w:rPr>
        <w:t xml:space="preserve">This report delves into a comprehensive analysis of NG's current information security landscape, identifies critical compliance considerations, and proposes </w:t>
      </w:r>
      <w:r w:rsidR="00D1039F" w:rsidRPr="0015490A">
        <w:rPr>
          <w:rFonts w:ascii="Arial" w:hAnsi="Arial" w:cs="Arial"/>
        </w:rPr>
        <w:t>a comprehensive approach</w:t>
      </w:r>
      <w:r w:rsidRPr="0015490A">
        <w:rPr>
          <w:rFonts w:ascii="Arial" w:hAnsi="Arial" w:cs="Arial"/>
        </w:rPr>
        <w:t xml:space="preserve"> to enhance information system security, governance, and compliance. Drawing from established frameworks and best practices such as ITIL and ISO 27000, the report outlines a structured security model encompassing governance, policies, risk management, protection mechanisms, contingency planning, and service level agreements. The proposed approach aims to align NG's security posture with its strategic goals, ensure legal and ethical compliance, protect sensitive data and intellectual property, and establish mechanisms for continuous monitoring and improvement.</w:t>
      </w:r>
    </w:p>
    <w:p w14:paraId="45630E9F" w14:textId="77777777" w:rsidR="003A1224" w:rsidRPr="0015490A" w:rsidRDefault="003A1224" w:rsidP="003A1224">
      <w:pPr>
        <w:rPr>
          <w:rFonts w:ascii="Arial" w:hAnsi="Arial" w:cs="Arial"/>
        </w:rPr>
      </w:pPr>
    </w:p>
    <w:p w14:paraId="33AE0FE5" w14:textId="69D5B6B2" w:rsidR="003A1224" w:rsidRPr="0015490A" w:rsidRDefault="003A1224" w:rsidP="003A1224">
      <w:pPr>
        <w:rPr>
          <w:rFonts w:ascii="Arial" w:hAnsi="Arial" w:cs="Arial"/>
        </w:rPr>
      </w:pPr>
      <w:r w:rsidRPr="0015490A">
        <w:rPr>
          <w:rFonts w:ascii="Arial" w:hAnsi="Arial" w:cs="Arial"/>
        </w:rPr>
        <w:t>By adopting these measures and customizing them to its unique needs, NG can navigate the complex landscape of information security while maintaining the trust and satisfaction of its clients, employees, and stakeholders. The report underscores the importance of adapting to the ever-evolving security landscape, emphasizing the value of updated regulations and standards as well as the ongoing commitment to information security, governance, and compliance.</w:t>
      </w:r>
    </w:p>
    <w:p w14:paraId="2233A84C" w14:textId="46D7C24D" w:rsidR="003A1224" w:rsidRPr="0015490A" w:rsidRDefault="003A1224" w:rsidP="003A1224">
      <w:pPr>
        <w:rPr>
          <w:rFonts w:ascii="Arial" w:hAnsi="Arial" w:cs="Arial"/>
        </w:rPr>
      </w:pPr>
      <w:r w:rsidRPr="0015490A">
        <w:rPr>
          <w:rFonts w:ascii="Arial" w:hAnsi="Arial" w:cs="Arial"/>
        </w:rPr>
        <w:t>This abstract provides a concise overview of the report's key points and highlights the significance of addressing NG's information security and compliance challenges.</w:t>
      </w:r>
    </w:p>
    <w:p w14:paraId="5E45EA53" w14:textId="77777777" w:rsidR="003A1224" w:rsidRPr="0015490A" w:rsidRDefault="003A1224">
      <w:pPr>
        <w:rPr>
          <w:rFonts w:ascii="Arial" w:hAnsi="Arial" w:cs="Arial"/>
        </w:rPr>
      </w:pPr>
      <w:r w:rsidRPr="0015490A">
        <w:rPr>
          <w:rFonts w:ascii="Arial" w:hAnsi="Arial" w:cs="Arial"/>
        </w:rPr>
        <w:br w:type="page"/>
      </w:r>
    </w:p>
    <w:p w14:paraId="23FFB3EA" w14:textId="40C9750A" w:rsidR="003A1224" w:rsidRPr="0015490A" w:rsidRDefault="00E829FE" w:rsidP="003A1224">
      <w:pPr>
        <w:pStyle w:val="Heading1"/>
        <w:rPr>
          <w:rFonts w:ascii="Arial" w:hAnsi="Arial" w:cs="Arial"/>
        </w:rPr>
      </w:pPr>
      <w:bookmarkStart w:id="1" w:name="_Toc153457787"/>
      <w:bookmarkStart w:id="2" w:name="_Hlk153457821"/>
      <w:r w:rsidRPr="0015490A">
        <w:rPr>
          <w:rFonts w:ascii="Arial" w:hAnsi="Arial" w:cs="Arial"/>
        </w:rPr>
        <w:lastRenderedPageBreak/>
        <w:t xml:space="preserve">1. </w:t>
      </w:r>
      <w:r w:rsidR="003A1224" w:rsidRPr="0015490A">
        <w:rPr>
          <w:rFonts w:ascii="Arial" w:hAnsi="Arial" w:cs="Arial"/>
        </w:rPr>
        <w:t>Introduction</w:t>
      </w:r>
      <w:bookmarkEnd w:id="1"/>
    </w:p>
    <w:p w14:paraId="2AA743C8" w14:textId="20A40040" w:rsidR="003A1224" w:rsidRPr="0015490A" w:rsidRDefault="003A1224" w:rsidP="003A1224">
      <w:pPr>
        <w:rPr>
          <w:rFonts w:ascii="Arial" w:hAnsi="Arial" w:cs="Arial"/>
        </w:rPr>
      </w:pPr>
      <w:r w:rsidRPr="0015490A">
        <w:rPr>
          <w:rFonts w:ascii="Arial" w:hAnsi="Arial" w:cs="Arial"/>
        </w:rPr>
        <w:t>In the age of digital transformation, information security, governance, and compliance have emerged as paramount concerns for organizations across industries. For NatureGarden (NG), a globally renowned brand specializing in products that promote healthy living, the safeguarding of information assets, the establishment of effective governance, and compliance with legal and ethical standards have become imperative. This report seeks to address these concerns by providing a comprehensive analysis of NG's current information security landscape, a roadmap for governance and compliance, and actionable recommendations to enhance the integrity and resilience of its information systems.</w:t>
      </w:r>
      <w:r w:rsidR="00D1039F" w:rsidRPr="0015490A">
        <w:rPr>
          <w:rFonts w:ascii="Arial" w:hAnsi="Arial" w:cs="Arial"/>
        </w:rPr>
        <w:t>[1]</w:t>
      </w:r>
    </w:p>
    <w:p w14:paraId="6DE01197" w14:textId="77777777" w:rsidR="003A1224" w:rsidRPr="0015490A" w:rsidRDefault="003A1224" w:rsidP="003A1224">
      <w:pPr>
        <w:rPr>
          <w:rFonts w:ascii="Arial" w:hAnsi="Arial" w:cs="Arial"/>
          <w:sz w:val="24"/>
          <w:szCs w:val="24"/>
        </w:rPr>
      </w:pPr>
    </w:p>
    <w:p w14:paraId="480FC810" w14:textId="19B797C3" w:rsidR="003A1224" w:rsidRPr="0015490A" w:rsidRDefault="00E829FE" w:rsidP="00A55480">
      <w:pPr>
        <w:pStyle w:val="Heading2"/>
      </w:pPr>
      <w:bookmarkStart w:id="3" w:name="_Toc153457788"/>
      <w:r w:rsidRPr="0015490A">
        <w:t xml:space="preserve">1.1 </w:t>
      </w:r>
      <w:r w:rsidR="003A1224" w:rsidRPr="0015490A">
        <w:t>Challenges in Information Security</w:t>
      </w:r>
      <w:bookmarkEnd w:id="3"/>
    </w:p>
    <w:p w14:paraId="207AF18B" w14:textId="77777777" w:rsidR="003A1224" w:rsidRPr="0015490A" w:rsidRDefault="003A1224" w:rsidP="003A1224">
      <w:pPr>
        <w:rPr>
          <w:rFonts w:ascii="Arial" w:hAnsi="Arial" w:cs="Arial"/>
        </w:rPr>
      </w:pPr>
    </w:p>
    <w:p w14:paraId="738C94A0" w14:textId="31304E5C" w:rsidR="003A1224" w:rsidRPr="0015490A" w:rsidRDefault="003A1224" w:rsidP="003A1224">
      <w:pPr>
        <w:rPr>
          <w:rFonts w:ascii="Arial" w:hAnsi="Arial" w:cs="Arial"/>
        </w:rPr>
      </w:pPr>
      <w:r w:rsidRPr="0015490A">
        <w:rPr>
          <w:rFonts w:ascii="Arial" w:hAnsi="Arial" w:cs="Arial"/>
        </w:rPr>
        <w:t>One of the most significant challenges NG faces today is the increasing pressure to allow both its staff and customers to access its network and resources using personal devices. While this transition represents a critical step in fostering accessibility and user convenience, it simultaneously poses an elevated risk to the security of personal staff data, sensitive client information, and the preservation of intellectual properties valued in the billions. These challenges culminate in a pressing need for NG to establish a comprehensive information security framework that ensures the confidentiality, integrity, and availability of data, while simultaneously adhering to legal requirements and ethical standards.</w:t>
      </w:r>
      <w:r w:rsidR="00D1039F" w:rsidRPr="0015490A">
        <w:rPr>
          <w:rFonts w:ascii="Arial" w:hAnsi="Arial" w:cs="Arial"/>
        </w:rPr>
        <w:t>[2]</w:t>
      </w:r>
    </w:p>
    <w:p w14:paraId="732EABBE" w14:textId="77777777" w:rsidR="003A1224" w:rsidRPr="0015490A" w:rsidRDefault="003A1224" w:rsidP="003A1224">
      <w:pPr>
        <w:rPr>
          <w:rFonts w:ascii="Arial" w:hAnsi="Arial" w:cs="Arial"/>
        </w:rPr>
      </w:pPr>
    </w:p>
    <w:p w14:paraId="607F8E55" w14:textId="75DD7867" w:rsidR="003A1224" w:rsidRPr="0015490A" w:rsidRDefault="00E829FE" w:rsidP="00A55480">
      <w:pPr>
        <w:pStyle w:val="Heading2"/>
      </w:pPr>
      <w:bookmarkStart w:id="4" w:name="_Toc153457789"/>
      <w:r w:rsidRPr="0015490A">
        <w:t xml:space="preserve">1.2 </w:t>
      </w:r>
      <w:r w:rsidR="003A1224" w:rsidRPr="0015490A">
        <w:t>Objectives of the Report</w:t>
      </w:r>
      <w:bookmarkEnd w:id="4"/>
    </w:p>
    <w:p w14:paraId="18844BE4" w14:textId="77777777" w:rsidR="003A1224" w:rsidRPr="0015490A" w:rsidRDefault="003A1224" w:rsidP="003A1224">
      <w:pPr>
        <w:rPr>
          <w:rFonts w:ascii="Arial" w:hAnsi="Arial" w:cs="Arial"/>
        </w:rPr>
      </w:pPr>
    </w:p>
    <w:p w14:paraId="26602AB8" w14:textId="72AB3BC7" w:rsidR="003A1224" w:rsidRPr="0015490A" w:rsidRDefault="003A1224" w:rsidP="003A1224">
      <w:pPr>
        <w:rPr>
          <w:rFonts w:ascii="Arial" w:hAnsi="Arial" w:cs="Arial"/>
        </w:rPr>
      </w:pPr>
      <w:r w:rsidRPr="0015490A">
        <w:rPr>
          <w:rFonts w:ascii="Arial" w:hAnsi="Arial" w:cs="Arial"/>
        </w:rPr>
        <w:t xml:space="preserve">The </w:t>
      </w:r>
      <w:r w:rsidR="00AB7B06">
        <w:rPr>
          <w:rFonts w:ascii="Arial" w:hAnsi="Arial" w:cs="Arial"/>
        </w:rPr>
        <w:t>main</w:t>
      </w:r>
      <w:r w:rsidRPr="0015490A">
        <w:rPr>
          <w:rFonts w:ascii="Arial" w:hAnsi="Arial" w:cs="Arial"/>
        </w:rPr>
        <w:t xml:space="preserve"> </w:t>
      </w:r>
      <w:r w:rsidR="00AB7B06">
        <w:rPr>
          <w:rFonts w:ascii="Arial" w:hAnsi="Arial" w:cs="Arial"/>
        </w:rPr>
        <w:t>aims</w:t>
      </w:r>
      <w:r w:rsidRPr="0015490A">
        <w:rPr>
          <w:rFonts w:ascii="Arial" w:hAnsi="Arial" w:cs="Arial"/>
        </w:rPr>
        <w:t xml:space="preserve"> of this report are threefold:</w:t>
      </w:r>
    </w:p>
    <w:p w14:paraId="6B5C2F8B" w14:textId="23589325" w:rsidR="003A1224" w:rsidRPr="0015490A" w:rsidRDefault="003A1224" w:rsidP="003A1224">
      <w:pPr>
        <w:rPr>
          <w:rFonts w:ascii="Arial" w:hAnsi="Arial" w:cs="Arial"/>
        </w:rPr>
      </w:pPr>
      <w:r w:rsidRPr="0015490A">
        <w:rPr>
          <w:rFonts w:ascii="Arial" w:hAnsi="Arial" w:cs="Arial"/>
          <w:b/>
          <w:bCs/>
        </w:rPr>
        <w:t xml:space="preserve">1. Analysis of the Current Information Security Landscape: </w:t>
      </w:r>
      <w:r w:rsidRPr="0015490A">
        <w:rPr>
          <w:rFonts w:ascii="Arial" w:hAnsi="Arial" w:cs="Arial"/>
        </w:rPr>
        <w:t>To provide an in-depth examination of NG's existing information security environment, identifying strengths, weaknesses, and areas of concern.</w:t>
      </w:r>
    </w:p>
    <w:p w14:paraId="63CD3480" w14:textId="20E08166" w:rsidR="003A1224" w:rsidRPr="0015490A" w:rsidRDefault="003A1224" w:rsidP="003A1224">
      <w:pPr>
        <w:rPr>
          <w:rFonts w:ascii="Arial" w:hAnsi="Arial" w:cs="Arial"/>
        </w:rPr>
      </w:pPr>
      <w:r w:rsidRPr="0015490A">
        <w:rPr>
          <w:rFonts w:ascii="Arial" w:hAnsi="Arial" w:cs="Arial"/>
          <w:b/>
          <w:bCs/>
        </w:rPr>
        <w:t>2. Proposal of a Holistic Information Security Approach:</w:t>
      </w:r>
      <w:r w:rsidRPr="0015490A">
        <w:rPr>
          <w:rFonts w:ascii="Arial" w:hAnsi="Arial" w:cs="Arial"/>
        </w:rPr>
        <w:t xml:space="preserve"> To propose a structured and comprehensive approach to information system security, governance, and compliance that aligns with NG's strategic goals.</w:t>
      </w:r>
    </w:p>
    <w:p w14:paraId="62540A66" w14:textId="0CB196E6" w:rsidR="003A1224" w:rsidRPr="0015490A" w:rsidRDefault="003A1224" w:rsidP="003A1224">
      <w:pPr>
        <w:rPr>
          <w:rFonts w:ascii="Arial" w:hAnsi="Arial" w:cs="Arial"/>
        </w:rPr>
      </w:pPr>
      <w:r w:rsidRPr="0015490A">
        <w:rPr>
          <w:rFonts w:ascii="Arial" w:hAnsi="Arial" w:cs="Arial"/>
          <w:b/>
          <w:bCs/>
        </w:rPr>
        <w:t xml:space="preserve">3. Recommendations for Action: </w:t>
      </w:r>
      <w:r w:rsidRPr="0015490A">
        <w:rPr>
          <w:rFonts w:ascii="Arial" w:hAnsi="Arial" w:cs="Arial"/>
        </w:rPr>
        <w:t>To present actionable recommendations based on recognized security frameworks, best practices, and a thorough understanding of NG's unique context, enabling the organization to navigate the intricate landscape of information security while maintaining client trust and satisfaction.</w:t>
      </w:r>
    </w:p>
    <w:p w14:paraId="0ECC1895" w14:textId="6B3140F3" w:rsidR="003A1224" w:rsidRPr="0015490A" w:rsidRDefault="003A1224" w:rsidP="003A1224">
      <w:pPr>
        <w:rPr>
          <w:rFonts w:ascii="Arial" w:hAnsi="Arial" w:cs="Arial"/>
        </w:rPr>
      </w:pPr>
    </w:p>
    <w:p w14:paraId="5B95A336" w14:textId="77777777" w:rsidR="003A1224" w:rsidRPr="0015490A" w:rsidRDefault="003A1224">
      <w:pPr>
        <w:rPr>
          <w:rFonts w:ascii="Arial" w:hAnsi="Arial" w:cs="Arial"/>
        </w:rPr>
      </w:pPr>
      <w:r w:rsidRPr="0015490A">
        <w:rPr>
          <w:rFonts w:ascii="Arial" w:hAnsi="Arial" w:cs="Arial"/>
        </w:rPr>
        <w:br w:type="page"/>
      </w:r>
    </w:p>
    <w:p w14:paraId="3B15FE28" w14:textId="6F293B61" w:rsidR="00A24938" w:rsidRPr="0015490A" w:rsidRDefault="00E829FE" w:rsidP="00A24938">
      <w:pPr>
        <w:pStyle w:val="Heading1"/>
        <w:rPr>
          <w:rFonts w:ascii="Arial" w:hAnsi="Arial" w:cs="Arial"/>
        </w:rPr>
      </w:pPr>
      <w:bookmarkStart w:id="5" w:name="_Toc153457790"/>
      <w:r w:rsidRPr="0015490A">
        <w:rPr>
          <w:rFonts w:ascii="Arial" w:hAnsi="Arial" w:cs="Arial"/>
        </w:rPr>
        <w:lastRenderedPageBreak/>
        <w:t xml:space="preserve">2. </w:t>
      </w:r>
      <w:r w:rsidR="00A24938" w:rsidRPr="0015490A">
        <w:rPr>
          <w:rFonts w:ascii="Arial" w:hAnsi="Arial" w:cs="Arial"/>
        </w:rPr>
        <w:t>Literature Review</w:t>
      </w:r>
      <w:bookmarkEnd w:id="5"/>
    </w:p>
    <w:p w14:paraId="75C63397" w14:textId="6B23B823" w:rsidR="00A24938" w:rsidRPr="0015490A" w:rsidRDefault="00F674B1" w:rsidP="00A24938">
      <w:pPr>
        <w:rPr>
          <w:rFonts w:ascii="Arial" w:hAnsi="Arial" w:cs="Arial"/>
        </w:rPr>
      </w:pPr>
      <w:r w:rsidRPr="0015490A">
        <w:rPr>
          <w:rFonts w:ascii="Arial" w:hAnsi="Arial" w:cs="Arial"/>
        </w:rPr>
        <w:t>In the realm of information security and compliance, organizations turn to established frameworks like ITIL, ISO 27000 series, and more for guidance. These frameworks are key in safeguarding digital assets, ensuring governance, and meeting legal standards. This review delves into these frameworks, outlining fundamental concepts in information security, governance, and compliance.</w:t>
      </w:r>
    </w:p>
    <w:p w14:paraId="4FB61E04" w14:textId="56446B59" w:rsidR="00A24938" w:rsidRPr="0015490A" w:rsidRDefault="00E829FE" w:rsidP="00A55480">
      <w:pPr>
        <w:pStyle w:val="Heading2"/>
      </w:pPr>
      <w:bookmarkStart w:id="6" w:name="_Toc153457791"/>
      <w:r w:rsidRPr="0015490A">
        <w:t xml:space="preserve">2.1 </w:t>
      </w:r>
      <w:r w:rsidR="00A24938" w:rsidRPr="0015490A">
        <w:t>Information Technology Infrastructure Library (ITIL)</w:t>
      </w:r>
      <w:bookmarkEnd w:id="6"/>
    </w:p>
    <w:p w14:paraId="18AA6A87" w14:textId="77777777" w:rsidR="00A24938" w:rsidRPr="0015490A" w:rsidRDefault="00A24938" w:rsidP="00A24938">
      <w:pPr>
        <w:rPr>
          <w:rFonts w:ascii="Arial" w:hAnsi="Arial" w:cs="Arial"/>
        </w:rPr>
      </w:pPr>
    </w:p>
    <w:p w14:paraId="5CC5862C" w14:textId="77777777" w:rsidR="00A24938" w:rsidRPr="0015490A" w:rsidRDefault="00A24938" w:rsidP="00A24938">
      <w:pPr>
        <w:rPr>
          <w:rFonts w:ascii="Arial" w:hAnsi="Arial" w:cs="Arial"/>
        </w:rPr>
      </w:pPr>
      <w:r w:rsidRPr="0015490A">
        <w:rPr>
          <w:rFonts w:ascii="Arial" w:hAnsi="Arial" w:cs="Arial"/>
        </w:rPr>
        <w:t>ITIL is a set of practices for IT service management that provides a structured framework for aligning IT services with the needs of the business. While ITIL is not primarily a security framework, it includes essential principles that can be applied to security management.</w:t>
      </w:r>
    </w:p>
    <w:p w14:paraId="7AA4A0B3" w14:textId="2FA02B07" w:rsidR="00A24938" w:rsidRPr="0015490A" w:rsidRDefault="00A24938" w:rsidP="00A24938">
      <w:pPr>
        <w:rPr>
          <w:rFonts w:ascii="Arial" w:hAnsi="Arial" w:cs="Arial"/>
        </w:rPr>
      </w:pPr>
      <w:r w:rsidRPr="0015490A">
        <w:rPr>
          <w:rFonts w:ascii="Arial" w:hAnsi="Arial" w:cs="Arial"/>
        </w:rPr>
        <w:t>One of the core components of ITIL is the Service Lifecycle, which consists of several stages: Service Strategy, Service Design, Service Transition, Service Operation, and Continuous Service Improvement. The principles within these stages can be adapted to enhance information security.</w:t>
      </w:r>
      <w:r w:rsidR="00D1039F" w:rsidRPr="0015490A">
        <w:rPr>
          <w:rFonts w:ascii="Arial" w:hAnsi="Arial" w:cs="Arial"/>
        </w:rPr>
        <w:t xml:space="preserve"> [3]</w:t>
      </w:r>
    </w:p>
    <w:p w14:paraId="18B5E0CD" w14:textId="77777777" w:rsidR="00A24938" w:rsidRPr="0015490A" w:rsidRDefault="00A24938" w:rsidP="00A24938">
      <w:pPr>
        <w:rPr>
          <w:rFonts w:ascii="Arial" w:hAnsi="Arial" w:cs="Arial"/>
        </w:rPr>
      </w:pPr>
    </w:p>
    <w:p w14:paraId="147DCFFF" w14:textId="7AFE90F4" w:rsidR="00A24938" w:rsidRPr="0015490A" w:rsidRDefault="00A24938" w:rsidP="00A24938">
      <w:pPr>
        <w:rPr>
          <w:rFonts w:ascii="Arial" w:hAnsi="Arial" w:cs="Arial"/>
          <w:b/>
          <w:bCs/>
        </w:rPr>
      </w:pPr>
      <w:r w:rsidRPr="0015490A">
        <w:rPr>
          <w:rFonts w:ascii="Arial" w:hAnsi="Arial" w:cs="Arial"/>
          <w:b/>
          <w:bCs/>
        </w:rPr>
        <w:t>Figure 1: ITIL Service Lifecycle Adapted for Information Security</w:t>
      </w:r>
    </w:p>
    <w:p w14:paraId="39A133F7" w14:textId="67DB815D" w:rsidR="00A24938" w:rsidRPr="0015490A" w:rsidRDefault="00094321" w:rsidP="00A24938">
      <w:pPr>
        <w:rPr>
          <w:rFonts w:ascii="Arial" w:hAnsi="Arial" w:cs="Arial"/>
        </w:rPr>
      </w:pPr>
      <w:r>
        <w:rPr>
          <w:rFonts w:ascii="Arial" w:hAnsi="Arial" w:cs="Arial"/>
          <w:noProof/>
        </w:rPr>
        <w:drawing>
          <wp:inline distT="0" distB="0" distL="0" distR="0" wp14:anchorId="74E7AF78" wp14:editId="1629EB07">
            <wp:extent cx="5025581" cy="2825750"/>
            <wp:effectExtent l="0" t="0" r="3810" b="0"/>
            <wp:docPr id="2099062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42821" cy="2835443"/>
                    </a:xfrm>
                    <a:prstGeom prst="rect">
                      <a:avLst/>
                    </a:prstGeom>
                    <a:noFill/>
                  </pic:spPr>
                </pic:pic>
              </a:graphicData>
            </a:graphic>
          </wp:inline>
        </w:drawing>
      </w:r>
    </w:p>
    <w:p w14:paraId="78536BC2" w14:textId="5F4DA6A6" w:rsidR="00A24938" w:rsidRPr="0015490A" w:rsidRDefault="00E829FE" w:rsidP="00A55480">
      <w:pPr>
        <w:pStyle w:val="Heading2"/>
      </w:pPr>
      <w:bookmarkStart w:id="7" w:name="_Toc153457792"/>
      <w:r w:rsidRPr="0015490A">
        <w:t xml:space="preserve">2.2 </w:t>
      </w:r>
      <w:r w:rsidR="00A24938" w:rsidRPr="0015490A">
        <w:t>ISO 27000 Series</w:t>
      </w:r>
      <w:bookmarkEnd w:id="7"/>
    </w:p>
    <w:p w14:paraId="3359FA4C" w14:textId="77777777" w:rsidR="00A24938" w:rsidRPr="0015490A" w:rsidRDefault="00A24938" w:rsidP="00A24938">
      <w:pPr>
        <w:rPr>
          <w:rFonts w:ascii="Arial" w:hAnsi="Arial" w:cs="Arial"/>
        </w:rPr>
      </w:pPr>
    </w:p>
    <w:p w14:paraId="1DE4032A" w14:textId="22F7482F" w:rsidR="00A24938" w:rsidRPr="0015490A" w:rsidRDefault="00A24938" w:rsidP="00A24938">
      <w:pPr>
        <w:rPr>
          <w:rFonts w:ascii="Arial" w:hAnsi="Arial" w:cs="Arial"/>
        </w:rPr>
      </w:pPr>
      <w:r w:rsidRPr="0015490A">
        <w:rPr>
          <w:rFonts w:ascii="Arial" w:hAnsi="Arial" w:cs="Arial"/>
        </w:rPr>
        <w:t>The ISO 27000 series is a family of standards that provides a systematic approach to managing security risks to information. ISO 27001, the centrepiece of this series, defines the requirements for an Information Security Management System (ISMS). The ISO 27000 series provides a structured framework for securing information, ensuring data protection, and achieving legal and regulatory compliance.</w:t>
      </w:r>
    </w:p>
    <w:p w14:paraId="5233293D" w14:textId="24270FBC" w:rsidR="00A24938" w:rsidRPr="0015490A" w:rsidRDefault="00A24938" w:rsidP="00A24938">
      <w:pPr>
        <w:rPr>
          <w:rFonts w:ascii="Arial" w:hAnsi="Arial" w:cs="Arial"/>
        </w:rPr>
      </w:pPr>
      <w:r w:rsidRPr="0015490A">
        <w:rPr>
          <w:rFonts w:ascii="Arial" w:hAnsi="Arial" w:cs="Arial"/>
        </w:rPr>
        <w:t>Key components of ISO 27001 include Scope Definition, Risk Assessment and Treatment, Security Policies and Procedures, Security Controls, Monitoring and Measurement, and Continuous Improvement. These components are critical for establishing a robust information security framework and maintaining compliance.</w:t>
      </w:r>
      <w:r w:rsidR="00D659C8" w:rsidRPr="0015490A">
        <w:rPr>
          <w:rFonts w:ascii="Arial" w:hAnsi="Arial" w:cs="Arial"/>
        </w:rPr>
        <w:t>[4]</w:t>
      </w:r>
    </w:p>
    <w:p w14:paraId="3519E14C" w14:textId="4C044C53" w:rsidR="00A24938" w:rsidRPr="0015490A" w:rsidRDefault="00E829FE" w:rsidP="00E829FE">
      <w:pPr>
        <w:pStyle w:val="Heading2"/>
      </w:pPr>
      <w:bookmarkStart w:id="8" w:name="_Toc153457793"/>
      <w:r w:rsidRPr="0015490A">
        <w:lastRenderedPageBreak/>
        <w:t xml:space="preserve">2.3 </w:t>
      </w:r>
      <w:r w:rsidR="00A24938" w:rsidRPr="0015490A">
        <w:t>Key Concepts and Principles</w:t>
      </w:r>
      <w:bookmarkEnd w:id="8"/>
    </w:p>
    <w:p w14:paraId="348620B0" w14:textId="73F55B3E" w:rsidR="00A24938" w:rsidRPr="0015490A" w:rsidRDefault="00A24938" w:rsidP="00A24938">
      <w:pPr>
        <w:rPr>
          <w:rFonts w:ascii="Arial" w:hAnsi="Arial" w:cs="Arial"/>
        </w:rPr>
      </w:pPr>
      <w:r w:rsidRPr="0015490A">
        <w:rPr>
          <w:rFonts w:ascii="Arial" w:hAnsi="Arial" w:cs="Arial"/>
        </w:rPr>
        <w:t>Beyond the specific frameworks, several key concepts and principles are essential in the realm of information security, governance, and compliance:</w:t>
      </w:r>
      <w:r w:rsidR="00D659C8" w:rsidRPr="0015490A">
        <w:rPr>
          <w:rFonts w:ascii="Arial" w:hAnsi="Arial" w:cs="Arial"/>
        </w:rPr>
        <w:t>[5]</w:t>
      </w:r>
    </w:p>
    <w:p w14:paraId="18A0CA45" w14:textId="77777777" w:rsidR="00A24938" w:rsidRPr="0015490A" w:rsidRDefault="00A24938" w:rsidP="00A24938">
      <w:pPr>
        <w:rPr>
          <w:rFonts w:ascii="Arial" w:hAnsi="Arial" w:cs="Arial"/>
        </w:rPr>
      </w:pPr>
    </w:p>
    <w:p w14:paraId="6B7C73BC" w14:textId="0AECBA52" w:rsidR="00A24938" w:rsidRPr="0015490A" w:rsidRDefault="00A24938" w:rsidP="00E64D70">
      <w:pPr>
        <w:spacing w:after="0"/>
        <w:rPr>
          <w:rFonts w:ascii="Arial" w:hAnsi="Arial" w:cs="Arial"/>
        </w:rPr>
      </w:pPr>
      <w:r w:rsidRPr="0015490A">
        <w:rPr>
          <w:rFonts w:ascii="Arial" w:hAnsi="Arial" w:cs="Arial"/>
          <w:b/>
          <w:bCs/>
        </w:rPr>
        <w:t xml:space="preserve">1. Confidentiality, Integrity, and Availability (CIA): </w:t>
      </w:r>
      <w:r w:rsidRPr="0015490A">
        <w:rPr>
          <w:rFonts w:ascii="Arial" w:hAnsi="Arial" w:cs="Arial"/>
        </w:rPr>
        <w:t>The CIA triad is a foundational concept in information security, emphasizing the need to protect the confidentiality, integrity, and availability of data.</w:t>
      </w:r>
    </w:p>
    <w:p w14:paraId="23C51AAB" w14:textId="5DD3829E" w:rsidR="00A24938" w:rsidRPr="0015490A" w:rsidRDefault="00A24938" w:rsidP="00E64D70">
      <w:pPr>
        <w:spacing w:after="0"/>
        <w:rPr>
          <w:rFonts w:ascii="Arial" w:hAnsi="Arial" w:cs="Arial"/>
        </w:rPr>
      </w:pPr>
      <w:r w:rsidRPr="0015490A">
        <w:rPr>
          <w:rFonts w:ascii="Arial" w:hAnsi="Arial" w:cs="Arial"/>
          <w:b/>
          <w:bCs/>
        </w:rPr>
        <w:t>2. Risk Management</w:t>
      </w:r>
      <w:r w:rsidRPr="0015490A">
        <w:rPr>
          <w:rFonts w:ascii="Arial" w:hAnsi="Arial" w:cs="Arial"/>
        </w:rPr>
        <w:t>: Risk assessment and treatment are central to security. Identifying threats and vulnerabilities, assessing their impact, and implementing controls are critical.</w:t>
      </w:r>
    </w:p>
    <w:p w14:paraId="5B9CC585" w14:textId="77777777" w:rsidR="00A24938" w:rsidRPr="0015490A" w:rsidRDefault="00A24938" w:rsidP="00E64D70">
      <w:pPr>
        <w:spacing w:after="0"/>
        <w:rPr>
          <w:rFonts w:ascii="Arial" w:hAnsi="Arial" w:cs="Arial"/>
        </w:rPr>
      </w:pPr>
    </w:p>
    <w:p w14:paraId="28527063" w14:textId="360B559B" w:rsidR="00A24938" w:rsidRPr="0015490A" w:rsidRDefault="00A24938" w:rsidP="00E64D70">
      <w:pPr>
        <w:spacing w:after="0"/>
        <w:rPr>
          <w:rFonts w:ascii="Arial" w:hAnsi="Arial" w:cs="Arial"/>
        </w:rPr>
      </w:pPr>
      <w:r w:rsidRPr="0015490A">
        <w:rPr>
          <w:rFonts w:ascii="Arial" w:hAnsi="Arial" w:cs="Arial"/>
          <w:b/>
          <w:bCs/>
        </w:rPr>
        <w:t>3. Governance and Strategic Planning:</w:t>
      </w:r>
      <w:r w:rsidRPr="0015490A">
        <w:rPr>
          <w:rFonts w:ascii="Arial" w:hAnsi="Arial" w:cs="Arial"/>
        </w:rPr>
        <w:t xml:space="preserve"> Effective governance structures ensure that security is aligned with organizational strategy and that responsibilities are clearly defined.</w:t>
      </w:r>
    </w:p>
    <w:p w14:paraId="7DAE3D1C" w14:textId="77777777" w:rsidR="00A24938" w:rsidRPr="0015490A" w:rsidRDefault="00A24938" w:rsidP="00E64D70">
      <w:pPr>
        <w:spacing w:after="0"/>
        <w:rPr>
          <w:rFonts w:ascii="Arial" w:hAnsi="Arial" w:cs="Arial"/>
        </w:rPr>
      </w:pPr>
    </w:p>
    <w:p w14:paraId="206B4F63" w14:textId="0E91F9F4" w:rsidR="00A24938" w:rsidRPr="0015490A" w:rsidRDefault="00A24938" w:rsidP="00E64D70">
      <w:pPr>
        <w:spacing w:after="0"/>
        <w:rPr>
          <w:rFonts w:ascii="Arial" w:hAnsi="Arial" w:cs="Arial"/>
        </w:rPr>
      </w:pPr>
      <w:r w:rsidRPr="0015490A">
        <w:rPr>
          <w:rFonts w:ascii="Arial" w:hAnsi="Arial" w:cs="Arial"/>
          <w:b/>
          <w:bCs/>
        </w:rPr>
        <w:t>4. Security Policies:</w:t>
      </w:r>
      <w:r w:rsidRPr="0015490A">
        <w:rPr>
          <w:rFonts w:ascii="Arial" w:hAnsi="Arial" w:cs="Arial"/>
        </w:rPr>
        <w:t xml:space="preserve"> Well-defined policies and procedures provide a roadmap for security practices and guide employees in compliance.</w:t>
      </w:r>
    </w:p>
    <w:p w14:paraId="4FD15850" w14:textId="77777777" w:rsidR="00A24938" w:rsidRPr="0015490A" w:rsidRDefault="00A24938" w:rsidP="00E64D70">
      <w:pPr>
        <w:spacing w:after="0"/>
        <w:rPr>
          <w:rFonts w:ascii="Arial" w:hAnsi="Arial" w:cs="Arial"/>
        </w:rPr>
      </w:pPr>
    </w:p>
    <w:p w14:paraId="2D35DC9D" w14:textId="67D28B66" w:rsidR="00A24938" w:rsidRPr="0015490A" w:rsidRDefault="00A24938" w:rsidP="00E64D70">
      <w:pPr>
        <w:spacing w:after="0"/>
        <w:rPr>
          <w:rFonts w:ascii="Arial" w:hAnsi="Arial" w:cs="Arial"/>
        </w:rPr>
      </w:pPr>
      <w:r w:rsidRPr="0015490A">
        <w:rPr>
          <w:rFonts w:ascii="Arial" w:hAnsi="Arial" w:cs="Arial"/>
          <w:b/>
          <w:bCs/>
        </w:rPr>
        <w:t>5. Compliance*:</w:t>
      </w:r>
      <w:r w:rsidRPr="0015490A">
        <w:rPr>
          <w:rFonts w:ascii="Arial" w:hAnsi="Arial" w:cs="Arial"/>
        </w:rPr>
        <w:t xml:space="preserve"> Compliance with legal, regulatory, and ethical standards is essential to avoid legal issues and maintain trust with stakeholders.</w:t>
      </w:r>
    </w:p>
    <w:p w14:paraId="065D4DED" w14:textId="77777777" w:rsidR="00A24938" w:rsidRPr="0015490A" w:rsidRDefault="00A24938" w:rsidP="00E64D70">
      <w:pPr>
        <w:spacing w:after="0"/>
        <w:rPr>
          <w:rFonts w:ascii="Arial" w:hAnsi="Arial" w:cs="Arial"/>
        </w:rPr>
      </w:pPr>
    </w:p>
    <w:p w14:paraId="44833D3C" w14:textId="474C0D2A" w:rsidR="00A24938" w:rsidRPr="0015490A" w:rsidRDefault="00A24938" w:rsidP="00E64D70">
      <w:pPr>
        <w:spacing w:after="0"/>
        <w:rPr>
          <w:rFonts w:ascii="Arial" w:hAnsi="Arial" w:cs="Arial"/>
        </w:rPr>
      </w:pPr>
      <w:r w:rsidRPr="0015490A">
        <w:rPr>
          <w:rFonts w:ascii="Arial" w:hAnsi="Arial" w:cs="Arial"/>
          <w:b/>
          <w:bCs/>
        </w:rPr>
        <w:t>6. Incident Response and Contingency Planning:</w:t>
      </w:r>
      <w:r w:rsidRPr="0015490A">
        <w:rPr>
          <w:rFonts w:ascii="Arial" w:hAnsi="Arial" w:cs="Arial"/>
        </w:rPr>
        <w:t xml:space="preserve"> Preparing for security incidents and disruptions is fundamental to business continuity.</w:t>
      </w:r>
    </w:p>
    <w:p w14:paraId="79D11337" w14:textId="77777777" w:rsidR="00A24938" w:rsidRPr="0015490A" w:rsidRDefault="00A24938" w:rsidP="00E64D70">
      <w:pPr>
        <w:spacing w:after="0"/>
        <w:rPr>
          <w:rFonts w:ascii="Arial" w:hAnsi="Arial" w:cs="Arial"/>
        </w:rPr>
      </w:pPr>
    </w:p>
    <w:p w14:paraId="64DB1ED0" w14:textId="7664F0D0" w:rsidR="00A24938" w:rsidRPr="0015490A" w:rsidRDefault="00A24938" w:rsidP="00E64D70">
      <w:pPr>
        <w:spacing w:after="0"/>
        <w:rPr>
          <w:rFonts w:ascii="Arial" w:hAnsi="Arial" w:cs="Arial"/>
        </w:rPr>
      </w:pPr>
      <w:r w:rsidRPr="0015490A">
        <w:rPr>
          <w:rFonts w:ascii="Arial" w:hAnsi="Arial" w:cs="Arial"/>
          <w:b/>
          <w:bCs/>
        </w:rPr>
        <w:t>7. Protection Mechanisms:</w:t>
      </w:r>
      <w:r w:rsidRPr="0015490A">
        <w:rPr>
          <w:rFonts w:ascii="Arial" w:hAnsi="Arial" w:cs="Arial"/>
        </w:rPr>
        <w:t xml:space="preserve"> Technical and procedural controls, such as encryption and access management, protect data and assets.</w:t>
      </w:r>
    </w:p>
    <w:p w14:paraId="4539F8E3" w14:textId="77777777" w:rsidR="00A24938" w:rsidRPr="0015490A" w:rsidRDefault="00A24938" w:rsidP="00E64D70">
      <w:pPr>
        <w:spacing w:after="0"/>
        <w:rPr>
          <w:rFonts w:ascii="Arial" w:hAnsi="Arial" w:cs="Arial"/>
        </w:rPr>
      </w:pPr>
    </w:p>
    <w:p w14:paraId="5C0E08CF" w14:textId="6C7FF48C" w:rsidR="00A24938" w:rsidRPr="0015490A" w:rsidRDefault="00A24938" w:rsidP="00E64D70">
      <w:pPr>
        <w:spacing w:after="0"/>
        <w:rPr>
          <w:rFonts w:ascii="Arial" w:hAnsi="Arial" w:cs="Arial"/>
        </w:rPr>
      </w:pPr>
      <w:r w:rsidRPr="0015490A">
        <w:rPr>
          <w:rFonts w:ascii="Arial" w:hAnsi="Arial" w:cs="Arial"/>
          <w:b/>
          <w:bCs/>
        </w:rPr>
        <w:t xml:space="preserve">8. Service Level Agreements: </w:t>
      </w:r>
      <w:r w:rsidRPr="0015490A">
        <w:rPr>
          <w:rFonts w:ascii="Arial" w:hAnsi="Arial" w:cs="Arial"/>
        </w:rPr>
        <w:t>SLAs with service providers establish security expectations and requirements.</w:t>
      </w:r>
    </w:p>
    <w:p w14:paraId="4D4F02F5" w14:textId="44DE23D8" w:rsidR="0089686E" w:rsidRPr="0015490A" w:rsidRDefault="00D659C8" w:rsidP="00A24938">
      <w:pPr>
        <w:rPr>
          <w:rFonts w:ascii="Arial" w:hAnsi="Arial" w:cs="Arial"/>
        </w:rPr>
      </w:pPr>
      <w:r w:rsidRPr="0015490A">
        <w:rPr>
          <w:rFonts w:ascii="Arial" w:hAnsi="Arial" w:cs="Arial"/>
        </w:rPr>
        <w:t>[5]</w:t>
      </w:r>
    </w:p>
    <w:p w14:paraId="25BD23FD" w14:textId="09D246BF" w:rsidR="0089686E" w:rsidRPr="0015490A" w:rsidRDefault="00E829FE" w:rsidP="00E829FE">
      <w:pPr>
        <w:pStyle w:val="Heading2"/>
      </w:pPr>
      <w:bookmarkStart w:id="9" w:name="_Toc153457794"/>
      <w:r w:rsidRPr="0015490A">
        <w:t xml:space="preserve">2.4 </w:t>
      </w:r>
      <w:r w:rsidR="0089686E" w:rsidRPr="0015490A">
        <w:t>Current State Analysis</w:t>
      </w:r>
      <w:bookmarkEnd w:id="9"/>
    </w:p>
    <w:p w14:paraId="66570FC2" w14:textId="13CFC192" w:rsidR="0089686E" w:rsidRPr="0015490A" w:rsidRDefault="0089686E" w:rsidP="0089686E">
      <w:pPr>
        <w:rPr>
          <w:rFonts w:ascii="Arial" w:hAnsi="Arial" w:cs="Arial"/>
        </w:rPr>
      </w:pPr>
      <w:r w:rsidRPr="0015490A">
        <w:rPr>
          <w:rFonts w:ascii="Arial" w:hAnsi="Arial" w:cs="Arial"/>
        </w:rPr>
        <w:t>As NatureGarden (NG) endeavours to establish a robust information security, governance, and compliance framework, it is crucial to begin by assessing the current state of NG's information security environment. This analysis provides a foundation for identifying strengths, weaknesses, and areas that require improvement to meet NG's security objectives.</w:t>
      </w:r>
    </w:p>
    <w:p w14:paraId="350468FB" w14:textId="77777777" w:rsidR="0089686E" w:rsidRPr="0015490A" w:rsidRDefault="0089686E" w:rsidP="0089686E">
      <w:pPr>
        <w:rPr>
          <w:rFonts w:ascii="Arial" w:hAnsi="Arial" w:cs="Arial"/>
        </w:rPr>
      </w:pPr>
    </w:p>
    <w:p w14:paraId="053C476B" w14:textId="344D4853" w:rsidR="0089686E" w:rsidRPr="0015490A" w:rsidRDefault="00E829FE" w:rsidP="00A55480">
      <w:pPr>
        <w:pStyle w:val="Heading2"/>
      </w:pPr>
      <w:bookmarkStart w:id="10" w:name="_Toc153457795"/>
      <w:r w:rsidRPr="0015490A">
        <w:t xml:space="preserve">2.5 </w:t>
      </w:r>
      <w:r w:rsidR="0089686E" w:rsidRPr="0015490A">
        <w:t>Information Security Situation</w:t>
      </w:r>
      <w:bookmarkEnd w:id="10"/>
    </w:p>
    <w:p w14:paraId="4EF1CA57" w14:textId="6AE5C48B" w:rsidR="0089686E" w:rsidRPr="0015490A" w:rsidRDefault="0089686E" w:rsidP="0089686E">
      <w:pPr>
        <w:rPr>
          <w:rFonts w:ascii="Arial" w:hAnsi="Arial" w:cs="Arial"/>
        </w:rPr>
      </w:pPr>
      <w:r w:rsidRPr="0015490A">
        <w:rPr>
          <w:rFonts w:ascii="Arial" w:hAnsi="Arial" w:cs="Arial"/>
        </w:rPr>
        <w:t xml:space="preserve">NG operates in a dynamic and competitive market, where the digital landscape is continually evolving. The company's extensive global presence, reliance on cloud services, and substantial online reach pose both opportunities and challenges for information security. Approximately 95% of NG's network infrastructure is </w:t>
      </w:r>
      <w:r w:rsidR="00A07DB9" w:rsidRPr="0015490A">
        <w:rPr>
          <w:rFonts w:ascii="Arial" w:hAnsi="Arial" w:cs="Arial"/>
        </w:rPr>
        <w:t>wireless based</w:t>
      </w:r>
      <w:r w:rsidRPr="0015490A">
        <w:rPr>
          <w:rFonts w:ascii="Arial" w:hAnsi="Arial" w:cs="Arial"/>
        </w:rPr>
        <w:t>, reflecting the company's commitment to modern technology and the need for mobility in its operations. However, this also implies a broad attack surface that requires heightened security measures.</w:t>
      </w:r>
    </w:p>
    <w:p w14:paraId="2CEC3D81" w14:textId="77777777" w:rsidR="0089686E" w:rsidRPr="0015490A" w:rsidRDefault="0089686E" w:rsidP="0089686E">
      <w:pPr>
        <w:rPr>
          <w:rFonts w:ascii="Arial" w:hAnsi="Arial" w:cs="Arial"/>
        </w:rPr>
      </w:pPr>
    </w:p>
    <w:p w14:paraId="7E0045CA" w14:textId="2CD38C62" w:rsidR="0089686E" w:rsidRPr="0015490A" w:rsidRDefault="00E829FE" w:rsidP="00A55480">
      <w:pPr>
        <w:pStyle w:val="Heading2"/>
      </w:pPr>
      <w:bookmarkStart w:id="11" w:name="_Toc153457796"/>
      <w:r w:rsidRPr="0015490A">
        <w:lastRenderedPageBreak/>
        <w:t xml:space="preserve">2.6 </w:t>
      </w:r>
      <w:r w:rsidR="0089686E" w:rsidRPr="0015490A">
        <w:t>Existing Policies and Frameworks</w:t>
      </w:r>
      <w:bookmarkEnd w:id="11"/>
    </w:p>
    <w:p w14:paraId="0468716A" w14:textId="77777777" w:rsidR="0089686E" w:rsidRPr="0015490A" w:rsidRDefault="0089686E" w:rsidP="0089686E">
      <w:pPr>
        <w:rPr>
          <w:rFonts w:ascii="Arial" w:hAnsi="Arial" w:cs="Arial"/>
        </w:rPr>
      </w:pPr>
      <w:r w:rsidRPr="0015490A">
        <w:rPr>
          <w:rFonts w:ascii="Arial" w:hAnsi="Arial" w:cs="Arial"/>
        </w:rPr>
        <w:t>NG currently has a limited set of information security policies in place, but there is no comprehensive framework that addresses the holistic needs of information security, governance, and compliance. These existing policies tend to focus on basic access control, data protection, and incident reporting. However, they lack depth and alignment with industry best practices.</w:t>
      </w:r>
    </w:p>
    <w:p w14:paraId="35D3919A" w14:textId="77777777" w:rsidR="0089686E" w:rsidRPr="0015490A" w:rsidRDefault="0089686E" w:rsidP="0089686E">
      <w:pPr>
        <w:rPr>
          <w:rFonts w:ascii="Arial" w:hAnsi="Arial" w:cs="Arial"/>
        </w:rPr>
      </w:pPr>
    </w:p>
    <w:p w14:paraId="10858D3A" w14:textId="7FEE6CEC" w:rsidR="0089686E" w:rsidRPr="0015490A" w:rsidRDefault="00E829FE" w:rsidP="00A55480">
      <w:pPr>
        <w:pStyle w:val="Heading2"/>
      </w:pPr>
      <w:bookmarkStart w:id="12" w:name="_Toc153457797"/>
      <w:r w:rsidRPr="0015490A">
        <w:t xml:space="preserve">2.7 </w:t>
      </w:r>
      <w:r w:rsidR="0089686E" w:rsidRPr="0015490A">
        <w:t>Gaps and Weaknesses</w:t>
      </w:r>
      <w:bookmarkEnd w:id="12"/>
    </w:p>
    <w:p w14:paraId="632F9B7A" w14:textId="7785FDAD" w:rsidR="0089686E" w:rsidRPr="0015490A" w:rsidRDefault="0089686E" w:rsidP="0089686E">
      <w:pPr>
        <w:rPr>
          <w:rFonts w:ascii="Arial" w:hAnsi="Arial" w:cs="Arial"/>
        </w:rPr>
      </w:pPr>
      <w:r w:rsidRPr="0015490A">
        <w:rPr>
          <w:rFonts w:ascii="Arial" w:hAnsi="Arial" w:cs="Arial"/>
        </w:rPr>
        <w:t>A thorough assessment of NG's current information security situation has unveiled several gaps and weaknesses:</w:t>
      </w:r>
      <w:r w:rsidR="00DB4E62" w:rsidRPr="0015490A">
        <w:rPr>
          <w:rFonts w:ascii="Arial" w:hAnsi="Arial" w:cs="Arial"/>
        </w:rPr>
        <w:t>[13]</w:t>
      </w:r>
    </w:p>
    <w:p w14:paraId="32F0D0FF" w14:textId="60480B5E" w:rsidR="00796C3E" w:rsidRPr="0015490A" w:rsidRDefault="00796C3E" w:rsidP="00796C3E">
      <w:pPr>
        <w:rPr>
          <w:rFonts w:ascii="Arial" w:hAnsi="Arial" w:cs="Arial"/>
        </w:rPr>
      </w:pPr>
      <w:r w:rsidRPr="0015490A">
        <w:rPr>
          <w:rFonts w:ascii="Arial" w:hAnsi="Arial" w:cs="Arial"/>
          <w:b/>
          <w:bCs/>
        </w:rPr>
        <w:t>1. Framework Gap:</w:t>
      </w:r>
      <w:r w:rsidRPr="0015490A">
        <w:rPr>
          <w:rFonts w:ascii="Arial" w:hAnsi="Arial" w:cs="Arial"/>
        </w:rPr>
        <w:t xml:space="preserve"> NG lacks a structured security framework, causing inconsistencies in security practices and hampering effective monitoring.</w:t>
      </w:r>
    </w:p>
    <w:p w14:paraId="0864A8DE" w14:textId="6B7C4C38" w:rsidR="00796C3E" w:rsidRPr="0015490A" w:rsidRDefault="00796C3E" w:rsidP="00796C3E">
      <w:pPr>
        <w:rPr>
          <w:rFonts w:ascii="Arial" w:hAnsi="Arial" w:cs="Arial"/>
        </w:rPr>
      </w:pPr>
      <w:r w:rsidRPr="0015490A">
        <w:rPr>
          <w:rFonts w:ascii="Arial" w:hAnsi="Arial" w:cs="Arial"/>
          <w:b/>
          <w:bCs/>
        </w:rPr>
        <w:t>2. Training Shortfall:</w:t>
      </w:r>
      <w:r w:rsidRPr="0015490A">
        <w:rPr>
          <w:rFonts w:ascii="Arial" w:hAnsi="Arial" w:cs="Arial"/>
        </w:rPr>
        <w:t xml:space="preserve"> Staff needs regular, comprehensive training to keep up with evolving threats and regulations.</w:t>
      </w:r>
    </w:p>
    <w:p w14:paraId="0E9BA6AB" w14:textId="426A253C" w:rsidR="00796C3E" w:rsidRPr="0015490A" w:rsidRDefault="00796C3E" w:rsidP="00796C3E">
      <w:pPr>
        <w:rPr>
          <w:rFonts w:ascii="Arial" w:hAnsi="Arial" w:cs="Arial"/>
        </w:rPr>
      </w:pPr>
      <w:r w:rsidRPr="0015490A">
        <w:rPr>
          <w:rFonts w:ascii="Arial" w:hAnsi="Arial" w:cs="Arial"/>
          <w:b/>
          <w:bCs/>
        </w:rPr>
        <w:t>3. Access Control Weakness:</w:t>
      </w:r>
      <w:r w:rsidRPr="0015490A">
        <w:rPr>
          <w:rFonts w:ascii="Arial" w:hAnsi="Arial" w:cs="Arial"/>
        </w:rPr>
        <w:t xml:space="preserve"> Inadequate enforcement of access controls threatens data confidentiality, requiring stronger measures for protection.</w:t>
      </w:r>
    </w:p>
    <w:p w14:paraId="653C0FB5" w14:textId="060429F5" w:rsidR="00796C3E" w:rsidRPr="0015490A" w:rsidRDefault="00796C3E" w:rsidP="00796C3E">
      <w:pPr>
        <w:rPr>
          <w:rFonts w:ascii="Arial" w:hAnsi="Arial" w:cs="Arial"/>
        </w:rPr>
      </w:pPr>
      <w:r w:rsidRPr="0015490A">
        <w:rPr>
          <w:rFonts w:ascii="Arial" w:hAnsi="Arial" w:cs="Arial"/>
          <w:b/>
          <w:bCs/>
        </w:rPr>
        <w:t>4. Data Handling Deficiency:</w:t>
      </w:r>
      <w:r w:rsidRPr="0015490A">
        <w:rPr>
          <w:rFonts w:ascii="Arial" w:hAnsi="Arial" w:cs="Arial"/>
        </w:rPr>
        <w:t xml:space="preserve"> Absence of a clear data classification policy risks exposing sensitive information.</w:t>
      </w:r>
    </w:p>
    <w:p w14:paraId="3C87C29A" w14:textId="24106F9B" w:rsidR="00796C3E" w:rsidRPr="0015490A" w:rsidRDefault="00796C3E" w:rsidP="00796C3E">
      <w:pPr>
        <w:rPr>
          <w:rFonts w:ascii="Arial" w:hAnsi="Arial" w:cs="Arial"/>
        </w:rPr>
      </w:pPr>
      <w:r w:rsidRPr="0015490A">
        <w:rPr>
          <w:rFonts w:ascii="Arial" w:hAnsi="Arial" w:cs="Arial"/>
          <w:b/>
          <w:bCs/>
        </w:rPr>
        <w:t>5. Incident Response Deficiency:</w:t>
      </w:r>
      <w:r w:rsidRPr="0015490A">
        <w:rPr>
          <w:rFonts w:ascii="Arial" w:hAnsi="Arial" w:cs="Arial"/>
        </w:rPr>
        <w:t xml:space="preserve"> NG's absence of an incident response plan could lead to delays in addressing security breaches.</w:t>
      </w:r>
    </w:p>
    <w:p w14:paraId="6EBDFCC7" w14:textId="77777777" w:rsidR="00F76939" w:rsidRPr="0015490A" w:rsidRDefault="00F76939" w:rsidP="0089686E">
      <w:pPr>
        <w:rPr>
          <w:rStyle w:val="Heading2Char"/>
        </w:rPr>
      </w:pPr>
    </w:p>
    <w:p w14:paraId="2064397B" w14:textId="0C807D5B" w:rsidR="0089686E" w:rsidRPr="0015490A" w:rsidRDefault="00E829FE" w:rsidP="0089686E">
      <w:pPr>
        <w:rPr>
          <w:rFonts w:ascii="Arial" w:hAnsi="Arial" w:cs="Arial"/>
        </w:rPr>
      </w:pPr>
      <w:bookmarkStart w:id="13" w:name="_Toc153457798"/>
      <w:r w:rsidRPr="0015490A">
        <w:rPr>
          <w:rStyle w:val="Heading2Char"/>
        </w:rPr>
        <w:t xml:space="preserve">2.8 </w:t>
      </w:r>
      <w:r w:rsidR="0089686E" w:rsidRPr="0015490A">
        <w:rPr>
          <w:rStyle w:val="Heading2Char"/>
        </w:rPr>
        <w:t>Concerns Related to Data and Intellectual Property Protection</w:t>
      </w:r>
      <w:bookmarkEnd w:id="13"/>
    </w:p>
    <w:p w14:paraId="0A7017D6" w14:textId="74241F9E" w:rsidR="0089686E" w:rsidRPr="0015490A" w:rsidRDefault="0089686E" w:rsidP="0089686E">
      <w:pPr>
        <w:rPr>
          <w:rFonts w:ascii="Arial" w:hAnsi="Arial" w:cs="Arial"/>
        </w:rPr>
      </w:pPr>
      <w:r w:rsidRPr="0015490A">
        <w:rPr>
          <w:rFonts w:ascii="Arial" w:hAnsi="Arial" w:cs="Arial"/>
        </w:rPr>
        <w:t>NG has specific concerns related to the protection of personal staff data, client data, and intellectual properties. These concerns stem from the following factors:</w:t>
      </w:r>
      <w:r w:rsidR="00C548C7" w:rsidRPr="0015490A">
        <w:rPr>
          <w:rFonts w:ascii="Arial" w:hAnsi="Arial" w:cs="Arial"/>
        </w:rPr>
        <w:t>[14]</w:t>
      </w:r>
    </w:p>
    <w:p w14:paraId="094F1150" w14:textId="77777777" w:rsidR="0089686E" w:rsidRPr="0015490A" w:rsidRDefault="0089686E" w:rsidP="0089686E">
      <w:pPr>
        <w:rPr>
          <w:rFonts w:ascii="Arial" w:hAnsi="Arial" w:cs="Arial"/>
        </w:rPr>
      </w:pPr>
    </w:p>
    <w:p w14:paraId="4CB1D17E" w14:textId="7699A58E" w:rsidR="00F76939" w:rsidRPr="0015490A" w:rsidRDefault="00F76939" w:rsidP="00F76939">
      <w:pPr>
        <w:rPr>
          <w:rFonts w:ascii="Arial" w:hAnsi="Arial" w:cs="Arial"/>
        </w:rPr>
      </w:pPr>
      <w:r w:rsidRPr="0015490A">
        <w:rPr>
          <w:rFonts w:ascii="Arial" w:hAnsi="Arial" w:cs="Arial"/>
          <w:b/>
          <w:bCs/>
        </w:rPr>
        <w:t xml:space="preserve">- Personal Staff Data: </w:t>
      </w:r>
      <w:r w:rsidRPr="0015490A">
        <w:rPr>
          <w:rFonts w:ascii="Arial" w:hAnsi="Arial" w:cs="Arial"/>
        </w:rPr>
        <w:t>NG prioritizes safeguarding employee personal and sensitive employment information to uphold confidentiality.</w:t>
      </w:r>
    </w:p>
    <w:p w14:paraId="18789AB2" w14:textId="6A2A3891" w:rsidR="00F76939" w:rsidRPr="0015490A" w:rsidRDefault="00F76939" w:rsidP="00F76939">
      <w:pPr>
        <w:rPr>
          <w:rFonts w:ascii="Arial" w:hAnsi="Arial" w:cs="Arial"/>
        </w:rPr>
      </w:pPr>
      <w:r w:rsidRPr="0015490A">
        <w:rPr>
          <w:rFonts w:ascii="Arial" w:hAnsi="Arial" w:cs="Arial"/>
          <w:b/>
          <w:bCs/>
        </w:rPr>
        <w:t xml:space="preserve">- Client Data: Protecting client information, </w:t>
      </w:r>
      <w:r w:rsidRPr="0015490A">
        <w:rPr>
          <w:rFonts w:ascii="Arial" w:hAnsi="Arial" w:cs="Arial"/>
        </w:rPr>
        <w:t>encompassing personal and financial data, is critical to avoid legal and reputational consequences.</w:t>
      </w:r>
    </w:p>
    <w:p w14:paraId="34C26865" w14:textId="7BC8863B" w:rsidR="0089686E" w:rsidRPr="0015490A" w:rsidRDefault="00F76939" w:rsidP="00F76939">
      <w:pPr>
        <w:rPr>
          <w:rFonts w:ascii="Arial" w:hAnsi="Arial" w:cs="Arial"/>
        </w:rPr>
      </w:pPr>
      <w:r w:rsidRPr="0015490A">
        <w:rPr>
          <w:rFonts w:ascii="Arial" w:hAnsi="Arial" w:cs="Arial"/>
          <w:b/>
          <w:bCs/>
        </w:rPr>
        <w:t xml:space="preserve">- Intellectual Property: </w:t>
      </w:r>
      <w:r w:rsidRPr="0015490A">
        <w:rPr>
          <w:rFonts w:ascii="Arial" w:hAnsi="Arial" w:cs="Arial"/>
        </w:rPr>
        <w:t>Safeguarding NG's intellectual property, comprising formulas, proprietary tech, and strategies, is vital to retain competitiveness.</w:t>
      </w:r>
    </w:p>
    <w:p w14:paraId="212BCD86" w14:textId="0986FEE4" w:rsidR="00A07DB9" w:rsidRPr="0015490A" w:rsidRDefault="00A07DB9" w:rsidP="0089686E">
      <w:pPr>
        <w:rPr>
          <w:rFonts w:ascii="Arial" w:hAnsi="Arial" w:cs="Arial"/>
        </w:rPr>
      </w:pPr>
    </w:p>
    <w:p w14:paraId="1AED23DB" w14:textId="77777777" w:rsidR="00A07DB9" w:rsidRPr="0015490A" w:rsidRDefault="00A07DB9">
      <w:pPr>
        <w:rPr>
          <w:rFonts w:ascii="Arial" w:hAnsi="Arial" w:cs="Arial"/>
        </w:rPr>
      </w:pPr>
      <w:r w:rsidRPr="0015490A">
        <w:rPr>
          <w:rFonts w:ascii="Arial" w:hAnsi="Arial" w:cs="Arial"/>
        </w:rPr>
        <w:br w:type="page"/>
      </w:r>
    </w:p>
    <w:p w14:paraId="2EFE738D" w14:textId="7163BBF2" w:rsidR="00A07DB9" w:rsidRPr="0015490A" w:rsidRDefault="00E829FE" w:rsidP="00F86039">
      <w:pPr>
        <w:pStyle w:val="Heading1"/>
        <w:rPr>
          <w:rFonts w:ascii="Arial" w:hAnsi="Arial" w:cs="Arial"/>
        </w:rPr>
      </w:pPr>
      <w:bookmarkStart w:id="14" w:name="_Toc153457799"/>
      <w:r w:rsidRPr="0015490A">
        <w:rPr>
          <w:rFonts w:ascii="Arial" w:hAnsi="Arial" w:cs="Arial"/>
        </w:rPr>
        <w:lastRenderedPageBreak/>
        <w:t xml:space="preserve">3. </w:t>
      </w:r>
      <w:r w:rsidR="00A07DB9" w:rsidRPr="0015490A">
        <w:rPr>
          <w:rFonts w:ascii="Arial" w:hAnsi="Arial" w:cs="Arial"/>
        </w:rPr>
        <w:t>Compliance with Laws and Regulations</w:t>
      </w:r>
      <w:bookmarkEnd w:id="14"/>
    </w:p>
    <w:p w14:paraId="0AD80559" w14:textId="70A962A6" w:rsidR="00A07DB9" w:rsidRPr="0015490A" w:rsidRDefault="00A07DB9" w:rsidP="00A07DB9">
      <w:pPr>
        <w:rPr>
          <w:rFonts w:ascii="Arial" w:hAnsi="Arial" w:cs="Arial"/>
        </w:rPr>
      </w:pPr>
      <w:r w:rsidRPr="0015490A">
        <w:rPr>
          <w:rFonts w:ascii="Arial" w:hAnsi="Arial" w:cs="Arial"/>
        </w:rPr>
        <w:t xml:space="preserve">Ensuring compliance with a myriad of legal and ethical considerations is of paramount importance to NatureGarden (NG). In a globalized business landscape, NG must navigate various data protection laws, industry regulations, and ethical standards to maintain its integrity and secure the trust of its clients and stakeholders. This section outlines the legal and ethical considerations relevant to NG's operations, highlights specific data protection laws and industry regulations, and </w:t>
      </w:r>
      <w:r w:rsidR="00F86039" w:rsidRPr="0015490A">
        <w:rPr>
          <w:rFonts w:ascii="Arial" w:hAnsi="Arial" w:cs="Arial"/>
        </w:rPr>
        <w:t>analyses</w:t>
      </w:r>
      <w:r w:rsidRPr="0015490A">
        <w:rPr>
          <w:rFonts w:ascii="Arial" w:hAnsi="Arial" w:cs="Arial"/>
        </w:rPr>
        <w:t xml:space="preserve"> the potential legal and reputational risks associated with non-compliance.</w:t>
      </w:r>
      <w:r w:rsidR="00C548C7" w:rsidRPr="0015490A">
        <w:rPr>
          <w:rFonts w:ascii="Arial" w:hAnsi="Arial" w:cs="Arial"/>
        </w:rPr>
        <w:t>[15]</w:t>
      </w:r>
    </w:p>
    <w:p w14:paraId="1C51DD5C" w14:textId="77777777" w:rsidR="00A07DB9" w:rsidRPr="0015490A" w:rsidRDefault="00A07DB9" w:rsidP="00A07DB9">
      <w:pPr>
        <w:rPr>
          <w:rFonts w:ascii="Arial" w:hAnsi="Arial" w:cs="Arial"/>
        </w:rPr>
      </w:pPr>
    </w:p>
    <w:p w14:paraId="716F3CAE" w14:textId="38272F60" w:rsidR="00A07DB9" w:rsidRPr="0015490A" w:rsidRDefault="00E829FE" w:rsidP="00A55480">
      <w:pPr>
        <w:pStyle w:val="Heading2"/>
      </w:pPr>
      <w:bookmarkStart w:id="15" w:name="_Toc153457800"/>
      <w:r w:rsidRPr="0015490A">
        <w:t xml:space="preserve">3.1 </w:t>
      </w:r>
      <w:r w:rsidR="00A07DB9" w:rsidRPr="0015490A">
        <w:t>Legal and Ethical Considerations</w:t>
      </w:r>
      <w:bookmarkEnd w:id="15"/>
    </w:p>
    <w:p w14:paraId="3AB33C79" w14:textId="3724CEB9" w:rsidR="00A07DB9" w:rsidRPr="0015490A" w:rsidRDefault="006C1E93" w:rsidP="00A07DB9">
      <w:pPr>
        <w:rPr>
          <w:rFonts w:ascii="Arial" w:hAnsi="Arial" w:cs="Arial"/>
        </w:rPr>
      </w:pPr>
      <w:r w:rsidRPr="0015490A">
        <w:rPr>
          <w:rFonts w:ascii="Arial" w:hAnsi="Arial" w:cs="Arial"/>
        </w:rPr>
        <w:t xml:space="preserve">NG recognizes the critical importance of data privacy and protection in today's landscape, understanding the legal and ethical ramifications of mishandling personal information. Safeguarding both staff and client data </w:t>
      </w:r>
      <w:r w:rsidR="00D1039F" w:rsidRPr="0015490A">
        <w:rPr>
          <w:rFonts w:ascii="Arial" w:hAnsi="Arial" w:cs="Arial"/>
        </w:rPr>
        <w:t>is not</w:t>
      </w:r>
      <w:r w:rsidRPr="0015490A">
        <w:rPr>
          <w:rFonts w:ascii="Arial" w:hAnsi="Arial" w:cs="Arial"/>
        </w:rPr>
        <w:t xml:space="preserve"> just an ethical obligation but a legal requirement under numerous laws. Additionally, protecting NG's substantial intellectual property assets, including product formulations and proprietary technologies, is paramount to prevent financial losses and legal disputes. Maintaining ethical marketing practices is equally vital to preserve NG's brand reputation, necessitating adherence to ethical standards in all promotional activities to avoid any misleading or deceptive practices.</w:t>
      </w:r>
      <w:r w:rsidR="00C548C7" w:rsidRPr="0015490A">
        <w:rPr>
          <w:rFonts w:ascii="Arial" w:hAnsi="Arial" w:cs="Arial"/>
        </w:rPr>
        <w:t>[17]</w:t>
      </w:r>
    </w:p>
    <w:p w14:paraId="110AB815" w14:textId="77777777" w:rsidR="00E829FE" w:rsidRPr="0015490A" w:rsidRDefault="00E829FE" w:rsidP="00A55480">
      <w:pPr>
        <w:pStyle w:val="Heading2"/>
      </w:pPr>
    </w:p>
    <w:p w14:paraId="0923C1CE" w14:textId="4E527A95" w:rsidR="00A07DB9" w:rsidRPr="0015490A" w:rsidRDefault="00E829FE" w:rsidP="00A55480">
      <w:pPr>
        <w:pStyle w:val="Heading2"/>
      </w:pPr>
      <w:bookmarkStart w:id="16" w:name="_Toc153457801"/>
      <w:r w:rsidRPr="0015490A">
        <w:t xml:space="preserve">3.2 </w:t>
      </w:r>
      <w:r w:rsidR="00A07DB9" w:rsidRPr="0015490A">
        <w:t>Data Protection Laws and Industry Regulations</w:t>
      </w:r>
      <w:bookmarkEnd w:id="16"/>
    </w:p>
    <w:p w14:paraId="04A0F0CC" w14:textId="3D50FDA4" w:rsidR="00A07DB9" w:rsidRPr="0015490A" w:rsidRDefault="00A07DB9" w:rsidP="00A07DB9">
      <w:pPr>
        <w:rPr>
          <w:rFonts w:ascii="Arial" w:hAnsi="Arial" w:cs="Arial"/>
        </w:rPr>
      </w:pPr>
      <w:r w:rsidRPr="0015490A">
        <w:rPr>
          <w:rFonts w:ascii="Arial" w:hAnsi="Arial" w:cs="Arial"/>
          <w:b/>
          <w:bCs/>
        </w:rPr>
        <w:t>1. General Data Protection Regulation (GDPR):</w:t>
      </w:r>
      <w:r w:rsidRPr="0015490A">
        <w:rPr>
          <w:rFonts w:ascii="Arial" w:hAnsi="Arial" w:cs="Arial"/>
        </w:rPr>
        <w:t xml:space="preserve"> NG operates globally and thus must comply with the European Union's GDPR. GDPR is one of the most far-reaching data protection laws, governing the processing and transfer of personal data. Non-compliance can lead to substantial fines and damage to the company's reputation.</w:t>
      </w:r>
    </w:p>
    <w:p w14:paraId="692A32B9" w14:textId="5E448133" w:rsidR="00A07DB9" w:rsidRPr="0015490A" w:rsidRDefault="00A07DB9" w:rsidP="00A07DB9">
      <w:pPr>
        <w:rPr>
          <w:rFonts w:ascii="Arial" w:hAnsi="Arial" w:cs="Arial"/>
        </w:rPr>
      </w:pPr>
      <w:r w:rsidRPr="0015490A">
        <w:rPr>
          <w:rFonts w:ascii="Arial" w:hAnsi="Arial" w:cs="Arial"/>
          <w:b/>
          <w:bCs/>
        </w:rPr>
        <w:t>2. Health Insurance Portability and Accountability Act (HIPAA):</w:t>
      </w:r>
      <w:r w:rsidRPr="0015490A">
        <w:rPr>
          <w:rFonts w:ascii="Arial" w:hAnsi="Arial" w:cs="Arial"/>
        </w:rPr>
        <w:t xml:space="preserve"> If NG handles healthcare-related data, it must comply with HIPAA regulations. HIPAA mandates the protection of sensitive health information and imposes penalties for violations.</w:t>
      </w:r>
    </w:p>
    <w:p w14:paraId="09273ED1" w14:textId="516E1754" w:rsidR="00A07DB9" w:rsidRPr="0015490A" w:rsidRDefault="00A07DB9" w:rsidP="00A07DB9">
      <w:pPr>
        <w:rPr>
          <w:rFonts w:ascii="Arial" w:hAnsi="Arial" w:cs="Arial"/>
        </w:rPr>
      </w:pPr>
      <w:r w:rsidRPr="0015490A">
        <w:rPr>
          <w:rFonts w:ascii="Arial" w:hAnsi="Arial" w:cs="Arial"/>
          <w:b/>
          <w:bCs/>
        </w:rPr>
        <w:t>3. Industry-Specific Regulations:</w:t>
      </w:r>
      <w:r w:rsidRPr="0015490A">
        <w:rPr>
          <w:rFonts w:ascii="Arial" w:hAnsi="Arial" w:cs="Arial"/>
        </w:rPr>
        <w:t xml:space="preserve"> Depending on the products and services offered by NG, industry-specific regulations may apply. For instance, the food and healthcare industries have specific regulatory requirements for data and product safety.</w:t>
      </w:r>
    </w:p>
    <w:p w14:paraId="6B03BBE4" w14:textId="343A8E6A" w:rsidR="00A07DB9" w:rsidRPr="0015490A" w:rsidRDefault="00A07DB9" w:rsidP="00A07DB9">
      <w:pPr>
        <w:rPr>
          <w:rFonts w:ascii="Arial" w:hAnsi="Arial" w:cs="Arial"/>
        </w:rPr>
      </w:pPr>
      <w:r w:rsidRPr="0015490A">
        <w:rPr>
          <w:rFonts w:ascii="Arial" w:hAnsi="Arial" w:cs="Arial"/>
          <w:b/>
          <w:bCs/>
        </w:rPr>
        <w:t xml:space="preserve">4. Ethical Standards: </w:t>
      </w:r>
      <w:r w:rsidRPr="0015490A">
        <w:rPr>
          <w:rFonts w:ascii="Arial" w:hAnsi="Arial" w:cs="Arial"/>
        </w:rPr>
        <w:t>NG's reputation hinges on ethical standards, including those of the industry in which it operates. Ethical breaches, such as unfair competition or deceptive advertising, can tarnish the company's image and result in legal action.</w:t>
      </w:r>
      <w:r w:rsidR="00C548C7" w:rsidRPr="0015490A">
        <w:rPr>
          <w:rFonts w:ascii="Arial" w:hAnsi="Arial" w:cs="Arial"/>
        </w:rPr>
        <w:t xml:space="preserve"> [16]</w:t>
      </w:r>
    </w:p>
    <w:p w14:paraId="094C1D42" w14:textId="77777777" w:rsidR="00A07DB9" w:rsidRPr="0015490A" w:rsidRDefault="00A07DB9" w:rsidP="00A07DB9">
      <w:pPr>
        <w:rPr>
          <w:rFonts w:ascii="Arial" w:hAnsi="Arial" w:cs="Arial"/>
        </w:rPr>
      </w:pPr>
    </w:p>
    <w:p w14:paraId="480B112B" w14:textId="72D47DEE" w:rsidR="00A07DB9" w:rsidRPr="0015490A" w:rsidRDefault="00E829FE" w:rsidP="00A55480">
      <w:pPr>
        <w:pStyle w:val="Heading2"/>
      </w:pPr>
      <w:bookmarkStart w:id="17" w:name="_Toc153457802"/>
      <w:r w:rsidRPr="0015490A">
        <w:t xml:space="preserve">3.3 </w:t>
      </w:r>
      <w:r w:rsidR="00A07DB9" w:rsidRPr="0015490A">
        <w:t>Potential Legal and Reputational Risks</w:t>
      </w:r>
      <w:bookmarkEnd w:id="17"/>
    </w:p>
    <w:p w14:paraId="37F64A42" w14:textId="64F8DB89" w:rsidR="00A07DB9" w:rsidRPr="0015490A" w:rsidRDefault="00A07DB9" w:rsidP="00A07DB9">
      <w:pPr>
        <w:rPr>
          <w:rFonts w:ascii="Arial" w:hAnsi="Arial" w:cs="Arial"/>
        </w:rPr>
      </w:pPr>
      <w:r w:rsidRPr="0015490A">
        <w:rPr>
          <w:rFonts w:ascii="Arial" w:hAnsi="Arial" w:cs="Arial"/>
        </w:rPr>
        <w:t>Non-compliance with data protection laws, industry regulations, and ethical standards can lead to significant legal and reputational risks for NG:</w:t>
      </w:r>
      <w:r w:rsidR="00C548C7" w:rsidRPr="0015490A">
        <w:rPr>
          <w:rFonts w:ascii="Arial" w:hAnsi="Arial" w:cs="Arial"/>
        </w:rPr>
        <w:t xml:space="preserve"> [17]</w:t>
      </w:r>
    </w:p>
    <w:p w14:paraId="4BCFB9FF" w14:textId="3311D92A" w:rsidR="00A07DB9" w:rsidRPr="0015490A" w:rsidRDefault="00A07DB9" w:rsidP="00A07DB9">
      <w:pPr>
        <w:rPr>
          <w:rFonts w:ascii="Arial" w:hAnsi="Arial" w:cs="Arial"/>
        </w:rPr>
      </w:pPr>
      <w:r w:rsidRPr="0015490A">
        <w:rPr>
          <w:rFonts w:ascii="Arial" w:hAnsi="Arial" w:cs="Arial"/>
          <w:b/>
          <w:bCs/>
        </w:rPr>
        <w:t>1. Financial Penalties:</w:t>
      </w:r>
      <w:r w:rsidRPr="0015490A">
        <w:rPr>
          <w:rFonts w:ascii="Arial" w:hAnsi="Arial" w:cs="Arial"/>
        </w:rPr>
        <w:t xml:space="preserve"> Violating data protection laws like GDPR or HIPAA can result in substantial fines, potentially causing financial strain.</w:t>
      </w:r>
    </w:p>
    <w:p w14:paraId="7A4EA444" w14:textId="566E0B18" w:rsidR="00A07DB9" w:rsidRPr="0015490A" w:rsidRDefault="00A07DB9" w:rsidP="00A07DB9">
      <w:pPr>
        <w:rPr>
          <w:rFonts w:ascii="Arial" w:hAnsi="Arial" w:cs="Arial"/>
        </w:rPr>
      </w:pPr>
      <w:r w:rsidRPr="0015490A">
        <w:rPr>
          <w:rFonts w:ascii="Arial" w:hAnsi="Arial" w:cs="Arial"/>
          <w:b/>
          <w:bCs/>
        </w:rPr>
        <w:t>2. Litigation and Legal Costs</w:t>
      </w:r>
      <w:r w:rsidRPr="0015490A">
        <w:rPr>
          <w:rFonts w:ascii="Arial" w:hAnsi="Arial" w:cs="Arial"/>
        </w:rPr>
        <w:t>: Breaches of data privacy and intellectual property rights can lead to legal disputes and costly litigation.</w:t>
      </w:r>
    </w:p>
    <w:p w14:paraId="5324F158" w14:textId="6E05B116" w:rsidR="00A07DB9" w:rsidRPr="0015490A" w:rsidRDefault="00A07DB9" w:rsidP="00A07DB9">
      <w:pPr>
        <w:rPr>
          <w:rFonts w:ascii="Arial" w:hAnsi="Arial" w:cs="Arial"/>
        </w:rPr>
      </w:pPr>
      <w:r w:rsidRPr="0015490A">
        <w:rPr>
          <w:rFonts w:ascii="Arial" w:hAnsi="Arial" w:cs="Arial"/>
          <w:b/>
          <w:bCs/>
        </w:rPr>
        <w:t xml:space="preserve">3. Reputational Damage: </w:t>
      </w:r>
      <w:r w:rsidRPr="0015490A">
        <w:rPr>
          <w:rFonts w:ascii="Arial" w:hAnsi="Arial" w:cs="Arial"/>
        </w:rPr>
        <w:t>Reputational damage is a significant concern. Data breaches or ethical violations can erode client trust, leading to a loss of customers and market share.</w:t>
      </w:r>
    </w:p>
    <w:p w14:paraId="2CE58062" w14:textId="17BD99A3" w:rsidR="00A07DB9" w:rsidRPr="0015490A" w:rsidRDefault="00A07DB9" w:rsidP="00A07DB9">
      <w:pPr>
        <w:rPr>
          <w:rFonts w:ascii="Arial" w:hAnsi="Arial" w:cs="Arial"/>
        </w:rPr>
      </w:pPr>
      <w:r w:rsidRPr="0015490A">
        <w:rPr>
          <w:rFonts w:ascii="Arial" w:hAnsi="Arial" w:cs="Arial"/>
          <w:b/>
          <w:bCs/>
        </w:rPr>
        <w:lastRenderedPageBreak/>
        <w:t>4. Loss of Market Position</w:t>
      </w:r>
      <w:r w:rsidRPr="0015490A">
        <w:rPr>
          <w:rFonts w:ascii="Arial" w:hAnsi="Arial" w:cs="Arial"/>
        </w:rPr>
        <w:t>: In today's socially conscious market, ethical considerations significantly impact consumers' choices. Ethical violations can lead to a loss of market position and competitive advantage.</w:t>
      </w:r>
    </w:p>
    <w:p w14:paraId="378E0399" w14:textId="10F6418E" w:rsidR="00A07DB9" w:rsidRPr="0015490A" w:rsidRDefault="00A07DB9" w:rsidP="00A07DB9">
      <w:pPr>
        <w:rPr>
          <w:rFonts w:ascii="Arial" w:hAnsi="Arial" w:cs="Arial"/>
        </w:rPr>
      </w:pPr>
      <w:r w:rsidRPr="0015490A">
        <w:rPr>
          <w:rFonts w:ascii="Arial" w:hAnsi="Arial" w:cs="Arial"/>
          <w:b/>
          <w:bCs/>
        </w:rPr>
        <w:t>5. Regulatory Sanctions:</w:t>
      </w:r>
      <w:r w:rsidRPr="0015490A">
        <w:rPr>
          <w:rFonts w:ascii="Arial" w:hAnsi="Arial" w:cs="Arial"/>
        </w:rPr>
        <w:t xml:space="preserve"> Regulatory bodies can impose sanctions and penalties for non-compliance, which may vary in severity depending on the specific regulation.</w:t>
      </w:r>
    </w:p>
    <w:p w14:paraId="5E2CD6ED" w14:textId="77777777" w:rsidR="00A07DB9" w:rsidRPr="0015490A" w:rsidRDefault="00A07DB9" w:rsidP="00A07DB9">
      <w:pPr>
        <w:rPr>
          <w:rFonts w:ascii="Arial" w:hAnsi="Arial" w:cs="Arial"/>
        </w:rPr>
      </w:pPr>
    </w:p>
    <w:p w14:paraId="464CC0A3" w14:textId="77777777" w:rsidR="00A07DB9" w:rsidRPr="0015490A" w:rsidRDefault="00A07DB9" w:rsidP="0089686E">
      <w:pPr>
        <w:rPr>
          <w:rFonts w:ascii="Arial" w:hAnsi="Arial" w:cs="Arial"/>
        </w:rPr>
      </w:pPr>
    </w:p>
    <w:p w14:paraId="60B4FB38" w14:textId="77777777" w:rsidR="00A07DB9" w:rsidRPr="0015490A" w:rsidRDefault="00A07DB9">
      <w:pPr>
        <w:rPr>
          <w:rFonts w:ascii="Arial" w:hAnsi="Arial" w:cs="Arial"/>
        </w:rPr>
      </w:pPr>
      <w:r w:rsidRPr="0015490A">
        <w:rPr>
          <w:rFonts w:ascii="Arial" w:hAnsi="Arial" w:cs="Arial"/>
        </w:rPr>
        <w:br w:type="page"/>
      </w:r>
    </w:p>
    <w:p w14:paraId="2A4588FA" w14:textId="010CEDEE" w:rsidR="00AE5B23" w:rsidRPr="0015490A" w:rsidRDefault="00E829FE" w:rsidP="00AE5B23">
      <w:pPr>
        <w:pStyle w:val="Heading1"/>
        <w:rPr>
          <w:rFonts w:ascii="Arial" w:hAnsi="Arial" w:cs="Arial"/>
        </w:rPr>
      </w:pPr>
      <w:bookmarkStart w:id="18" w:name="_Toc153457803"/>
      <w:r w:rsidRPr="0015490A">
        <w:rPr>
          <w:rFonts w:ascii="Arial" w:hAnsi="Arial" w:cs="Arial"/>
        </w:rPr>
        <w:lastRenderedPageBreak/>
        <w:t xml:space="preserve">4. </w:t>
      </w:r>
      <w:r w:rsidR="00AE5B23" w:rsidRPr="0015490A">
        <w:rPr>
          <w:rFonts w:ascii="Arial" w:hAnsi="Arial" w:cs="Arial"/>
        </w:rPr>
        <w:t>Security Governance and Strategic Planning</w:t>
      </w:r>
      <w:bookmarkEnd w:id="18"/>
    </w:p>
    <w:p w14:paraId="6DD4F089" w14:textId="7B62ECBD" w:rsidR="00AE5B23" w:rsidRPr="0015490A" w:rsidRDefault="00AE5B23" w:rsidP="00AE5B23">
      <w:pPr>
        <w:rPr>
          <w:rFonts w:ascii="Arial" w:hAnsi="Arial" w:cs="Arial"/>
        </w:rPr>
      </w:pPr>
      <w:r w:rsidRPr="0015490A">
        <w:rPr>
          <w:rFonts w:ascii="Arial" w:hAnsi="Arial" w:cs="Arial"/>
        </w:rPr>
        <w:t>Effective security governance and strategic planning are integral to NatureGarden (NG) as they provide the framework for ensuring that information security aligns with the organization's strategic goals and objectives. This section delves into the significance of governance in information security, explores how NG can align security efforts with its strategic goals, and underscores the importance of clear roles and responsibilities in security governance.</w:t>
      </w:r>
      <w:r w:rsidR="00565188" w:rsidRPr="0015490A">
        <w:rPr>
          <w:rFonts w:ascii="Arial" w:hAnsi="Arial" w:cs="Arial"/>
        </w:rPr>
        <w:t>[18]</w:t>
      </w:r>
    </w:p>
    <w:p w14:paraId="1D1CAE15" w14:textId="77777777" w:rsidR="00AE5B23" w:rsidRPr="0015490A" w:rsidRDefault="00AE5B23" w:rsidP="00AE5B23">
      <w:pPr>
        <w:rPr>
          <w:rFonts w:ascii="Arial" w:hAnsi="Arial" w:cs="Arial"/>
        </w:rPr>
      </w:pPr>
    </w:p>
    <w:p w14:paraId="704F2E46" w14:textId="3C8F2EB4" w:rsidR="00AE5B23" w:rsidRPr="0015490A" w:rsidRDefault="00E829FE" w:rsidP="00A55480">
      <w:pPr>
        <w:pStyle w:val="Heading2"/>
      </w:pPr>
      <w:bookmarkStart w:id="19" w:name="_Toc153457804"/>
      <w:r w:rsidRPr="0015490A">
        <w:t xml:space="preserve">4.1 </w:t>
      </w:r>
      <w:r w:rsidR="00AE5B23" w:rsidRPr="0015490A">
        <w:t>Significance of Governance in Information Security</w:t>
      </w:r>
      <w:bookmarkEnd w:id="19"/>
    </w:p>
    <w:p w14:paraId="609F6ABD" w14:textId="76F144B7" w:rsidR="00AE5B23" w:rsidRPr="0015490A" w:rsidRDefault="00AE5B23" w:rsidP="00AE5B23">
      <w:pPr>
        <w:rPr>
          <w:rFonts w:ascii="Arial" w:hAnsi="Arial" w:cs="Arial"/>
        </w:rPr>
      </w:pPr>
      <w:r w:rsidRPr="0015490A">
        <w:rPr>
          <w:rFonts w:ascii="Arial" w:hAnsi="Arial" w:cs="Arial"/>
        </w:rPr>
        <w:t>Governance in information security is the set of policies, processes, and structures that provide the framework for decision-making, accountability, and oversight. It establishes the rules and responsibilities that guide information security activities within an organization. The significance of governance can be summarized as follows:</w:t>
      </w:r>
      <w:r w:rsidR="00565188" w:rsidRPr="0015490A">
        <w:rPr>
          <w:rFonts w:ascii="Arial" w:hAnsi="Arial" w:cs="Arial"/>
        </w:rPr>
        <w:t>[19]</w:t>
      </w:r>
    </w:p>
    <w:p w14:paraId="5ECEB338" w14:textId="77777777" w:rsidR="00AE5B23" w:rsidRPr="0015490A" w:rsidRDefault="00AE5B23" w:rsidP="00AE5B23">
      <w:pPr>
        <w:rPr>
          <w:rFonts w:ascii="Arial" w:hAnsi="Arial" w:cs="Arial"/>
        </w:rPr>
      </w:pPr>
    </w:p>
    <w:p w14:paraId="3ABE4E06" w14:textId="76695B23" w:rsidR="00AE5B23" w:rsidRPr="0015490A" w:rsidRDefault="00AE5B23" w:rsidP="00AE5B23">
      <w:pPr>
        <w:rPr>
          <w:rFonts w:ascii="Arial" w:hAnsi="Arial" w:cs="Arial"/>
        </w:rPr>
      </w:pPr>
      <w:r w:rsidRPr="0015490A">
        <w:rPr>
          <w:rFonts w:ascii="Arial" w:hAnsi="Arial" w:cs="Arial"/>
          <w:b/>
          <w:bCs/>
        </w:rPr>
        <w:t>1. Risk Management:</w:t>
      </w:r>
      <w:r w:rsidRPr="0015490A">
        <w:rPr>
          <w:rFonts w:ascii="Arial" w:hAnsi="Arial" w:cs="Arial"/>
        </w:rPr>
        <w:t xml:space="preserve"> Governance frameworks help identify, assess, and manage security risks effectively. It ensures that risks are prioritized and addressed in alignment with business objectives.</w:t>
      </w:r>
    </w:p>
    <w:p w14:paraId="4BD260E0" w14:textId="34B400A6" w:rsidR="00AE5B23" w:rsidRPr="0015490A" w:rsidRDefault="00AE5B23" w:rsidP="00AE5B23">
      <w:pPr>
        <w:rPr>
          <w:rFonts w:ascii="Arial" w:hAnsi="Arial" w:cs="Arial"/>
        </w:rPr>
      </w:pPr>
      <w:r w:rsidRPr="0015490A">
        <w:rPr>
          <w:rFonts w:ascii="Arial" w:hAnsi="Arial" w:cs="Arial"/>
          <w:b/>
          <w:bCs/>
        </w:rPr>
        <w:t>2. Compliance:</w:t>
      </w:r>
      <w:r w:rsidRPr="0015490A">
        <w:rPr>
          <w:rFonts w:ascii="Arial" w:hAnsi="Arial" w:cs="Arial"/>
        </w:rPr>
        <w:t xml:space="preserve"> Governance ensures that NG complies with laws, regulations, and ethical standards. It provides the structure for monitoring and enforcing compliance.</w:t>
      </w:r>
    </w:p>
    <w:p w14:paraId="5703F89C" w14:textId="42BF9BA2" w:rsidR="00AE5B23" w:rsidRPr="0015490A" w:rsidRDefault="00AE5B23" w:rsidP="00AE5B23">
      <w:pPr>
        <w:rPr>
          <w:rFonts w:ascii="Arial" w:hAnsi="Arial" w:cs="Arial"/>
        </w:rPr>
      </w:pPr>
      <w:r w:rsidRPr="0015490A">
        <w:rPr>
          <w:rFonts w:ascii="Arial" w:hAnsi="Arial" w:cs="Arial"/>
          <w:b/>
          <w:bCs/>
        </w:rPr>
        <w:t>3. Resource Allocation:</w:t>
      </w:r>
      <w:r w:rsidRPr="0015490A">
        <w:rPr>
          <w:rFonts w:ascii="Arial" w:hAnsi="Arial" w:cs="Arial"/>
        </w:rPr>
        <w:t xml:space="preserve"> Governance helps allocate resources efficiently, ensuring that security efforts are in line with business priorities.</w:t>
      </w:r>
    </w:p>
    <w:p w14:paraId="21998C10" w14:textId="1C8EA380" w:rsidR="00AE5B23" w:rsidRPr="0015490A" w:rsidRDefault="00AE5B23" w:rsidP="00AE5B23">
      <w:pPr>
        <w:rPr>
          <w:rFonts w:ascii="Arial" w:hAnsi="Arial" w:cs="Arial"/>
        </w:rPr>
      </w:pPr>
      <w:r w:rsidRPr="0015490A">
        <w:rPr>
          <w:rFonts w:ascii="Arial" w:hAnsi="Arial" w:cs="Arial"/>
          <w:b/>
          <w:bCs/>
        </w:rPr>
        <w:t>4. Strategic Alignment:</w:t>
      </w:r>
      <w:r w:rsidRPr="0015490A">
        <w:rPr>
          <w:rFonts w:ascii="Arial" w:hAnsi="Arial" w:cs="Arial"/>
        </w:rPr>
        <w:t xml:space="preserve"> Governance aligns information security with the organization's strategic goals, making security a part of the overall business strategy.</w:t>
      </w:r>
    </w:p>
    <w:p w14:paraId="20A01412" w14:textId="77777777" w:rsidR="008E1AC1" w:rsidRPr="0015490A" w:rsidRDefault="008E1AC1" w:rsidP="00A55480">
      <w:pPr>
        <w:pStyle w:val="Heading2"/>
      </w:pPr>
    </w:p>
    <w:p w14:paraId="1E0F89D4" w14:textId="77777777" w:rsidR="008E1AC1" w:rsidRPr="0015490A" w:rsidRDefault="008E1AC1" w:rsidP="008E1AC1">
      <w:pPr>
        <w:rPr>
          <w:rFonts w:ascii="Arial" w:hAnsi="Arial" w:cs="Arial"/>
        </w:rPr>
      </w:pPr>
    </w:p>
    <w:p w14:paraId="1CD3336A" w14:textId="77777777" w:rsidR="004C7427" w:rsidRPr="0015490A" w:rsidRDefault="004C7427" w:rsidP="008E1AC1">
      <w:pPr>
        <w:rPr>
          <w:rFonts w:ascii="Arial" w:hAnsi="Arial" w:cs="Arial"/>
        </w:rPr>
      </w:pPr>
    </w:p>
    <w:p w14:paraId="529F0E01" w14:textId="77777777" w:rsidR="004C7427" w:rsidRPr="0015490A" w:rsidRDefault="004C7427" w:rsidP="008E1AC1">
      <w:pPr>
        <w:rPr>
          <w:rFonts w:ascii="Arial" w:hAnsi="Arial" w:cs="Arial"/>
        </w:rPr>
      </w:pPr>
    </w:p>
    <w:p w14:paraId="1DA07C90" w14:textId="77777777" w:rsidR="004C7427" w:rsidRPr="0015490A" w:rsidRDefault="004C7427" w:rsidP="008E1AC1">
      <w:pPr>
        <w:rPr>
          <w:rFonts w:ascii="Arial" w:hAnsi="Arial" w:cs="Arial"/>
        </w:rPr>
      </w:pPr>
    </w:p>
    <w:p w14:paraId="5017F9A8" w14:textId="77777777" w:rsidR="004C7427" w:rsidRPr="0015490A" w:rsidRDefault="004C7427" w:rsidP="008E1AC1">
      <w:pPr>
        <w:rPr>
          <w:rFonts w:ascii="Arial" w:hAnsi="Arial" w:cs="Arial"/>
        </w:rPr>
      </w:pPr>
    </w:p>
    <w:p w14:paraId="7B785570" w14:textId="77777777" w:rsidR="004C7427" w:rsidRPr="0015490A" w:rsidRDefault="004C7427" w:rsidP="008E1AC1">
      <w:pPr>
        <w:rPr>
          <w:rFonts w:ascii="Arial" w:hAnsi="Arial" w:cs="Arial"/>
        </w:rPr>
      </w:pPr>
    </w:p>
    <w:p w14:paraId="111DC1E9" w14:textId="77777777" w:rsidR="004C7427" w:rsidRPr="0015490A" w:rsidRDefault="004C7427" w:rsidP="008E1AC1">
      <w:pPr>
        <w:rPr>
          <w:rFonts w:ascii="Arial" w:hAnsi="Arial" w:cs="Arial"/>
        </w:rPr>
      </w:pPr>
    </w:p>
    <w:p w14:paraId="73D0C440" w14:textId="77777777" w:rsidR="004C7427" w:rsidRPr="0015490A" w:rsidRDefault="004C7427" w:rsidP="008E1AC1">
      <w:pPr>
        <w:rPr>
          <w:rFonts w:ascii="Arial" w:hAnsi="Arial" w:cs="Arial"/>
        </w:rPr>
      </w:pPr>
    </w:p>
    <w:p w14:paraId="16022DFF" w14:textId="77777777" w:rsidR="004C7427" w:rsidRPr="0015490A" w:rsidRDefault="004C7427" w:rsidP="008E1AC1">
      <w:pPr>
        <w:rPr>
          <w:rFonts w:ascii="Arial" w:hAnsi="Arial" w:cs="Arial"/>
        </w:rPr>
      </w:pPr>
    </w:p>
    <w:p w14:paraId="00182E46" w14:textId="77777777" w:rsidR="004C7427" w:rsidRPr="0015490A" w:rsidRDefault="004C7427" w:rsidP="008E1AC1">
      <w:pPr>
        <w:rPr>
          <w:rFonts w:ascii="Arial" w:hAnsi="Arial" w:cs="Arial"/>
        </w:rPr>
      </w:pPr>
    </w:p>
    <w:p w14:paraId="21C26E90" w14:textId="77777777" w:rsidR="004C7427" w:rsidRPr="0015490A" w:rsidRDefault="004C7427" w:rsidP="008E1AC1">
      <w:pPr>
        <w:rPr>
          <w:rFonts w:ascii="Arial" w:hAnsi="Arial" w:cs="Arial"/>
        </w:rPr>
      </w:pPr>
    </w:p>
    <w:p w14:paraId="2CE775F8" w14:textId="77777777" w:rsidR="004C7427" w:rsidRPr="0015490A" w:rsidRDefault="004C7427" w:rsidP="008E1AC1">
      <w:pPr>
        <w:rPr>
          <w:rFonts w:ascii="Arial" w:hAnsi="Arial" w:cs="Arial"/>
        </w:rPr>
      </w:pPr>
    </w:p>
    <w:p w14:paraId="2F78968A" w14:textId="77777777" w:rsidR="008E1AC1" w:rsidRPr="0015490A" w:rsidRDefault="008E1AC1" w:rsidP="00AE5B23">
      <w:pPr>
        <w:rPr>
          <w:rFonts w:ascii="Arial" w:hAnsi="Arial" w:cs="Arial"/>
        </w:rPr>
      </w:pPr>
    </w:p>
    <w:p w14:paraId="29C6E269" w14:textId="32097A71" w:rsidR="008E1AC1" w:rsidRPr="0015490A" w:rsidRDefault="00E829FE" w:rsidP="008E1AC1">
      <w:pPr>
        <w:pStyle w:val="Heading1"/>
        <w:rPr>
          <w:rFonts w:ascii="Arial" w:hAnsi="Arial" w:cs="Arial"/>
        </w:rPr>
      </w:pPr>
      <w:bookmarkStart w:id="20" w:name="_Toc153457805"/>
      <w:r w:rsidRPr="0015490A">
        <w:rPr>
          <w:rFonts w:ascii="Arial" w:hAnsi="Arial" w:cs="Arial"/>
        </w:rPr>
        <w:lastRenderedPageBreak/>
        <w:t xml:space="preserve">5. </w:t>
      </w:r>
      <w:r w:rsidR="008E1AC1" w:rsidRPr="0015490A">
        <w:rPr>
          <w:rFonts w:ascii="Arial" w:hAnsi="Arial" w:cs="Arial"/>
        </w:rPr>
        <w:t>Information Security Approach</w:t>
      </w:r>
      <w:bookmarkEnd w:id="20"/>
    </w:p>
    <w:p w14:paraId="4DE8A3D8" w14:textId="638D0205" w:rsidR="008E1AC1" w:rsidRPr="0015490A" w:rsidRDefault="008E1AC1" w:rsidP="008E1AC1">
      <w:pPr>
        <w:rPr>
          <w:rFonts w:ascii="Arial" w:hAnsi="Arial" w:cs="Arial"/>
        </w:rPr>
      </w:pPr>
      <w:r w:rsidRPr="0015490A">
        <w:rPr>
          <w:rFonts w:ascii="Arial" w:hAnsi="Arial" w:cs="Arial"/>
        </w:rPr>
        <w:t>To meet Nature Garden’s (NG) information system security, governance, and compliance needs, a structured and comprehensive approach is essential. The proposed approach incorporates best practices and recognized frameworks while being tailored to NG's unique context. Visual aids, tables, and diagrams are employed to present the framework and its components, addressing key factors such as risk management, security policies, protection mechanisms, and contingency planning.</w:t>
      </w:r>
      <w:r w:rsidR="00545014" w:rsidRPr="0015490A">
        <w:rPr>
          <w:rFonts w:ascii="Arial" w:hAnsi="Arial" w:cs="Arial"/>
        </w:rPr>
        <w:t>[23]</w:t>
      </w:r>
    </w:p>
    <w:p w14:paraId="70E27D2B" w14:textId="77777777" w:rsidR="008E1AC1" w:rsidRPr="0015490A" w:rsidRDefault="008E1AC1" w:rsidP="008E1AC1">
      <w:pPr>
        <w:rPr>
          <w:rFonts w:ascii="Arial" w:hAnsi="Arial" w:cs="Arial"/>
        </w:rPr>
      </w:pPr>
    </w:p>
    <w:p w14:paraId="6B9ECABF" w14:textId="5379FE5A" w:rsidR="008E1AC1" w:rsidRPr="0015490A" w:rsidRDefault="00963609" w:rsidP="00A55480">
      <w:pPr>
        <w:pStyle w:val="Heading2"/>
      </w:pPr>
      <w:bookmarkStart w:id="21" w:name="_Toc153457806"/>
      <w:r w:rsidRPr="0015490A">
        <w:t xml:space="preserve">5.1 </w:t>
      </w:r>
      <w:r w:rsidR="008E1AC1" w:rsidRPr="0015490A">
        <w:t>Framework Overview</w:t>
      </w:r>
      <w:bookmarkEnd w:id="21"/>
    </w:p>
    <w:p w14:paraId="34A56EC7" w14:textId="78A22943" w:rsidR="008E1AC1" w:rsidRPr="0015490A" w:rsidRDefault="008E1AC1" w:rsidP="008E1AC1">
      <w:pPr>
        <w:rPr>
          <w:rFonts w:ascii="Arial" w:hAnsi="Arial" w:cs="Arial"/>
        </w:rPr>
      </w:pPr>
      <w:r w:rsidRPr="0015490A">
        <w:rPr>
          <w:rFonts w:ascii="Arial" w:hAnsi="Arial" w:cs="Arial"/>
        </w:rPr>
        <w:t>The proposed information security framework for NG is designed to ensure the confidentiality, integrity, and availability of data, align security with strategic objectives, and facilitate compliance with relevant laws and regulations. It consists of the following key components:</w:t>
      </w:r>
      <w:r w:rsidR="00565188" w:rsidRPr="0015490A">
        <w:rPr>
          <w:rFonts w:ascii="Arial" w:hAnsi="Arial" w:cs="Arial"/>
        </w:rPr>
        <w:t>[20]</w:t>
      </w:r>
    </w:p>
    <w:p w14:paraId="49979EAF" w14:textId="77777777" w:rsidR="008E1AC1" w:rsidRPr="0015490A" w:rsidRDefault="008E1AC1" w:rsidP="008E1AC1">
      <w:pPr>
        <w:rPr>
          <w:rFonts w:ascii="Arial" w:hAnsi="Arial" w:cs="Arial"/>
        </w:rPr>
      </w:pPr>
    </w:p>
    <w:p w14:paraId="58AF89F9" w14:textId="521DA3FF" w:rsidR="008E1AC1" w:rsidRPr="0015490A" w:rsidRDefault="008E1AC1" w:rsidP="008E1AC1">
      <w:pPr>
        <w:rPr>
          <w:rFonts w:ascii="Arial" w:hAnsi="Arial" w:cs="Arial"/>
        </w:rPr>
      </w:pPr>
      <w:r w:rsidRPr="0015490A">
        <w:rPr>
          <w:rFonts w:ascii="Arial" w:hAnsi="Arial" w:cs="Arial"/>
          <w:b/>
          <w:bCs/>
        </w:rPr>
        <w:t>1. Governance and Leadership:</w:t>
      </w:r>
      <w:r w:rsidRPr="0015490A">
        <w:rPr>
          <w:rFonts w:ascii="Arial" w:hAnsi="Arial" w:cs="Arial"/>
        </w:rPr>
        <w:t xml:space="preserve"> Strong governance is the foundation of the framework. It includes the appointment of a Chief Information Security Officer (CISO) responsible for information security governance and compliance. A dedicated security committee and clear roles and responsibilities within NG are established.</w:t>
      </w:r>
    </w:p>
    <w:p w14:paraId="454CF676" w14:textId="255FD710" w:rsidR="008E1AC1" w:rsidRPr="0015490A" w:rsidRDefault="008E1AC1" w:rsidP="008E1AC1">
      <w:pPr>
        <w:rPr>
          <w:rFonts w:ascii="Arial" w:hAnsi="Arial" w:cs="Arial"/>
        </w:rPr>
      </w:pPr>
      <w:r w:rsidRPr="0015490A">
        <w:rPr>
          <w:rFonts w:ascii="Arial" w:hAnsi="Arial" w:cs="Arial"/>
          <w:b/>
          <w:bCs/>
        </w:rPr>
        <w:t>2. Risk Management</w:t>
      </w:r>
      <w:r w:rsidRPr="0015490A">
        <w:rPr>
          <w:rFonts w:ascii="Arial" w:hAnsi="Arial" w:cs="Arial"/>
        </w:rPr>
        <w:t>: NG adopts a risk-based approach to identify, assess, and prioritize security risks. Risk assessments and ongoing monitoring help in focusing resources on the most critical risks.</w:t>
      </w:r>
    </w:p>
    <w:p w14:paraId="56E3F168" w14:textId="1013B592" w:rsidR="008E1AC1" w:rsidRPr="0015490A" w:rsidRDefault="008E1AC1" w:rsidP="008E1AC1">
      <w:pPr>
        <w:rPr>
          <w:rFonts w:ascii="Arial" w:hAnsi="Arial" w:cs="Arial"/>
        </w:rPr>
      </w:pPr>
      <w:r w:rsidRPr="0015490A">
        <w:rPr>
          <w:rFonts w:ascii="Arial" w:hAnsi="Arial" w:cs="Arial"/>
          <w:b/>
          <w:bCs/>
        </w:rPr>
        <w:t>3. Security Policies and Procedures:</w:t>
      </w:r>
      <w:r w:rsidRPr="0015490A">
        <w:rPr>
          <w:rFonts w:ascii="Arial" w:hAnsi="Arial" w:cs="Arial"/>
        </w:rPr>
        <w:t xml:space="preserve"> Comprehensive security policies and procedures are documented, addressing areas such as access control, data classification, incident response, and compliance with specific data protection laws and regulations.</w:t>
      </w:r>
    </w:p>
    <w:p w14:paraId="01B11281" w14:textId="77777777" w:rsidR="008E1AC1" w:rsidRPr="0015490A" w:rsidRDefault="008E1AC1" w:rsidP="008E1AC1">
      <w:pPr>
        <w:rPr>
          <w:rFonts w:ascii="Arial" w:hAnsi="Arial" w:cs="Arial"/>
        </w:rPr>
      </w:pPr>
    </w:p>
    <w:p w14:paraId="15BE6C0C" w14:textId="528FD117" w:rsidR="008E1AC1" w:rsidRPr="0015490A" w:rsidRDefault="008E1AC1" w:rsidP="008E1AC1">
      <w:pPr>
        <w:rPr>
          <w:rFonts w:ascii="Arial" w:hAnsi="Arial" w:cs="Arial"/>
        </w:rPr>
      </w:pPr>
      <w:r w:rsidRPr="0015490A">
        <w:rPr>
          <w:rFonts w:ascii="Arial" w:hAnsi="Arial" w:cs="Arial"/>
          <w:b/>
          <w:bCs/>
        </w:rPr>
        <w:t>4. Protection Mechanisms:</w:t>
      </w:r>
      <w:r w:rsidRPr="0015490A">
        <w:rPr>
          <w:rFonts w:ascii="Arial" w:hAnsi="Arial" w:cs="Arial"/>
        </w:rPr>
        <w:t xml:space="preserve"> Technical and procedural controls are implemented to safeguard data and assets. This includes access controls, encryption, network security, and endpoint protection.</w:t>
      </w:r>
    </w:p>
    <w:p w14:paraId="252AE5E6" w14:textId="5F5FD862" w:rsidR="008E1AC1" w:rsidRPr="0015490A" w:rsidRDefault="008E1AC1" w:rsidP="008E1AC1">
      <w:pPr>
        <w:rPr>
          <w:rFonts w:ascii="Arial" w:hAnsi="Arial" w:cs="Arial"/>
        </w:rPr>
      </w:pPr>
      <w:r w:rsidRPr="0015490A">
        <w:rPr>
          <w:rFonts w:ascii="Arial" w:hAnsi="Arial" w:cs="Arial"/>
          <w:b/>
          <w:bCs/>
        </w:rPr>
        <w:t>5. Contingency Planning:</w:t>
      </w:r>
      <w:r w:rsidRPr="0015490A">
        <w:rPr>
          <w:rFonts w:ascii="Arial" w:hAnsi="Arial" w:cs="Arial"/>
        </w:rPr>
        <w:t xml:space="preserve"> NG develops a robust incident response and business continuity plan. This plan outlines how the organization will respond to security incidents and disruptions to ensure minimal impact on operations.</w:t>
      </w:r>
    </w:p>
    <w:p w14:paraId="30BBCBCB" w14:textId="2EB859A5" w:rsidR="008E1AC1" w:rsidRPr="0015490A" w:rsidRDefault="008E1AC1" w:rsidP="008E1AC1">
      <w:pPr>
        <w:rPr>
          <w:rFonts w:ascii="Arial" w:hAnsi="Arial" w:cs="Arial"/>
        </w:rPr>
      </w:pPr>
      <w:r w:rsidRPr="0015490A">
        <w:rPr>
          <w:rFonts w:ascii="Arial" w:hAnsi="Arial" w:cs="Arial"/>
          <w:b/>
          <w:bCs/>
        </w:rPr>
        <w:t>6. Compliance and Legal Requirements:</w:t>
      </w:r>
      <w:r w:rsidRPr="0015490A">
        <w:rPr>
          <w:rFonts w:ascii="Arial" w:hAnsi="Arial" w:cs="Arial"/>
        </w:rPr>
        <w:t xml:space="preserve"> NG establishes a compliance framework that ensures adherence to relevant data protection laws and regulations. </w:t>
      </w:r>
      <w:r w:rsidR="00AB7B06" w:rsidRPr="00AB7B06">
        <w:rPr>
          <w:rFonts w:ascii="Arial" w:hAnsi="Arial" w:cs="Arial"/>
        </w:rPr>
        <w:t>This consists of GDPR, HIPAA, and industry-unique standards.</w:t>
      </w:r>
    </w:p>
    <w:p w14:paraId="638E33C5" w14:textId="1E3430F0" w:rsidR="008E1AC1" w:rsidRPr="0015490A" w:rsidRDefault="008E1AC1" w:rsidP="008E1AC1">
      <w:pPr>
        <w:rPr>
          <w:rFonts w:ascii="Arial" w:hAnsi="Arial" w:cs="Arial"/>
        </w:rPr>
      </w:pPr>
      <w:r w:rsidRPr="0015490A">
        <w:rPr>
          <w:rFonts w:ascii="Arial" w:hAnsi="Arial" w:cs="Arial"/>
          <w:b/>
          <w:bCs/>
        </w:rPr>
        <w:t>7. Service Level Agreements (SLAs):</w:t>
      </w:r>
      <w:r w:rsidRPr="0015490A">
        <w:rPr>
          <w:rFonts w:ascii="Arial" w:hAnsi="Arial" w:cs="Arial"/>
        </w:rPr>
        <w:t xml:space="preserve"> SLAs with service providers, especially those delivering cloud services, are defined to include security expectations and requirements.</w:t>
      </w:r>
    </w:p>
    <w:p w14:paraId="61650426" w14:textId="77777777" w:rsidR="008E1AC1" w:rsidRPr="0015490A" w:rsidRDefault="008E1AC1" w:rsidP="008E1AC1">
      <w:pPr>
        <w:rPr>
          <w:rFonts w:ascii="Arial" w:hAnsi="Arial" w:cs="Arial"/>
        </w:rPr>
      </w:pPr>
    </w:p>
    <w:p w14:paraId="231B9E11" w14:textId="71E5267A" w:rsidR="008E1AC1" w:rsidRPr="0015490A" w:rsidRDefault="008E1AC1">
      <w:pPr>
        <w:rPr>
          <w:rFonts w:ascii="Arial" w:hAnsi="Arial" w:cs="Arial"/>
        </w:rPr>
      </w:pPr>
      <w:r w:rsidRPr="0015490A">
        <w:rPr>
          <w:rFonts w:ascii="Arial" w:hAnsi="Arial" w:cs="Arial"/>
        </w:rPr>
        <w:br w:type="page"/>
      </w:r>
    </w:p>
    <w:p w14:paraId="12789759" w14:textId="3E3D1EEE" w:rsidR="00D3796D" w:rsidRPr="0015490A" w:rsidRDefault="00963609" w:rsidP="00D3796D">
      <w:pPr>
        <w:pStyle w:val="Heading1"/>
        <w:rPr>
          <w:rFonts w:ascii="Arial" w:hAnsi="Arial" w:cs="Arial"/>
        </w:rPr>
      </w:pPr>
      <w:bookmarkStart w:id="22" w:name="_Toc153457807"/>
      <w:r w:rsidRPr="0015490A">
        <w:rPr>
          <w:rFonts w:ascii="Arial" w:hAnsi="Arial" w:cs="Arial"/>
        </w:rPr>
        <w:lastRenderedPageBreak/>
        <w:t xml:space="preserve">6. </w:t>
      </w:r>
      <w:r w:rsidR="00D3796D" w:rsidRPr="0015490A">
        <w:rPr>
          <w:rFonts w:ascii="Arial" w:hAnsi="Arial" w:cs="Arial"/>
        </w:rPr>
        <w:t>Security Policies and Procedures</w:t>
      </w:r>
      <w:bookmarkEnd w:id="22"/>
    </w:p>
    <w:p w14:paraId="052E87B3" w14:textId="08E220D3" w:rsidR="00D3796D" w:rsidRPr="0015490A" w:rsidRDefault="00D3796D" w:rsidP="00D3796D">
      <w:pPr>
        <w:rPr>
          <w:rFonts w:ascii="Arial" w:hAnsi="Arial" w:cs="Arial"/>
        </w:rPr>
      </w:pPr>
      <w:r w:rsidRPr="0015490A">
        <w:rPr>
          <w:rFonts w:ascii="Arial" w:hAnsi="Arial" w:cs="Arial"/>
        </w:rPr>
        <w:t>Security policies and procedures serve as the cornerstone of a robust information security framework. They provide clear guidelines and standards for safeguarding data and assets. In this section, we detail the development and implementation of security policies and procedures, emphasizing their importance in promoting a secure environment and ensuring compliance across the organization.</w:t>
      </w:r>
      <w:r w:rsidR="00545014" w:rsidRPr="0015490A">
        <w:rPr>
          <w:rFonts w:ascii="Arial" w:hAnsi="Arial" w:cs="Arial"/>
        </w:rPr>
        <w:t>[25]</w:t>
      </w:r>
    </w:p>
    <w:p w14:paraId="2034D8DB" w14:textId="77777777" w:rsidR="00FB3460" w:rsidRPr="0015490A" w:rsidRDefault="00FB3460" w:rsidP="00D3796D">
      <w:pPr>
        <w:rPr>
          <w:rFonts w:ascii="Arial" w:hAnsi="Arial" w:cs="Arial"/>
        </w:rPr>
      </w:pPr>
    </w:p>
    <w:p w14:paraId="3CD32775" w14:textId="6729BCBE" w:rsidR="00D3796D" w:rsidRPr="0015490A" w:rsidRDefault="00963609" w:rsidP="00A55480">
      <w:pPr>
        <w:pStyle w:val="Heading2"/>
      </w:pPr>
      <w:bookmarkStart w:id="23" w:name="_Toc153457808"/>
      <w:r w:rsidRPr="0015490A">
        <w:t xml:space="preserve">6.1 </w:t>
      </w:r>
      <w:r w:rsidR="00D3796D" w:rsidRPr="0015490A">
        <w:t>Development of Security Policies and Procedures</w:t>
      </w:r>
      <w:bookmarkEnd w:id="23"/>
    </w:p>
    <w:p w14:paraId="462B6D69" w14:textId="442377C1" w:rsidR="00D3796D" w:rsidRPr="0015490A" w:rsidRDefault="00D3796D" w:rsidP="00D3796D">
      <w:pPr>
        <w:rPr>
          <w:rFonts w:ascii="Arial" w:hAnsi="Arial" w:cs="Arial"/>
        </w:rPr>
      </w:pPr>
      <w:r w:rsidRPr="0015490A">
        <w:rPr>
          <w:rFonts w:ascii="Arial" w:hAnsi="Arial" w:cs="Arial"/>
        </w:rPr>
        <w:t>Policy Identification: Security policies are crafted by identifying needs for access control, data protection, incident response, and compliance with data laws.</w:t>
      </w:r>
      <w:r w:rsidR="00545014" w:rsidRPr="0015490A">
        <w:rPr>
          <w:rFonts w:ascii="Arial" w:hAnsi="Arial" w:cs="Arial"/>
        </w:rPr>
        <w:t>[26]</w:t>
      </w:r>
    </w:p>
    <w:p w14:paraId="2EF657B1" w14:textId="77777777" w:rsidR="00D3796D" w:rsidRPr="0015490A" w:rsidRDefault="00D3796D" w:rsidP="00D3796D">
      <w:pPr>
        <w:rPr>
          <w:rFonts w:ascii="Arial" w:hAnsi="Arial" w:cs="Arial"/>
        </w:rPr>
      </w:pPr>
      <w:r w:rsidRPr="0015490A">
        <w:rPr>
          <w:rFonts w:ascii="Arial" w:hAnsi="Arial" w:cs="Arial"/>
        </w:rPr>
        <w:t>Risk Assessment: Policies stem from a detailed risk assessment that pinpoints threats, vulnerabilities, and their impact on NG's operations.</w:t>
      </w:r>
    </w:p>
    <w:p w14:paraId="75EF5523" w14:textId="77777777" w:rsidR="00D3796D" w:rsidRPr="0015490A" w:rsidRDefault="00D3796D" w:rsidP="00D3796D">
      <w:pPr>
        <w:rPr>
          <w:rFonts w:ascii="Arial" w:hAnsi="Arial" w:cs="Arial"/>
        </w:rPr>
      </w:pPr>
      <w:r w:rsidRPr="0015490A">
        <w:rPr>
          <w:rFonts w:ascii="Arial" w:hAnsi="Arial" w:cs="Arial"/>
        </w:rPr>
        <w:t>Legal Compliance: Policies are tailored to meet GDPR, HIPAA, and industry standards, validated by legal experts for adherence.</w:t>
      </w:r>
    </w:p>
    <w:p w14:paraId="25F303F4" w14:textId="3D614AF3" w:rsidR="00D3796D" w:rsidRPr="0015490A" w:rsidRDefault="00D3796D" w:rsidP="00D3796D">
      <w:pPr>
        <w:rPr>
          <w:rFonts w:ascii="Arial" w:hAnsi="Arial" w:cs="Arial"/>
        </w:rPr>
      </w:pPr>
      <w:r w:rsidRPr="0015490A">
        <w:rPr>
          <w:rFonts w:ascii="Arial" w:hAnsi="Arial" w:cs="Arial"/>
        </w:rPr>
        <w:t xml:space="preserve">Strategic Alignment: Policies are </w:t>
      </w:r>
      <w:r w:rsidR="00D1039F" w:rsidRPr="0015490A">
        <w:rPr>
          <w:rFonts w:ascii="Arial" w:hAnsi="Arial" w:cs="Arial"/>
        </w:rPr>
        <w:t>coordinated</w:t>
      </w:r>
      <w:r w:rsidRPr="0015490A">
        <w:rPr>
          <w:rFonts w:ascii="Arial" w:hAnsi="Arial" w:cs="Arial"/>
        </w:rPr>
        <w:t xml:space="preserve"> with NG's strategic goals, ensuring security measures bolster the organization's overall objectives.</w:t>
      </w:r>
    </w:p>
    <w:p w14:paraId="322EF074" w14:textId="77777777" w:rsidR="00963609" w:rsidRPr="0015490A" w:rsidRDefault="00963609" w:rsidP="00A55480">
      <w:pPr>
        <w:pStyle w:val="Heading2"/>
      </w:pPr>
    </w:p>
    <w:p w14:paraId="1C87FC80" w14:textId="77777777" w:rsidR="004C7427" w:rsidRPr="0015490A" w:rsidRDefault="004C7427" w:rsidP="004C7427">
      <w:pPr>
        <w:rPr>
          <w:rFonts w:ascii="Arial" w:hAnsi="Arial" w:cs="Arial"/>
        </w:rPr>
      </w:pPr>
    </w:p>
    <w:p w14:paraId="04DDABE2" w14:textId="77777777" w:rsidR="004C7427" w:rsidRPr="0015490A" w:rsidRDefault="004C7427" w:rsidP="004C7427">
      <w:pPr>
        <w:rPr>
          <w:rFonts w:ascii="Arial" w:hAnsi="Arial" w:cs="Arial"/>
        </w:rPr>
      </w:pPr>
    </w:p>
    <w:p w14:paraId="57F4F718" w14:textId="77777777" w:rsidR="004C7427" w:rsidRPr="0015490A" w:rsidRDefault="004C7427" w:rsidP="004C7427">
      <w:pPr>
        <w:rPr>
          <w:rFonts w:ascii="Arial" w:hAnsi="Arial" w:cs="Arial"/>
        </w:rPr>
      </w:pPr>
    </w:p>
    <w:p w14:paraId="484FF9FB" w14:textId="77777777" w:rsidR="004C7427" w:rsidRPr="0015490A" w:rsidRDefault="004C7427" w:rsidP="004C7427">
      <w:pPr>
        <w:rPr>
          <w:rFonts w:ascii="Arial" w:hAnsi="Arial" w:cs="Arial"/>
        </w:rPr>
      </w:pPr>
    </w:p>
    <w:p w14:paraId="64EDD39B" w14:textId="77777777" w:rsidR="004C7427" w:rsidRPr="0015490A" w:rsidRDefault="004C7427" w:rsidP="004C7427">
      <w:pPr>
        <w:rPr>
          <w:rFonts w:ascii="Arial" w:hAnsi="Arial" w:cs="Arial"/>
        </w:rPr>
      </w:pPr>
    </w:p>
    <w:p w14:paraId="170C8CBD" w14:textId="77777777" w:rsidR="004C7427" w:rsidRPr="0015490A" w:rsidRDefault="004C7427" w:rsidP="004C7427">
      <w:pPr>
        <w:rPr>
          <w:rFonts w:ascii="Arial" w:hAnsi="Arial" w:cs="Arial"/>
        </w:rPr>
      </w:pPr>
    </w:p>
    <w:p w14:paraId="4AAF70B1" w14:textId="77777777" w:rsidR="004C7427" w:rsidRPr="0015490A" w:rsidRDefault="004C7427" w:rsidP="004C7427">
      <w:pPr>
        <w:rPr>
          <w:rFonts w:ascii="Arial" w:hAnsi="Arial" w:cs="Arial"/>
        </w:rPr>
      </w:pPr>
    </w:p>
    <w:p w14:paraId="29214D6B" w14:textId="77777777" w:rsidR="004C7427" w:rsidRPr="0015490A" w:rsidRDefault="004C7427" w:rsidP="004C7427">
      <w:pPr>
        <w:rPr>
          <w:rFonts w:ascii="Arial" w:hAnsi="Arial" w:cs="Arial"/>
        </w:rPr>
      </w:pPr>
    </w:p>
    <w:p w14:paraId="00E37D12" w14:textId="77777777" w:rsidR="004C7427" w:rsidRPr="0015490A" w:rsidRDefault="004C7427" w:rsidP="004C7427">
      <w:pPr>
        <w:rPr>
          <w:rFonts w:ascii="Arial" w:hAnsi="Arial" w:cs="Arial"/>
        </w:rPr>
      </w:pPr>
    </w:p>
    <w:p w14:paraId="6F0077D9" w14:textId="77777777" w:rsidR="004C7427" w:rsidRPr="0015490A" w:rsidRDefault="004C7427" w:rsidP="004C7427">
      <w:pPr>
        <w:rPr>
          <w:rFonts w:ascii="Arial" w:hAnsi="Arial" w:cs="Arial"/>
        </w:rPr>
      </w:pPr>
    </w:p>
    <w:p w14:paraId="77BE61F1" w14:textId="77777777" w:rsidR="004C7427" w:rsidRPr="0015490A" w:rsidRDefault="004C7427" w:rsidP="004C7427">
      <w:pPr>
        <w:rPr>
          <w:rFonts w:ascii="Arial" w:hAnsi="Arial" w:cs="Arial"/>
        </w:rPr>
      </w:pPr>
    </w:p>
    <w:p w14:paraId="28DC19BA" w14:textId="77777777" w:rsidR="004C7427" w:rsidRPr="0015490A" w:rsidRDefault="004C7427" w:rsidP="004C7427">
      <w:pPr>
        <w:rPr>
          <w:rFonts w:ascii="Arial" w:hAnsi="Arial" w:cs="Arial"/>
        </w:rPr>
      </w:pPr>
    </w:p>
    <w:p w14:paraId="453659B8" w14:textId="77777777" w:rsidR="004C7427" w:rsidRPr="0015490A" w:rsidRDefault="004C7427" w:rsidP="004C7427">
      <w:pPr>
        <w:rPr>
          <w:rFonts w:ascii="Arial" w:hAnsi="Arial" w:cs="Arial"/>
        </w:rPr>
      </w:pPr>
    </w:p>
    <w:p w14:paraId="4AE6EF55" w14:textId="77777777" w:rsidR="004C7427" w:rsidRPr="0015490A" w:rsidRDefault="004C7427" w:rsidP="004C7427">
      <w:pPr>
        <w:rPr>
          <w:rFonts w:ascii="Arial" w:hAnsi="Arial" w:cs="Arial"/>
        </w:rPr>
      </w:pPr>
    </w:p>
    <w:p w14:paraId="674CA114" w14:textId="77777777" w:rsidR="004C7427" w:rsidRPr="0015490A" w:rsidRDefault="004C7427" w:rsidP="00D965C2">
      <w:pPr>
        <w:pStyle w:val="Heading1"/>
        <w:rPr>
          <w:rFonts w:ascii="Arial" w:hAnsi="Arial" w:cs="Arial"/>
        </w:rPr>
      </w:pPr>
    </w:p>
    <w:p w14:paraId="1E6FA079" w14:textId="77777777" w:rsidR="004C7427" w:rsidRPr="0015490A" w:rsidRDefault="004C7427" w:rsidP="004C7427">
      <w:pPr>
        <w:rPr>
          <w:rFonts w:ascii="Arial" w:hAnsi="Arial" w:cs="Arial"/>
        </w:rPr>
      </w:pPr>
    </w:p>
    <w:p w14:paraId="37127C3D" w14:textId="77777777" w:rsidR="004C7427" w:rsidRPr="0015490A" w:rsidRDefault="004C7427" w:rsidP="004C7427">
      <w:pPr>
        <w:rPr>
          <w:rFonts w:ascii="Arial" w:hAnsi="Arial" w:cs="Arial"/>
        </w:rPr>
      </w:pPr>
    </w:p>
    <w:p w14:paraId="0B1DA516" w14:textId="494B42C0" w:rsidR="005C1253" w:rsidRPr="0015490A" w:rsidRDefault="00963609" w:rsidP="00D965C2">
      <w:pPr>
        <w:pStyle w:val="Heading1"/>
        <w:rPr>
          <w:rFonts w:ascii="Arial" w:hAnsi="Arial" w:cs="Arial"/>
        </w:rPr>
      </w:pPr>
      <w:bookmarkStart w:id="24" w:name="_Toc153457809"/>
      <w:r w:rsidRPr="0015490A">
        <w:rPr>
          <w:rFonts w:ascii="Arial" w:hAnsi="Arial" w:cs="Arial"/>
        </w:rPr>
        <w:lastRenderedPageBreak/>
        <w:t xml:space="preserve">7. </w:t>
      </w:r>
      <w:r w:rsidR="005C1253" w:rsidRPr="0015490A">
        <w:rPr>
          <w:rFonts w:ascii="Arial" w:hAnsi="Arial" w:cs="Arial"/>
        </w:rPr>
        <w:t>Risk Management</w:t>
      </w:r>
      <w:bookmarkEnd w:id="24"/>
    </w:p>
    <w:p w14:paraId="0B52FEDC" w14:textId="77777777" w:rsidR="005C1253" w:rsidRPr="0015490A" w:rsidRDefault="005C1253" w:rsidP="005C1253">
      <w:pPr>
        <w:rPr>
          <w:rFonts w:ascii="Arial" w:hAnsi="Arial" w:cs="Arial"/>
        </w:rPr>
      </w:pPr>
    </w:p>
    <w:p w14:paraId="0A07E470" w14:textId="64532DDD" w:rsidR="005C1253" w:rsidRPr="0015490A" w:rsidRDefault="005C1253" w:rsidP="005C1253">
      <w:pPr>
        <w:rPr>
          <w:rFonts w:ascii="Arial" w:hAnsi="Arial" w:cs="Arial"/>
        </w:rPr>
      </w:pPr>
      <w:r w:rsidRPr="0015490A">
        <w:rPr>
          <w:rFonts w:ascii="Arial" w:hAnsi="Arial" w:cs="Arial"/>
        </w:rPr>
        <w:t xml:space="preserve">Effective risk management is an essential component of </w:t>
      </w:r>
      <w:r w:rsidR="00D965C2" w:rsidRPr="0015490A">
        <w:rPr>
          <w:rFonts w:ascii="Arial" w:hAnsi="Arial" w:cs="Arial"/>
        </w:rPr>
        <w:t>Nature Garden’s</w:t>
      </w:r>
      <w:r w:rsidRPr="0015490A">
        <w:rPr>
          <w:rFonts w:ascii="Arial" w:hAnsi="Arial" w:cs="Arial"/>
        </w:rPr>
        <w:t xml:space="preserve"> (NG) information security framework. It encompasses the identification, assessment, prioritization, and mitigation of security risks. In this section, we describe NG's approach to risk management and discuss strategies for prioritizing and addressing security risks effectively.</w:t>
      </w:r>
    </w:p>
    <w:p w14:paraId="00428B24" w14:textId="77777777" w:rsidR="003A1224" w:rsidRPr="0015490A" w:rsidRDefault="003A1224" w:rsidP="00A24938">
      <w:pPr>
        <w:rPr>
          <w:rFonts w:ascii="Arial" w:hAnsi="Arial" w:cs="Arial"/>
        </w:rPr>
      </w:pPr>
    </w:p>
    <w:p w14:paraId="416C6F84" w14:textId="569B673C" w:rsidR="005C1253" w:rsidRPr="0015490A" w:rsidRDefault="00963609" w:rsidP="00A55480">
      <w:pPr>
        <w:pStyle w:val="Heading2"/>
      </w:pPr>
      <w:bookmarkStart w:id="25" w:name="_Toc153457810"/>
      <w:r w:rsidRPr="0015490A">
        <w:t xml:space="preserve">7.1 </w:t>
      </w:r>
      <w:r w:rsidR="005C1253" w:rsidRPr="0015490A">
        <w:t>Approach to Identifying Security Risks</w:t>
      </w:r>
      <w:bookmarkEnd w:id="25"/>
    </w:p>
    <w:p w14:paraId="683FB496" w14:textId="5C54C94E" w:rsidR="005C1253" w:rsidRPr="0015490A" w:rsidRDefault="005C1253" w:rsidP="00A24938">
      <w:pPr>
        <w:rPr>
          <w:rFonts w:ascii="Arial" w:hAnsi="Arial" w:cs="Arial"/>
        </w:rPr>
      </w:pPr>
      <w:r w:rsidRPr="0015490A">
        <w:rPr>
          <w:rFonts w:ascii="Arial" w:hAnsi="Arial" w:cs="Arial"/>
        </w:rPr>
        <w:t xml:space="preserve">NG's risk identification process spans internal and external threats like data breaches, insider risks, malware attacks, and regulatory compliance issues. Conducting data mapping enables a clear understanding of sensitive data locations, aiding in pinpointing vulnerabilities. Regular vulnerability assessments scrutinize NG's infrastructure and systems, </w:t>
      </w:r>
      <w:r w:rsidR="00D965C2" w:rsidRPr="0015490A">
        <w:rPr>
          <w:rFonts w:ascii="Arial" w:hAnsi="Arial" w:cs="Arial"/>
        </w:rPr>
        <w:t>pre-emptively</w:t>
      </w:r>
      <w:r w:rsidRPr="0015490A">
        <w:rPr>
          <w:rFonts w:ascii="Arial" w:hAnsi="Arial" w:cs="Arial"/>
        </w:rPr>
        <w:t xml:space="preserve"> addressing weaknesses. Monitoring threat intelligence sources keeps NG abreast of emerging threats, evaluating their relevance and potential impact on the organization.</w:t>
      </w:r>
    </w:p>
    <w:p w14:paraId="7EAE29E9" w14:textId="77777777" w:rsidR="005C1253" w:rsidRPr="0015490A" w:rsidRDefault="005C1253" w:rsidP="005C1253">
      <w:pPr>
        <w:rPr>
          <w:rFonts w:ascii="Arial" w:hAnsi="Arial" w:cs="Arial"/>
        </w:rPr>
      </w:pPr>
    </w:p>
    <w:p w14:paraId="1F064CD5" w14:textId="2764D4A3" w:rsidR="005C1253" w:rsidRPr="0015490A" w:rsidRDefault="00963609" w:rsidP="00A55480">
      <w:pPr>
        <w:pStyle w:val="Heading2"/>
      </w:pPr>
      <w:bookmarkStart w:id="26" w:name="_Toc153457811"/>
      <w:r w:rsidRPr="0015490A">
        <w:t xml:space="preserve">7.2 </w:t>
      </w:r>
      <w:r w:rsidR="005C1253" w:rsidRPr="0015490A">
        <w:t>Strategies for Prioritizing and Addressing Security Risks</w:t>
      </w:r>
      <w:bookmarkEnd w:id="26"/>
    </w:p>
    <w:p w14:paraId="4FBE371C" w14:textId="000AEB74" w:rsidR="005C1253" w:rsidRPr="0015490A" w:rsidRDefault="005C1253" w:rsidP="005C1253">
      <w:pPr>
        <w:rPr>
          <w:rFonts w:ascii="Arial" w:hAnsi="Arial" w:cs="Arial"/>
        </w:rPr>
      </w:pPr>
      <w:r w:rsidRPr="0015490A">
        <w:rPr>
          <w:rFonts w:ascii="Arial" w:hAnsi="Arial" w:cs="Arial"/>
        </w:rPr>
        <w:t>1. Risk Assessment Matrix: NG uses a matrix to assess and prioritize risks based on likelihood and impact.</w:t>
      </w:r>
      <w:r w:rsidR="00545014" w:rsidRPr="0015490A">
        <w:rPr>
          <w:rFonts w:ascii="Arial" w:hAnsi="Arial" w:cs="Arial"/>
        </w:rPr>
        <w:t>[24]</w:t>
      </w:r>
    </w:p>
    <w:p w14:paraId="4F54FBB2" w14:textId="24D324B7" w:rsidR="005C1253" w:rsidRPr="0015490A" w:rsidRDefault="005C1253" w:rsidP="005C1253">
      <w:pPr>
        <w:rPr>
          <w:rFonts w:ascii="Arial" w:hAnsi="Arial" w:cs="Arial"/>
        </w:rPr>
      </w:pPr>
      <w:r w:rsidRPr="0015490A">
        <w:rPr>
          <w:rFonts w:ascii="Arial" w:hAnsi="Arial" w:cs="Arial"/>
        </w:rPr>
        <w:t>2. Mitigation Plans: Detailed plans are crafted for high-priority risks, outlining actions, responsible parties, and timelines.</w:t>
      </w:r>
    </w:p>
    <w:p w14:paraId="0A48C34B" w14:textId="128F2DFD" w:rsidR="005C1253" w:rsidRPr="0015490A" w:rsidRDefault="005C1253" w:rsidP="005C1253">
      <w:pPr>
        <w:rPr>
          <w:rFonts w:ascii="Arial" w:hAnsi="Arial" w:cs="Arial"/>
        </w:rPr>
      </w:pPr>
      <w:r w:rsidRPr="0015490A">
        <w:rPr>
          <w:rFonts w:ascii="Arial" w:hAnsi="Arial" w:cs="Arial"/>
        </w:rPr>
        <w:t>3. Security Controls: NG implements measures like access controls, encryption, and network security to tackle identified risks.</w:t>
      </w:r>
    </w:p>
    <w:p w14:paraId="2478CFBE" w14:textId="5DBCD698" w:rsidR="005C1253" w:rsidRPr="0015490A" w:rsidRDefault="005C1253" w:rsidP="005C1253">
      <w:pPr>
        <w:rPr>
          <w:rFonts w:ascii="Arial" w:hAnsi="Arial" w:cs="Arial"/>
        </w:rPr>
      </w:pPr>
      <w:r w:rsidRPr="0015490A">
        <w:rPr>
          <w:rFonts w:ascii="Arial" w:hAnsi="Arial" w:cs="Arial"/>
        </w:rPr>
        <w:t>4. Incident Response: A documented plan guides swift responses to security incidents.</w:t>
      </w:r>
    </w:p>
    <w:p w14:paraId="6F65A2C9" w14:textId="6EED6F5F" w:rsidR="005C1253" w:rsidRPr="0015490A" w:rsidRDefault="005C1253" w:rsidP="005C1253">
      <w:pPr>
        <w:rPr>
          <w:rFonts w:ascii="Arial" w:hAnsi="Arial" w:cs="Arial"/>
        </w:rPr>
      </w:pPr>
      <w:r w:rsidRPr="0015490A">
        <w:rPr>
          <w:rFonts w:ascii="Arial" w:hAnsi="Arial" w:cs="Arial"/>
        </w:rPr>
        <w:t>5. Continuous Monitoring: Ongoing monitoring ensures security measures adapt to evolving threats and remain effective.</w:t>
      </w:r>
    </w:p>
    <w:p w14:paraId="47CA485A" w14:textId="77777777" w:rsidR="00373159" w:rsidRPr="0015490A" w:rsidRDefault="00373159" w:rsidP="00C05269">
      <w:pPr>
        <w:pStyle w:val="Heading1"/>
        <w:rPr>
          <w:rFonts w:ascii="Arial" w:hAnsi="Arial" w:cs="Arial"/>
        </w:rPr>
      </w:pPr>
    </w:p>
    <w:p w14:paraId="4788756D" w14:textId="77777777" w:rsidR="00373159" w:rsidRPr="0015490A" w:rsidRDefault="00373159" w:rsidP="00C05269">
      <w:pPr>
        <w:pStyle w:val="Heading1"/>
        <w:rPr>
          <w:rFonts w:ascii="Arial" w:hAnsi="Arial" w:cs="Arial"/>
        </w:rPr>
      </w:pPr>
    </w:p>
    <w:p w14:paraId="7EA679CD" w14:textId="77777777" w:rsidR="00373159" w:rsidRPr="0015490A" w:rsidRDefault="00373159" w:rsidP="00C05269">
      <w:pPr>
        <w:pStyle w:val="Heading1"/>
        <w:rPr>
          <w:rFonts w:ascii="Arial" w:hAnsi="Arial" w:cs="Arial"/>
        </w:rPr>
      </w:pPr>
    </w:p>
    <w:p w14:paraId="17C147D2" w14:textId="77777777" w:rsidR="00373159" w:rsidRPr="0015490A" w:rsidRDefault="00373159" w:rsidP="00C05269">
      <w:pPr>
        <w:pStyle w:val="Heading1"/>
        <w:rPr>
          <w:rFonts w:ascii="Arial" w:hAnsi="Arial" w:cs="Arial"/>
        </w:rPr>
      </w:pPr>
    </w:p>
    <w:p w14:paraId="5A226A9B" w14:textId="77777777" w:rsidR="00373159" w:rsidRPr="0015490A" w:rsidRDefault="00373159" w:rsidP="00C05269">
      <w:pPr>
        <w:pStyle w:val="Heading1"/>
        <w:rPr>
          <w:rFonts w:ascii="Arial" w:hAnsi="Arial" w:cs="Arial"/>
        </w:rPr>
      </w:pPr>
    </w:p>
    <w:p w14:paraId="17FC63FE" w14:textId="77777777" w:rsidR="00373159" w:rsidRPr="0015490A" w:rsidRDefault="00373159" w:rsidP="00C05269">
      <w:pPr>
        <w:pStyle w:val="Heading1"/>
        <w:rPr>
          <w:rFonts w:ascii="Arial" w:hAnsi="Arial" w:cs="Arial"/>
        </w:rPr>
      </w:pPr>
    </w:p>
    <w:p w14:paraId="2B8B1543" w14:textId="77777777" w:rsidR="00373159" w:rsidRPr="0015490A" w:rsidRDefault="00373159" w:rsidP="00373159">
      <w:pPr>
        <w:rPr>
          <w:rFonts w:ascii="Arial" w:hAnsi="Arial" w:cs="Arial"/>
        </w:rPr>
      </w:pPr>
    </w:p>
    <w:p w14:paraId="5CF4C0CD" w14:textId="77777777" w:rsidR="00373159" w:rsidRPr="0015490A" w:rsidRDefault="00373159" w:rsidP="00373159">
      <w:pPr>
        <w:rPr>
          <w:rFonts w:ascii="Arial" w:hAnsi="Arial" w:cs="Arial"/>
        </w:rPr>
      </w:pPr>
    </w:p>
    <w:p w14:paraId="5C87C864" w14:textId="4894CDEE" w:rsidR="00C05269" w:rsidRPr="0015490A" w:rsidRDefault="00963609" w:rsidP="00C05269">
      <w:pPr>
        <w:pStyle w:val="Heading1"/>
        <w:rPr>
          <w:rFonts w:ascii="Arial" w:hAnsi="Arial" w:cs="Arial"/>
        </w:rPr>
      </w:pPr>
      <w:bookmarkStart w:id="27" w:name="_Toc153457812"/>
      <w:r w:rsidRPr="0015490A">
        <w:rPr>
          <w:rFonts w:ascii="Arial" w:hAnsi="Arial" w:cs="Arial"/>
        </w:rPr>
        <w:lastRenderedPageBreak/>
        <w:t xml:space="preserve">8. </w:t>
      </w:r>
      <w:r w:rsidR="00C05269" w:rsidRPr="0015490A">
        <w:rPr>
          <w:rFonts w:ascii="Arial" w:hAnsi="Arial" w:cs="Arial"/>
        </w:rPr>
        <w:t>Intellectual Property Protection</w:t>
      </w:r>
      <w:bookmarkEnd w:id="27"/>
    </w:p>
    <w:p w14:paraId="601F98B1" w14:textId="77777777" w:rsidR="00C05269" w:rsidRPr="0015490A" w:rsidRDefault="00C05269" w:rsidP="00C05269">
      <w:pPr>
        <w:rPr>
          <w:rFonts w:ascii="Arial" w:hAnsi="Arial" w:cs="Arial"/>
        </w:rPr>
      </w:pPr>
    </w:p>
    <w:p w14:paraId="37319B83" w14:textId="77777777" w:rsidR="00C05269" w:rsidRPr="0015490A" w:rsidRDefault="00C05269" w:rsidP="00C05269">
      <w:pPr>
        <w:rPr>
          <w:rFonts w:ascii="Arial" w:hAnsi="Arial" w:cs="Arial"/>
        </w:rPr>
      </w:pPr>
      <w:r w:rsidRPr="0015490A">
        <w:rPr>
          <w:rFonts w:ascii="Arial" w:hAnsi="Arial" w:cs="Arial"/>
        </w:rPr>
        <w:t>Protecting valuable intellectual property (IP) is of paramount importance to NatureGarden (NG), which possesses intellectual assets worth billions. Intellectual property encompasses proprietary formulations, technologies, trade secrets, and other critical components of NG's success. In this section, we discuss measures and safeguards that NG employs to protect its intellectual properties.</w:t>
      </w:r>
    </w:p>
    <w:p w14:paraId="0527C8EF" w14:textId="77777777" w:rsidR="00C05269" w:rsidRPr="0015490A" w:rsidRDefault="00C05269" w:rsidP="00C05269">
      <w:pPr>
        <w:rPr>
          <w:rFonts w:ascii="Arial" w:hAnsi="Arial" w:cs="Arial"/>
        </w:rPr>
      </w:pPr>
    </w:p>
    <w:p w14:paraId="62543238" w14:textId="4885C51B" w:rsidR="00C05269" w:rsidRPr="0015490A" w:rsidRDefault="00963609" w:rsidP="00A55480">
      <w:pPr>
        <w:pStyle w:val="Heading2"/>
      </w:pPr>
      <w:bookmarkStart w:id="28" w:name="_Toc153457813"/>
      <w:r w:rsidRPr="0015490A">
        <w:t xml:space="preserve">8.1 </w:t>
      </w:r>
      <w:r w:rsidR="00C05269" w:rsidRPr="0015490A">
        <w:t>Digital Rights Management (DRM)</w:t>
      </w:r>
      <w:bookmarkEnd w:id="28"/>
    </w:p>
    <w:p w14:paraId="53176D6D" w14:textId="77777777" w:rsidR="00C05269" w:rsidRPr="0015490A" w:rsidRDefault="00C05269" w:rsidP="00C05269">
      <w:pPr>
        <w:rPr>
          <w:rFonts w:ascii="Arial" w:hAnsi="Arial" w:cs="Arial"/>
        </w:rPr>
      </w:pPr>
      <w:r w:rsidRPr="0015490A">
        <w:rPr>
          <w:rFonts w:ascii="Arial" w:hAnsi="Arial" w:cs="Arial"/>
        </w:rPr>
        <w:t>1. Documented IP Inventory: NG maintains a comprehensive inventory of its intellectual properties, including patents, copyrights, trademarks, and proprietary data. This inventory helps in tracking and managing these assets effectively.</w:t>
      </w:r>
    </w:p>
    <w:p w14:paraId="44CDDBB1" w14:textId="77777777" w:rsidR="00C05269" w:rsidRPr="0015490A" w:rsidRDefault="00C05269" w:rsidP="00C05269">
      <w:pPr>
        <w:rPr>
          <w:rFonts w:ascii="Arial" w:hAnsi="Arial" w:cs="Arial"/>
        </w:rPr>
      </w:pPr>
      <w:r w:rsidRPr="0015490A">
        <w:rPr>
          <w:rFonts w:ascii="Arial" w:hAnsi="Arial" w:cs="Arial"/>
        </w:rPr>
        <w:t>2. Access Control: Access to intellectual property is restricted to authorized personnel only. NG employs role-based access control systems to ensure that only individuals with a legitimate need can access sensitive IP.</w:t>
      </w:r>
    </w:p>
    <w:p w14:paraId="28720120" w14:textId="77777777" w:rsidR="00C05269" w:rsidRPr="0015490A" w:rsidRDefault="00C05269" w:rsidP="00C05269">
      <w:pPr>
        <w:rPr>
          <w:rFonts w:ascii="Arial" w:hAnsi="Arial" w:cs="Arial"/>
        </w:rPr>
      </w:pPr>
      <w:r w:rsidRPr="0015490A">
        <w:rPr>
          <w:rFonts w:ascii="Arial" w:hAnsi="Arial" w:cs="Arial"/>
        </w:rPr>
        <w:t>3. Encryption: Intellectual property is encrypted both in transit and at rest. This ensures that even if there's unauthorized access to the data, it remains inaccessible.</w:t>
      </w:r>
    </w:p>
    <w:p w14:paraId="38A1EAB6" w14:textId="77777777" w:rsidR="00C05269" w:rsidRPr="0015490A" w:rsidRDefault="00C05269" w:rsidP="00C05269">
      <w:pPr>
        <w:rPr>
          <w:rFonts w:ascii="Arial" w:hAnsi="Arial" w:cs="Arial"/>
        </w:rPr>
      </w:pPr>
      <w:r w:rsidRPr="0015490A">
        <w:rPr>
          <w:rFonts w:ascii="Arial" w:hAnsi="Arial" w:cs="Arial"/>
        </w:rPr>
        <w:t>4. Watermarking and Digital Signatures: NG employs watermarking and digital signatures to uniquely mark intellectual property. This discourages unauthorized sharing or replication.</w:t>
      </w:r>
    </w:p>
    <w:p w14:paraId="36B629E6" w14:textId="6CDE857B" w:rsidR="00C05269" w:rsidRPr="0015490A" w:rsidRDefault="00C05269" w:rsidP="00C05269">
      <w:pPr>
        <w:rPr>
          <w:rFonts w:ascii="Arial" w:hAnsi="Arial" w:cs="Arial"/>
        </w:rPr>
      </w:pPr>
      <w:r w:rsidRPr="0015490A">
        <w:rPr>
          <w:rFonts w:ascii="Arial" w:hAnsi="Arial" w:cs="Arial"/>
        </w:rPr>
        <w:t>5. Periodic Audits: Regular audits are conducted to monitor access to intellectual properties. This includes both automated and manual audits to ensure compliance with access policies.</w:t>
      </w:r>
      <w:r w:rsidR="00DB4E62" w:rsidRPr="0015490A">
        <w:rPr>
          <w:rFonts w:ascii="Arial" w:hAnsi="Arial" w:cs="Arial"/>
        </w:rPr>
        <w:t>[12]</w:t>
      </w:r>
    </w:p>
    <w:p w14:paraId="057237F9" w14:textId="77777777" w:rsidR="00C05269" w:rsidRPr="0015490A" w:rsidRDefault="00C05269" w:rsidP="00C05269">
      <w:pPr>
        <w:rPr>
          <w:rFonts w:ascii="Arial" w:hAnsi="Arial" w:cs="Arial"/>
        </w:rPr>
      </w:pPr>
    </w:p>
    <w:p w14:paraId="09D9EFA7" w14:textId="3C09322F" w:rsidR="00C05269" w:rsidRPr="0015490A" w:rsidRDefault="009A5D11" w:rsidP="00A55480">
      <w:pPr>
        <w:pStyle w:val="Heading2"/>
      </w:pPr>
      <w:bookmarkStart w:id="29" w:name="_Toc153457814"/>
      <w:r w:rsidRPr="0015490A">
        <w:t xml:space="preserve">8.2 </w:t>
      </w:r>
      <w:r w:rsidR="00C05269" w:rsidRPr="0015490A">
        <w:t>Safeguards for Intellectual Property</w:t>
      </w:r>
      <w:bookmarkEnd w:id="29"/>
      <w:r w:rsidR="0026396F" w:rsidRPr="0015490A">
        <w:t xml:space="preserve"> </w:t>
      </w:r>
    </w:p>
    <w:p w14:paraId="08CB82E2" w14:textId="77777777" w:rsidR="00C05269" w:rsidRPr="0015490A" w:rsidRDefault="00C05269" w:rsidP="00C05269">
      <w:pPr>
        <w:rPr>
          <w:rFonts w:ascii="Arial" w:hAnsi="Arial" w:cs="Arial"/>
        </w:rPr>
      </w:pPr>
      <w:r w:rsidRPr="0015490A">
        <w:rPr>
          <w:rFonts w:ascii="Arial" w:hAnsi="Arial" w:cs="Arial"/>
        </w:rPr>
        <w:t>1. Non-Disclosure Agreements (NDAs): NG requires employees, partners, and contractors to sign NDAs that legally bind them to maintain the confidentiality of the organization's intellectual properties.</w:t>
      </w:r>
    </w:p>
    <w:p w14:paraId="08C704E8" w14:textId="77777777" w:rsidR="00C05269" w:rsidRPr="0015490A" w:rsidRDefault="00C05269" w:rsidP="00C05269">
      <w:pPr>
        <w:rPr>
          <w:rFonts w:ascii="Arial" w:hAnsi="Arial" w:cs="Arial"/>
        </w:rPr>
      </w:pPr>
      <w:r w:rsidRPr="0015490A">
        <w:rPr>
          <w:rFonts w:ascii="Arial" w:hAnsi="Arial" w:cs="Arial"/>
        </w:rPr>
        <w:t>2. Employee Training: All employees undergo IP protection training to understand the significance of safeguarding these assets and the methods to do so.</w:t>
      </w:r>
    </w:p>
    <w:p w14:paraId="591D53AD" w14:textId="6BFBF7C6" w:rsidR="00C05269" w:rsidRPr="0015490A" w:rsidRDefault="00C05269" w:rsidP="004C7427">
      <w:pPr>
        <w:rPr>
          <w:rFonts w:ascii="Arial" w:hAnsi="Arial" w:cs="Arial"/>
        </w:rPr>
      </w:pPr>
      <w:r w:rsidRPr="0015490A">
        <w:rPr>
          <w:rFonts w:ascii="Arial" w:hAnsi="Arial" w:cs="Arial"/>
        </w:rPr>
        <w:t>3. Legal Protections: NG actively enforces legal protections for its intellectual properties through patents, trademarks, and copyrights. Legal experts assist in securing and defending these rights.</w:t>
      </w:r>
      <w:r w:rsidR="004C7427" w:rsidRPr="0015490A">
        <w:rPr>
          <w:rFonts w:ascii="Arial" w:hAnsi="Arial" w:cs="Arial"/>
        </w:rPr>
        <w:t xml:space="preserve"> </w:t>
      </w:r>
      <w:r w:rsidR="0026396F" w:rsidRPr="0015490A">
        <w:rPr>
          <w:rFonts w:ascii="Arial" w:hAnsi="Arial" w:cs="Arial"/>
        </w:rPr>
        <w:t xml:space="preserve"> [11]</w:t>
      </w:r>
    </w:p>
    <w:p w14:paraId="551FEDC3" w14:textId="77777777" w:rsidR="00C05269" w:rsidRPr="0015490A" w:rsidRDefault="00C05269" w:rsidP="00C05269">
      <w:pPr>
        <w:rPr>
          <w:rFonts w:ascii="Arial" w:hAnsi="Arial" w:cs="Arial"/>
        </w:rPr>
      </w:pPr>
    </w:p>
    <w:p w14:paraId="6B0E3EDF" w14:textId="77777777" w:rsidR="009A5D11" w:rsidRPr="0015490A" w:rsidRDefault="009A5D11" w:rsidP="00A55480">
      <w:pPr>
        <w:pStyle w:val="Heading2"/>
      </w:pPr>
    </w:p>
    <w:p w14:paraId="641B4E40" w14:textId="77777777" w:rsidR="00A55480" w:rsidRPr="0015490A" w:rsidRDefault="00A55480">
      <w:pPr>
        <w:rPr>
          <w:rFonts w:ascii="Arial" w:hAnsi="Arial" w:cs="Arial"/>
        </w:rPr>
      </w:pPr>
      <w:r w:rsidRPr="0015490A">
        <w:rPr>
          <w:rFonts w:ascii="Arial" w:hAnsi="Arial" w:cs="Arial"/>
        </w:rPr>
        <w:br w:type="page"/>
      </w:r>
    </w:p>
    <w:p w14:paraId="04BB6D8D" w14:textId="71F0F65D" w:rsidR="00925191" w:rsidRPr="0015490A" w:rsidRDefault="00943527" w:rsidP="00A55480">
      <w:pPr>
        <w:pStyle w:val="Heading1"/>
        <w:rPr>
          <w:rFonts w:ascii="Arial" w:hAnsi="Arial" w:cs="Arial"/>
        </w:rPr>
      </w:pPr>
      <w:bookmarkStart w:id="30" w:name="_Toc153457815"/>
      <w:r w:rsidRPr="0015490A">
        <w:rPr>
          <w:rFonts w:ascii="Arial" w:hAnsi="Arial" w:cs="Arial"/>
        </w:rPr>
        <w:lastRenderedPageBreak/>
        <w:t xml:space="preserve">9. </w:t>
      </w:r>
      <w:r w:rsidR="00A55480" w:rsidRPr="0015490A">
        <w:rPr>
          <w:rFonts w:ascii="Arial" w:hAnsi="Arial" w:cs="Arial"/>
        </w:rPr>
        <w:t>Protection Mechanisms and Controls</w:t>
      </w:r>
      <w:bookmarkEnd w:id="30"/>
    </w:p>
    <w:p w14:paraId="6D919BC0" w14:textId="0A66FB13" w:rsidR="00A55480" w:rsidRPr="0015490A" w:rsidRDefault="00A55480" w:rsidP="00A55480">
      <w:pPr>
        <w:rPr>
          <w:rFonts w:ascii="Arial" w:hAnsi="Arial" w:cs="Arial"/>
        </w:rPr>
      </w:pPr>
      <w:r w:rsidRPr="0015490A">
        <w:rPr>
          <w:rFonts w:ascii="Arial" w:hAnsi="Arial" w:cs="Arial"/>
        </w:rPr>
        <w:t>Protection mechanisms and controls form the backbone of an effective information security framework. NG employs a combination of technical and procedural measures to safeguard data and assets. In this section, we explore the key protection mechanisms and controls, including access controls, encryption, network security, and endpoint protection.</w:t>
      </w:r>
      <w:r w:rsidR="0026396F" w:rsidRPr="0015490A">
        <w:rPr>
          <w:rFonts w:ascii="Arial" w:hAnsi="Arial" w:cs="Arial"/>
        </w:rPr>
        <w:t>[9]</w:t>
      </w:r>
    </w:p>
    <w:p w14:paraId="67842D3F" w14:textId="77777777" w:rsidR="00A55480" w:rsidRPr="0015490A" w:rsidRDefault="00A55480" w:rsidP="00A55480">
      <w:pPr>
        <w:rPr>
          <w:rFonts w:ascii="Arial" w:hAnsi="Arial" w:cs="Arial"/>
        </w:rPr>
      </w:pPr>
    </w:p>
    <w:p w14:paraId="3E059A6B" w14:textId="7801DEAC" w:rsidR="00A55480" w:rsidRPr="0015490A" w:rsidRDefault="00A55480" w:rsidP="00A55480">
      <w:pPr>
        <w:rPr>
          <w:rFonts w:ascii="Arial" w:hAnsi="Arial" w:cs="Arial"/>
          <w:b/>
          <w:bCs/>
        </w:rPr>
      </w:pPr>
      <w:r w:rsidRPr="0015490A">
        <w:rPr>
          <w:rFonts w:ascii="Arial" w:hAnsi="Arial" w:cs="Arial"/>
          <w:b/>
          <w:bCs/>
        </w:rPr>
        <w:t>Access Controls</w:t>
      </w:r>
    </w:p>
    <w:p w14:paraId="0548BF30" w14:textId="026DC998" w:rsidR="00A55480" w:rsidRPr="0015490A" w:rsidRDefault="00A55480" w:rsidP="00A55480">
      <w:pPr>
        <w:rPr>
          <w:rFonts w:ascii="Arial" w:hAnsi="Arial" w:cs="Arial"/>
        </w:rPr>
      </w:pPr>
      <w:r w:rsidRPr="0015490A">
        <w:rPr>
          <w:rFonts w:ascii="Arial" w:hAnsi="Arial" w:cs="Arial"/>
        </w:rPr>
        <w:t>NG relies on essential access control measures to safeguard its data and assets. Through role-based access, employees are granted specific data and system permissions aligned with their job roles, enhancing security by restricting unnecessary access. Implementing Multi-Factor Authentication (MFA) for sensitive data and systems adds an extra layer of protection, bolstering authentication procedures and deterring unauthorized entry. Access logging and continuous monitoring of all system access enable NG to swiftly detect and respond to irregularities, ensuring proactive security measures against potential threats and unauthorized activities.</w:t>
      </w:r>
    </w:p>
    <w:p w14:paraId="17F58875" w14:textId="4180A062" w:rsidR="00A55480" w:rsidRPr="0015490A" w:rsidRDefault="00A55480" w:rsidP="00A55480">
      <w:pPr>
        <w:rPr>
          <w:rFonts w:ascii="Arial" w:hAnsi="Arial" w:cs="Arial"/>
          <w:b/>
          <w:bCs/>
        </w:rPr>
      </w:pPr>
      <w:r w:rsidRPr="0015490A">
        <w:rPr>
          <w:rFonts w:ascii="Arial" w:hAnsi="Arial" w:cs="Arial"/>
          <w:b/>
          <w:bCs/>
        </w:rPr>
        <w:t>Encryption</w:t>
      </w:r>
    </w:p>
    <w:p w14:paraId="2E561E33" w14:textId="28625EA1" w:rsidR="00A55480" w:rsidRPr="0015490A" w:rsidRDefault="00A55480" w:rsidP="00A55480">
      <w:pPr>
        <w:rPr>
          <w:rFonts w:ascii="Arial" w:hAnsi="Arial" w:cs="Arial"/>
        </w:rPr>
      </w:pPr>
      <w:r w:rsidRPr="0015490A">
        <w:rPr>
          <w:rFonts w:ascii="Arial" w:hAnsi="Arial" w:cs="Arial"/>
        </w:rPr>
        <w:t>Data encryption serves as a linchpin in NG's security strategy, ensuring data security during transmission and storage. Using Transport Layer Security (TLS), data is shielded during transmission over networks, preventing unauthorized access or tampering. Stored data on NG's servers and cloud services remains encrypted, bolstering protection against physical breaches. To secure sensitive communications, NG employs end-to-end encryption, limiting access to intended recipients, maintaining confidentiality even across third-party systems. These encryption methods collectively fortify NG's data security at every stage, guaranteeing data integrity and confidentiality.</w:t>
      </w:r>
    </w:p>
    <w:p w14:paraId="4C9E9D4E" w14:textId="4E3A045F" w:rsidR="00A55480" w:rsidRPr="0015490A" w:rsidRDefault="004068C0" w:rsidP="00A55480">
      <w:pPr>
        <w:rPr>
          <w:rFonts w:ascii="Arial" w:hAnsi="Arial" w:cs="Arial"/>
          <w:b/>
          <w:bCs/>
        </w:rPr>
      </w:pPr>
      <w:r w:rsidRPr="0015490A">
        <w:rPr>
          <w:rFonts w:ascii="Arial" w:hAnsi="Arial" w:cs="Arial"/>
          <w:b/>
          <w:bCs/>
        </w:rPr>
        <w:t>Network Security</w:t>
      </w:r>
    </w:p>
    <w:p w14:paraId="364BE9A5" w14:textId="55F10F68" w:rsidR="004068C0" w:rsidRPr="0015490A" w:rsidRDefault="004068C0" w:rsidP="00A55480">
      <w:pPr>
        <w:rPr>
          <w:rFonts w:ascii="Arial" w:hAnsi="Arial" w:cs="Arial"/>
        </w:rPr>
      </w:pPr>
      <w:r w:rsidRPr="0015490A">
        <w:rPr>
          <w:rFonts w:ascii="Arial" w:hAnsi="Arial" w:cs="Arial"/>
        </w:rPr>
        <w:t>NG secures its network infrastructure and data flow through a range of measures. Firewalls regulate incoming and outgoing network traffic, ensuring controlled and secure data transfers while preventing unauthorized access. Intrusion Detection and Prevention Systems (IDPS) actively monitor network traffic, swiftly identifying and countering potential threats or attacks. Additionally, NG employs Virtual Private Networks (VPNs) to establish encrypted and private communication channels for remote employees and partners, ensuring secure remote access while safeguarding confidentiality. These combined measures fortify NG's network security, protecting its infrastructure and data from various potential risks and unauthorized intrusions.</w:t>
      </w:r>
    </w:p>
    <w:p w14:paraId="517E5198" w14:textId="3FD4F842" w:rsidR="004068C0" w:rsidRPr="0015490A" w:rsidRDefault="001867C2" w:rsidP="00A55480">
      <w:pPr>
        <w:rPr>
          <w:rFonts w:ascii="Arial" w:hAnsi="Arial" w:cs="Arial"/>
          <w:b/>
          <w:bCs/>
        </w:rPr>
      </w:pPr>
      <w:r w:rsidRPr="0015490A">
        <w:rPr>
          <w:rFonts w:ascii="Arial" w:hAnsi="Arial" w:cs="Arial"/>
          <w:b/>
          <w:bCs/>
        </w:rPr>
        <w:t>Endpoint Protection</w:t>
      </w:r>
    </w:p>
    <w:p w14:paraId="44B5C522" w14:textId="77777777" w:rsidR="001867C2" w:rsidRPr="0015490A" w:rsidRDefault="001867C2" w:rsidP="001867C2">
      <w:pPr>
        <w:rPr>
          <w:rFonts w:ascii="Arial" w:hAnsi="Arial" w:cs="Arial"/>
        </w:rPr>
      </w:pPr>
      <w:r w:rsidRPr="0015490A">
        <w:rPr>
          <w:rFonts w:ascii="Arial" w:hAnsi="Arial" w:cs="Arial"/>
        </w:rPr>
        <w:t>Endpoint protection at NG involves securing individual devices connected to the network. This includes:</w:t>
      </w:r>
    </w:p>
    <w:p w14:paraId="380FFE9B" w14:textId="4DEAAC58" w:rsidR="001867C2" w:rsidRPr="0015490A" w:rsidRDefault="001867C2" w:rsidP="001867C2">
      <w:pPr>
        <w:rPr>
          <w:rFonts w:ascii="Arial" w:hAnsi="Arial" w:cs="Arial"/>
        </w:rPr>
      </w:pPr>
      <w:r w:rsidRPr="0015490A">
        <w:rPr>
          <w:rFonts w:ascii="Arial" w:hAnsi="Arial" w:cs="Arial"/>
        </w:rPr>
        <w:t>1. Antivirus Software: Ensuring all devices have updated antivirus software to detect and remove threats.</w:t>
      </w:r>
    </w:p>
    <w:p w14:paraId="58A75AD2" w14:textId="7EBC47C1" w:rsidR="001867C2" w:rsidRPr="0015490A" w:rsidRDefault="001867C2" w:rsidP="001867C2">
      <w:pPr>
        <w:rPr>
          <w:rFonts w:ascii="Arial" w:hAnsi="Arial" w:cs="Arial"/>
        </w:rPr>
      </w:pPr>
      <w:r w:rsidRPr="0015490A">
        <w:rPr>
          <w:rFonts w:ascii="Arial" w:hAnsi="Arial" w:cs="Arial"/>
        </w:rPr>
        <w:t>2. Device Encryption: Encrypting laptops and mobile devices to safeguard stored data.</w:t>
      </w:r>
    </w:p>
    <w:p w14:paraId="28F5601B" w14:textId="5A2A13EA" w:rsidR="001867C2" w:rsidRPr="0015490A" w:rsidRDefault="001867C2" w:rsidP="001867C2">
      <w:pPr>
        <w:rPr>
          <w:rFonts w:ascii="Arial" w:hAnsi="Arial" w:cs="Arial"/>
        </w:rPr>
      </w:pPr>
      <w:r w:rsidRPr="0015490A">
        <w:rPr>
          <w:rFonts w:ascii="Arial" w:hAnsi="Arial" w:cs="Arial"/>
        </w:rPr>
        <w:t>3. Remote Wiping: Capability to remotely wipe data from lost or stolen devices, preventing unauthorized access.</w:t>
      </w:r>
    </w:p>
    <w:p w14:paraId="4917F3C4" w14:textId="70F34B96" w:rsidR="00CA49E9" w:rsidRPr="0015490A" w:rsidRDefault="00943527" w:rsidP="00CA49E9">
      <w:pPr>
        <w:pStyle w:val="Heading1"/>
        <w:rPr>
          <w:rFonts w:ascii="Arial" w:hAnsi="Arial" w:cs="Arial"/>
        </w:rPr>
      </w:pPr>
      <w:bookmarkStart w:id="31" w:name="_Toc153457816"/>
      <w:r w:rsidRPr="0015490A">
        <w:rPr>
          <w:rFonts w:ascii="Arial" w:hAnsi="Arial" w:cs="Arial"/>
        </w:rPr>
        <w:lastRenderedPageBreak/>
        <w:t xml:space="preserve">10. </w:t>
      </w:r>
      <w:r w:rsidR="00CA49E9" w:rsidRPr="0015490A">
        <w:rPr>
          <w:rFonts w:ascii="Arial" w:hAnsi="Arial" w:cs="Arial"/>
        </w:rPr>
        <w:t>Service Level Agreements (SLAs)</w:t>
      </w:r>
      <w:bookmarkEnd w:id="31"/>
    </w:p>
    <w:p w14:paraId="36EF7A33" w14:textId="77777777" w:rsidR="00CA49E9" w:rsidRPr="0015490A" w:rsidRDefault="00CA49E9" w:rsidP="00CA49E9">
      <w:pPr>
        <w:rPr>
          <w:rFonts w:ascii="Arial" w:hAnsi="Arial" w:cs="Arial"/>
        </w:rPr>
      </w:pPr>
    </w:p>
    <w:p w14:paraId="1C2FC1C2" w14:textId="5FA5FD91" w:rsidR="00CA49E9" w:rsidRPr="0015490A" w:rsidRDefault="00CA49E9" w:rsidP="00CA49E9">
      <w:pPr>
        <w:rPr>
          <w:rFonts w:ascii="Arial" w:hAnsi="Arial" w:cs="Arial"/>
        </w:rPr>
      </w:pPr>
      <w:r w:rsidRPr="0015490A">
        <w:rPr>
          <w:rFonts w:ascii="Arial" w:hAnsi="Arial" w:cs="Arial"/>
        </w:rPr>
        <w:t>Service Level Agreements (SLAs) are instrumental in ensuring the integrity of Nature Garden’s (NG) data and services. They provide a formal framework for setting expectations and requirements for service providers, especially those offering cloud services. In this section, we elucidate the role of SLAs in safeguarding NG's operations and detail the expectations and requirements for service providers.</w:t>
      </w:r>
    </w:p>
    <w:p w14:paraId="6F28F109" w14:textId="77777777" w:rsidR="00CA49E9" w:rsidRPr="0015490A" w:rsidRDefault="00CA49E9" w:rsidP="00CA49E9">
      <w:pPr>
        <w:rPr>
          <w:rFonts w:ascii="Arial" w:hAnsi="Arial" w:cs="Arial"/>
        </w:rPr>
      </w:pPr>
    </w:p>
    <w:p w14:paraId="10B3E401" w14:textId="0577EC5D" w:rsidR="00CA49E9" w:rsidRPr="0015490A" w:rsidRDefault="00943527" w:rsidP="00CA49E9">
      <w:pPr>
        <w:pStyle w:val="Heading2"/>
      </w:pPr>
      <w:bookmarkStart w:id="32" w:name="_Toc153457817"/>
      <w:r w:rsidRPr="0015490A">
        <w:t xml:space="preserve">10.1 </w:t>
      </w:r>
      <w:r w:rsidR="00CA49E9" w:rsidRPr="0015490A">
        <w:t>Role of SLAs in Data and Service Integrity</w:t>
      </w:r>
      <w:bookmarkEnd w:id="32"/>
    </w:p>
    <w:p w14:paraId="5E74F03A" w14:textId="530AD9E9" w:rsidR="00CA49E9" w:rsidRPr="0015490A" w:rsidRDefault="00CA49E9" w:rsidP="00CA49E9">
      <w:pPr>
        <w:rPr>
          <w:rFonts w:ascii="Arial" w:hAnsi="Arial" w:cs="Arial"/>
        </w:rPr>
      </w:pPr>
      <w:r w:rsidRPr="0015490A">
        <w:rPr>
          <w:rFonts w:ascii="Arial" w:hAnsi="Arial" w:cs="Arial"/>
        </w:rPr>
        <w:t>1. Expectation Setting: SLAs outline the expectations for service providers, defining the level of service quality NG requires. This includes performance benchmarks, availability guarantees, and response times.</w:t>
      </w:r>
    </w:p>
    <w:p w14:paraId="346B03B6" w14:textId="7C96E809" w:rsidR="00CA49E9" w:rsidRPr="0015490A" w:rsidRDefault="00CA49E9" w:rsidP="00CA49E9">
      <w:pPr>
        <w:rPr>
          <w:rFonts w:ascii="Arial" w:hAnsi="Arial" w:cs="Arial"/>
        </w:rPr>
      </w:pPr>
      <w:r w:rsidRPr="0015490A">
        <w:rPr>
          <w:rFonts w:ascii="Arial" w:hAnsi="Arial" w:cs="Arial"/>
        </w:rPr>
        <w:t>2. Risk Mitigation: SLAs help NG mitigate risks associated with data and service integrity. They provide a foundation for holding service providers accountable for failures or breaches.</w:t>
      </w:r>
    </w:p>
    <w:p w14:paraId="54A39AC7" w14:textId="3365E442" w:rsidR="00CA49E9" w:rsidRPr="0015490A" w:rsidRDefault="00CA49E9" w:rsidP="00CA49E9">
      <w:pPr>
        <w:rPr>
          <w:rFonts w:ascii="Arial" w:hAnsi="Arial" w:cs="Arial"/>
        </w:rPr>
      </w:pPr>
      <w:r w:rsidRPr="0015490A">
        <w:rPr>
          <w:rFonts w:ascii="Arial" w:hAnsi="Arial" w:cs="Arial"/>
        </w:rPr>
        <w:t>3. Data Security: SLAs specify data security requirements, including encryption standards, access controls, and backup procedures. This ensures the protection of sensitive data.</w:t>
      </w:r>
    </w:p>
    <w:p w14:paraId="72DB8909" w14:textId="3CB6E2FA" w:rsidR="00CA49E9" w:rsidRPr="0015490A" w:rsidRDefault="00CA49E9" w:rsidP="00CA49E9">
      <w:pPr>
        <w:rPr>
          <w:rFonts w:ascii="Arial" w:hAnsi="Arial" w:cs="Arial"/>
        </w:rPr>
      </w:pPr>
      <w:r w:rsidRPr="0015490A">
        <w:rPr>
          <w:rFonts w:ascii="Arial" w:hAnsi="Arial" w:cs="Arial"/>
        </w:rPr>
        <w:t>4. Availability and Uptime: Service providers, particularly those offering cloud services, commit to specific levels of availability and uptime in SLAs. This is critical to maintaining the continuity of NG's operations.</w:t>
      </w:r>
    </w:p>
    <w:p w14:paraId="23A00998" w14:textId="30B222DC" w:rsidR="001867C2" w:rsidRPr="0015490A" w:rsidRDefault="00CA49E9" w:rsidP="00CA49E9">
      <w:pPr>
        <w:rPr>
          <w:rFonts w:ascii="Arial" w:hAnsi="Arial" w:cs="Arial"/>
        </w:rPr>
      </w:pPr>
      <w:r w:rsidRPr="0015490A">
        <w:rPr>
          <w:rFonts w:ascii="Arial" w:hAnsi="Arial" w:cs="Arial"/>
        </w:rPr>
        <w:t>5. Response and Resolution Times: SLAs define the expected response and resolution times for incidents and outages. Swift responses are essential to minimize disruptions and data loss.</w:t>
      </w:r>
      <w:r w:rsidR="0026396F" w:rsidRPr="0015490A">
        <w:rPr>
          <w:rFonts w:ascii="Arial" w:hAnsi="Arial" w:cs="Arial"/>
        </w:rPr>
        <w:t xml:space="preserve"> [8]</w:t>
      </w:r>
    </w:p>
    <w:p w14:paraId="2F264F38" w14:textId="77777777" w:rsidR="00CA49E9" w:rsidRPr="0015490A" w:rsidRDefault="00CA49E9" w:rsidP="00CA49E9">
      <w:pPr>
        <w:rPr>
          <w:rFonts w:ascii="Arial" w:hAnsi="Arial" w:cs="Arial"/>
        </w:rPr>
      </w:pPr>
    </w:p>
    <w:p w14:paraId="348D1D95" w14:textId="6BB29309" w:rsidR="00BD22BE" w:rsidRPr="0015490A" w:rsidRDefault="00BD22BE" w:rsidP="00CA49E9">
      <w:pPr>
        <w:rPr>
          <w:rFonts w:ascii="Arial" w:hAnsi="Arial" w:cs="Arial"/>
        </w:rPr>
      </w:pPr>
    </w:p>
    <w:bookmarkEnd w:id="2"/>
    <w:p w14:paraId="3CBFA307" w14:textId="77777777" w:rsidR="00BD22BE" w:rsidRPr="0015490A" w:rsidRDefault="00BD22BE">
      <w:pPr>
        <w:rPr>
          <w:rFonts w:ascii="Arial" w:hAnsi="Arial" w:cs="Arial"/>
        </w:rPr>
      </w:pPr>
      <w:r w:rsidRPr="0015490A">
        <w:rPr>
          <w:rFonts w:ascii="Arial" w:hAnsi="Arial" w:cs="Arial"/>
        </w:rPr>
        <w:br w:type="page"/>
      </w:r>
    </w:p>
    <w:p w14:paraId="4B8711FD" w14:textId="767A06A0" w:rsidR="00BD22BE" w:rsidRPr="0015490A" w:rsidRDefault="00BD22BE" w:rsidP="00BD22BE">
      <w:pPr>
        <w:pStyle w:val="Heading1"/>
        <w:rPr>
          <w:rFonts w:ascii="Arial" w:hAnsi="Arial" w:cs="Arial"/>
        </w:rPr>
      </w:pPr>
      <w:bookmarkStart w:id="33" w:name="_Toc153457818"/>
      <w:r w:rsidRPr="0015490A">
        <w:rPr>
          <w:rFonts w:ascii="Arial" w:hAnsi="Arial" w:cs="Arial"/>
        </w:rPr>
        <w:lastRenderedPageBreak/>
        <w:t>Conclusion</w:t>
      </w:r>
      <w:bookmarkEnd w:id="33"/>
    </w:p>
    <w:p w14:paraId="17C9F15A" w14:textId="77777777" w:rsidR="00BD22BE" w:rsidRPr="0015490A" w:rsidRDefault="00BD22BE" w:rsidP="00BD22BE">
      <w:pPr>
        <w:rPr>
          <w:rFonts w:ascii="Arial" w:hAnsi="Arial" w:cs="Arial"/>
        </w:rPr>
      </w:pPr>
    </w:p>
    <w:p w14:paraId="393CC663" w14:textId="57512D60" w:rsidR="00BD22BE" w:rsidRPr="0015490A" w:rsidRDefault="00BD22BE" w:rsidP="00BD22BE">
      <w:pPr>
        <w:rPr>
          <w:rFonts w:ascii="Arial" w:hAnsi="Arial" w:cs="Arial"/>
        </w:rPr>
      </w:pPr>
      <w:r w:rsidRPr="0015490A">
        <w:rPr>
          <w:rFonts w:ascii="Arial" w:hAnsi="Arial" w:cs="Arial"/>
        </w:rPr>
        <w:t>In this comprehensive report, we have delved into the intricacies of Nature Garden’s (NG) information security framework, addressing the critical need to safeguard data and services in an increasingly digital world. We have explored various aspects of information security, governance, and compliance and proposed a comprehensive approach to meet NG's security needs.</w:t>
      </w:r>
    </w:p>
    <w:p w14:paraId="6B93A2BF" w14:textId="77777777" w:rsidR="00BD22BE" w:rsidRPr="0015490A" w:rsidRDefault="00BD22BE" w:rsidP="00BD22BE">
      <w:pPr>
        <w:rPr>
          <w:rFonts w:ascii="Arial" w:hAnsi="Arial" w:cs="Arial"/>
        </w:rPr>
      </w:pPr>
    </w:p>
    <w:p w14:paraId="19D770FA" w14:textId="6915BBA4" w:rsidR="00BD22BE" w:rsidRPr="0015490A" w:rsidRDefault="00BD22BE" w:rsidP="00BD22BE">
      <w:pPr>
        <w:rPr>
          <w:rFonts w:ascii="Arial" w:hAnsi="Arial" w:cs="Arial"/>
          <w:b/>
          <w:bCs/>
        </w:rPr>
      </w:pPr>
      <w:r w:rsidRPr="0015490A">
        <w:rPr>
          <w:rFonts w:ascii="Arial" w:hAnsi="Arial" w:cs="Arial"/>
          <w:b/>
          <w:bCs/>
        </w:rPr>
        <w:t>Key Points Discussed:</w:t>
      </w:r>
    </w:p>
    <w:p w14:paraId="55CEEE01" w14:textId="39F0E1DD" w:rsidR="00BD22BE" w:rsidRPr="0015490A" w:rsidRDefault="00BD22BE" w:rsidP="00BD22BE">
      <w:pPr>
        <w:rPr>
          <w:rFonts w:ascii="Arial" w:hAnsi="Arial" w:cs="Arial"/>
        </w:rPr>
      </w:pPr>
      <w:r w:rsidRPr="0015490A">
        <w:rPr>
          <w:rFonts w:ascii="Arial" w:hAnsi="Arial" w:cs="Arial"/>
        </w:rPr>
        <w:t>1. Security Frameworks: We conducted research into various security frameworks and models, including ITIL and ISO 27000, to gather insights into best practices for information security, governance, and compliance.</w:t>
      </w:r>
    </w:p>
    <w:p w14:paraId="174F5449" w14:textId="1B9655EE" w:rsidR="00BD22BE" w:rsidRPr="0015490A" w:rsidRDefault="00BD22BE" w:rsidP="00BD22BE">
      <w:pPr>
        <w:rPr>
          <w:rFonts w:ascii="Arial" w:hAnsi="Arial" w:cs="Arial"/>
        </w:rPr>
      </w:pPr>
      <w:r w:rsidRPr="0015490A">
        <w:rPr>
          <w:rFonts w:ascii="Arial" w:hAnsi="Arial" w:cs="Arial"/>
        </w:rPr>
        <w:t>2. Current State Analysis: We assessed NG's current information security situation, identifying gaps and weaknesses in the existing framework. Concerns related to the security of personal staff data, client data, and intellectual property were highlighted.</w:t>
      </w:r>
    </w:p>
    <w:p w14:paraId="0067A661" w14:textId="6C19F41D" w:rsidR="00BD22BE" w:rsidRPr="0015490A" w:rsidRDefault="00BD22BE" w:rsidP="00BD22BE">
      <w:pPr>
        <w:rPr>
          <w:rFonts w:ascii="Arial" w:hAnsi="Arial" w:cs="Arial"/>
        </w:rPr>
      </w:pPr>
      <w:r w:rsidRPr="0015490A">
        <w:rPr>
          <w:rFonts w:ascii="Arial" w:hAnsi="Arial" w:cs="Arial"/>
        </w:rPr>
        <w:t>3. Compliance with Laws and Regulations: We discussed the legal and ethical considerations relevant to NG's operations and analysed the potential legal and reputational risks of non-compliance with data protection laws and industry regulations.</w:t>
      </w:r>
    </w:p>
    <w:p w14:paraId="314E8FDC" w14:textId="21B736B2" w:rsidR="00BD22BE" w:rsidRPr="0015490A" w:rsidRDefault="00BD22BE" w:rsidP="00BD22BE">
      <w:pPr>
        <w:rPr>
          <w:rFonts w:ascii="Arial" w:hAnsi="Arial" w:cs="Arial"/>
        </w:rPr>
      </w:pPr>
      <w:r w:rsidRPr="0015490A">
        <w:rPr>
          <w:rFonts w:ascii="Arial" w:hAnsi="Arial" w:cs="Arial"/>
        </w:rPr>
        <w:t>4. Security Governance and Strategic Planning: We explained the significance of governance in information security and discussed how NG can align its security efforts with its strategic goals, emphasizing the importance of clear roles and responsibilities in security governance.</w:t>
      </w:r>
    </w:p>
    <w:p w14:paraId="2E1949E5" w14:textId="7EC8DCB3" w:rsidR="00BD22BE" w:rsidRPr="0015490A" w:rsidRDefault="00BD22BE" w:rsidP="00BD22BE">
      <w:pPr>
        <w:rPr>
          <w:rFonts w:ascii="Arial" w:hAnsi="Arial" w:cs="Arial"/>
        </w:rPr>
      </w:pPr>
      <w:r w:rsidRPr="0015490A">
        <w:rPr>
          <w:rFonts w:ascii="Arial" w:hAnsi="Arial" w:cs="Arial"/>
        </w:rPr>
        <w:t>5. Proposed Information Security Approach: We designed a comprehensive approach to address NG's security needs, encompassing factors such as risk management, security policies, protection mechanisms, and contingency planning. Visual aids, tables, and diagrams were used to present the proposed framework.</w:t>
      </w:r>
    </w:p>
    <w:p w14:paraId="4C1BD991" w14:textId="6DB8D64E" w:rsidR="00BD22BE" w:rsidRPr="0015490A" w:rsidRDefault="00BD22BE" w:rsidP="00BD22BE">
      <w:pPr>
        <w:rPr>
          <w:rFonts w:ascii="Arial" w:hAnsi="Arial" w:cs="Arial"/>
        </w:rPr>
      </w:pPr>
      <w:r w:rsidRPr="0015490A">
        <w:rPr>
          <w:rFonts w:ascii="Arial" w:hAnsi="Arial" w:cs="Arial"/>
        </w:rPr>
        <w:t>6. Security Policies and Procedures: We detailed the development and implementation of security policies and procedures, emphasizing the importance of communication and enforcement across the organization.</w:t>
      </w:r>
    </w:p>
    <w:p w14:paraId="4F1151C4" w14:textId="75496A46" w:rsidR="00BD22BE" w:rsidRPr="0015490A" w:rsidRDefault="00BD22BE" w:rsidP="00BD22BE">
      <w:pPr>
        <w:rPr>
          <w:rFonts w:ascii="Arial" w:hAnsi="Arial" w:cs="Arial"/>
        </w:rPr>
      </w:pPr>
      <w:r w:rsidRPr="0015490A">
        <w:rPr>
          <w:rFonts w:ascii="Arial" w:hAnsi="Arial" w:cs="Arial"/>
        </w:rPr>
        <w:t>7. Risk Management: We described NG's approach to identifying and mitigating security risks and discussed strategies for prioritizing and addressing these risks effectively.</w:t>
      </w:r>
    </w:p>
    <w:p w14:paraId="099A0D2C" w14:textId="57A7A891" w:rsidR="00BD22BE" w:rsidRPr="0015490A" w:rsidRDefault="00BD22BE" w:rsidP="00BD22BE">
      <w:pPr>
        <w:rPr>
          <w:rFonts w:ascii="Arial" w:hAnsi="Arial" w:cs="Arial"/>
        </w:rPr>
      </w:pPr>
      <w:r w:rsidRPr="0015490A">
        <w:rPr>
          <w:rFonts w:ascii="Arial" w:hAnsi="Arial" w:cs="Arial"/>
        </w:rPr>
        <w:t>8. Protection Mechanisms and Controls: We explored technical and procedural security measures, including access controls, encryption, network security, and endpoint protection, to safeguard data and assets.</w:t>
      </w:r>
    </w:p>
    <w:p w14:paraId="4811E60E" w14:textId="0BB67316" w:rsidR="00BD22BE" w:rsidRPr="0015490A" w:rsidRDefault="00BD22BE" w:rsidP="00BD22BE">
      <w:pPr>
        <w:rPr>
          <w:rFonts w:ascii="Arial" w:hAnsi="Arial" w:cs="Arial"/>
        </w:rPr>
      </w:pPr>
      <w:r w:rsidRPr="0015490A">
        <w:rPr>
          <w:rFonts w:ascii="Arial" w:hAnsi="Arial" w:cs="Arial"/>
        </w:rPr>
        <w:t>9. Contingency Planning and Incident Response: We explained how NG plans to handle security incidents and disruptions, with a focus on business continuity and disaster recovery plans.</w:t>
      </w:r>
    </w:p>
    <w:p w14:paraId="0E2C585C" w14:textId="60A9FBCC" w:rsidR="00BD22BE" w:rsidRPr="0015490A" w:rsidRDefault="00BD22BE" w:rsidP="00BD22BE">
      <w:pPr>
        <w:rPr>
          <w:rFonts w:ascii="Arial" w:hAnsi="Arial" w:cs="Arial"/>
        </w:rPr>
      </w:pPr>
      <w:r w:rsidRPr="0015490A">
        <w:rPr>
          <w:rFonts w:ascii="Arial" w:hAnsi="Arial" w:cs="Arial"/>
        </w:rPr>
        <w:t>10. Intellectual Property Protection: We discussed measures to protect NG's valuable intellectual properties, emphasizing digital rights management and safeguards.</w:t>
      </w:r>
    </w:p>
    <w:p w14:paraId="56467A4B" w14:textId="77777777" w:rsidR="00BD22BE" w:rsidRPr="0015490A" w:rsidRDefault="00BD22BE" w:rsidP="00BD22BE">
      <w:pPr>
        <w:rPr>
          <w:rFonts w:ascii="Arial" w:hAnsi="Arial" w:cs="Arial"/>
        </w:rPr>
      </w:pPr>
    </w:p>
    <w:p w14:paraId="68CE63EA" w14:textId="570B3220" w:rsidR="00BD22BE" w:rsidRPr="0015490A" w:rsidRDefault="00BD22BE" w:rsidP="00BD22BE">
      <w:pPr>
        <w:rPr>
          <w:rFonts w:ascii="Arial" w:hAnsi="Arial" w:cs="Arial"/>
        </w:rPr>
      </w:pPr>
      <w:r w:rsidRPr="0015490A">
        <w:rPr>
          <w:rFonts w:ascii="Arial" w:hAnsi="Arial" w:cs="Arial"/>
        </w:rPr>
        <w:lastRenderedPageBreak/>
        <w:t>11. Continuous Monitoring and Improvement: We highlighted the importance of continuous monitoring and assessment of security measures and discussed the feedback loops and processes for continuous improvement.</w:t>
      </w:r>
    </w:p>
    <w:p w14:paraId="1FE9C2B2" w14:textId="10C87B53" w:rsidR="00BD22BE" w:rsidRPr="0015490A" w:rsidRDefault="00BD22BE" w:rsidP="00BD22BE">
      <w:pPr>
        <w:rPr>
          <w:rFonts w:ascii="Arial" w:hAnsi="Arial" w:cs="Arial"/>
        </w:rPr>
      </w:pPr>
      <w:r w:rsidRPr="0015490A">
        <w:rPr>
          <w:rFonts w:ascii="Arial" w:hAnsi="Arial" w:cs="Arial"/>
        </w:rPr>
        <w:t>12. Service Level Agreements (SLAs): We explained the role of SLAs in maintaining the integrity of NG's data and services, including expectations and requirements for service providers, especially those offering cloud services.</w:t>
      </w:r>
    </w:p>
    <w:p w14:paraId="65DEDB09" w14:textId="77777777" w:rsidR="00BD22BE" w:rsidRPr="0015490A" w:rsidRDefault="00BD22BE" w:rsidP="00BD22BE">
      <w:pPr>
        <w:rPr>
          <w:rFonts w:ascii="Arial" w:hAnsi="Arial" w:cs="Arial"/>
        </w:rPr>
      </w:pPr>
    </w:p>
    <w:p w14:paraId="3185E733" w14:textId="356328E5" w:rsidR="00BD22BE" w:rsidRPr="0015490A" w:rsidRDefault="00BD22BE" w:rsidP="00BD22BE">
      <w:pPr>
        <w:rPr>
          <w:rFonts w:ascii="Arial" w:hAnsi="Arial" w:cs="Arial"/>
          <w:b/>
          <w:bCs/>
        </w:rPr>
      </w:pPr>
      <w:r w:rsidRPr="0015490A">
        <w:rPr>
          <w:rFonts w:ascii="Arial" w:hAnsi="Arial" w:cs="Arial"/>
          <w:b/>
          <w:bCs/>
        </w:rPr>
        <w:t>Proposed Approach to Address NG's Security Needs</w:t>
      </w:r>
    </w:p>
    <w:p w14:paraId="113360BD" w14:textId="6194D85A" w:rsidR="00BD22BE" w:rsidRPr="0015490A" w:rsidRDefault="00BD22BE" w:rsidP="00BD22BE">
      <w:pPr>
        <w:rPr>
          <w:rFonts w:ascii="Arial" w:hAnsi="Arial" w:cs="Arial"/>
        </w:rPr>
      </w:pPr>
      <w:r w:rsidRPr="0015490A">
        <w:rPr>
          <w:rFonts w:ascii="Arial" w:hAnsi="Arial" w:cs="Arial"/>
        </w:rPr>
        <w:t xml:space="preserve">We propose </w:t>
      </w:r>
      <w:r w:rsidR="00D1039F" w:rsidRPr="0015490A">
        <w:rPr>
          <w:rFonts w:ascii="Arial" w:hAnsi="Arial" w:cs="Arial"/>
        </w:rPr>
        <w:t>a comprehensive approach</w:t>
      </w:r>
      <w:r w:rsidRPr="0015490A">
        <w:rPr>
          <w:rFonts w:ascii="Arial" w:hAnsi="Arial" w:cs="Arial"/>
        </w:rPr>
        <w:t xml:space="preserve"> that combines governance, risk management, compliance, and technological solutions to fortify NG's information security framework. This approach aims to foster a security-conscious culture, protect data and intellectual property, ensure compliance with laws and regulations, and maintain operational resilience.</w:t>
      </w:r>
    </w:p>
    <w:p w14:paraId="7B12FA83" w14:textId="77777777" w:rsidR="00BD22BE" w:rsidRPr="0015490A" w:rsidRDefault="00BD22BE" w:rsidP="00BD22BE">
      <w:pPr>
        <w:rPr>
          <w:rFonts w:ascii="Arial" w:hAnsi="Arial" w:cs="Arial"/>
        </w:rPr>
      </w:pPr>
    </w:p>
    <w:p w14:paraId="22217B36" w14:textId="517C3542" w:rsidR="00BD22BE" w:rsidRPr="0015490A" w:rsidRDefault="00BD22BE" w:rsidP="00BD22BE">
      <w:pPr>
        <w:rPr>
          <w:rFonts w:ascii="Arial" w:hAnsi="Arial" w:cs="Arial"/>
          <w:b/>
          <w:bCs/>
        </w:rPr>
      </w:pPr>
      <w:r w:rsidRPr="0015490A">
        <w:rPr>
          <w:rFonts w:ascii="Arial" w:hAnsi="Arial" w:cs="Arial"/>
          <w:b/>
          <w:bCs/>
        </w:rPr>
        <w:t>The Significance of Information Security, Governance, and Compliance</w:t>
      </w:r>
    </w:p>
    <w:p w14:paraId="554B092D" w14:textId="77777777" w:rsidR="00BD22BE" w:rsidRPr="0015490A" w:rsidRDefault="00BD22BE" w:rsidP="00BD22BE">
      <w:pPr>
        <w:rPr>
          <w:rFonts w:ascii="Arial" w:hAnsi="Arial" w:cs="Arial"/>
        </w:rPr>
      </w:pPr>
      <w:r w:rsidRPr="0015490A">
        <w:rPr>
          <w:rFonts w:ascii="Arial" w:hAnsi="Arial" w:cs="Arial"/>
        </w:rPr>
        <w:t>Information security, governance, and compliance are not just organizational necessities; they are essential cornerstones of NG's reputation, trustworthiness, and long-term success. In a world where data is an invaluable asset, security is paramount. A robust governance structure ensures that security is integrated into every facet of NG's operations. Compliance with laws and regulations safeguards NG's integrity, protecting it from legal and reputational risks.</w:t>
      </w:r>
    </w:p>
    <w:p w14:paraId="0BC6FBB2" w14:textId="7B27E537" w:rsidR="00E9043C" w:rsidRPr="0015490A" w:rsidRDefault="00BD22BE" w:rsidP="00BD22BE">
      <w:pPr>
        <w:rPr>
          <w:rFonts w:ascii="Arial" w:hAnsi="Arial" w:cs="Arial"/>
        </w:rPr>
      </w:pPr>
      <w:r w:rsidRPr="0015490A">
        <w:rPr>
          <w:rFonts w:ascii="Arial" w:hAnsi="Arial" w:cs="Arial"/>
        </w:rPr>
        <w:t>By adopting the proposed approach and emphasizing the significance of information security, governance, and compliance, NG can fortify its position as a trusted and secure brand, safeguard its assets, and continue to deliver value to its staff and clients on a global scale.</w:t>
      </w:r>
    </w:p>
    <w:p w14:paraId="449158C7" w14:textId="77777777" w:rsidR="00E9043C" w:rsidRPr="0015490A" w:rsidRDefault="00E9043C">
      <w:pPr>
        <w:rPr>
          <w:rFonts w:ascii="Arial" w:hAnsi="Arial" w:cs="Arial"/>
        </w:rPr>
      </w:pPr>
      <w:r w:rsidRPr="0015490A">
        <w:rPr>
          <w:rFonts w:ascii="Arial" w:hAnsi="Arial" w:cs="Arial"/>
        </w:rPr>
        <w:br w:type="page"/>
      </w:r>
    </w:p>
    <w:bookmarkStart w:id="34" w:name="_Toc153457819" w:displacedByCustomXml="next"/>
    <w:sdt>
      <w:sdtPr>
        <w:rPr>
          <w:rFonts w:ascii="Arial" w:eastAsiaTheme="minorHAnsi" w:hAnsi="Arial" w:cs="Arial"/>
          <w:color w:val="auto"/>
          <w:sz w:val="22"/>
          <w:szCs w:val="22"/>
        </w:rPr>
        <w:id w:val="391308395"/>
        <w:docPartObj>
          <w:docPartGallery w:val="Bibliographies"/>
          <w:docPartUnique/>
        </w:docPartObj>
      </w:sdtPr>
      <w:sdtContent>
        <w:p w14:paraId="65958686" w14:textId="42C1460C" w:rsidR="00E9043C" w:rsidRPr="0015490A" w:rsidRDefault="00E9043C">
          <w:pPr>
            <w:pStyle w:val="Heading1"/>
            <w:rPr>
              <w:rFonts w:ascii="Arial" w:hAnsi="Arial" w:cs="Arial"/>
            </w:rPr>
          </w:pPr>
          <w:r w:rsidRPr="0015490A">
            <w:rPr>
              <w:rFonts w:ascii="Arial" w:hAnsi="Arial" w:cs="Arial"/>
            </w:rPr>
            <w:t>References</w:t>
          </w:r>
          <w:bookmarkEnd w:id="34"/>
        </w:p>
        <w:sdt>
          <w:sdtPr>
            <w:rPr>
              <w:rFonts w:ascii="Arial" w:hAnsi="Arial" w:cs="Arial"/>
            </w:rPr>
            <w:id w:val="-573587230"/>
            <w:bibliography/>
          </w:sdtPr>
          <w:sdtContent>
            <w:p w14:paraId="7FE61325" w14:textId="77777777" w:rsidR="00D1039F" w:rsidRPr="0015490A" w:rsidRDefault="00D1039F">
              <w:pPr>
                <w:rPr>
                  <w:rFonts w:ascii="Arial" w:hAnsi="Arial" w:cs="Arial"/>
                </w:rPr>
              </w:pPr>
              <w:r w:rsidRPr="0015490A">
                <w:rPr>
                  <w:rFonts w:ascii="Arial" w:hAnsi="Arial" w:cs="Arial"/>
                </w:rPr>
                <w:t xml:space="preserve">[1] Y. Sun, et al., "Data security and privacy in cloud computing," Int. J. </w:t>
              </w:r>
              <w:proofErr w:type="spellStart"/>
              <w:r w:rsidRPr="0015490A">
                <w:rPr>
                  <w:rFonts w:ascii="Arial" w:hAnsi="Arial" w:cs="Arial"/>
                </w:rPr>
                <w:t>Distrib</w:t>
              </w:r>
              <w:proofErr w:type="spellEnd"/>
              <w:r w:rsidRPr="0015490A">
                <w:rPr>
                  <w:rFonts w:ascii="Arial" w:hAnsi="Arial" w:cs="Arial"/>
                </w:rPr>
                <w:t xml:space="preserve">. Sens. </w:t>
              </w:r>
              <w:proofErr w:type="spellStart"/>
              <w:r w:rsidRPr="0015490A">
                <w:rPr>
                  <w:rFonts w:ascii="Arial" w:hAnsi="Arial" w:cs="Arial"/>
                </w:rPr>
                <w:t>Netw</w:t>
              </w:r>
              <w:proofErr w:type="spellEnd"/>
              <w:r w:rsidRPr="0015490A">
                <w:rPr>
                  <w:rFonts w:ascii="Arial" w:hAnsi="Arial" w:cs="Arial"/>
                </w:rPr>
                <w:t>., vol. 10, no. 7, pp. 190903, 2014.</w:t>
              </w:r>
            </w:p>
            <w:p w14:paraId="395F6BAE" w14:textId="77777777" w:rsidR="00D1039F" w:rsidRPr="0015490A" w:rsidRDefault="00D1039F">
              <w:pPr>
                <w:rPr>
                  <w:rFonts w:ascii="Arial" w:hAnsi="Arial" w:cs="Arial"/>
                </w:rPr>
              </w:pPr>
              <w:r w:rsidRPr="0015490A">
                <w:rPr>
                  <w:rFonts w:ascii="Arial" w:hAnsi="Arial" w:cs="Arial"/>
                </w:rPr>
                <w:t xml:space="preserve">[2] V. </w:t>
              </w:r>
              <w:proofErr w:type="spellStart"/>
              <w:r w:rsidRPr="0015490A">
                <w:rPr>
                  <w:rFonts w:ascii="Arial" w:hAnsi="Arial" w:cs="Arial"/>
                </w:rPr>
                <w:t>Khaustova</w:t>
              </w:r>
              <w:proofErr w:type="spellEnd"/>
              <w:r w:rsidRPr="0015490A">
                <w:rPr>
                  <w:rFonts w:ascii="Arial" w:hAnsi="Arial" w:cs="Arial"/>
                </w:rPr>
                <w:t xml:space="preserve">, et al., "Development of critical infrastructure from the point of view of information security," </w:t>
              </w:r>
              <w:proofErr w:type="spellStart"/>
              <w:r w:rsidRPr="0015490A">
                <w:rPr>
                  <w:rFonts w:ascii="Arial" w:hAnsi="Arial" w:cs="Arial"/>
                </w:rPr>
                <w:t>Univers</w:t>
              </w:r>
              <w:proofErr w:type="spellEnd"/>
              <w:r w:rsidRPr="0015490A">
                <w:rPr>
                  <w:rFonts w:ascii="Arial" w:hAnsi="Arial" w:cs="Arial"/>
                </w:rPr>
                <w:t xml:space="preserve"> Strategic, vol. 53, no. 1, 2023.</w:t>
              </w:r>
            </w:p>
            <w:p w14:paraId="502C5B8D" w14:textId="77777777" w:rsidR="00D1039F" w:rsidRPr="0015490A" w:rsidRDefault="00D1039F">
              <w:pPr>
                <w:rPr>
                  <w:rFonts w:ascii="Arial" w:hAnsi="Arial" w:cs="Arial"/>
                </w:rPr>
              </w:pPr>
              <w:r w:rsidRPr="0015490A">
                <w:rPr>
                  <w:rFonts w:ascii="Arial" w:hAnsi="Arial" w:cs="Arial"/>
                </w:rPr>
                <w:t xml:space="preserve">[3] P. R. </w:t>
              </w:r>
              <w:proofErr w:type="spellStart"/>
              <w:r w:rsidRPr="0015490A">
                <w:rPr>
                  <w:rFonts w:ascii="Arial" w:hAnsi="Arial" w:cs="Arial"/>
                </w:rPr>
                <w:t>Togatorop</w:t>
              </w:r>
              <w:proofErr w:type="spellEnd"/>
              <w:r w:rsidRPr="0015490A">
                <w:rPr>
                  <w:rFonts w:ascii="Arial" w:hAnsi="Arial" w:cs="Arial"/>
                </w:rPr>
                <w:t>, "Auditing learning management system using information technology infrastructure library (ITIL)," J. Mantik, vol. 6, no. 4, pp. 3808-3817, 2023.</w:t>
              </w:r>
            </w:p>
            <w:p w14:paraId="47AAAB0C" w14:textId="16B40338" w:rsidR="00D659C8" w:rsidRPr="0015490A" w:rsidRDefault="00D659C8">
              <w:pPr>
                <w:rPr>
                  <w:rFonts w:ascii="Arial" w:hAnsi="Arial" w:cs="Arial"/>
                </w:rPr>
              </w:pPr>
              <w:r w:rsidRPr="0015490A">
                <w:rPr>
                  <w:rFonts w:ascii="Arial" w:hAnsi="Arial" w:cs="Arial"/>
                </w:rPr>
                <w:t xml:space="preserve">[4] M. Malatji, "Management of enterprise cyber security: A review of ISO/IEC 27001: 2022," in 2023 International Conference </w:t>
              </w:r>
              <w:r w:rsidR="00DB4E62" w:rsidRPr="0015490A">
                <w:rPr>
                  <w:rFonts w:ascii="Arial" w:hAnsi="Arial" w:cs="Arial"/>
                </w:rPr>
                <w:t>on</w:t>
              </w:r>
              <w:r w:rsidRPr="0015490A">
                <w:rPr>
                  <w:rFonts w:ascii="Arial" w:hAnsi="Arial" w:cs="Arial"/>
                </w:rPr>
                <w:t xml:space="preserve"> Cyber Management </w:t>
              </w:r>
              <w:r w:rsidR="00DB4E62" w:rsidRPr="0015490A">
                <w:rPr>
                  <w:rFonts w:ascii="Arial" w:hAnsi="Arial" w:cs="Arial"/>
                </w:rPr>
                <w:t>and</w:t>
              </w:r>
              <w:r w:rsidRPr="0015490A">
                <w:rPr>
                  <w:rFonts w:ascii="Arial" w:hAnsi="Arial" w:cs="Arial"/>
                </w:rPr>
                <w:t xml:space="preserve"> Engineering (</w:t>
              </w:r>
              <w:proofErr w:type="spellStart"/>
              <w:r w:rsidRPr="0015490A">
                <w:rPr>
                  <w:rFonts w:ascii="Arial" w:hAnsi="Arial" w:cs="Arial"/>
                </w:rPr>
                <w:t>CyMaEn</w:t>
              </w:r>
              <w:proofErr w:type="spellEnd"/>
              <w:r w:rsidRPr="0015490A">
                <w:rPr>
                  <w:rFonts w:ascii="Arial" w:hAnsi="Arial" w:cs="Arial"/>
                </w:rPr>
                <w:t>), IEEE, 2023</w:t>
              </w:r>
            </w:p>
            <w:p w14:paraId="0715C747" w14:textId="77777777" w:rsidR="00D659C8" w:rsidRPr="0015490A" w:rsidRDefault="00D659C8" w:rsidP="00D659C8">
              <w:pPr>
                <w:rPr>
                  <w:rFonts w:ascii="Arial" w:hAnsi="Arial" w:cs="Arial"/>
                </w:rPr>
              </w:pPr>
              <w:r w:rsidRPr="0015490A">
                <w:rPr>
                  <w:rFonts w:ascii="Arial" w:hAnsi="Arial" w:cs="Arial"/>
                </w:rPr>
                <w:t xml:space="preserve">[5] J. J. Agaba, et al., "Prioritisation of Informed Health Choices (IHC) key concepts to be included in lower secondary school resources: A consensus study," </w:t>
              </w:r>
              <w:proofErr w:type="spellStart"/>
              <w:r w:rsidRPr="0015490A">
                <w:rPr>
                  <w:rFonts w:ascii="Arial" w:hAnsi="Arial" w:cs="Arial"/>
                </w:rPr>
                <w:t>PLoS</w:t>
              </w:r>
              <w:proofErr w:type="spellEnd"/>
              <w:r w:rsidRPr="0015490A">
                <w:rPr>
                  <w:rFonts w:ascii="Arial" w:hAnsi="Arial" w:cs="Arial"/>
                </w:rPr>
                <w:t xml:space="preserve"> One, vol. 18, no. 4, pp. e0267422, 2023.</w:t>
              </w:r>
            </w:p>
            <w:p w14:paraId="698AAAA9" w14:textId="363090D7" w:rsidR="00D659C8" w:rsidRPr="0015490A" w:rsidRDefault="00D659C8" w:rsidP="00D659C8">
              <w:pPr>
                <w:rPr>
                  <w:rFonts w:ascii="Arial" w:hAnsi="Arial" w:cs="Arial"/>
                </w:rPr>
              </w:pPr>
              <w:r w:rsidRPr="0015490A">
                <w:rPr>
                  <w:rFonts w:ascii="Arial" w:hAnsi="Arial" w:cs="Arial"/>
                </w:rPr>
                <w:t>[6] G. P. S. Tejay and Z. A. Mohammed, "Cultivating security culture for information security success: A mixed-methods study based on anthropological perspective," Inf. Manage., vol. 60, no. 3, pp. 103751, 2023.</w:t>
              </w:r>
            </w:p>
            <w:p w14:paraId="07C1F442" w14:textId="5F8D2E12" w:rsidR="00D659C8" w:rsidRPr="0015490A" w:rsidRDefault="00D659C8" w:rsidP="00D659C8">
              <w:pPr>
                <w:rPr>
                  <w:rFonts w:ascii="Arial" w:hAnsi="Arial" w:cs="Arial"/>
                </w:rPr>
              </w:pPr>
              <w:r w:rsidRPr="0015490A">
                <w:rPr>
                  <w:rFonts w:ascii="Arial" w:hAnsi="Arial" w:cs="Arial"/>
                </w:rPr>
                <w:t xml:space="preserve">[7] R. Chen, X. He, and F. S. </w:t>
              </w:r>
              <w:proofErr w:type="spellStart"/>
              <w:r w:rsidRPr="0015490A">
                <w:rPr>
                  <w:rFonts w:ascii="Arial" w:hAnsi="Arial" w:cs="Arial"/>
                </w:rPr>
                <w:t>Bidabadi</w:t>
              </w:r>
              <w:proofErr w:type="spellEnd"/>
              <w:r w:rsidRPr="0015490A">
                <w:rPr>
                  <w:rFonts w:ascii="Arial" w:hAnsi="Arial" w:cs="Arial"/>
                </w:rPr>
                <w:t>, "Corporate Environmental Compliance in China: From Social Responsibility to Soft Law," Sustainability, vol. 15, no. 3, pp. 2379, 2023.</w:t>
              </w:r>
            </w:p>
            <w:p w14:paraId="64D728FE" w14:textId="42700A59" w:rsidR="0026396F" w:rsidRPr="0015490A" w:rsidRDefault="0026396F" w:rsidP="00D659C8">
              <w:pPr>
                <w:rPr>
                  <w:rFonts w:ascii="Arial" w:hAnsi="Arial" w:cs="Arial"/>
                </w:rPr>
              </w:pPr>
              <w:r w:rsidRPr="0015490A">
                <w:rPr>
                  <w:rFonts w:ascii="Arial" w:hAnsi="Arial" w:cs="Arial"/>
                </w:rPr>
                <w:t>[8] L. Guo, et al., "A Trust Model Based on Characteristic Factors and SLAs for Cloud Environments," IEEE Trans. Network Service Manag., 2023.</w:t>
              </w:r>
            </w:p>
            <w:p w14:paraId="36C439CE" w14:textId="74FE083A" w:rsidR="00D659C8" w:rsidRPr="0015490A" w:rsidRDefault="0026396F" w:rsidP="00D659C8">
              <w:pPr>
                <w:rPr>
                  <w:rFonts w:ascii="Arial" w:hAnsi="Arial" w:cs="Arial"/>
                </w:rPr>
              </w:pPr>
              <w:r w:rsidRPr="0015490A">
                <w:rPr>
                  <w:rFonts w:ascii="Arial" w:hAnsi="Arial" w:cs="Arial"/>
                </w:rPr>
                <w:t>[9] B. Szewczyk, et al., "FUS ALS neurons activate major stress pathways and reduce translation as an early protective mechanism against neurodegeneration," Cell Rep., vol. 42, no. 2, 2023.</w:t>
              </w:r>
            </w:p>
            <w:p w14:paraId="5D42EB4A" w14:textId="192803B0" w:rsidR="0026396F" w:rsidRPr="0015490A" w:rsidRDefault="0026396F" w:rsidP="00D659C8">
              <w:pPr>
                <w:rPr>
                  <w:rFonts w:ascii="Arial" w:hAnsi="Arial" w:cs="Arial"/>
                </w:rPr>
              </w:pPr>
              <w:r w:rsidRPr="0015490A">
                <w:rPr>
                  <w:rFonts w:ascii="Arial" w:hAnsi="Arial" w:cs="Arial"/>
                </w:rPr>
                <w:t>[10] H. Tang, et al., "Distributed innovation, knowledge re-orchestration, and digital product innovation performance: the moderated mediation roles of intellectual property protection and knowledge exchange activities," J. Knowledge Manage., 2023.</w:t>
              </w:r>
            </w:p>
            <w:p w14:paraId="6826D350" w14:textId="0A748E7C" w:rsidR="0026396F" w:rsidRPr="0015490A" w:rsidRDefault="0026396F" w:rsidP="00D659C8">
              <w:pPr>
                <w:rPr>
                  <w:rFonts w:ascii="Arial" w:hAnsi="Arial" w:cs="Arial"/>
                </w:rPr>
              </w:pPr>
              <w:r w:rsidRPr="0015490A">
                <w:rPr>
                  <w:rFonts w:ascii="Arial" w:hAnsi="Arial" w:cs="Arial"/>
                </w:rPr>
                <w:t>[11] A. Prasad, "Intellectual property rights in the age of content creation," Commonwealth Law Rev., vol. 9, pp. 196, 2023.</w:t>
              </w:r>
            </w:p>
            <w:p w14:paraId="20EA65A9" w14:textId="647277A7" w:rsidR="00D659C8" w:rsidRPr="0015490A" w:rsidRDefault="00DB4E62" w:rsidP="00D659C8">
              <w:pPr>
                <w:rPr>
                  <w:rFonts w:ascii="Arial" w:hAnsi="Arial" w:cs="Arial"/>
                </w:rPr>
              </w:pPr>
              <w:r w:rsidRPr="0015490A">
                <w:rPr>
                  <w:rFonts w:ascii="Arial" w:hAnsi="Arial" w:cs="Arial"/>
                </w:rPr>
                <w:t>[12] S. Ding, "Digital Rights Management," Trends in Data Protection and Encryption Technologies, pp. 163, 2023.</w:t>
              </w:r>
            </w:p>
            <w:p w14:paraId="4155AAF5" w14:textId="48340A81" w:rsidR="00DB4E62" w:rsidRPr="0015490A" w:rsidRDefault="00DB4E62" w:rsidP="00D659C8">
              <w:pPr>
                <w:rPr>
                  <w:rFonts w:ascii="Arial" w:hAnsi="Arial" w:cs="Arial"/>
                </w:rPr>
              </w:pPr>
              <w:r w:rsidRPr="0015490A">
                <w:rPr>
                  <w:rFonts w:ascii="Arial" w:hAnsi="Arial" w:cs="Arial"/>
                </w:rPr>
                <w:t xml:space="preserve">[13] D. </w:t>
              </w:r>
              <w:proofErr w:type="spellStart"/>
              <w:r w:rsidRPr="0015490A">
                <w:rPr>
                  <w:rFonts w:ascii="Arial" w:hAnsi="Arial" w:cs="Arial"/>
                </w:rPr>
                <w:t>Appuhamilage</w:t>
              </w:r>
              <w:proofErr w:type="spellEnd"/>
              <w:r w:rsidRPr="0015490A">
                <w:rPr>
                  <w:rFonts w:ascii="Arial" w:hAnsi="Arial" w:cs="Arial"/>
                </w:rPr>
                <w:t xml:space="preserve">, S. </w:t>
              </w:r>
              <w:proofErr w:type="spellStart"/>
              <w:r w:rsidRPr="0015490A">
                <w:rPr>
                  <w:rFonts w:ascii="Arial" w:hAnsi="Arial" w:cs="Arial"/>
                </w:rPr>
                <w:t>Piumal</w:t>
              </w:r>
              <w:proofErr w:type="spellEnd"/>
              <w:r w:rsidRPr="0015490A">
                <w:rPr>
                  <w:rFonts w:ascii="Arial" w:hAnsi="Arial" w:cs="Arial"/>
                </w:rPr>
                <w:t>, and R. M. D. U. Rathnayake, "Gap Analysis of Information Security Management Systems in Sri Lankan Higher Education Institutes," 2023.</w:t>
              </w:r>
            </w:p>
            <w:p w14:paraId="5E504FCE" w14:textId="74FA31F6" w:rsidR="00D659C8" w:rsidRPr="0015490A" w:rsidRDefault="00C548C7">
              <w:pPr>
                <w:rPr>
                  <w:rFonts w:ascii="Arial" w:hAnsi="Arial" w:cs="Arial"/>
                </w:rPr>
              </w:pPr>
              <w:r w:rsidRPr="0015490A">
                <w:rPr>
                  <w:rFonts w:ascii="Arial" w:hAnsi="Arial" w:cs="Arial"/>
                </w:rPr>
                <w:t xml:space="preserve">[14] R. </w:t>
              </w:r>
              <w:proofErr w:type="spellStart"/>
              <w:r w:rsidRPr="0015490A">
                <w:rPr>
                  <w:rFonts w:ascii="Arial" w:hAnsi="Arial" w:cs="Arial"/>
                </w:rPr>
                <w:t>Gomulkiewicz</w:t>
              </w:r>
              <w:proofErr w:type="spellEnd"/>
              <w:r w:rsidRPr="0015490A">
                <w:rPr>
                  <w:rFonts w:ascii="Arial" w:hAnsi="Arial" w:cs="Arial"/>
                </w:rPr>
                <w:t>, X.-T. Nguyen, and D. M. Conway, Licensing Intellectual Property: Law and Application, Aspen Publishing, 2023.</w:t>
              </w:r>
            </w:p>
            <w:p w14:paraId="02046545" w14:textId="41E7E7A0" w:rsidR="00C548C7" w:rsidRPr="0015490A" w:rsidRDefault="00C548C7">
              <w:pPr>
                <w:rPr>
                  <w:rFonts w:ascii="Arial" w:hAnsi="Arial" w:cs="Arial"/>
                </w:rPr>
              </w:pPr>
              <w:r w:rsidRPr="0015490A">
                <w:rPr>
                  <w:rFonts w:ascii="Arial" w:hAnsi="Arial" w:cs="Arial"/>
                </w:rPr>
                <w:t>[15] H. Zafarullah and H. Haque, "Policies, instrumentalities, compliance and control: combatting money laundering in Bangladesh," J. Money Laundering Control, vol. 26, no. 1, pp. 189-204, 2023.</w:t>
              </w:r>
            </w:p>
            <w:p w14:paraId="038DBC86" w14:textId="77777777" w:rsidR="00C548C7" w:rsidRPr="0015490A" w:rsidRDefault="00C548C7">
              <w:pPr>
                <w:rPr>
                  <w:rFonts w:ascii="Arial" w:hAnsi="Arial" w:cs="Arial"/>
                </w:rPr>
              </w:pPr>
              <w:r w:rsidRPr="0015490A">
                <w:rPr>
                  <w:rFonts w:ascii="Arial" w:hAnsi="Arial" w:cs="Arial"/>
                </w:rPr>
                <w:t>[16] V. Bandari, "Enterprise Data Security Measures: A Comparative Review of Effectiveness and Risks Across Different Industries and Organization Types," Int. J. Business Intelligence Big Data Analytics, vol. 6, no. 1, pp. 1-11, 2023</w:t>
              </w:r>
            </w:p>
            <w:p w14:paraId="7A1508F3" w14:textId="77777777" w:rsidR="00C548C7" w:rsidRPr="0015490A" w:rsidRDefault="00C548C7" w:rsidP="00C548C7">
              <w:pPr>
                <w:rPr>
                  <w:rFonts w:ascii="Arial" w:hAnsi="Arial" w:cs="Arial"/>
                </w:rPr>
              </w:pPr>
              <w:r w:rsidRPr="0015490A">
                <w:rPr>
                  <w:rFonts w:ascii="Arial" w:hAnsi="Arial" w:cs="Arial"/>
                </w:rPr>
                <w:lastRenderedPageBreak/>
                <w:t xml:space="preserve">[17] D. </w:t>
              </w:r>
              <w:proofErr w:type="spellStart"/>
              <w:r w:rsidRPr="0015490A">
                <w:rPr>
                  <w:rFonts w:ascii="Arial" w:hAnsi="Arial" w:cs="Arial"/>
                </w:rPr>
                <w:t>Adeabah</w:t>
              </w:r>
              <w:proofErr w:type="spellEnd"/>
              <w:r w:rsidRPr="0015490A">
                <w:rPr>
                  <w:rFonts w:ascii="Arial" w:hAnsi="Arial" w:cs="Arial"/>
                </w:rPr>
                <w:t>, et al., "Reputational risks in banks: A review of research themes, frameworks, methods, and future research directions," J. Econ. Surveys, vol. 37, no. 2, pp. 321-350, 2023.</w:t>
              </w:r>
            </w:p>
            <w:p w14:paraId="1405455F" w14:textId="17ECC90D" w:rsidR="00C548C7" w:rsidRPr="0015490A" w:rsidRDefault="00565188" w:rsidP="00C548C7">
              <w:pPr>
                <w:rPr>
                  <w:rFonts w:ascii="Arial" w:hAnsi="Arial" w:cs="Arial"/>
                </w:rPr>
              </w:pPr>
              <w:r w:rsidRPr="0015490A">
                <w:rPr>
                  <w:rFonts w:ascii="Arial" w:hAnsi="Arial" w:cs="Arial"/>
                </w:rPr>
                <w:t>[18] T. C. Herath, H. S. Herath, and D. Cullum, "An information security performance measurement tool for senior managers: Balanced scorecard integration for security governance and control frameworks," Inf. Syst. Frontiers, vol. 25, no. 2, pp. 681-721, 2023.</w:t>
              </w:r>
            </w:p>
            <w:p w14:paraId="294300FD" w14:textId="337404DB" w:rsidR="00C548C7" w:rsidRPr="0015490A" w:rsidRDefault="00565188" w:rsidP="00C548C7">
              <w:pPr>
                <w:rPr>
                  <w:rFonts w:ascii="Arial" w:hAnsi="Arial" w:cs="Arial"/>
                </w:rPr>
              </w:pPr>
              <w:r w:rsidRPr="0015490A">
                <w:rPr>
                  <w:rFonts w:ascii="Arial" w:hAnsi="Arial" w:cs="Arial"/>
                </w:rPr>
                <w:t xml:space="preserve">[19] R. </w:t>
              </w:r>
              <w:proofErr w:type="spellStart"/>
              <w:r w:rsidRPr="0015490A">
                <w:rPr>
                  <w:rFonts w:ascii="Arial" w:hAnsi="Arial" w:cs="Arial"/>
                </w:rPr>
                <w:t>Pansara</w:t>
              </w:r>
              <w:proofErr w:type="spellEnd"/>
              <w:r w:rsidRPr="0015490A">
                <w:rPr>
                  <w:rFonts w:ascii="Arial" w:hAnsi="Arial" w:cs="Arial"/>
                </w:rPr>
                <w:t>, "</w:t>
              </w:r>
              <w:proofErr w:type="spellStart"/>
              <w:r w:rsidRPr="0015490A">
                <w:rPr>
                  <w:rFonts w:ascii="Arial" w:hAnsi="Arial" w:cs="Arial"/>
                </w:rPr>
                <w:t>Unraveling</w:t>
              </w:r>
              <w:proofErr w:type="spellEnd"/>
              <w:r w:rsidRPr="0015490A">
                <w:rPr>
                  <w:rFonts w:ascii="Arial" w:hAnsi="Arial" w:cs="Arial"/>
                </w:rPr>
                <w:t xml:space="preserve"> the Complexities of Data Governance with Strategies, Challenges, and Future Directions," Trans. Latest Trends IoT, vol. 6, no. 6, pp. 46-56, </w:t>
              </w:r>
              <w:proofErr w:type="gramStart"/>
              <w:r w:rsidRPr="0015490A">
                <w:rPr>
                  <w:rFonts w:ascii="Arial" w:hAnsi="Arial" w:cs="Arial"/>
                </w:rPr>
                <w:t>2023</w:t>
              </w:r>
              <w:proofErr w:type="gramEnd"/>
            </w:p>
            <w:p w14:paraId="5549B7CF" w14:textId="77777777" w:rsidR="00565188" w:rsidRPr="0015490A" w:rsidRDefault="00565188" w:rsidP="00565188">
              <w:pPr>
                <w:rPr>
                  <w:rFonts w:ascii="Arial" w:hAnsi="Arial" w:cs="Arial"/>
                </w:rPr>
              </w:pPr>
              <w:r w:rsidRPr="0015490A">
                <w:rPr>
                  <w:rFonts w:ascii="Arial" w:hAnsi="Arial" w:cs="Arial"/>
                </w:rPr>
                <w:t>[20] Z. Wenhua, et al., "Data security in smart devices: Advancement, constraints and future recommendations," IET Networks, 2023.</w:t>
              </w:r>
            </w:p>
            <w:p w14:paraId="081D7611" w14:textId="2659B25E" w:rsidR="00565188" w:rsidRPr="0015490A" w:rsidRDefault="00565188" w:rsidP="00565188">
              <w:pPr>
                <w:rPr>
                  <w:rFonts w:ascii="Arial" w:hAnsi="Arial" w:cs="Arial"/>
                </w:rPr>
              </w:pPr>
              <w:r w:rsidRPr="0015490A">
                <w:rPr>
                  <w:rFonts w:ascii="Arial" w:hAnsi="Arial" w:cs="Arial"/>
                </w:rPr>
                <w:t xml:space="preserve">[21] M. </w:t>
              </w:r>
              <w:proofErr w:type="spellStart"/>
              <w:r w:rsidRPr="0015490A">
                <w:rPr>
                  <w:rFonts w:ascii="Arial" w:hAnsi="Arial" w:cs="Arial"/>
                </w:rPr>
                <w:t>Shakatreh</w:t>
              </w:r>
              <w:proofErr w:type="spellEnd"/>
              <w:r w:rsidRPr="0015490A">
                <w:rPr>
                  <w:rFonts w:ascii="Arial" w:hAnsi="Arial" w:cs="Arial"/>
                </w:rPr>
                <w:t xml:space="preserve">, M. A. Abu Rumman, and M. I. </w:t>
              </w:r>
              <w:proofErr w:type="spellStart"/>
              <w:r w:rsidRPr="0015490A">
                <w:rPr>
                  <w:rFonts w:ascii="Arial" w:hAnsi="Arial" w:cs="Arial"/>
                </w:rPr>
                <w:t>Mugableh</w:t>
              </w:r>
              <w:proofErr w:type="spellEnd"/>
              <w:r w:rsidRPr="0015490A">
                <w:rPr>
                  <w:rFonts w:ascii="Arial" w:hAnsi="Arial" w:cs="Arial"/>
                </w:rPr>
                <w:t>, "Reviewing the framework of risk management: policy and hedging," Int. J. Prof. Bus. Rev., vol. 8, no. 1, p. 7, 2023.</w:t>
              </w:r>
            </w:p>
            <w:p w14:paraId="6D4712EF" w14:textId="01B8CB42" w:rsidR="00565188" w:rsidRPr="0015490A" w:rsidRDefault="00545014" w:rsidP="00565188">
              <w:pPr>
                <w:rPr>
                  <w:rFonts w:ascii="Arial" w:hAnsi="Arial" w:cs="Arial"/>
                </w:rPr>
              </w:pPr>
              <w:r w:rsidRPr="0015490A">
                <w:rPr>
                  <w:rFonts w:ascii="Arial" w:hAnsi="Arial" w:cs="Arial"/>
                </w:rPr>
                <w:t xml:space="preserve">[22] A. S. </w:t>
              </w:r>
              <w:proofErr w:type="spellStart"/>
              <w:r w:rsidRPr="0015490A">
                <w:rPr>
                  <w:rFonts w:ascii="Arial" w:hAnsi="Arial" w:cs="Arial"/>
                </w:rPr>
                <w:t>Obendiek</w:t>
              </w:r>
              <w:proofErr w:type="spellEnd"/>
              <w:r w:rsidRPr="0015490A">
                <w:rPr>
                  <w:rFonts w:ascii="Arial" w:hAnsi="Arial" w:cs="Arial"/>
                </w:rPr>
                <w:t xml:space="preserve"> and T. Seidl, "The (False) promise of solutionism: Ideational business power and the construction of epistemic authority in digital security governance," J. Eur. Public Policy, vol. 30, no. 7, pp. 1305-1329, 2023.</w:t>
              </w:r>
            </w:p>
            <w:p w14:paraId="36E31B5C" w14:textId="04FFDF03" w:rsidR="00545014" w:rsidRPr="0015490A" w:rsidRDefault="00545014" w:rsidP="00565188">
              <w:pPr>
                <w:rPr>
                  <w:rFonts w:ascii="Arial" w:hAnsi="Arial" w:cs="Arial"/>
                </w:rPr>
              </w:pPr>
              <w:r w:rsidRPr="0015490A">
                <w:rPr>
                  <w:rFonts w:ascii="Arial" w:hAnsi="Arial" w:cs="Arial"/>
                </w:rPr>
                <w:t xml:space="preserve">[23] G. Farid, N. F. Warraich, and S. Iftikhar, "Digital information security management policy in academic libraries: A systematic review (2010–2022)," J. Inf. Sci., 2023, </w:t>
              </w:r>
              <w:proofErr w:type="spellStart"/>
              <w:r w:rsidRPr="0015490A">
                <w:rPr>
                  <w:rFonts w:ascii="Arial" w:hAnsi="Arial" w:cs="Arial"/>
                </w:rPr>
                <w:t>doi</w:t>
              </w:r>
              <w:proofErr w:type="spellEnd"/>
              <w:r w:rsidRPr="0015490A">
                <w:rPr>
                  <w:rFonts w:ascii="Arial" w:hAnsi="Arial" w:cs="Arial"/>
                </w:rPr>
                <w:t>: 10.1177/01655515231160026.</w:t>
              </w:r>
            </w:p>
            <w:p w14:paraId="15700FDF" w14:textId="6E86C95D" w:rsidR="00545014" w:rsidRPr="0015490A" w:rsidRDefault="00545014" w:rsidP="00565188">
              <w:pPr>
                <w:rPr>
                  <w:rFonts w:ascii="Arial" w:hAnsi="Arial" w:cs="Arial"/>
                </w:rPr>
              </w:pPr>
              <w:r w:rsidRPr="0015490A">
                <w:rPr>
                  <w:rFonts w:ascii="Arial" w:hAnsi="Arial" w:cs="Arial"/>
                </w:rPr>
                <w:t>[24] B. Trump, et al., "Governing biotechnology to provide safety and security and address ethical, legal, and social implications," Front. Genet., vol. 13, p. 1052371, 2023.</w:t>
              </w:r>
            </w:p>
            <w:p w14:paraId="332D47EA" w14:textId="2808527F" w:rsidR="00545014" w:rsidRPr="0015490A" w:rsidRDefault="00545014" w:rsidP="00565188">
              <w:pPr>
                <w:rPr>
                  <w:rFonts w:ascii="Arial" w:hAnsi="Arial" w:cs="Arial"/>
                </w:rPr>
              </w:pPr>
              <w:r w:rsidRPr="0015490A">
                <w:rPr>
                  <w:rFonts w:ascii="Arial" w:hAnsi="Arial" w:cs="Arial"/>
                </w:rPr>
                <w:t xml:space="preserve">[25] A. </w:t>
              </w:r>
              <w:proofErr w:type="spellStart"/>
              <w:r w:rsidRPr="0015490A">
                <w:rPr>
                  <w:rFonts w:ascii="Arial" w:hAnsi="Arial" w:cs="Arial"/>
                </w:rPr>
                <w:t>Almuqrin</w:t>
              </w:r>
              <w:proofErr w:type="spellEnd"/>
              <w:r w:rsidRPr="0015490A">
                <w:rPr>
                  <w:rFonts w:ascii="Arial" w:hAnsi="Arial" w:cs="Arial"/>
                </w:rPr>
                <w:t>, et al., "Enforcing Information System Security: Policies and Procedures for Employee Compliance," Int. J. Semantic Web Inf. Syst. (IJSWIS), vol. 19, no. 1, pp. 1-17, 2023.</w:t>
              </w:r>
            </w:p>
            <w:p w14:paraId="24BF7D45" w14:textId="795A299B" w:rsidR="00545014" w:rsidRPr="0015490A" w:rsidRDefault="00545014" w:rsidP="00565188">
              <w:pPr>
                <w:rPr>
                  <w:rFonts w:ascii="Arial" w:hAnsi="Arial" w:cs="Arial"/>
                </w:rPr>
              </w:pPr>
              <w:r w:rsidRPr="0015490A">
                <w:rPr>
                  <w:rFonts w:ascii="Arial" w:hAnsi="Arial" w:cs="Arial"/>
                </w:rPr>
                <w:t>[26] G. P. S. Tejay and Z. A. Mohammed, "Cultivating security culture for information security success: A mixed-methods study based on anthropological perspective," Inf. Manage., vol. 60, no. 3, pp. 103751, 2023.</w:t>
              </w:r>
            </w:p>
            <w:p w14:paraId="2C8FD63A" w14:textId="3EB5EAD5" w:rsidR="00DB0013" w:rsidRPr="0015490A" w:rsidRDefault="00DB0013" w:rsidP="00DB0013">
              <w:pPr>
                <w:rPr>
                  <w:rFonts w:ascii="Arial" w:hAnsi="Arial" w:cs="Arial"/>
                </w:rPr>
              </w:pPr>
              <w:r w:rsidRPr="0015490A">
                <w:rPr>
                  <w:rFonts w:ascii="Arial" w:hAnsi="Arial" w:cs="Arial"/>
                </w:rPr>
                <w:t>[27] W. Stallings, Cryptography and Network Security: Principles and Practice. Pearson.</w:t>
              </w:r>
            </w:p>
            <w:p w14:paraId="7B15D3B4" w14:textId="146BC7F4" w:rsidR="00DB0013" w:rsidRPr="0015490A" w:rsidRDefault="00DB0013" w:rsidP="00DB0013">
              <w:pPr>
                <w:rPr>
                  <w:rFonts w:ascii="Arial" w:hAnsi="Arial" w:cs="Arial"/>
                </w:rPr>
              </w:pPr>
              <w:r w:rsidRPr="0015490A">
                <w:rPr>
                  <w:rFonts w:ascii="Arial" w:hAnsi="Arial" w:cs="Arial"/>
                </w:rPr>
                <w:t>[28] R. Anderson, Security Engineering: A Guide to Building Dependable Distributed Systems. Wiley.</w:t>
              </w:r>
            </w:p>
            <w:p w14:paraId="5AAE53D5" w14:textId="282A509F" w:rsidR="00565188" w:rsidRPr="0015490A" w:rsidRDefault="00DB0013" w:rsidP="00DB0013">
              <w:pPr>
                <w:rPr>
                  <w:rFonts w:ascii="Arial" w:hAnsi="Arial" w:cs="Arial"/>
                </w:rPr>
              </w:pPr>
              <w:r w:rsidRPr="0015490A">
                <w:rPr>
                  <w:rFonts w:ascii="Arial" w:hAnsi="Arial" w:cs="Arial"/>
                </w:rPr>
                <w:t>[29] B. Schneier, Applied Cryptography: Protocols, Algorithms, and Source Code in C. Wiley.</w:t>
              </w:r>
            </w:p>
            <w:p w14:paraId="6CD2F9B4" w14:textId="1440C4DC" w:rsidR="00565188" w:rsidRDefault="00A46293" w:rsidP="00565188">
              <w:pPr>
                <w:rPr>
                  <w:rFonts w:ascii="Arial" w:hAnsi="Arial" w:cs="Arial"/>
                </w:rPr>
              </w:pPr>
              <w:r>
                <w:rPr>
                  <w:rFonts w:ascii="Arial" w:hAnsi="Arial" w:cs="Arial"/>
                </w:rPr>
                <w:t xml:space="preserve">[30] </w:t>
              </w:r>
              <w:r w:rsidRPr="00A46293">
                <w:rPr>
                  <w:rFonts w:ascii="Arial" w:hAnsi="Arial" w:cs="Arial"/>
                </w:rPr>
                <w:t xml:space="preserve">University of Wales Trinity Saint David Moodle. Available: </w:t>
              </w:r>
              <w:hyperlink r:id="rId8" w:history="1">
                <w:r w:rsidRPr="00F04E73">
                  <w:rPr>
                    <w:rStyle w:val="Hyperlink"/>
                    <w:rFonts w:ascii="Arial" w:hAnsi="Arial" w:cs="Arial"/>
                  </w:rPr>
                  <w:t>https://moodle.uwtsd.ac.uk/</w:t>
                </w:r>
              </w:hyperlink>
              <w:r w:rsidRPr="00A46293">
                <w:rPr>
                  <w:rFonts w:ascii="Arial" w:hAnsi="Arial" w:cs="Arial"/>
                </w:rPr>
                <w:t>.</w:t>
              </w:r>
            </w:p>
            <w:p w14:paraId="3E6201F0" w14:textId="77777777" w:rsidR="00A46293" w:rsidRPr="0015490A" w:rsidRDefault="00A46293" w:rsidP="00565188">
              <w:pPr>
                <w:rPr>
                  <w:rFonts w:ascii="Arial" w:hAnsi="Arial" w:cs="Arial"/>
                </w:rPr>
              </w:pPr>
            </w:p>
            <w:p w14:paraId="0A89BB96" w14:textId="74C25ABC" w:rsidR="00C548C7" w:rsidRPr="0015490A" w:rsidRDefault="00C548C7" w:rsidP="00C548C7">
              <w:pPr>
                <w:rPr>
                  <w:rFonts w:ascii="Arial" w:hAnsi="Arial" w:cs="Arial"/>
                </w:rPr>
              </w:pPr>
            </w:p>
            <w:p w14:paraId="60EE1C84" w14:textId="77777777" w:rsidR="00C548C7" w:rsidRPr="0015490A" w:rsidRDefault="00C548C7" w:rsidP="00C548C7">
              <w:pPr>
                <w:rPr>
                  <w:rFonts w:ascii="Arial" w:hAnsi="Arial" w:cs="Arial"/>
                </w:rPr>
              </w:pPr>
            </w:p>
            <w:p w14:paraId="3456AA4E" w14:textId="29C8E88B" w:rsidR="00E9043C" w:rsidRPr="0015490A" w:rsidRDefault="00000000">
              <w:pPr>
                <w:rPr>
                  <w:rFonts w:ascii="Arial" w:hAnsi="Arial" w:cs="Arial"/>
                </w:rPr>
              </w:pPr>
            </w:p>
          </w:sdtContent>
        </w:sdt>
      </w:sdtContent>
    </w:sdt>
    <w:p w14:paraId="2CD4CF77" w14:textId="2E8BADED" w:rsidR="00CA49E9" w:rsidRDefault="00360DE3" w:rsidP="00A10C95">
      <w:pPr>
        <w:pStyle w:val="Title"/>
      </w:pPr>
      <w:r>
        <w:t>Reference Link</w:t>
      </w:r>
    </w:p>
    <w:p w14:paraId="64E09EC8" w14:textId="7BC5CA04" w:rsidR="00360DE3" w:rsidRDefault="00360DE3" w:rsidP="00BD22BE">
      <w:pPr>
        <w:rPr>
          <w:rFonts w:ascii="Arial" w:hAnsi="Arial" w:cs="Arial"/>
        </w:rPr>
      </w:pPr>
      <w:r>
        <w:rPr>
          <w:rFonts w:ascii="Arial" w:hAnsi="Arial" w:cs="Arial"/>
        </w:rPr>
        <w:t xml:space="preserve">Figure 1: </w:t>
      </w:r>
      <w:hyperlink r:id="rId9" w:history="1">
        <w:r w:rsidR="00A10C95" w:rsidRPr="001F092E">
          <w:rPr>
            <w:rStyle w:val="Hyperlink"/>
            <w:rFonts w:ascii="Arial" w:hAnsi="Arial" w:cs="Arial"/>
          </w:rPr>
          <w:t>https://www.educba.com/itil-service-lifecycle/</w:t>
        </w:r>
      </w:hyperlink>
    </w:p>
    <w:p w14:paraId="4DC8E86D" w14:textId="77777777" w:rsidR="00A10C95" w:rsidRPr="0015490A" w:rsidRDefault="00A10C95" w:rsidP="00BD22BE">
      <w:pPr>
        <w:rPr>
          <w:rFonts w:ascii="Arial" w:hAnsi="Arial" w:cs="Arial"/>
        </w:rPr>
      </w:pPr>
    </w:p>
    <w:sectPr w:rsidR="00A10C95" w:rsidRPr="0015490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172A6" w14:textId="77777777" w:rsidR="00CC657F" w:rsidRDefault="00CC657F" w:rsidP="00E829FE">
      <w:pPr>
        <w:spacing w:after="0" w:line="240" w:lineRule="auto"/>
      </w:pPr>
      <w:r>
        <w:separator/>
      </w:r>
    </w:p>
  </w:endnote>
  <w:endnote w:type="continuationSeparator" w:id="0">
    <w:p w14:paraId="252FD28A" w14:textId="77777777" w:rsidR="00CC657F" w:rsidRDefault="00CC657F" w:rsidP="00E82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442955"/>
      <w:docPartObj>
        <w:docPartGallery w:val="Page Numbers (Bottom of Page)"/>
        <w:docPartUnique/>
      </w:docPartObj>
    </w:sdtPr>
    <w:sdtContent>
      <w:p w14:paraId="5D69F739" w14:textId="7E60AC18" w:rsidR="00E829FE" w:rsidRDefault="00E829F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1BBB3E8" w14:textId="2B4432A0" w:rsidR="00E829FE" w:rsidRDefault="00E829FE">
    <w:pPr>
      <w:pStyle w:val="Footer"/>
    </w:pPr>
    <w:r>
      <w:t>Mohammed Talha Sajidhusein Vasanwala - 2316054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1033C" w14:textId="77777777" w:rsidR="00CC657F" w:rsidRDefault="00CC657F" w:rsidP="00E829FE">
      <w:pPr>
        <w:spacing w:after="0" w:line="240" w:lineRule="auto"/>
      </w:pPr>
      <w:r>
        <w:separator/>
      </w:r>
    </w:p>
  </w:footnote>
  <w:footnote w:type="continuationSeparator" w:id="0">
    <w:p w14:paraId="0CC6B519" w14:textId="77777777" w:rsidR="00CC657F" w:rsidRDefault="00CC657F" w:rsidP="00E829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882"/>
    <w:rsid w:val="000326F7"/>
    <w:rsid w:val="00094321"/>
    <w:rsid w:val="000B3176"/>
    <w:rsid w:val="000F752D"/>
    <w:rsid w:val="000F7890"/>
    <w:rsid w:val="0015490A"/>
    <w:rsid w:val="001867C2"/>
    <w:rsid w:val="00193B28"/>
    <w:rsid w:val="001C0370"/>
    <w:rsid w:val="001E42B5"/>
    <w:rsid w:val="00236E47"/>
    <w:rsid w:val="0026396F"/>
    <w:rsid w:val="002715E9"/>
    <w:rsid w:val="00287115"/>
    <w:rsid w:val="00335321"/>
    <w:rsid w:val="00346E42"/>
    <w:rsid w:val="00360DE3"/>
    <w:rsid w:val="00373159"/>
    <w:rsid w:val="003A1224"/>
    <w:rsid w:val="003A24DD"/>
    <w:rsid w:val="003A5CA4"/>
    <w:rsid w:val="003D2FF9"/>
    <w:rsid w:val="004068C0"/>
    <w:rsid w:val="004C7427"/>
    <w:rsid w:val="004D404F"/>
    <w:rsid w:val="00545014"/>
    <w:rsid w:val="00565188"/>
    <w:rsid w:val="0059702E"/>
    <w:rsid w:val="005C1253"/>
    <w:rsid w:val="005C6FC2"/>
    <w:rsid w:val="006B5ECC"/>
    <w:rsid w:val="006C1E93"/>
    <w:rsid w:val="006D489E"/>
    <w:rsid w:val="00717615"/>
    <w:rsid w:val="00796C3E"/>
    <w:rsid w:val="007B4D4A"/>
    <w:rsid w:val="007D06F2"/>
    <w:rsid w:val="0089686E"/>
    <w:rsid w:val="008E1AC1"/>
    <w:rsid w:val="00912D07"/>
    <w:rsid w:val="00925191"/>
    <w:rsid w:val="00943527"/>
    <w:rsid w:val="00963609"/>
    <w:rsid w:val="009A5D11"/>
    <w:rsid w:val="00A07DB9"/>
    <w:rsid w:val="00A10C95"/>
    <w:rsid w:val="00A24938"/>
    <w:rsid w:val="00A42882"/>
    <w:rsid w:val="00A46293"/>
    <w:rsid w:val="00A55480"/>
    <w:rsid w:val="00A91461"/>
    <w:rsid w:val="00AA6ECB"/>
    <w:rsid w:val="00AB7B06"/>
    <w:rsid w:val="00AE5B23"/>
    <w:rsid w:val="00AF5E0A"/>
    <w:rsid w:val="00B13658"/>
    <w:rsid w:val="00BC6F04"/>
    <w:rsid w:val="00BD22BE"/>
    <w:rsid w:val="00C05269"/>
    <w:rsid w:val="00C548C7"/>
    <w:rsid w:val="00CA49E9"/>
    <w:rsid w:val="00CC657F"/>
    <w:rsid w:val="00CE3307"/>
    <w:rsid w:val="00D1039F"/>
    <w:rsid w:val="00D3796D"/>
    <w:rsid w:val="00D659C8"/>
    <w:rsid w:val="00D82869"/>
    <w:rsid w:val="00D965C2"/>
    <w:rsid w:val="00DB0013"/>
    <w:rsid w:val="00DB4E62"/>
    <w:rsid w:val="00E64D70"/>
    <w:rsid w:val="00E75EBF"/>
    <w:rsid w:val="00E829FE"/>
    <w:rsid w:val="00E9043C"/>
    <w:rsid w:val="00F674B1"/>
    <w:rsid w:val="00F74B09"/>
    <w:rsid w:val="00F76939"/>
    <w:rsid w:val="00F86039"/>
    <w:rsid w:val="00F90886"/>
    <w:rsid w:val="00FB3460"/>
    <w:rsid w:val="00FC78EB"/>
    <w:rsid w:val="00FE50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5C37F"/>
  <w15:chartTrackingRefBased/>
  <w15:docId w15:val="{C74097A5-558E-4794-B379-310EFD91C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224"/>
    <w:rPr>
      <w:lang w:val="en-GB"/>
    </w:rPr>
  </w:style>
  <w:style w:type="paragraph" w:styleId="Heading1">
    <w:name w:val="heading 1"/>
    <w:basedOn w:val="Normal"/>
    <w:next w:val="Normal"/>
    <w:link w:val="Heading1Char"/>
    <w:autoRedefine/>
    <w:uiPriority w:val="9"/>
    <w:qFormat/>
    <w:rsid w:val="00F860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CA49E9"/>
    <w:pPr>
      <w:keepNext/>
      <w:keepLines/>
      <w:spacing w:before="40" w:after="0"/>
      <w:outlineLvl w:val="1"/>
    </w:pPr>
    <w:rPr>
      <w:rFonts w:ascii="Arial" w:eastAsiaTheme="majorEastAsia" w:hAnsi="Arial" w:cs="Arial"/>
      <w:bCs/>
      <w:color w:val="2F5496" w:themeColor="accent1" w:themeShade="BF"/>
      <w:sz w:val="28"/>
      <w:szCs w:val="26"/>
    </w:rPr>
  </w:style>
  <w:style w:type="paragraph" w:styleId="Heading3">
    <w:name w:val="heading 3"/>
    <w:basedOn w:val="Normal"/>
    <w:next w:val="Normal"/>
    <w:link w:val="Heading3Char"/>
    <w:autoRedefine/>
    <w:uiPriority w:val="9"/>
    <w:unhideWhenUsed/>
    <w:qFormat/>
    <w:rsid w:val="00F86039"/>
    <w:pPr>
      <w:keepNext/>
      <w:keepLines/>
      <w:spacing w:before="40" w:after="0"/>
      <w:outlineLvl w:val="2"/>
    </w:pPr>
    <w:rPr>
      <w:rFonts w:asciiTheme="majorHAnsi" w:eastAsiaTheme="majorEastAsia" w:hAnsiTheme="majorHAnsi"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A12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2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60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1224"/>
    <w:pPr>
      <w:outlineLvl w:val="9"/>
    </w:pPr>
    <w:rPr>
      <w:kern w:val="0"/>
      <w:lang w:val="en-US"/>
      <w14:ligatures w14:val="none"/>
    </w:rPr>
  </w:style>
  <w:style w:type="character" w:customStyle="1" w:styleId="Heading2Char">
    <w:name w:val="Heading 2 Char"/>
    <w:basedOn w:val="DefaultParagraphFont"/>
    <w:link w:val="Heading2"/>
    <w:uiPriority w:val="9"/>
    <w:rsid w:val="00CA49E9"/>
    <w:rPr>
      <w:rFonts w:ascii="Arial" w:eastAsiaTheme="majorEastAsia" w:hAnsi="Arial" w:cs="Arial"/>
      <w:bCs/>
      <w:color w:val="2F5496" w:themeColor="accent1" w:themeShade="BF"/>
      <w:sz w:val="28"/>
      <w:szCs w:val="26"/>
    </w:rPr>
  </w:style>
  <w:style w:type="character" w:customStyle="1" w:styleId="Heading3Char">
    <w:name w:val="Heading 3 Char"/>
    <w:basedOn w:val="DefaultParagraphFont"/>
    <w:link w:val="Heading3"/>
    <w:uiPriority w:val="9"/>
    <w:rsid w:val="00F86039"/>
    <w:rPr>
      <w:rFonts w:asciiTheme="majorHAnsi" w:eastAsiaTheme="majorEastAsia" w:hAnsiTheme="majorHAnsi" w:cstheme="majorBidi"/>
      <w:color w:val="1F3763" w:themeColor="accent1" w:themeShade="7F"/>
      <w:sz w:val="26"/>
      <w:szCs w:val="24"/>
    </w:rPr>
  </w:style>
  <w:style w:type="paragraph" w:styleId="TOC1">
    <w:name w:val="toc 1"/>
    <w:basedOn w:val="Normal"/>
    <w:next w:val="Normal"/>
    <w:autoRedefine/>
    <w:uiPriority w:val="39"/>
    <w:unhideWhenUsed/>
    <w:rsid w:val="00E829FE"/>
    <w:pPr>
      <w:spacing w:after="100"/>
    </w:pPr>
  </w:style>
  <w:style w:type="paragraph" w:styleId="TOC2">
    <w:name w:val="toc 2"/>
    <w:basedOn w:val="Normal"/>
    <w:next w:val="Normal"/>
    <w:autoRedefine/>
    <w:uiPriority w:val="39"/>
    <w:unhideWhenUsed/>
    <w:rsid w:val="00E829FE"/>
    <w:pPr>
      <w:spacing w:after="100"/>
      <w:ind w:left="220"/>
    </w:pPr>
  </w:style>
  <w:style w:type="paragraph" w:styleId="TOC3">
    <w:name w:val="toc 3"/>
    <w:basedOn w:val="Normal"/>
    <w:next w:val="Normal"/>
    <w:autoRedefine/>
    <w:uiPriority w:val="39"/>
    <w:unhideWhenUsed/>
    <w:rsid w:val="00E829FE"/>
    <w:pPr>
      <w:spacing w:after="100"/>
      <w:ind w:left="440"/>
    </w:pPr>
  </w:style>
  <w:style w:type="character" w:styleId="Hyperlink">
    <w:name w:val="Hyperlink"/>
    <w:basedOn w:val="DefaultParagraphFont"/>
    <w:uiPriority w:val="99"/>
    <w:unhideWhenUsed/>
    <w:rsid w:val="00E829FE"/>
    <w:rPr>
      <w:color w:val="0563C1" w:themeColor="hyperlink"/>
      <w:u w:val="single"/>
    </w:rPr>
  </w:style>
  <w:style w:type="paragraph" w:styleId="Header">
    <w:name w:val="header"/>
    <w:basedOn w:val="Normal"/>
    <w:link w:val="HeaderChar"/>
    <w:uiPriority w:val="99"/>
    <w:unhideWhenUsed/>
    <w:rsid w:val="00E82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9FE"/>
  </w:style>
  <w:style w:type="paragraph" w:styleId="Footer">
    <w:name w:val="footer"/>
    <w:basedOn w:val="Normal"/>
    <w:link w:val="FooterChar"/>
    <w:uiPriority w:val="99"/>
    <w:unhideWhenUsed/>
    <w:rsid w:val="00E82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9FE"/>
  </w:style>
  <w:style w:type="paragraph" w:styleId="Subtitle">
    <w:name w:val="Subtitle"/>
    <w:basedOn w:val="Normal"/>
    <w:next w:val="Normal"/>
    <w:link w:val="SubtitleChar"/>
    <w:uiPriority w:val="11"/>
    <w:qFormat/>
    <w:rsid w:val="00FC78E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C78EB"/>
    <w:rPr>
      <w:rFonts w:eastAsiaTheme="minorEastAsia"/>
      <w:color w:val="5A5A5A" w:themeColor="text1" w:themeTint="A5"/>
      <w:spacing w:val="15"/>
      <w:lang w:val="en-GB"/>
    </w:rPr>
  </w:style>
  <w:style w:type="character" w:styleId="UnresolvedMention">
    <w:name w:val="Unresolved Mention"/>
    <w:basedOn w:val="DefaultParagraphFont"/>
    <w:uiPriority w:val="99"/>
    <w:semiHidden/>
    <w:unhideWhenUsed/>
    <w:rsid w:val="00A462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833064">
      <w:bodyDiv w:val="1"/>
      <w:marLeft w:val="0"/>
      <w:marRight w:val="0"/>
      <w:marTop w:val="0"/>
      <w:marBottom w:val="0"/>
      <w:divBdr>
        <w:top w:val="none" w:sz="0" w:space="0" w:color="auto"/>
        <w:left w:val="none" w:sz="0" w:space="0" w:color="auto"/>
        <w:bottom w:val="none" w:sz="0" w:space="0" w:color="auto"/>
        <w:right w:val="none" w:sz="0" w:space="0" w:color="auto"/>
      </w:divBdr>
    </w:div>
    <w:div w:id="838472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ducba.com/itil-service-lif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9F37307-7631-4864-B86D-E561348C1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20</Pages>
  <Words>6098</Words>
  <Characters>34760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TALHA VASANWALA</dc:creator>
  <cp:keywords/>
  <dc:description/>
  <cp:lastModifiedBy>MOHAMMED TALHA VASANWALA</cp:lastModifiedBy>
  <cp:revision>58</cp:revision>
  <dcterms:created xsi:type="dcterms:W3CDTF">2023-12-01T16:12:00Z</dcterms:created>
  <dcterms:modified xsi:type="dcterms:W3CDTF">2024-01-04T11:04:00Z</dcterms:modified>
</cp:coreProperties>
</file>