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66017" w14:textId="77777777" w:rsidR="00492B98" w:rsidRDefault="00492B98" w:rsidP="00492B98">
      <w:pPr>
        <w:pStyle w:val="NormalWeb"/>
        <w:spacing w:before="0" w:beforeAutospacing="0" w:after="0" w:afterAutospacing="0" w:line="360" w:lineRule="auto"/>
        <w:jc w:val="center"/>
        <w:rPr>
          <w:rStyle w:val="Strong"/>
          <w:color w:val="0E101A"/>
          <w:sz w:val="32"/>
          <w:szCs w:val="32"/>
        </w:rPr>
      </w:pPr>
    </w:p>
    <w:p w14:paraId="1CCD28DE" w14:textId="77777777" w:rsidR="00492B98" w:rsidRDefault="00492B98" w:rsidP="00492B98">
      <w:pPr>
        <w:pStyle w:val="NormalWeb"/>
        <w:spacing w:before="0" w:beforeAutospacing="0" w:after="0" w:afterAutospacing="0" w:line="360" w:lineRule="auto"/>
        <w:jc w:val="center"/>
        <w:rPr>
          <w:rStyle w:val="Strong"/>
          <w:color w:val="0E101A"/>
          <w:sz w:val="32"/>
          <w:szCs w:val="32"/>
        </w:rPr>
      </w:pPr>
    </w:p>
    <w:p w14:paraId="3CA39598" w14:textId="77777777" w:rsidR="00492B98" w:rsidRDefault="00492B98" w:rsidP="00492B98">
      <w:pPr>
        <w:pStyle w:val="NormalWeb"/>
        <w:spacing w:before="0" w:beforeAutospacing="0" w:after="0" w:afterAutospacing="0" w:line="360" w:lineRule="auto"/>
        <w:jc w:val="center"/>
        <w:rPr>
          <w:rStyle w:val="Strong"/>
          <w:color w:val="0E101A"/>
          <w:sz w:val="32"/>
          <w:szCs w:val="32"/>
        </w:rPr>
      </w:pPr>
    </w:p>
    <w:p w14:paraId="63FBA716" w14:textId="77777777" w:rsidR="00492B98" w:rsidRDefault="00492B98" w:rsidP="00492B98">
      <w:pPr>
        <w:pStyle w:val="NormalWeb"/>
        <w:spacing w:before="0" w:beforeAutospacing="0" w:after="0" w:afterAutospacing="0" w:line="360" w:lineRule="auto"/>
        <w:jc w:val="center"/>
        <w:rPr>
          <w:rStyle w:val="Strong"/>
          <w:color w:val="0E101A"/>
          <w:sz w:val="32"/>
          <w:szCs w:val="32"/>
        </w:rPr>
      </w:pPr>
    </w:p>
    <w:p w14:paraId="6884932F" w14:textId="40C1C050" w:rsidR="00492B98" w:rsidRPr="00492B98" w:rsidRDefault="00492B98" w:rsidP="00492B98">
      <w:pPr>
        <w:pStyle w:val="NormalWeb"/>
        <w:spacing w:before="0" w:beforeAutospacing="0" w:after="0" w:afterAutospacing="0" w:line="360" w:lineRule="auto"/>
        <w:jc w:val="center"/>
        <w:rPr>
          <w:rStyle w:val="Strong"/>
          <w:color w:val="0E101A"/>
          <w:sz w:val="32"/>
          <w:szCs w:val="32"/>
        </w:rPr>
      </w:pPr>
      <w:r w:rsidRPr="00492B98">
        <w:rPr>
          <w:rStyle w:val="Strong"/>
          <w:color w:val="0E101A"/>
          <w:sz w:val="32"/>
          <w:szCs w:val="32"/>
        </w:rPr>
        <w:t>A Vision of Change: Sustainability in the hotel industry</w:t>
      </w:r>
    </w:p>
    <w:p w14:paraId="096EB914" w14:textId="77777777" w:rsidR="00492B98" w:rsidRDefault="00492B98" w:rsidP="00492B98">
      <w:pPr>
        <w:pStyle w:val="NormalWeb"/>
        <w:spacing w:before="0" w:beforeAutospacing="0" w:after="0" w:afterAutospacing="0" w:line="360" w:lineRule="auto"/>
        <w:jc w:val="center"/>
        <w:rPr>
          <w:rStyle w:val="Strong"/>
          <w:color w:val="0E101A"/>
        </w:rPr>
      </w:pPr>
    </w:p>
    <w:p w14:paraId="73992100" w14:textId="77777777" w:rsidR="00492B98" w:rsidRDefault="00492B98" w:rsidP="00492B98">
      <w:pPr>
        <w:pStyle w:val="NormalWeb"/>
        <w:spacing w:before="0" w:beforeAutospacing="0" w:after="0" w:afterAutospacing="0" w:line="360" w:lineRule="auto"/>
        <w:jc w:val="center"/>
        <w:rPr>
          <w:rStyle w:val="Strong"/>
          <w:color w:val="0E101A"/>
        </w:rPr>
      </w:pPr>
    </w:p>
    <w:p w14:paraId="4B461292" w14:textId="77777777" w:rsidR="00492B98" w:rsidRDefault="00492B98" w:rsidP="00492B98">
      <w:pPr>
        <w:pStyle w:val="NormalWeb"/>
        <w:spacing w:before="0" w:beforeAutospacing="0" w:after="0" w:afterAutospacing="0" w:line="360" w:lineRule="auto"/>
        <w:jc w:val="center"/>
        <w:rPr>
          <w:rStyle w:val="Strong"/>
          <w:color w:val="0E101A"/>
        </w:rPr>
      </w:pPr>
    </w:p>
    <w:p w14:paraId="6134E33A" w14:textId="77777777" w:rsidR="00492B98" w:rsidRDefault="00492B98" w:rsidP="00492B98">
      <w:pPr>
        <w:pStyle w:val="NormalWeb"/>
        <w:spacing w:before="0" w:beforeAutospacing="0" w:after="0" w:afterAutospacing="0" w:line="360" w:lineRule="auto"/>
        <w:jc w:val="center"/>
        <w:rPr>
          <w:rStyle w:val="Strong"/>
          <w:color w:val="0E101A"/>
        </w:rPr>
      </w:pPr>
    </w:p>
    <w:p w14:paraId="645642DE" w14:textId="77777777" w:rsidR="00492B98" w:rsidRDefault="00492B98" w:rsidP="00492B98">
      <w:pPr>
        <w:pStyle w:val="NormalWeb"/>
        <w:spacing w:before="0" w:beforeAutospacing="0" w:after="0" w:afterAutospacing="0" w:line="360" w:lineRule="auto"/>
        <w:jc w:val="center"/>
        <w:rPr>
          <w:rStyle w:val="Strong"/>
          <w:color w:val="0E101A"/>
        </w:rPr>
      </w:pPr>
    </w:p>
    <w:p w14:paraId="0C2C3285" w14:textId="77777777" w:rsidR="00492B98" w:rsidRDefault="00492B98" w:rsidP="00492B98">
      <w:pPr>
        <w:pStyle w:val="NormalWeb"/>
        <w:spacing w:before="0" w:beforeAutospacing="0" w:after="0" w:afterAutospacing="0" w:line="360" w:lineRule="auto"/>
        <w:jc w:val="center"/>
        <w:rPr>
          <w:rStyle w:val="Strong"/>
          <w:color w:val="0E101A"/>
        </w:rPr>
      </w:pPr>
    </w:p>
    <w:p w14:paraId="4B74DD53" w14:textId="77777777" w:rsidR="00492B98" w:rsidRDefault="00492B98" w:rsidP="00492B98">
      <w:pPr>
        <w:pStyle w:val="NormalWeb"/>
        <w:spacing w:before="0" w:beforeAutospacing="0" w:after="0" w:afterAutospacing="0" w:line="360" w:lineRule="auto"/>
        <w:jc w:val="center"/>
        <w:rPr>
          <w:rStyle w:val="Strong"/>
          <w:color w:val="0E101A"/>
        </w:rPr>
      </w:pPr>
    </w:p>
    <w:p w14:paraId="1BA49D26" w14:textId="77777777" w:rsidR="00492B98" w:rsidRDefault="00492B98" w:rsidP="00492B98">
      <w:pPr>
        <w:pStyle w:val="NormalWeb"/>
        <w:spacing w:before="0" w:beforeAutospacing="0" w:after="0" w:afterAutospacing="0" w:line="360" w:lineRule="auto"/>
        <w:jc w:val="center"/>
        <w:rPr>
          <w:rStyle w:val="Strong"/>
          <w:color w:val="0E101A"/>
        </w:rPr>
      </w:pPr>
    </w:p>
    <w:p w14:paraId="49221EE1" w14:textId="77777777" w:rsidR="00492B98" w:rsidRDefault="00492B98" w:rsidP="00492B98">
      <w:pPr>
        <w:spacing w:after="0" w:line="360" w:lineRule="auto"/>
        <w:jc w:val="both"/>
        <w:rPr>
          <w:rFonts w:ascii="Arial" w:hAnsi="Arial" w:cs="Arial"/>
          <w:b/>
          <w:bCs/>
          <w:kern w:val="0"/>
          <w:sz w:val="24"/>
          <w:szCs w:val="24"/>
          <w14:ligatures w14:val="none"/>
        </w:rPr>
      </w:pPr>
    </w:p>
    <w:p w14:paraId="648B8307" w14:textId="77777777" w:rsidR="00492B98" w:rsidRDefault="00492B98" w:rsidP="00492B98">
      <w:pPr>
        <w:spacing w:after="0" w:line="360" w:lineRule="auto"/>
        <w:jc w:val="both"/>
        <w:rPr>
          <w:rFonts w:ascii="Arial" w:hAnsi="Arial" w:cs="Arial"/>
          <w:b/>
          <w:bCs/>
          <w:kern w:val="0"/>
          <w:sz w:val="24"/>
          <w:szCs w:val="24"/>
          <w14:ligatures w14:val="none"/>
        </w:rPr>
      </w:pPr>
    </w:p>
    <w:p w14:paraId="30AEE631" w14:textId="77777777" w:rsidR="00492B98" w:rsidRDefault="00492B98" w:rsidP="00492B98">
      <w:pPr>
        <w:spacing w:after="0" w:line="360" w:lineRule="auto"/>
        <w:jc w:val="both"/>
        <w:rPr>
          <w:rFonts w:ascii="Arial" w:hAnsi="Arial" w:cs="Arial"/>
          <w:b/>
          <w:bCs/>
          <w:kern w:val="0"/>
          <w:sz w:val="24"/>
          <w:szCs w:val="24"/>
          <w14:ligatures w14:val="none"/>
        </w:rPr>
      </w:pPr>
    </w:p>
    <w:p w14:paraId="0DDC99EF" w14:textId="572E9249" w:rsidR="00492B98" w:rsidRPr="00B26157" w:rsidRDefault="00492B98" w:rsidP="00492B98">
      <w:pPr>
        <w:spacing w:after="0" w:line="360" w:lineRule="auto"/>
        <w:jc w:val="both"/>
        <w:rPr>
          <w:rFonts w:ascii="Arial" w:hAnsi="Arial" w:cs="Arial"/>
          <w:b/>
          <w:bCs/>
          <w:kern w:val="0"/>
          <w:sz w:val="24"/>
          <w:szCs w:val="24"/>
          <w14:ligatures w14:val="none"/>
        </w:rPr>
      </w:pPr>
      <w:r w:rsidRPr="00B26157">
        <w:rPr>
          <w:rFonts w:ascii="Arial" w:hAnsi="Arial" w:cs="Arial"/>
          <w:b/>
          <w:bCs/>
          <w:kern w:val="0"/>
          <w:sz w:val="24"/>
          <w:szCs w:val="24"/>
          <w14:ligatures w14:val="none"/>
        </w:rPr>
        <w:t>Student Name: Marius Ciocea</w:t>
      </w:r>
    </w:p>
    <w:p w14:paraId="630A10E8" w14:textId="77777777" w:rsidR="00492B98" w:rsidRPr="00B26157" w:rsidRDefault="00492B98" w:rsidP="00492B98">
      <w:pPr>
        <w:spacing w:after="0" w:line="360" w:lineRule="auto"/>
        <w:jc w:val="both"/>
        <w:rPr>
          <w:rFonts w:ascii="Arial" w:hAnsi="Arial" w:cs="Arial"/>
          <w:b/>
          <w:bCs/>
          <w:kern w:val="0"/>
          <w:sz w:val="24"/>
          <w:szCs w:val="24"/>
          <w14:ligatures w14:val="none"/>
        </w:rPr>
      </w:pPr>
      <w:r w:rsidRPr="00B26157">
        <w:rPr>
          <w:rFonts w:ascii="Arial" w:hAnsi="Arial" w:cs="Arial"/>
          <w:b/>
          <w:bCs/>
          <w:kern w:val="0"/>
          <w:sz w:val="24"/>
          <w:szCs w:val="24"/>
          <w14:ligatures w14:val="none"/>
        </w:rPr>
        <w:t>Student ID Number: 2111529</w:t>
      </w:r>
    </w:p>
    <w:p w14:paraId="14377F22" w14:textId="200699A9" w:rsidR="00492B98" w:rsidRDefault="00492B98" w:rsidP="00492B98">
      <w:pPr>
        <w:spacing w:line="240" w:lineRule="auto"/>
        <w:jc w:val="both"/>
        <w:rPr>
          <w:rFonts w:ascii="Arial" w:hAnsi="Arial" w:cs="Arial"/>
          <w:b/>
          <w:bCs/>
          <w:sz w:val="24"/>
          <w:szCs w:val="24"/>
          <w:lang w:val="en-US"/>
        </w:rPr>
      </w:pPr>
      <w:r>
        <w:rPr>
          <w:rFonts w:ascii="Arial" w:hAnsi="Arial" w:cs="Arial"/>
          <w:b/>
          <w:bCs/>
          <w:sz w:val="24"/>
          <w:szCs w:val="24"/>
          <w:lang w:val="en-US"/>
        </w:rPr>
        <w:t>Sustainable Hospitality &amp;Tourism Management</w:t>
      </w:r>
      <w:r>
        <w:rPr>
          <w:rFonts w:ascii="Arial" w:hAnsi="Arial" w:cs="Arial"/>
          <w:b/>
          <w:bCs/>
          <w:sz w:val="24"/>
          <w:szCs w:val="24"/>
          <w:lang w:val="en-US"/>
        </w:rPr>
        <w:t xml:space="preserve"> BMIH500</w:t>
      </w:r>
      <w:r>
        <w:rPr>
          <w:rFonts w:ascii="Arial" w:hAnsi="Arial" w:cs="Arial"/>
          <w:b/>
          <w:bCs/>
          <w:sz w:val="24"/>
          <w:szCs w:val="24"/>
          <w:lang w:val="en-US"/>
        </w:rPr>
        <w:t>6</w:t>
      </w:r>
    </w:p>
    <w:p w14:paraId="3014EF94" w14:textId="22D891EE" w:rsidR="00492B98" w:rsidRPr="00B26157" w:rsidRDefault="00492B98" w:rsidP="00492B98">
      <w:pPr>
        <w:spacing w:line="240" w:lineRule="auto"/>
        <w:jc w:val="both"/>
        <w:rPr>
          <w:rFonts w:ascii="Arial" w:hAnsi="Arial" w:cs="Arial"/>
          <w:b/>
          <w:bCs/>
          <w:sz w:val="24"/>
          <w:szCs w:val="24"/>
          <w:lang w:val="en-US"/>
        </w:rPr>
      </w:pPr>
      <w:r>
        <w:rPr>
          <w:rFonts w:ascii="Arial" w:hAnsi="Arial" w:cs="Arial"/>
          <w:b/>
          <w:bCs/>
          <w:sz w:val="24"/>
          <w:szCs w:val="24"/>
          <w:lang w:val="en-US"/>
        </w:rPr>
        <w:t xml:space="preserve">Lecturer: </w:t>
      </w:r>
      <w:r>
        <w:rPr>
          <w:rFonts w:ascii="Arial" w:hAnsi="Arial" w:cs="Arial"/>
          <w:b/>
          <w:bCs/>
          <w:sz w:val="24"/>
          <w:szCs w:val="24"/>
          <w:lang w:val="en-US"/>
        </w:rPr>
        <w:t>Ruth Taylor-Davies</w:t>
      </w:r>
    </w:p>
    <w:p w14:paraId="0C81DF99" w14:textId="77777777" w:rsidR="00492B98" w:rsidRDefault="00492B98" w:rsidP="00492B98">
      <w:pPr>
        <w:pStyle w:val="NormalWeb"/>
        <w:spacing w:before="0" w:beforeAutospacing="0" w:after="0" w:afterAutospacing="0" w:line="360" w:lineRule="auto"/>
        <w:jc w:val="center"/>
        <w:rPr>
          <w:rStyle w:val="Strong"/>
          <w:color w:val="0E101A"/>
        </w:rPr>
      </w:pPr>
    </w:p>
    <w:p w14:paraId="5498CF98" w14:textId="77777777" w:rsidR="00492B98" w:rsidRDefault="00492B98" w:rsidP="00492B98">
      <w:pPr>
        <w:pStyle w:val="NormalWeb"/>
        <w:spacing w:before="0" w:beforeAutospacing="0" w:after="0" w:afterAutospacing="0" w:line="360" w:lineRule="auto"/>
        <w:jc w:val="center"/>
        <w:rPr>
          <w:rStyle w:val="Strong"/>
          <w:color w:val="0E101A"/>
        </w:rPr>
      </w:pPr>
    </w:p>
    <w:p w14:paraId="72ADA756" w14:textId="77777777" w:rsidR="00492B98" w:rsidRDefault="00492B98" w:rsidP="00492B98">
      <w:pPr>
        <w:pStyle w:val="NormalWeb"/>
        <w:spacing w:before="0" w:beforeAutospacing="0" w:after="0" w:afterAutospacing="0" w:line="360" w:lineRule="auto"/>
        <w:jc w:val="center"/>
        <w:rPr>
          <w:rStyle w:val="Strong"/>
          <w:color w:val="0E101A"/>
        </w:rPr>
      </w:pPr>
    </w:p>
    <w:p w14:paraId="22A0FFC0" w14:textId="77777777" w:rsidR="00492B98" w:rsidRDefault="00492B98" w:rsidP="00492B98">
      <w:pPr>
        <w:pStyle w:val="NormalWeb"/>
        <w:spacing w:before="0" w:beforeAutospacing="0" w:after="0" w:afterAutospacing="0" w:line="360" w:lineRule="auto"/>
        <w:jc w:val="center"/>
        <w:rPr>
          <w:rStyle w:val="Strong"/>
          <w:color w:val="0E101A"/>
        </w:rPr>
      </w:pPr>
    </w:p>
    <w:p w14:paraId="709C39A9" w14:textId="77777777" w:rsidR="00492B98" w:rsidRDefault="00492B98" w:rsidP="00492B98">
      <w:pPr>
        <w:pStyle w:val="NormalWeb"/>
        <w:spacing w:before="0" w:beforeAutospacing="0" w:after="0" w:afterAutospacing="0" w:line="360" w:lineRule="auto"/>
        <w:jc w:val="center"/>
        <w:rPr>
          <w:rStyle w:val="Strong"/>
          <w:color w:val="0E101A"/>
        </w:rPr>
      </w:pPr>
    </w:p>
    <w:p w14:paraId="6D2029C8" w14:textId="77777777" w:rsidR="00492B98" w:rsidRDefault="00492B98" w:rsidP="00492B98">
      <w:pPr>
        <w:pStyle w:val="NormalWeb"/>
        <w:spacing w:before="0" w:beforeAutospacing="0" w:after="0" w:afterAutospacing="0" w:line="360" w:lineRule="auto"/>
        <w:jc w:val="center"/>
        <w:rPr>
          <w:rStyle w:val="Strong"/>
          <w:color w:val="0E101A"/>
        </w:rPr>
      </w:pPr>
    </w:p>
    <w:p w14:paraId="5C394899" w14:textId="77777777" w:rsidR="00492B98" w:rsidRDefault="00492B98" w:rsidP="00492B98">
      <w:pPr>
        <w:pStyle w:val="NormalWeb"/>
        <w:spacing w:before="0" w:beforeAutospacing="0" w:after="0" w:afterAutospacing="0" w:line="360" w:lineRule="auto"/>
        <w:jc w:val="center"/>
        <w:rPr>
          <w:rStyle w:val="Strong"/>
          <w:color w:val="0E101A"/>
        </w:rPr>
      </w:pPr>
    </w:p>
    <w:p w14:paraId="34B05269" w14:textId="77777777" w:rsidR="00492B98" w:rsidRDefault="00492B98" w:rsidP="00492B98">
      <w:pPr>
        <w:pStyle w:val="NormalWeb"/>
        <w:spacing w:before="0" w:beforeAutospacing="0" w:after="0" w:afterAutospacing="0" w:line="360" w:lineRule="auto"/>
        <w:jc w:val="center"/>
        <w:rPr>
          <w:rStyle w:val="Strong"/>
          <w:color w:val="0E101A"/>
        </w:rPr>
      </w:pPr>
    </w:p>
    <w:p w14:paraId="6CA16D39" w14:textId="77777777" w:rsidR="00492B98" w:rsidRDefault="00492B98" w:rsidP="00492B98">
      <w:pPr>
        <w:pStyle w:val="NormalWeb"/>
        <w:spacing w:before="0" w:beforeAutospacing="0" w:after="0" w:afterAutospacing="0" w:line="360" w:lineRule="auto"/>
        <w:jc w:val="center"/>
        <w:rPr>
          <w:rStyle w:val="Strong"/>
          <w:color w:val="0E101A"/>
        </w:rPr>
      </w:pPr>
    </w:p>
    <w:p w14:paraId="6EE77CB3" w14:textId="77777777" w:rsidR="00492B98" w:rsidRDefault="00492B98" w:rsidP="00492B98">
      <w:pPr>
        <w:pStyle w:val="NormalWeb"/>
        <w:spacing w:before="0" w:beforeAutospacing="0" w:after="0" w:afterAutospacing="0" w:line="360" w:lineRule="auto"/>
        <w:jc w:val="center"/>
        <w:rPr>
          <w:rStyle w:val="Strong"/>
          <w:color w:val="0E101A"/>
        </w:rPr>
      </w:pPr>
    </w:p>
    <w:p w14:paraId="3988EBA1" w14:textId="77777777" w:rsidR="00492B98" w:rsidRDefault="00492B98" w:rsidP="00492B98">
      <w:pPr>
        <w:pStyle w:val="NormalWeb"/>
        <w:spacing w:before="0" w:beforeAutospacing="0" w:after="0" w:afterAutospacing="0" w:line="360" w:lineRule="auto"/>
        <w:ind w:firstLine="720"/>
        <w:jc w:val="both"/>
        <w:rPr>
          <w:rStyle w:val="Strong"/>
          <w:color w:val="0E101A"/>
        </w:rPr>
      </w:pPr>
    </w:p>
    <w:p w14:paraId="086F01AB" w14:textId="4845D1A8" w:rsidR="00492B98" w:rsidRDefault="00492B98" w:rsidP="00492B98">
      <w:pPr>
        <w:pStyle w:val="NormalWeb"/>
        <w:spacing w:before="0" w:beforeAutospacing="0" w:after="0" w:afterAutospacing="0" w:line="360" w:lineRule="auto"/>
        <w:ind w:firstLine="720"/>
        <w:jc w:val="both"/>
        <w:rPr>
          <w:color w:val="0E101A"/>
        </w:rPr>
      </w:pPr>
      <w:r>
        <w:rPr>
          <w:color w:val="0E101A"/>
        </w:rPr>
        <w:lastRenderedPageBreak/>
        <w:t>The management of hotels should establish a clear vision of change to ensure sustainable practices in managing various aspects of business operations. The hotel sector has historically witnessed dramatic environmental changes which impact the operations of the major players in the sector. Cost drivers are related to minimising operational expenses while optimising profits for business organisations. The rapid economic changes, especially the outbreak of the coronavirus pandemic, affected the operations of the business organisations. It is imperative to note that economic downturns require the management of business organisations to cut costs while optimising resource utilisation to drive real growth and profitability in the dynamic business environment. Sustainability is key to a successful business, particularly in the 21st century. Social responsibility is rapidly becoming a prime concern for public, private, and hotel sectors to achieve significant business growth and profitability. Sustainability is crucial in saving money by lowering spending and enhancing the management of operating expenses. This paper will explore the need to create a vision for change by implementing sustainable and green business practices in the hotel sector. </w:t>
      </w:r>
    </w:p>
    <w:p w14:paraId="259FA97B" w14:textId="7F053B3D" w:rsidR="00492B98" w:rsidRDefault="00492B98" w:rsidP="00492B98">
      <w:pPr>
        <w:pStyle w:val="NormalWeb"/>
        <w:spacing w:before="0" w:beforeAutospacing="0" w:after="0" w:afterAutospacing="0" w:line="360" w:lineRule="auto"/>
        <w:jc w:val="both"/>
        <w:rPr>
          <w:color w:val="0E101A"/>
        </w:rPr>
      </w:pPr>
    </w:p>
    <w:p w14:paraId="79359B89"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According to Young and Dhanda (2012), sustainability describes adopting sustainable business practices in hotel operations and compliance with environmental and social regulations. Corporate leaders and managers in the hotel industry must embrace the need to promote sustainable hospitality principles and practices to lower operational expenses while meeting the customers' demands and protecting the organisational reputation through sustainable business practices (Inkson &amp; Minnaert, 2022). The management of hotels must comply with the sustainability concepts to operate by optimising cost management and enhancing efficiency while lowering the wastages associated with the production and service provision processes (Inkson &amp; Minnaert, 2022). Sustainable business operations are useful in establishing a more sustainable environment that improves the experiences of guests and employees, including allowing the business to engage in corporate social responsibility (CSR) to transform the lives of the communities the business is serving, including promoting the sustainable use of scarce resources available in their areas of operations. Most businesses have embraced the need to create sustainable development and greening of hotel operations. </w:t>
      </w:r>
    </w:p>
    <w:p w14:paraId="1D49E8EC" w14:textId="7E62C0A6"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Legrand </w:t>
      </w:r>
      <w:r>
        <w:rPr>
          <w:color w:val="0E101A"/>
        </w:rPr>
        <w:t>et al. (</w:t>
      </w:r>
      <w:r>
        <w:rPr>
          <w:color w:val="0E101A"/>
        </w:rPr>
        <w:t xml:space="preserve">2022), corporate leaders and managers in the hotel industry must align their managerial leadership with environmental, social, and governance (ESG) principles to realise significant changes in the management of business organisations. Usually, the ESG in the hotel sector describes using a decisive criterion for identifying investment opportunities by investors. Usually, a hotel's sustainable operational performance is crucial for </w:t>
      </w:r>
      <w:r>
        <w:rPr>
          <w:color w:val="0E101A"/>
        </w:rPr>
        <w:lastRenderedPageBreak/>
        <w:t>enabling the management to maintain asset value, improve financial performance, and meeting the demands of the targeted guests (Camilleri, 2022; Galpin et al., 2015). ESG principles also enable the management of business organisations to comply with the relevant ethical and legal standards and attract green investment to enhance the business's financial position in the sector. The long-term benefits of sustainable and green business practices include enhanced cost-saving, employee loyalty, and risk management, among other benefits.</w:t>
      </w:r>
    </w:p>
    <w:p w14:paraId="37796400" w14:textId="6761919E" w:rsidR="00492B98" w:rsidRDefault="00492B98" w:rsidP="00492B98">
      <w:pPr>
        <w:pStyle w:val="NormalWeb"/>
        <w:spacing w:before="0" w:beforeAutospacing="0" w:after="0" w:afterAutospacing="0" w:line="360" w:lineRule="auto"/>
        <w:jc w:val="both"/>
        <w:rPr>
          <w:color w:val="0E101A"/>
        </w:rPr>
      </w:pPr>
    </w:p>
    <w:p w14:paraId="46FE2BAA" w14:textId="23CC2F4E"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Asadi et al. (2020), the management of hotels should adopt improved technologies and innovative solutions, especially in understanding the drivers leading to success and sustainability in the hotel industry. It entails co-relating business practices, policies, and strategies with sustainable development's social, cultural, and economic dimensions. The myths associated with the perceived notions of the costs linked to green operations have prevented many corporate leaders and managers from adopting sustainable policies to drive business growth and success (Asadi et al., 2020; Zaki, 2022). The hotel should be stable due to the increasingly scarce economic resources and challenging business environment. It is imperative to establish relationships with the relevant stakeholders instead of adopting competitive business operations without regard for ecological maintenance. Sustainable business practices optimise profits by reducing costs and potential wastages (Kim et al., 2019; Zhong et al., 2022). It entails the need to maintain an excellent environment. It is </w:t>
      </w:r>
      <w:r>
        <w:rPr>
          <w:color w:val="0E101A"/>
        </w:rPr>
        <w:t>a reliable source</w:t>
      </w:r>
      <w:r>
        <w:rPr>
          <w:color w:val="0E101A"/>
        </w:rPr>
        <w:t xml:space="preserve"> of building relationships over competing operations that must be in tandem with green policies. Hoteliers must realise the benefits of utilising green practices to achieve an enhanced guest experience by being inspired by the need to promote and maintain sustainability</w:t>
      </w:r>
      <w:r>
        <w:rPr>
          <w:color w:val="0E101A"/>
        </w:rPr>
        <w:t xml:space="preserve">. </w:t>
      </w:r>
    </w:p>
    <w:p w14:paraId="6C093504" w14:textId="3DCDCBA3" w:rsidR="00492B98" w:rsidRDefault="00492B98" w:rsidP="00492B98">
      <w:pPr>
        <w:pStyle w:val="NormalWeb"/>
        <w:spacing w:before="0" w:beforeAutospacing="0" w:after="0" w:afterAutospacing="0" w:line="360" w:lineRule="auto"/>
        <w:ind w:firstLine="720"/>
        <w:jc w:val="both"/>
        <w:rPr>
          <w:color w:val="0E101A"/>
        </w:rPr>
      </w:pPr>
      <w:r>
        <w:rPr>
          <w:color w:val="0E101A"/>
        </w:rPr>
        <w:t>The management of hotels can accrue numerous benefits from embracing sustainable ways of driving business growth and profitability. Cost management is critical in reducing energy consumption without pegging the quality experiences of the guest on the environment</w:t>
      </w:r>
      <w:sdt>
        <w:sdtPr>
          <w:rPr>
            <w:color w:val="0E101A"/>
          </w:rPr>
          <w:id w:val="-1116679913"/>
          <w:citation/>
        </w:sdtPr>
        <w:sdtContent>
          <w:r>
            <w:rPr>
              <w:noProof/>
              <w:color w:val="0E101A"/>
            </w:rPr>
            <w:t xml:space="preserve"> </w:t>
          </w:r>
          <w:r w:rsidRPr="00694F11">
            <w:rPr>
              <w:noProof/>
              <w:color w:val="0E101A"/>
            </w:rPr>
            <w:t>(Camilleri, 2022)</w:t>
          </w:r>
        </w:sdtContent>
      </w:sdt>
      <w:r>
        <w:rPr>
          <w:color w:val="0E101A"/>
        </w:rPr>
        <w:t xml:space="preserve">. The sustainable business </w:t>
      </w:r>
      <w:r>
        <w:rPr>
          <w:color w:val="0E101A"/>
        </w:rPr>
        <w:t>focuses</w:t>
      </w:r>
      <w:r>
        <w:rPr>
          <w:color w:val="0E101A"/>
        </w:rPr>
        <w:t xml:space="preserve"> on optimising environmental protection</w:t>
      </w:r>
      <w:r>
        <w:rPr>
          <w:color w:val="0E101A"/>
        </w:rPr>
        <w:t xml:space="preserve">. </w:t>
      </w:r>
      <w:r>
        <w:rPr>
          <w:color w:val="0E101A"/>
        </w:rPr>
        <w:t xml:space="preserve">Sustainable hotels and other forms of accommodation must leverage eco-friendly materials to limit environmental degradation. Sustainable business practices embrace the adoption of greener technologies by enabling the business to thrive in the wake of increasing dynamics in the hotel sector (Nzuva, 2022; Muisyo et al., 2022). Environmental degradation and global warming are some of humankind major challenges. Adopting and integrating more sustainable manufacturing strategies to produce environmental products and services is imperative. Sustainable business practices are important in enabling the management of hotels to achieve </w:t>
      </w:r>
      <w:r>
        <w:rPr>
          <w:color w:val="0E101A"/>
        </w:rPr>
        <w:lastRenderedPageBreak/>
        <w:t>significant success in managing waste, and costs, improving brand image, and enhancing guest experiences, among other benefits. </w:t>
      </w:r>
    </w:p>
    <w:p w14:paraId="3843D796" w14:textId="575D788F" w:rsidR="00492B98" w:rsidRDefault="00492B98" w:rsidP="00492B98">
      <w:pPr>
        <w:pStyle w:val="NormalWeb"/>
        <w:spacing w:before="0" w:beforeAutospacing="0" w:after="0" w:afterAutospacing="0" w:line="360" w:lineRule="auto"/>
        <w:jc w:val="both"/>
        <w:rPr>
          <w:color w:val="0E101A"/>
        </w:rPr>
      </w:pPr>
    </w:p>
    <w:p w14:paraId="1DB25628" w14:textId="6A12DEB4"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Zaki (2022), effective cost-saving practices are some drivers of success in the hotel sector. Cost management is always </w:t>
      </w:r>
      <w:r>
        <w:rPr>
          <w:color w:val="0E101A"/>
        </w:rPr>
        <w:t>a key area</w:t>
      </w:r>
      <w:r>
        <w:rPr>
          <w:color w:val="0E101A"/>
        </w:rPr>
        <w:t xml:space="preserve"> of focus in the hotel industry. Attainment of cost reduction and efficiency is attainable through enhanced investment in improved operational procedures and merging environmental technologies. According to Katuwal and Afzal (2022), using strategies to reduce, reuse, and recycle waste has been instrumental in addressing the issues related to the runaway expenses of managing hotels (Zhong et al., 2022). Other critical areas driving hotel management costs include procurement, staff training programs, and indoor environmental quality. Although such interventions are important in enhancing the overall performance of the business organisation, poor management of expenses can adversely affect the profit margin</w:t>
      </w:r>
      <w:sdt>
        <w:sdtPr>
          <w:rPr>
            <w:color w:val="0E101A"/>
          </w:rPr>
          <w:id w:val="759644161"/>
          <w:citation/>
        </w:sdtPr>
        <w:sdtContent>
          <w:r>
            <w:rPr>
              <w:noProof/>
              <w:color w:val="0E101A"/>
            </w:rPr>
            <w:t xml:space="preserve"> </w:t>
          </w:r>
          <w:r w:rsidRPr="00694F11">
            <w:rPr>
              <w:noProof/>
              <w:color w:val="0E101A"/>
            </w:rPr>
            <w:t>(Cooper, 2020)</w:t>
          </w:r>
        </w:sdtContent>
      </w:sdt>
      <w:r>
        <w:rPr>
          <w:color w:val="0E101A"/>
        </w:rPr>
        <w:t>. Sustainable management of human resources entails outsourcing for some services to reduce human resources costs, especially during off-peak seasons. </w:t>
      </w:r>
    </w:p>
    <w:p w14:paraId="676C596E" w14:textId="0C36A0DA" w:rsidR="00492B98" w:rsidRDefault="00492B98" w:rsidP="00492B98">
      <w:pPr>
        <w:pStyle w:val="NormalWeb"/>
        <w:spacing w:before="0" w:beforeAutospacing="0" w:after="0" w:afterAutospacing="0" w:line="360" w:lineRule="auto"/>
        <w:ind w:firstLine="720"/>
        <w:jc w:val="both"/>
        <w:rPr>
          <w:color w:val="0E101A"/>
        </w:rPr>
      </w:pPr>
      <w:r>
        <w:rPr>
          <w:color w:val="0E101A"/>
        </w:rPr>
        <w:t>Other areas of concern include reducing food wastage and leveraging technologies to improve the overall management of business organisations. Food wastage remains a significant concern for many corporate leaders and managers in the hotel sector, with approximately 1.25 billion tons of food wasted annually. The management must identify the main causes of food wastage, including implementing sustainable business practices to reduce such wastage. According to Katuwal and Afzal (2022), the business of hotels can provide their guests with attractive, informative, and innovative guides to enable them to reduce food waste, especially those associated with over-ordering and over-consumption. The management of hotels can address food wastages associated with improper storage of raw ingredients, including preventing cross-</w:t>
      </w:r>
      <w:bookmarkStart w:id="0" w:name="_Hlk135654889"/>
      <w:r w:rsidRPr="00492B98">
        <w:rPr>
          <w:color w:val="0E101A"/>
        </w:rPr>
        <w:t xml:space="preserve"> </w:t>
      </w:r>
      <w:r>
        <w:rPr>
          <w:color w:val="0E101A"/>
        </w:rPr>
        <w:t>contamination of fresh food. It is imperative to embrace food donation to improve the business's corporate image by participating in hunger management by donating food to homeless shelters and other vulnerable populations.</w:t>
      </w:r>
    </w:p>
    <w:p w14:paraId="01881EF0" w14:textId="77777777" w:rsidR="00492B98" w:rsidRDefault="00492B98" w:rsidP="00492B98">
      <w:pPr>
        <w:pStyle w:val="NormalWeb"/>
        <w:spacing w:before="0" w:beforeAutospacing="0" w:after="0" w:afterAutospacing="0" w:line="360" w:lineRule="auto"/>
        <w:ind w:firstLine="720"/>
        <w:jc w:val="both"/>
        <w:rPr>
          <w:color w:val="0E101A"/>
        </w:rPr>
      </w:pPr>
    </w:p>
    <w:p w14:paraId="42AFAF25"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Pham et al. (2023), the management of business organisations can enjoy government incentives by embracing green practices in managing business organisations. Usually, green management entails the creation of awareness of the approaches and working practices associated with production and the need to protect the environment. The approach is crucial in making the business more sustainable. Environmentally friendly policies are becoming a central issue in enhancing the sustainability of business organisations in the hotel </w:t>
      </w:r>
      <w:r>
        <w:rPr>
          <w:color w:val="0E101A"/>
        </w:rPr>
        <w:lastRenderedPageBreak/>
        <w:t>industry. It entails enhancing the benefits of such policies in promoting compliance with the government directives on the contributions of business organisations in enhancing sustainability (Sharpley, 2020; Zhong et al., 2022). Successful implementation of green hotel practices is crucial in eliminating or reducing the negative impact on the environment by improving energy saving and reducing water consumption. </w:t>
      </w:r>
    </w:p>
    <w:p w14:paraId="68DF04A4" w14:textId="4B4A0817" w:rsidR="00492B98" w:rsidRDefault="00492B98" w:rsidP="00492B98">
      <w:pPr>
        <w:pStyle w:val="NormalWeb"/>
        <w:spacing w:before="0" w:beforeAutospacing="0" w:after="0" w:afterAutospacing="0" w:line="360" w:lineRule="auto"/>
        <w:jc w:val="both"/>
        <w:rPr>
          <w:color w:val="0E101A"/>
        </w:rPr>
      </w:pPr>
    </w:p>
    <w:p w14:paraId="4EC1FE7D"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According to Zhong et al. (2022), the successful integration of modern technological applications can drive the organisation's sustainable practices in improving guest experiences. For instance, using artificial intelligence (AI) chatbots can be crucial in transforming guest experiences, especially in improving mobile ordering to enhance the effectiveness of service delivery to clients. The market competition has prompted the management of business organisations to leverage advanced technological applications to improve the management and operations of business organisations (Cooper, 2020). It is imperative to leverage advanced software applications to improve online services associated with booking and room reservations. </w:t>
      </w:r>
    </w:p>
    <w:p w14:paraId="034CE55E" w14:textId="4B350320" w:rsidR="00492B98" w:rsidRDefault="00492B98" w:rsidP="00492B98">
      <w:pPr>
        <w:pStyle w:val="NormalWeb"/>
        <w:spacing w:before="0" w:beforeAutospacing="0" w:after="0" w:afterAutospacing="0" w:line="360" w:lineRule="auto"/>
        <w:jc w:val="both"/>
        <w:rPr>
          <w:color w:val="0E101A"/>
        </w:rPr>
      </w:pPr>
    </w:p>
    <w:p w14:paraId="0527D28F"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According to Galpin et al. (2015), successfully implementing a sustainable organisational culture can provide a distinct advantage, especially in attracting and retaining top talent from the labour market. Socially responsible companies attract employees with desired skills and competencies. Establishing a corporate infrastructure that fosters a culture of sustainability is crucial in attaining a positive employee and organisational-level sustainability performance. Sustainable and green business practices enable the management of the business organisations to reposition</w:t>
      </w:r>
      <w:bookmarkEnd w:id="0"/>
      <w:r>
        <w:rPr>
          <w:color w:val="0E101A"/>
        </w:rPr>
        <w:t xml:space="preserve"> </w:t>
      </w:r>
      <w:r>
        <w:rPr>
          <w:color w:val="0E101A"/>
        </w:rPr>
        <w:t>themselves to cater to the guests' needs based on the changes in demographics—which reflect significant changes in tastes and preferences (Saleh &amp; Atan, 2021). The management of business organisations must strive to establish a culture that attracts top talent and create a sense of belongingness among the team members. It entails employing effective leadership and management styles that promote improved participation of the employees in corporate decision-making, especially when deliberating on critical issues affecting the management of human resources and organisational processes. </w:t>
      </w:r>
    </w:p>
    <w:p w14:paraId="63C56F66" w14:textId="20639DC1" w:rsidR="00492B98" w:rsidRDefault="00492B98" w:rsidP="00492B98">
      <w:pPr>
        <w:pStyle w:val="NormalWeb"/>
        <w:spacing w:before="0" w:beforeAutospacing="0" w:after="0" w:afterAutospacing="0" w:line="360" w:lineRule="auto"/>
        <w:jc w:val="both"/>
        <w:rPr>
          <w:color w:val="0E101A"/>
        </w:rPr>
      </w:pPr>
    </w:p>
    <w:p w14:paraId="284F7669"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Haski-Leventhal (2018), negative environmental and social impacts in the hotel sector can be eliminated by implementing sustainable and green practices. Successful implementation of CSR is crucial in improving the quality of services. CSR programs are important in improving the quality of services in the hotel industry. According to Cooper </w:t>
      </w:r>
      <w:r>
        <w:rPr>
          <w:color w:val="0E101A"/>
        </w:rPr>
        <w:lastRenderedPageBreak/>
        <w:t>(2020), CSR describes a business model where corporate entities make a concerted effort to operate in ways that improve rather than adversely affect the environment and society in a generation. However, using CSR programs is crucial in addressing various aspects of environmental management, improving the socioeconomic lives of the local communities, and achieving enhanced brand positioning in the market (Achmad &amp; Yulianah, 2022; Wong et al., 2022). CSR initiatives are crucial in the hotel sector, especially in encouraging the management of hotels to promote societal good through positive publicity and societal respect. </w:t>
      </w:r>
    </w:p>
    <w:p w14:paraId="0B7E66F3"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According to Camilleri (2022), the management of hotels can engage three broader elements of CSR activities to promote the interests of local communities where the businesses are situated—environmental, social, and economic. Regarding the environmental conversation, the management and production approaches must promote waste control, energy saving, and recycling. Embracing green ethos can be crucial in enabling the management of hotels to align business operations with sustainable and green practices (Cerchione &amp; Bansal, 2020). Economic aspects of CSR initiatives include creating sustainable employment opportunities for the locals, reducing the waste of financial resources, and finding creative solutions to improve the productivity of team members. Business obligations include establishing a positive organisational reputation through effective public relations and adherence to the existing ethical and legal standards in the hotel industry. </w:t>
      </w:r>
    </w:p>
    <w:p w14:paraId="0B4032BA" w14:textId="1C599874" w:rsidR="00492B98" w:rsidRDefault="00492B98" w:rsidP="00492B98">
      <w:pPr>
        <w:pStyle w:val="NormalWeb"/>
        <w:spacing w:before="0" w:beforeAutospacing="0" w:after="0" w:afterAutospacing="0" w:line="360" w:lineRule="auto"/>
        <w:jc w:val="both"/>
        <w:rPr>
          <w:color w:val="0E101A"/>
        </w:rPr>
      </w:pPr>
    </w:p>
    <w:p w14:paraId="7F690139"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Therefore, it is imperative to note that sustainable and green practices are central to enabling business organisations to navigate challenges in the hotel industry. Sustainable management strategies are crucial in optimising waste management, cost reduction, and profit maximisation. The management of corporate entities can engage in CSR initiatives to promote the organisational reputation while addressing the local communities' socioeconomic challenges. Green and sustainable business practices enable businesses to maintain positive public relations and enhance adherence to the business environment's existing ethical and legal frameworks. Successful implementation of sustainable business practices can be effective in enabling the management of business entities to navigate the dynamics in the business environment.</w:t>
      </w:r>
      <w:r w:rsidRPr="00501439">
        <w:t xml:space="preserve"> </w:t>
      </w:r>
      <w:r w:rsidRPr="00501439">
        <w:rPr>
          <w:color w:val="0E101A"/>
        </w:rPr>
        <w:t xml:space="preserve">Sustainable management of human resources entails outsourcing </w:t>
      </w:r>
      <w:r>
        <w:rPr>
          <w:color w:val="0E101A"/>
        </w:rPr>
        <w:t>and addressing employees’ needs and welfare</w:t>
      </w:r>
      <w:r w:rsidRPr="00501439">
        <w:rPr>
          <w:color w:val="0E101A"/>
        </w:rPr>
        <w:t>.</w:t>
      </w:r>
      <w:r>
        <w:rPr>
          <w:color w:val="0E101A"/>
        </w:rPr>
        <w:t xml:space="preserve"> The management of hotels must</w:t>
      </w:r>
      <w:r w:rsidRPr="00694F11">
        <w:rPr>
          <w:color w:val="0E101A"/>
        </w:rPr>
        <w:t xml:space="preserve"> embrace the need to create sustainable development and greening of hotel operations.</w:t>
      </w:r>
    </w:p>
    <w:sdt>
      <w:sdtPr>
        <w:rPr>
          <w:rFonts w:ascii="Times New Roman" w:eastAsiaTheme="minorHAnsi" w:hAnsi="Times New Roman" w:cs="Times New Roman"/>
          <w:b/>
          <w:bCs/>
          <w:color w:val="auto"/>
          <w:sz w:val="24"/>
          <w:szCs w:val="24"/>
        </w:rPr>
        <w:id w:val="650951460"/>
        <w:docPartObj>
          <w:docPartGallery w:val="Bibliographies"/>
          <w:docPartUnique/>
        </w:docPartObj>
      </w:sdtPr>
      <w:sdtEndPr>
        <w:rPr>
          <w:b w:val="0"/>
          <w:bCs w:val="0"/>
          <w:kern w:val="2"/>
          <w:lang w:val="en-GB"/>
          <w14:ligatures w14:val="standardContextual"/>
        </w:rPr>
      </w:sdtEndPr>
      <w:sdtContent>
        <w:p w14:paraId="5EA58524" w14:textId="77777777" w:rsidR="00492B98" w:rsidRPr="00D31E47" w:rsidRDefault="00492B98" w:rsidP="00492B98">
          <w:pPr>
            <w:pStyle w:val="Heading1"/>
            <w:spacing w:line="360" w:lineRule="auto"/>
            <w:jc w:val="center"/>
            <w:rPr>
              <w:rFonts w:ascii="Times New Roman" w:hAnsi="Times New Roman" w:cs="Times New Roman"/>
              <w:b/>
              <w:bCs/>
              <w:color w:val="auto"/>
              <w:sz w:val="24"/>
              <w:szCs w:val="24"/>
            </w:rPr>
          </w:pPr>
          <w:r w:rsidRPr="00D31E47">
            <w:rPr>
              <w:rFonts w:ascii="Times New Roman" w:hAnsi="Times New Roman" w:cs="Times New Roman"/>
              <w:b/>
              <w:bCs/>
              <w:color w:val="auto"/>
              <w:sz w:val="24"/>
              <w:szCs w:val="24"/>
            </w:rPr>
            <w:t>References</w:t>
          </w:r>
        </w:p>
        <w:sdt>
          <w:sdtPr>
            <w:rPr>
              <w:rFonts w:ascii="Times New Roman" w:hAnsi="Times New Roman" w:cs="Times New Roman"/>
              <w:sz w:val="24"/>
              <w:szCs w:val="24"/>
            </w:rPr>
            <w:id w:val="-573587230"/>
            <w:bibliography/>
          </w:sdtPr>
          <w:sdtEndPr>
            <w:rPr>
              <w:kern w:val="2"/>
              <w:lang w:val="en-GB"/>
              <w14:ligatures w14:val="standardContextual"/>
            </w:rPr>
          </w:sdtEndPr>
          <w:sdtContent>
            <w:p w14:paraId="0EF19E9B"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Achmad, W., &amp; Yulianah, Y. (2022). Corporate social responsibility of the hospitality industry in realizing sustainable tourism development. Enrichment. </w:t>
              </w:r>
              <w:r w:rsidRPr="00D31E47">
                <w:rPr>
                  <w:rFonts w:ascii="Times New Roman" w:hAnsi="Times New Roman" w:cs="Times New Roman"/>
                  <w:i/>
                  <w:iCs/>
                  <w:noProof/>
                  <w:sz w:val="24"/>
                  <w:szCs w:val="24"/>
                </w:rPr>
                <w:t>Journal of Management, 12</w:t>
              </w:r>
              <w:r w:rsidRPr="00D31E47">
                <w:rPr>
                  <w:rFonts w:ascii="Times New Roman" w:hAnsi="Times New Roman" w:cs="Times New Roman"/>
                  <w:noProof/>
                  <w:sz w:val="24"/>
                  <w:szCs w:val="24"/>
                </w:rPr>
                <w:t>(2), 1610-1616. Available at:</w:t>
              </w:r>
              <w:hyperlink r:id="rId4" w:history="1">
                <w:r w:rsidRPr="00D31E47">
                  <w:rPr>
                    <w:rStyle w:val="Hyperlink"/>
                    <w:rFonts w:ascii="Times New Roman" w:hAnsi="Times New Roman" w:cs="Times New Roman"/>
                    <w:noProof/>
                    <w:sz w:val="24"/>
                    <w:szCs w:val="24"/>
                  </w:rPr>
                  <w:t>https://doi.org/10.35335/enrichment.v12i2.447</w:t>
                </w:r>
              </w:hyperlink>
              <w:r w:rsidRPr="00D31E47">
                <w:rPr>
                  <w:rFonts w:ascii="Times New Roman" w:hAnsi="Times New Roman" w:cs="Times New Roman"/>
                  <w:noProof/>
                  <w:sz w:val="24"/>
                  <w:szCs w:val="24"/>
                </w:rPr>
                <w:t>(Accessed: 17 May 2023).</w:t>
              </w:r>
            </w:p>
            <w:p w14:paraId="665E62B1"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Asadi, S., Pourhashemi, S. O., Nilashi, M., Abdullah, R., Samad, S., Yadegaridehkordi, E., &amp; Razali, N. S. (2020). Investigating influence of green innovation on sustainability performance: A case on Malaysian hotel industry. </w:t>
              </w:r>
              <w:r w:rsidRPr="00D31E47">
                <w:rPr>
                  <w:rFonts w:ascii="Times New Roman" w:hAnsi="Times New Roman" w:cs="Times New Roman"/>
                  <w:i/>
                  <w:iCs/>
                  <w:noProof/>
                  <w:sz w:val="24"/>
                  <w:szCs w:val="24"/>
                </w:rPr>
                <w:t>Journal of cleaner production</w:t>
              </w:r>
              <w:r w:rsidRPr="00D31E47">
                <w:rPr>
                  <w:rFonts w:ascii="Times New Roman" w:hAnsi="Times New Roman" w:cs="Times New Roman"/>
                  <w:noProof/>
                  <w:sz w:val="24"/>
                  <w:szCs w:val="24"/>
                </w:rPr>
                <w:t>, 120860. Available at:</w:t>
              </w:r>
              <w:hyperlink r:id="rId5" w:history="1">
                <w:r w:rsidRPr="00D31E47">
                  <w:rPr>
                    <w:rStyle w:val="Hyperlink"/>
                    <w:rFonts w:ascii="Times New Roman" w:hAnsi="Times New Roman" w:cs="Times New Roman"/>
                    <w:noProof/>
                    <w:sz w:val="24"/>
                    <w:szCs w:val="24"/>
                  </w:rPr>
                  <w:t>https://doi.org/10.1016/j.jclepro.2020.120860</w:t>
                </w:r>
              </w:hyperlink>
              <w:r w:rsidRPr="00D31E47">
                <w:rPr>
                  <w:rFonts w:ascii="Times New Roman" w:hAnsi="Times New Roman" w:cs="Times New Roman"/>
                  <w:noProof/>
                  <w:sz w:val="24"/>
                  <w:szCs w:val="24"/>
                </w:rPr>
                <w:t>(Accessed: 17 May 2023).</w:t>
              </w:r>
            </w:p>
            <w:p w14:paraId="4DFD1DF4"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Camilleri, M. A. (2022). Walking the talk about corporate social responsibility communication: An elaboration likelihood model perspective. </w:t>
              </w:r>
              <w:r w:rsidRPr="00D31E47">
                <w:rPr>
                  <w:rFonts w:ascii="Times New Roman" w:hAnsi="Times New Roman" w:cs="Times New Roman"/>
                  <w:i/>
                  <w:iCs/>
                  <w:noProof/>
                  <w:sz w:val="24"/>
                  <w:szCs w:val="24"/>
                </w:rPr>
                <w:t>Business Ethics, the Environment &amp; Responsibility, 31</w:t>
              </w:r>
              <w:r w:rsidRPr="00D31E47">
                <w:rPr>
                  <w:rFonts w:ascii="Times New Roman" w:hAnsi="Times New Roman" w:cs="Times New Roman"/>
                  <w:noProof/>
                  <w:sz w:val="24"/>
                  <w:szCs w:val="24"/>
                </w:rPr>
                <w:t>(3), 649-661. Available at:</w:t>
              </w:r>
              <w:hyperlink r:id="rId6" w:history="1">
                <w:r w:rsidRPr="00D31E47">
                  <w:rPr>
                    <w:rStyle w:val="Hyperlink"/>
                    <w:rFonts w:ascii="Times New Roman" w:hAnsi="Times New Roman" w:cs="Times New Roman"/>
                    <w:noProof/>
                    <w:sz w:val="24"/>
                    <w:szCs w:val="24"/>
                  </w:rPr>
                  <w:t>https://doi.org/10.1111/beer.12427</w:t>
                </w:r>
              </w:hyperlink>
              <w:r w:rsidRPr="00D31E47">
                <w:rPr>
                  <w:rFonts w:ascii="Times New Roman" w:hAnsi="Times New Roman" w:cs="Times New Roman"/>
                  <w:noProof/>
                  <w:sz w:val="24"/>
                  <w:szCs w:val="24"/>
                </w:rPr>
                <w:t>(Accessed: 17 May 2023).</w:t>
              </w:r>
            </w:p>
            <w:p w14:paraId="02730AF0"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Cerchione, R., &amp; Bansal, H. (2020). Measuring the impact of sustainability policy and practices in tourism and hospitality industry. </w:t>
              </w:r>
              <w:r w:rsidRPr="00D31E47">
                <w:rPr>
                  <w:rFonts w:ascii="Times New Roman" w:hAnsi="Times New Roman" w:cs="Times New Roman"/>
                  <w:i/>
                  <w:iCs/>
                  <w:noProof/>
                  <w:sz w:val="24"/>
                  <w:szCs w:val="24"/>
                </w:rPr>
                <w:t>Business Strategy and the Environment, 29</w:t>
              </w:r>
              <w:r w:rsidRPr="00D31E47">
                <w:rPr>
                  <w:rFonts w:ascii="Times New Roman" w:hAnsi="Times New Roman" w:cs="Times New Roman"/>
                  <w:noProof/>
                  <w:sz w:val="24"/>
                  <w:szCs w:val="24"/>
                </w:rPr>
                <w:t>(3), 1109-1126. Available at:</w:t>
              </w:r>
              <w:r w:rsidRPr="00D31E47">
                <w:rPr>
                  <w:rFonts w:ascii="Times New Roman" w:hAnsi="Times New Roman" w:cs="Times New Roman"/>
                  <w:noProof/>
                  <w:color w:val="2F5496" w:themeColor="accent1" w:themeShade="BF"/>
                  <w:sz w:val="24"/>
                  <w:szCs w:val="24"/>
                  <w:u w:val="single"/>
                </w:rPr>
                <w:t>https://doi. org/10.1002/bse.2420</w:t>
              </w:r>
              <w:r w:rsidRPr="00D31E47">
                <w:rPr>
                  <w:rFonts w:ascii="Times New Roman" w:hAnsi="Times New Roman" w:cs="Times New Roman"/>
                  <w:noProof/>
                  <w:sz w:val="24"/>
                  <w:szCs w:val="24"/>
                </w:rPr>
                <w:t>(Accessed: 17 May 2023).</w:t>
              </w:r>
            </w:p>
            <w:p w14:paraId="12773EE1"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Cooper, C. (2020). </w:t>
              </w:r>
              <w:r w:rsidRPr="00D31E47">
                <w:rPr>
                  <w:rFonts w:ascii="Times New Roman" w:hAnsi="Times New Roman" w:cs="Times New Roman"/>
                  <w:i/>
                  <w:iCs/>
                  <w:noProof/>
                  <w:sz w:val="24"/>
                  <w:szCs w:val="24"/>
                </w:rPr>
                <w:t>Essentials of Tourism.</w:t>
              </w:r>
              <w:r w:rsidRPr="00D31E47">
                <w:rPr>
                  <w:rFonts w:ascii="Times New Roman" w:hAnsi="Times New Roman" w:cs="Times New Roman"/>
                  <w:noProof/>
                  <w:sz w:val="24"/>
                  <w:szCs w:val="24"/>
                </w:rPr>
                <w:t xml:space="preserve"> SAGE. Available at:</w:t>
              </w:r>
              <w:hyperlink r:id="rId7" w:history="1">
                <w:r w:rsidRPr="00D31E47">
                  <w:rPr>
                    <w:rStyle w:val="Hyperlink"/>
                    <w:rFonts w:ascii="Times New Roman" w:hAnsi="Times New Roman" w:cs="Times New Roman"/>
                    <w:noProof/>
                    <w:sz w:val="24"/>
                    <w:szCs w:val="24"/>
                  </w:rPr>
                  <w:t>https://books.google.co.ke/books?hl=en&amp;lr=&amp;id=ASEAEAAAQBAJ&amp;oi=fnd&amp;pg=PP1&amp;ots=-Jnk3RwXIb&amp;sig=0c_WUFw5BWPe9QMfxeNjG21UD-s&amp;redir_esc=y#v=onepage&amp;q&amp;f=false</w:t>
                </w:r>
              </w:hyperlink>
              <w:r w:rsidRPr="00D31E47">
                <w:rPr>
                  <w:rFonts w:ascii="Times New Roman" w:hAnsi="Times New Roman" w:cs="Times New Roman"/>
                  <w:noProof/>
                  <w:sz w:val="24"/>
                  <w:szCs w:val="24"/>
                </w:rPr>
                <w:t>(Accessed: 17 May 2023).</w:t>
              </w:r>
            </w:p>
            <w:p w14:paraId="03B3FF3B"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Galpin, T., Whitttington, J. L., &amp; Bell, G. (2015). Is your sustainability strategy sustainable? Creating a culture of sustainability. </w:t>
              </w:r>
              <w:r w:rsidRPr="00D31E47">
                <w:rPr>
                  <w:rFonts w:ascii="Times New Roman" w:hAnsi="Times New Roman" w:cs="Times New Roman"/>
                  <w:i/>
                  <w:iCs/>
                  <w:noProof/>
                  <w:sz w:val="24"/>
                  <w:szCs w:val="24"/>
                </w:rPr>
                <w:t>Corporate Governance, 15</w:t>
              </w:r>
              <w:r w:rsidRPr="00D31E47">
                <w:rPr>
                  <w:rFonts w:ascii="Times New Roman" w:hAnsi="Times New Roman" w:cs="Times New Roman"/>
                  <w:noProof/>
                  <w:sz w:val="24"/>
                  <w:szCs w:val="24"/>
                </w:rPr>
                <w:t>(1), 1-17. Available at:</w:t>
              </w:r>
              <w:hyperlink r:id="rId8" w:history="1">
                <w:r w:rsidRPr="00D31E47">
                  <w:rPr>
                    <w:rStyle w:val="Hyperlink"/>
                    <w:rFonts w:ascii="Times New Roman" w:hAnsi="Times New Roman" w:cs="Times New Roman"/>
                    <w:noProof/>
                    <w:sz w:val="24"/>
                    <w:szCs w:val="24"/>
                  </w:rPr>
                  <w:t>https://doi.org/10.1108/CG-01-2013-0004</w:t>
                </w:r>
              </w:hyperlink>
              <w:r w:rsidRPr="00D31E47">
                <w:rPr>
                  <w:rFonts w:ascii="Times New Roman" w:hAnsi="Times New Roman" w:cs="Times New Roman"/>
                  <w:noProof/>
                  <w:sz w:val="24"/>
                  <w:szCs w:val="24"/>
                </w:rPr>
                <w:t>(Accessed: 17 May 2023).</w:t>
              </w:r>
            </w:p>
            <w:p w14:paraId="2B533B79"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Haski-Leventhal, D. (2018). Strategic corporate social responsibility: Tools and theories for responsible management. </w:t>
              </w:r>
              <w:r w:rsidRPr="00D31E47">
                <w:rPr>
                  <w:rFonts w:ascii="Times New Roman" w:hAnsi="Times New Roman" w:cs="Times New Roman"/>
                  <w:i/>
                  <w:iCs/>
                  <w:noProof/>
                  <w:sz w:val="24"/>
                  <w:szCs w:val="24"/>
                </w:rPr>
                <w:t>Strategic Corporate Social Responsibility</w:t>
              </w:r>
              <w:r w:rsidRPr="00D31E47">
                <w:rPr>
                  <w:rFonts w:ascii="Times New Roman" w:hAnsi="Times New Roman" w:cs="Times New Roman"/>
                  <w:noProof/>
                  <w:sz w:val="24"/>
                  <w:szCs w:val="24"/>
                </w:rPr>
                <w:t>, 1-408. Available at:</w:t>
              </w:r>
              <w:hyperlink r:id="rId9" w:history="1">
                <w:r w:rsidRPr="00D31E47">
                  <w:rPr>
                    <w:rStyle w:val="Hyperlink"/>
                    <w:rFonts w:ascii="Times New Roman" w:hAnsi="Times New Roman" w:cs="Times New Roman"/>
                    <w:noProof/>
                    <w:sz w:val="24"/>
                    <w:szCs w:val="24"/>
                  </w:rPr>
                  <w:t>https://books.google.co.ke/books?hl=en&amp;lr=&amp;id=BTlODwAAQBAJ&amp;oi=fnd&amp;pg=PP1&amp;ots=2bKV4PE6qR&amp;sig=-CkNscKW2RFQdusEm20dKS0aXXs&amp;redir_esc=y#v=onepage&amp;q&amp;f=false</w:t>
                </w:r>
              </w:hyperlink>
              <w:r w:rsidRPr="00D31E47">
                <w:rPr>
                  <w:rFonts w:ascii="Times New Roman" w:hAnsi="Times New Roman" w:cs="Times New Roman"/>
                  <w:noProof/>
                  <w:sz w:val="24"/>
                  <w:szCs w:val="24"/>
                </w:rPr>
                <w:t>(Accessed: 17 May 2023).</w:t>
              </w:r>
            </w:p>
            <w:p w14:paraId="331D5DE9"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lastRenderedPageBreak/>
                <w:t xml:space="preserve">Inkson, C., &amp; Minnaert, L. (2022). </w:t>
              </w:r>
              <w:r w:rsidRPr="00D31E47">
                <w:rPr>
                  <w:rFonts w:ascii="Times New Roman" w:hAnsi="Times New Roman" w:cs="Times New Roman"/>
                  <w:i/>
                  <w:iCs/>
                  <w:noProof/>
                  <w:sz w:val="24"/>
                  <w:szCs w:val="24"/>
                </w:rPr>
                <w:t>Tourism management: an introduction.</w:t>
              </w:r>
              <w:r w:rsidRPr="00D31E47">
                <w:rPr>
                  <w:rFonts w:ascii="Times New Roman" w:hAnsi="Times New Roman" w:cs="Times New Roman"/>
                  <w:noProof/>
                  <w:sz w:val="24"/>
                  <w:szCs w:val="24"/>
                </w:rPr>
                <w:t xml:space="preserve"> Sage. Available at:</w:t>
              </w:r>
              <w:hyperlink r:id="rId10" w:history="1">
                <w:r w:rsidRPr="00D31E47">
                  <w:rPr>
                    <w:rStyle w:val="Hyperlink"/>
                    <w:rFonts w:ascii="Times New Roman" w:hAnsi="Times New Roman" w:cs="Times New Roman"/>
                    <w:noProof/>
                    <w:sz w:val="24"/>
                    <w:szCs w:val="24"/>
                  </w:rPr>
                  <w:t>https://books.google.co.ke/books?hl=en&amp;lr=&amp;id=TXJnEAAAQBAJ&amp;oi=fnd&amp;pg=PP1&amp;dq=Tourism+Management+An+Introduction+Clare+Inkson,+Lynn+Minnaert&amp;ots=hOnsxCzLfL&amp;sig=mo_zcsk7eqIxK7-mDu78RUl12yw&amp;redir_esc=y#v=onepage&amp;q=Tourism%20Management%20An%20Introduction%20Cl</w:t>
                </w:r>
              </w:hyperlink>
              <w:r w:rsidRPr="00D31E47">
                <w:rPr>
                  <w:rFonts w:ascii="Times New Roman" w:hAnsi="Times New Roman" w:cs="Times New Roman"/>
                  <w:noProof/>
                  <w:sz w:val="24"/>
                  <w:szCs w:val="24"/>
                </w:rPr>
                <w:t>(Accessed: 17 May 2023).</w:t>
              </w:r>
            </w:p>
            <w:p w14:paraId="08A87C07"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Katuwal, S., &amp; Afzal, M. (2022). </w:t>
              </w:r>
              <w:r w:rsidRPr="00D31E47">
                <w:rPr>
                  <w:rFonts w:ascii="Times New Roman" w:hAnsi="Times New Roman" w:cs="Times New Roman"/>
                  <w:i/>
                  <w:iCs/>
                  <w:noProof/>
                  <w:sz w:val="24"/>
                  <w:szCs w:val="24"/>
                </w:rPr>
                <w:t>A framework for managing food wastage: Strategies to promote recycling and sustainability in the hotel industry.</w:t>
              </w:r>
              <w:r w:rsidRPr="00D31E47">
                <w:rPr>
                  <w:rFonts w:ascii="Times New Roman" w:hAnsi="Times New Roman" w:cs="Times New Roman"/>
                  <w:noProof/>
                  <w:sz w:val="24"/>
                  <w:szCs w:val="24"/>
                </w:rPr>
                <w:t xml:space="preserve"> https://urn.fi/URN:NBN:fi:amk-2022112724349. Available at:</w:t>
              </w:r>
              <w:hyperlink r:id="rId11" w:history="1">
                <w:r w:rsidRPr="00D31E47">
                  <w:rPr>
                    <w:rStyle w:val="Hyperlink"/>
                    <w:rFonts w:ascii="Times New Roman" w:hAnsi="Times New Roman" w:cs="Times New Roman"/>
                    <w:noProof/>
                    <w:sz w:val="24"/>
                    <w:szCs w:val="24"/>
                  </w:rPr>
                  <w:t>https://urn.fi/URN:NBN:fi:amk-2022112724349</w:t>
                </w:r>
              </w:hyperlink>
              <w:r w:rsidRPr="00D31E47">
                <w:rPr>
                  <w:rFonts w:ascii="Times New Roman" w:hAnsi="Times New Roman" w:cs="Times New Roman"/>
                  <w:noProof/>
                  <w:sz w:val="24"/>
                  <w:szCs w:val="24"/>
                </w:rPr>
                <w:t>(Accessed: 17 May 2023).</w:t>
              </w:r>
            </w:p>
            <w:p w14:paraId="42AADDDA"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Kim, Y. H., Barber, N., &amp; Kim, D. K. (2019). Sustainability research in the hotel industry: Past, present, and future. </w:t>
              </w:r>
              <w:r w:rsidRPr="00D31E47">
                <w:rPr>
                  <w:rFonts w:ascii="Times New Roman" w:hAnsi="Times New Roman" w:cs="Times New Roman"/>
                  <w:i/>
                  <w:iCs/>
                  <w:noProof/>
                  <w:sz w:val="24"/>
                  <w:szCs w:val="24"/>
                </w:rPr>
                <w:t>Journal of Hospitality Marketing &amp; Management, 28</w:t>
              </w:r>
              <w:r w:rsidRPr="00D31E47">
                <w:rPr>
                  <w:rFonts w:ascii="Times New Roman" w:hAnsi="Times New Roman" w:cs="Times New Roman"/>
                  <w:noProof/>
                  <w:sz w:val="24"/>
                  <w:szCs w:val="24"/>
                </w:rPr>
                <w:t>(5), 576-620. Available at:</w:t>
              </w:r>
              <w:hyperlink r:id="rId12" w:history="1">
                <w:r w:rsidRPr="00D31E47">
                  <w:rPr>
                    <w:rStyle w:val="Hyperlink"/>
                    <w:rFonts w:ascii="Times New Roman" w:hAnsi="Times New Roman" w:cs="Times New Roman"/>
                    <w:noProof/>
                    <w:sz w:val="24"/>
                    <w:szCs w:val="24"/>
                  </w:rPr>
                  <w:t>https://doi.org/10.1080/19368623.2019.1533907</w:t>
                </w:r>
              </w:hyperlink>
              <w:r w:rsidRPr="00D31E47">
                <w:rPr>
                  <w:rFonts w:ascii="Times New Roman" w:hAnsi="Times New Roman" w:cs="Times New Roman"/>
                  <w:noProof/>
                  <w:sz w:val="24"/>
                  <w:szCs w:val="24"/>
                </w:rPr>
                <w:t>(Accessed: 17 May 2023).</w:t>
              </w:r>
            </w:p>
            <w:p w14:paraId="300DCEB6"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Legrand, W., Chen, J. S., &amp; Laeis, G. C. (2022). </w:t>
              </w:r>
              <w:r w:rsidRPr="00D31E47">
                <w:rPr>
                  <w:rFonts w:ascii="Times New Roman" w:hAnsi="Times New Roman" w:cs="Times New Roman"/>
                  <w:i/>
                  <w:iCs/>
                  <w:noProof/>
                  <w:sz w:val="24"/>
                  <w:szCs w:val="24"/>
                </w:rPr>
                <w:t>Sustainability in the hospitality industry: Principles of sustainable operations.</w:t>
              </w:r>
              <w:r w:rsidRPr="00D31E47">
                <w:rPr>
                  <w:rFonts w:ascii="Times New Roman" w:hAnsi="Times New Roman" w:cs="Times New Roman"/>
                  <w:noProof/>
                  <w:sz w:val="24"/>
                  <w:szCs w:val="24"/>
                </w:rPr>
                <w:t xml:space="preserve"> Taylor &amp; Francis. Available at:</w:t>
              </w:r>
              <w:hyperlink r:id="rId13" w:history="1">
                <w:r w:rsidRPr="00D31E47">
                  <w:rPr>
                    <w:rStyle w:val="Hyperlink"/>
                    <w:rFonts w:ascii="Times New Roman" w:hAnsi="Times New Roman" w:cs="Times New Roman"/>
                    <w:noProof/>
                    <w:sz w:val="24"/>
                    <w:szCs w:val="24"/>
                  </w:rPr>
                  <w:t>https://books.google.co.ke/books?hl=en&amp;lr=&amp;id=NWJ6EAAAQBAJ&amp;oi=fnd&amp;pg=PT19&amp;dq=Hotel+owners+and+operators+must+adopt+sustainable+hospitality+practices+that+comply+with+environmental,+social+and+governance+(ESG)+principles&amp;ots=bfHUgnpUVV&amp;sig=dw-UxjbRWCjnWLt3</w:t>
                </w:r>
              </w:hyperlink>
              <w:r w:rsidRPr="00D31E47">
                <w:rPr>
                  <w:rFonts w:ascii="Times New Roman" w:hAnsi="Times New Roman" w:cs="Times New Roman"/>
                  <w:noProof/>
                  <w:sz w:val="24"/>
                  <w:szCs w:val="24"/>
                </w:rPr>
                <w:t>(Accessed: 17 May 2023).</w:t>
              </w:r>
            </w:p>
            <w:p w14:paraId="1CBFDFC8"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Muisyo, P. K., Su, Q., Hashmi, H. B., Ho, T. H., &amp; Julius, M. M. (2022). The role of green HRM in driving hotels' green creativity. </w:t>
              </w:r>
              <w:r w:rsidRPr="00D31E47">
                <w:rPr>
                  <w:rFonts w:ascii="Times New Roman" w:hAnsi="Times New Roman" w:cs="Times New Roman"/>
                  <w:i/>
                  <w:iCs/>
                  <w:noProof/>
                  <w:sz w:val="24"/>
                  <w:szCs w:val="24"/>
                </w:rPr>
                <w:t>International Journal of Contemporary Hospitality Management, 34</w:t>
              </w:r>
              <w:r w:rsidRPr="00D31E47">
                <w:rPr>
                  <w:rFonts w:ascii="Times New Roman" w:hAnsi="Times New Roman" w:cs="Times New Roman"/>
                  <w:noProof/>
                  <w:sz w:val="24"/>
                  <w:szCs w:val="24"/>
                </w:rPr>
                <w:t>(4), 1331-1352. Available at:</w:t>
              </w:r>
              <w:hyperlink r:id="rId14" w:history="1">
                <w:r w:rsidRPr="00D31E47">
                  <w:rPr>
                    <w:rStyle w:val="Hyperlink"/>
                    <w:rFonts w:ascii="Times New Roman" w:hAnsi="Times New Roman" w:cs="Times New Roman"/>
                    <w:noProof/>
                    <w:sz w:val="24"/>
                    <w:szCs w:val="24"/>
                  </w:rPr>
                  <w:t>https://doi.org/10.1108/IJCHM-07-2021-0833</w:t>
                </w:r>
              </w:hyperlink>
              <w:r w:rsidRPr="00D31E47">
                <w:rPr>
                  <w:rFonts w:ascii="Times New Roman" w:hAnsi="Times New Roman" w:cs="Times New Roman"/>
                  <w:noProof/>
                  <w:sz w:val="24"/>
                  <w:szCs w:val="24"/>
                </w:rPr>
                <w:t>(Accessed: 17 May 2023).</w:t>
              </w:r>
            </w:p>
            <w:p w14:paraId="07F8AFF6"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Nzuva, S. M. (2022). The Role of Corporate Social Responsibility in Promoting Business Growth and Sustainability in the Hospitality Industry. </w:t>
              </w:r>
              <w:r w:rsidRPr="00D31E47">
                <w:rPr>
                  <w:rFonts w:ascii="Times New Roman" w:hAnsi="Times New Roman" w:cs="Times New Roman"/>
                  <w:i/>
                  <w:iCs/>
                  <w:noProof/>
                  <w:sz w:val="24"/>
                  <w:szCs w:val="24"/>
                </w:rPr>
                <w:t>Asian Journal of Economics, Business and Accounting, 23</w:t>
              </w:r>
              <w:r w:rsidRPr="00D31E47">
                <w:rPr>
                  <w:rFonts w:ascii="Times New Roman" w:hAnsi="Times New Roman" w:cs="Times New Roman"/>
                  <w:noProof/>
                  <w:sz w:val="24"/>
                  <w:szCs w:val="24"/>
                </w:rPr>
                <w:t>(23), 89-103. Available at:</w:t>
              </w:r>
              <w:hyperlink r:id="rId15" w:history="1">
                <w:r w:rsidRPr="00D31E47">
                  <w:rPr>
                    <w:rStyle w:val="Hyperlink"/>
                    <w:rFonts w:ascii="Times New Roman" w:hAnsi="Times New Roman" w:cs="Times New Roman"/>
                    <w:noProof/>
                    <w:sz w:val="24"/>
                    <w:szCs w:val="24"/>
                  </w:rPr>
                  <w:t>http://scholareprints.uk/id/eprint/12/1/825-Article%20Text-1450-1-10-20221003.pdf</w:t>
                </w:r>
              </w:hyperlink>
              <w:r w:rsidRPr="00D31E47">
                <w:rPr>
                  <w:rFonts w:ascii="Times New Roman" w:hAnsi="Times New Roman" w:cs="Times New Roman"/>
                  <w:noProof/>
                  <w:sz w:val="24"/>
                  <w:szCs w:val="24"/>
                </w:rPr>
                <w:t>(Accessed: 17 May 2023).</w:t>
              </w:r>
            </w:p>
            <w:p w14:paraId="6A831B99"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Pham, N. T., Chiappetta Jabbour, C. J., Vo-Thanh, T., Huynh, T. L., &amp; Santos, C. (2023). Greening hotels: Does motivating hotel employees promote in-role green </w:t>
              </w:r>
              <w:r w:rsidRPr="00D31E47">
                <w:rPr>
                  <w:rFonts w:ascii="Times New Roman" w:hAnsi="Times New Roman" w:cs="Times New Roman"/>
                  <w:noProof/>
                  <w:sz w:val="24"/>
                  <w:szCs w:val="24"/>
                </w:rPr>
                <w:lastRenderedPageBreak/>
                <w:t xml:space="preserve">performance? The role of culture. </w:t>
              </w:r>
              <w:r w:rsidRPr="00D31E47">
                <w:rPr>
                  <w:rFonts w:ascii="Times New Roman" w:hAnsi="Times New Roman" w:cs="Times New Roman"/>
                  <w:i/>
                  <w:iCs/>
                  <w:noProof/>
                  <w:sz w:val="24"/>
                  <w:szCs w:val="24"/>
                </w:rPr>
                <w:t>Journal of Sustainable Tourism, 31</w:t>
              </w:r>
              <w:r w:rsidRPr="00D31E47">
                <w:rPr>
                  <w:rFonts w:ascii="Times New Roman" w:hAnsi="Times New Roman" w:cs="Times New Roman"/>
                  <w:noProof/>
                  <w:sz w:val="24"/>
                  <w:szCs w:val="24"/>
                </w:rPr>
                <w:t>(4), 951-970. Available at:</w:t>
              </w:r>
              <w:hyperlink r:id="rId16" w:history="1">
                <w:r w:rsidRPr="00D31E47">
                  <w:rPr>
                    <w:rStyle w:val="Hyperlink"/>
                    <w:rFonts w:ascii="Times New Roman" w:hAnsi="Times New Roman" w:cs="Times New Roman"/>
                    <w:noProof/>
                    <w:sz w:val="24"/>
                    <w:szCs w:val="24"/>
                  </w:rPr>
                  <w:t>https://doi.org/10.1080/09669582.2020.1863972</w:t>
                </w:r>
              </w:hyperlink>
              <w:r w:rsidRPr="00D31E47">
                <w:rPr>
                  <w:rFonts w:ascii="Times New Roman" w:hAnsi="Times New Roman" w:cs="Times New Roman"/>
                  <w:noProof/>
                  <w:sz w:val="24"/>
                  <w:szCs w:val="24"/>
                </w:rPr>
                <w:t>(Accessed: 17 May 2023).</w:t>
              </w:r>
            </w:p>
            <w:p w14:paraId="42C6B55E"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Saleh, R., &amp; Atan, T. (2021). The involvement of sustainable talent management practices on employee’s job satisfaction: Mediating Effect of Organizational Culture. </w:t>
              </w:r>
              <w:r w:rsidRPr="00D31E47">
                <w:rPr>
                  <w:rFonts w:ascii="Times New Roman" w:hAnsi="Times New Roman" w:cs="Times New Roman"/>
                  <w:i/>
                  <w:iCs/>
                  <w:noProof/>
                  <w:sz w:val="24"/>
                  <w:szCs w:val="24"/>
                </w:rPr>
                <w:t>Sustainability, 13</w:t>
              </w:r>
              <w:r w:rsidRPr="00D31E47">
                <w:rPr>
                  <w:rFonts w:ascii="Times New Roman" w:hAnsi="Times New Roman" w:cs="Times New Roman"/>
                  <w:noProof/>
                  <w:sz w:val="24"/>
                  <w:szCs w:val="24"/>
                </w:rPr>
                <w:t>(23), 13320. Available at:</w:t>
              </w:r>
              <w:hyperlink r:id="rId17" w:history="1">
                <w:r w:rsidRPr="00D31E47">
                  <w:rPr>
                    <w:rStyle w:val="Hyperlink"/>
                    <w:rFonts w:ascii="Times New Roman" w:hAnsi="Times New Roman" w:cs="Times New Roman"/>
                    <w:noProof/>
                    <w:sz w:val="24"/>
                    <w:szCs w:val="24"/>
                  </w:rPr>
                  <w:t>https://doi.org/10.3390/su132313320</w:t>
                </w:r>
              </w:hyperlink>
            </w:p>
            <w:p w14:paraId="5C28A97E"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Sharpley, R. (2020). Tourism, sustainable development and the theoretical divide: 20 years on. </w:t>
              </w:r>
              <w:r w:rsidRPr="00D31E47">
                <w:rPr>
                  <w:rFonts w:ascii="Times New Roman" w:hAnsi="Times New Roman" w:cs="Times New Roman"/>
                  <w:i/>
                  <w:iCs/>
                  <w:noProof/>
                  <w:sz w:val="24"/>
                  <w:szCs w:val="24"/>
                </w:rPr>
                <w:t>Journal of sustainable tourism, 28</w:t>
              </w:r>
              <w:r w:rsidRPr="00D31E47">
                <w:rPr>
                  <w:rFonts w:ascii="Times New Roman" w:hAnsi="Times New Roman" w:cs="Times New Roman"/>
                  <w:noProof/>
                  <w:sz w:val="24"/>
                  <w:szCs w:val="24"/>
                </w:rPr>
                <w:t>(11), 1932-1946. Available at:</w:t>
              </w:r>
              <w:hyperlink r:id="rId18" w:history="1">
                <w:r w:rsidRPr="00D31E47">
                  <w:rPr>
                    <w:rStyle w:val="Hyperlink"/>
                    <w:rFonts w:ascii="Times New Roman" w:hAnsi="Times New Roman" w:cs="Times New Roman"/>
                    <w:noProof/>
                    <w:sz w:val="24"/>
                    <w:szCs w:val="24"/>
                  </w:rPr>
                  <w:t>https://doi.org/10.1080/09669582.2020.1779732</w:t>
                </w:r>
              </w:hyperlink>
              <w:r w:rsidRPr="00D31E47">
                <w:rPr>
                  <w:rFonts w:ascii="Times New Roman" w:hAnsi="Times New Roman" w:cs="Times New Roman"/>
                  <w:noProof/>
                  <w:sz w:val="24"/>
                  <w:szCs w:val="24"/>
                </w:rPr>
                <w:t>(Accessed: 17 May 2023).</w:t>
              </w:r>
            </w:p>
            <w:p w14:paraId="1EFB3884"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Wong, A. K., Kim, S., &amp; Hwang, Y. (2022). Effects of Perceived Corporate Social Responsibility (CSR) Performance on Hotel Employees’ Behavior. </w:t>
              </w:r>
              <w:r w:rsidRPr="00D31E47">
                <w:rPr>
                  <w:rFonts w:ascii="Times New Roman" w:hAnsi="Times New Roman" w:cs="Times New Roman"/>
                  <w:i/>
                  <w:iCs/>
                  <w:noProof/>
                  <w:sz w:val="24"/>
                  <w:szCs w:val="24"/>
                </w:rPr>
                <w:t>International Journal of Hospitality &amp; Tourism Administration, 23</w:t>
              </w:r>
              <w:r w:rsidRPr="00D31E47">
                <w:rPr>
                  <w:rFonts w:ascii="Times New Roman" w:hAnsi="Times New Roman" w:cs="Times New Roman"/>
                  <w:noProof/>
                  <w:sz w:val="24"/>
                  <w:szCs w:val="24"/>
                </w:rPr>
                <w:t>(6), 1145-1173. Available at:</w:t>
              </w:r>
              <w:hyperlink r:id="rId19" w:history="1">
                <w:r w:rsidRPr="00D31E47">
                  <w:rPr>
                    <w:rStyle w:val="Hyperlink"/>
                    <w:rFonts w:ascii="Times New Roman" w:hAnsi="Times New Roman" w:cs="Times New Roman"/>
                    <w:noProof/>
                    <w:sz w:val="24"/>
                    <w:szCs w:val="24"/>
                  </w:rPr>
                  <w:t>https://doi.org/10.1080/15256480.2021.1935390</w:t>
                </w:r>
              </w:hyperlink>
            </w:p>
            <w:p w14:paraId="26B3EF74"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Young, S. T., &amp; Dhanda, K. K. (2012). </w:t>
              </w:r>
              <w:r w:rsidRPr="00D31E47">
                <w:rPr>
                  <w:rFonts w:ascii="Times New Roman" w:hAnsi="Times New Roman" w:cs="Times New Roman"/>
                  <w:i/>
                  <w:iCs/>
                  <w:noProof/>
                  <w:sz w:val="24"/>
                  <w:szCs w:val="24"/>
                </w:rPr>
                <w:t>Sustainability: Essentials for business.</w:t>
              </w:r>
              <w:r w:rsidRPr="00D31E47">
                <w:rPr>
                  <w:rFonts w:ascii="Times New Roman" w:hAnsi="Times New Roman" w:cs="Times New Roman"/>
                  <w:noProof/>
                  <w:sz w:val="24"/>
                  <w:szCs w:val="24"/>
                </w:rPr>
                <w:t xml:space="preserve"> Sage Publications. Available at:</w:t>
              </w:r>
              <w:hyperlink r:id="rId20" w:history="1">
                <w:r w:rsidRPr="00D31E47">
                  <w:rPr>
                    <w:rStyle w:val="Hyperlink"/>
                    <w:rFonts w:ascii="Times New Roman" w:hAnsi="Times New Roman" w:cs="Times New Roman"/>
                    <w:noProof/>
                    <w:sz w:val="24"/>
                    <w:szCs w:val="24"/>
                  </w:rPr>
                  <w:t>https://doi.org/10.4135/9781544308432</w:t>
                </w:r>
              </w:hyperlink>
              <w:r w:rsidRPr="00D31E47">
                <w:rPr>
                  <w:rFonts w:ascii="Times New Roman" w:hAnsi="Times New Roman" w:cs="Times New Roman"/>
                  <w:noProof/>
                  <w:sz w:val="24"/>
                  <w:szCs w:val="24"/>
                </w:rPr>
                <w:t xml:space="preserve"> (Accessed: 17 May 2023).</w:t>
              </w:r>
            </w:p>
            <w:p w14:paraId="5FF60443"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Zaki, K. (2022). Implementing dynamic revenue management in hotels during Covid-19: value stream and wavelet coherence perspectives. </w:t>
              </w:r>
              <w:r w:rsidRPr="00D31E47">
                <w:rPr>
                  <w:rFonts w:ascii="Times New Roman" w:hAnsi="Times New Roman" w:cs="Times New Roman"/>
                  <w:i/>
                  <w:iCs/>
                  <w:noProof/>
                  <w:sz w:val="24"/>
                  <w:szCs w:val="24"/>
                </w:rPr>
                <w:t>International Journal of Contemporary Hospitality Management, 34</w:t>
              </w:r>
              <w:r w:rsidRPr="00D31E47">
                <w:rPr>
                  <w:rFonts w:ascii="Times New Roman" w:hAnsi="Times New Roman" w:cs="Times New Roman"/>
                  <w:noProof/>
                  <w:sz w:val="24"/>
                  <w:szCs w:val="24"/>
                </w:rPr>
                <w:t>(5), 1768-1795. Available at:</w:t>
              </w:r>
              <w:hyperlink r:id="rId21" w:history="1">
                <w:r w:rsidRPr="00D31E47">
                  <w:rPr>
                    <w:rStyle w:val="Hyperlink"/>
                    <w:rFonts w:ascii="Times New Roman" w:hAnsi="Times New Roman" w:cs="Times New Roman"/>
                    <w:noProof/>
                    <w:sz w:val="24"/>
                    <w:szCs w:val="24"/>
                  </w:rPr>
                  <w:t>https://doi.org/10.1108/IJCHM-08-2021-1043</w:t>
                </w:r>
              </w:hyperlink>
              <w:r w:rsidRPr="00D31E47">
                <w:rPr>
                  <w:rFonts w:ascii="Times New Roman" w:hAnsi="Times New Roman" w:cs="Times New Roman"/>
                  <w:noProof/>
                  <w:sz w:val="24"/>
                  <w:szCs w:val="24"/>
                </w:rPr>
                <w:t>(Accessed: 17 May 2023).</w:t>
              </w:r>
            </w:p>
            <w:p w14:paraId="7C0E7758" w14:textId="77777777" w:rsidR="00492B98" w:rsidRPr="00D31E47" w:rsidRDefault="00492B98" w:rsidP="00492B98">
              <w:pPr>
                <w:pStyle w:val="Bibliography"/>
                <w:spacing w:line="360" w:lineRule="auto"/>
                <w:ind w:left="720" w:hanging="720"/>
                <w:rPr>
                  <w:rFonts w:ascii="Times New Roman" w:hAnsi="Times New Roman" w:cs="Times New Roman"/>
                  <w:noProof/>
                  <w:sz w:val="24"/>
                  <w:szCs w:val="24"/>
                </w:rPr>
              </w:pPr>
              <w:r w:rsidRPr="00D31E47">
                <w:rPr>
                  <w:rFonts w:ascii="Times New Roman" w:hAnsi="Times New Roman" w:cs="Times New Roman"/>
                  <w:noProof/>
                  <w:sz w:val="24"/>
                  <w:szCs w:val="24"/>
                </w:rPr>
                <w:t xml:space="preserve">Zhong, L., Verma, R., Wei, W., Morrsion, A. M., &amp; Yang, L. (2022). Multi-stakeholder perspectives on the impacts of service robots in urban hotel rooms. </w:t>
              </w:r>
              <w:r w:rsidRPr="00D31E47">
                <w:rPr>
                  <w:rFonts w:ascii="Times New Roman" w:hAnsi="Times New Roman" w:cs="Times New Roman"/>
                  <w:i/>
                  <w:iCs/>
                  <w:noProof/>
                  <w:sz w:val="24"/>
                  <w:szCs w:val="24"/>
                </w:rPr>
                <w:t>Technology in Society, 68</w:t>
              </w:r>
              <w:r w:rsidRPr="00D31E47">
                <w:rPr>
                  <w:rFonts w:ascii="Times New Roman" w:hAnsi="Times New Roman" w:cs="Times New Roman"/>
                  <w:noProof/>
                  <w:sz w:val="24"/>
                  <w:szCs w:val="24"/>
                </w:rPr>
                <w:t>, 101846. Available at:</w:t>
              </w:r>
              <w:hyperlink r:id="rId22" w:history="1">
                <w:r w:rsidRPr="00D31E47">
                  <w:rPr>
                    <w:rStyle w:val="Hyperlink"/>
                    <w:rFonts w:ascii="Times New Roman" w:hAnsi="Times New Roman" w:cs="Times New Roman"/>
                    <w:noProof/>
                    <w:sz w:val="24"/>
                    <w:szCs w:val="24"/>
                  </w:rPr>
                  <w:t>https://doi.org/10.1080/09669582.2020.1863972</w:t>
                </w:r>
              </w:hyperlink>
              <w:r w:rsidRPr="00D31E47">
                <w:rPr>
                  <w:rFonts w:ascii="Times New Roman" w:hAnsi="Times New Roman" w:cs="Times New Roman"/>
                  <w:noProof/>
                  <w:sz w:val="24"/>
                  <w:szCs w:val="24"/>
                </w:rPr>
                <w:t>(Accessed: 17 May 2023).</w:t>
              </w:r>
            </w:p>
            <w:p w14:paraId="52057895" w14:textId="77777777" w:rsidR="00492B98" w:rsidRPr="00D31E47" w:rsidRDefault="00492B98" w:rsidP="00492B98">
              <w:pPr>
                <w:spacing w:line="360" w:lineRule="auto"/>
                <w:rPr>
                  <w:rFonts w:ascii="Times New Roman" w:hAnsi="Times New Roman" w:cs="Times New Roman"/>
                  <w:sz w:val="24"/>
                  <w:szCs w:val="24"/>
                </w:rPr>
              </w:pPr>
            </w:p>
          </w:sdtContent>
        </w:sdt>
      </w:sdtContent>
    </w:sdt>
    <w:p w14:paraId="78A9F293" w14:textId="38E6B0C2" w:rsidR="00EB2A54" w:rsidRDefault="00EB2A54" w:rsidP="00492B98"/>
    <w:sectPr w:rsidR="00EB2A54" w:rsidSect="00CF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yNjI2NzcxMLA0sTRT0lEKTi0uzszPAykwrAUA1VspeSwAAAA="/>
  </w:docVars>
  <w:rsids>
    <w:rsidRoot w:val="00492B98"/>
    <w:rsid w:val="00492B98"/>
    <w:rsid w:val="00CF5DE3"/>
    <w:rsid w:val="00EB2A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B8B9A"/>
  <w15:chartTrackingRefBased/>
  <w15:docId w15:val="{1E1FC9E9-4528-43D6-A0D2-8302B4E3D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B9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2B9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492B98"/>
    <w:rPr>
      <w:b/>
      <w:bCs/>
    </w:rPr>
  </w:style>
  <w:style w:type="character" w:customStyle="1" w:styleId="Heading1Char">
    <w:name w:val="Heading 1 Char"/>
    <w:basedOn w:val="DefaultParagraphFont"/>
    <w:link w:val="Heading1"/>
    <w:uiPriority w:val="9"/>
    <w:rsid w:val="00492B98"/>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92B98"/>
    <w:rPr>
      <w:kern w:val="0"/>
      <w:lang w:val="en-US"/>
      <w14:ligatures w14:val="none"/>
    </w:rPr>
  </w:style>
  <w:style w:type="character" w:styleId="Hyperlink">
    <w:name w:val="Hyperlink"/>
    <w:basedOn w:val="DefaultParagraphFont"/>
    <w:uiPriority w:val="99"/>
    <w:unhideWhenUsed/>
    <w:rsid w:val="00492B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webSettings" Target="webSetting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ettings" Target="setting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theme" Target="theme/theme1.xm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3056</Words>
  <Characters>17422</Characters>
  <Application>Microsoft Office Word</Application>
  <DocSecurity>0</DocSecurity>
  <Lines>145</Lines>
  <Paragraphs>40</Paragraphs>
  <ScaleCrop>false</ScaleCrop>
  <Company/>
  <LinksUpToDate>false</LinksUpToDate>
  <CharactersWithSpaces>20438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marius</dc:creator>
  <cp:keywords/>
  <dc:description/>
  <cp:lastModifiedBy>marius marius</cp:lastModifiedBy>
  <cp:revision>1</cp:revision>
  <dcterms:created xsi:type="dcterms:W3CDTF">2023-05-22T12:32:00Z</dcterms:created>
  <dcterms:modified xsi:type="dcterms:W3CDTF">2023-05-22T12:48:00Z</dcterms:modified>
</cp:coreProperties>
</file>