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F3280" w:rsidRDefault="003670D5" w:rsidP="000E2F95">
      <w:pPr>
        <w:spacing w:after="240" w:line="360" w:lineRule="auto"/>
        <w:outlineLvl w:val="0"/>
        <w:rPr>
          <w:rFonts w:ascii="Times" w:eastAsia="Times New Roman" w:hAnsi="Times" w:cs="Times New Roman"/>
          <w:b/>
          <w:bCs/>
          <w:kern w:val="36"/>
          <w:sz w:val="24"/>
          <w:szCs w:val="24"/>
        </w:rPr>
      </w:pPr>
      <w:r>
        <w:rPr>
          <w:rFonts w:ascii="Times" w:eastAsia="Times New Roman" w:hAnsi="Times" w:cs="Times New Roman"/>
          <w:b/>
          <w:bCs/>
          <w:kern w:val="36"/>
          <w:sz w:val="24"/>
          <w:szCs w:val="24"/>
        </w:rPr>
        <w:t>Annotated Bibliography</w:t>
      </w:r>
    </w:p>
    <w:p w:rsidR="003670D5" w:rsidRPr="00DF3280" w:rsidRDefault="003670D5" w:rsidP="000E2F95">
      <w:pPr>
        <w:spacing w:after="240" w:line="360" w:lineRule="auto"/>
        <w:outlineLvl w:val="0"/>
        <w:rPr>
          <w:rFonts w:ascii="Times" w:eastAsia="Times New Roman" w:hAnsi="Times" w:cs="Times New Roman"/>
          <w:b/>
          <w:bCs/>
          <w:kern w:val="36"/>
          <w:sz w:val="24"/>
          <w:szCs w:val="24"/>
        </w:rPr>
      </w:pPr>
    </w:p>
    <w:p w:rsidR="00DF3280" w:rsidRPr="000E2F95" w:rsidRDefault="00DF3280" w:rsidP="000E2F95">
      <w:pPr>
        <w:spacing w:after="240" w:line="360" w:lineRule="auto"/>
        <w:rPr>
          <w:rFonts w:ascii="Times" w:eastAsia="Times New Roman" w:hAnsi="Times" w:cs="Times New Roman"/>
          <w:i/>
          <w:sz w:val="24"/>
          <w:szCs w:val="24"/>
        </w:rPr>
      </w:pPr>
      <w:r w:rsidRPr="00DF3280">
        <w:rPr>
          <w:rFonts w:ascii="Times" w:eastAsia="Times New Roman" w:hAnsi="Times" w:cs="Times New Roman"/>
          <w:i/>
          <w:sz w:val="24"/>
          <w:szCs w:val="24"/>
        </w:rPr>
        <w:t xml:space="preserve">Chu, E.W. and Karr, J.R. (2017). </w:t>
      </w:r>
      <w:r w:rsidRPr="00DF3280">
        <w:rPr>
          <w:rFonts w:ascii="Times" w:eastAsia="Times New Roman" w:hAnsi="Times" w:cs="Times New Roman"/>
          <w:i/>
          <w:iCs/>
          <w:sz w:val="24"/>
          <w:szCs w:val="24"/>
        </w:rPr>
        <w:t>Environmental Impact: Concept, Consequences, Measurement</w:t>
      </w:r>
      <w:r w:rsidRPr="00DF3280">
        <w:rPr>
          <w:rFonts w:ascii="Times" w:eastAsia="MS Mincho" w:hAnsi="MS Mincho" w:cs="MS Mincho"/>
          <w:i/>
          <w:iCs/>
          <w:sz w:val="24"/>
          <w:szCs w:val="24"/>
        </w:rPr>
        <w:t>☆</w:t>
      </w:r>
      <w:r w:rsidRPr="00DF3280">
        <w:rPr>
          <w:rFonts w:ascii="Times" w:eastAsia="Times New Roman" w:hAnsi="Times" w:cs="Times New Roman"/>
          <w:i/>
          <w:sz w:val="24"/>
          <w:szCs w:val="24"/>
        </w:rPr>
        <w:t>. [</w:t>
      </w:r>
      <w:r w:rsidR="000E2F95" w:rsidRPr="00DF3280">
        <w:rPr>
          <w:rFonts w:ascii="Times" w:eastAsia="Times New Roman" w:hAnsi="Times" w:cs="Times New Roman"/>
          <w:i/>
          <w:sz w:val="24"/>
          <w:szCs w:val="24"/>
        </w:rPr>
        <w:t>Online</w:t>
      </w:r>
      <w:r w:rsidRPr="00DF3280">
        <w:rPr>
          <w:rFonts w:ascii="Times" w:eastAsia="Times New Roman" w:hAnsi="Times" w:cs="Times New Roman"/>
          <w:i/>
          <w:sz w:val="24"/>
          <w:szCs w:val="24"/>
        </w:rPr>
        <w:t xml:space="preserve">] </w:t>
      </w:r>
      <w:r w:rsidR="000E2F95" w:rsidRPr="00DF3280">
        <w:rPr>
          <w:rFonts w:ascii="Times" w:eastAsia="Times New Roman" w:hAnsi="Times" w:cs="Times New Roman"/>
          <w:i/>
          <w:sz w:val="24"/>
          <w:szCs w:val="24"/>
        </w:rPr>
        <w:t>Science Direct</w:t>
      </w:r>
      <w:r w:rsidRPr="00DF3280">
        <w:rPr>
          <w:rFonts w:ascii="Times" w:eastAsia="Times New Roman" w:hAnsi="Times" w:cs="Times New Roman"/>
          <w:i/>
          <w:sz w:val="24"/>
          <w:szCs w:val="24"/>
        </w:rPr>
        <w:t xml:space="preserve">. Available at: </w:t>
      </w:r>
      <w:hyperlink r:id="rId4" w:history="1">
        <w:r w:rsidRPr="000E2F95">
          <w:rPr>
            <w:rStyle w:val="Hyperlink"/>
            <w:rFonts w:ascii="Times" w:eastAsia="Times New Roman" w:hAnsi="Times" w:cs="Times New Roman"/>
            <w:i/>
            <w:color w:val="auto"/>
            <w:sz w:val="24"/>
            <w:szCs w:val="24"/>
            <w:u w:val="none"/>
          </w:rPr>
          <w:t>https://www.sciencedirect.com/science/article/pii/B9780128096338023803?via%3Dihub</w:t>
        </w:r>
      </w:hyperlink>
      <w:r w:rsidRPr="00DF3280">
        <w:rPr>
          <w:rFonts w:ascii="Times" w:eastAsia="Times New Roman" w:hAnsi="Times" w:cs="Times New Roman"/>
          <w:i/>
          <w:sz w:val="24"/>
          <w:szCs w:val="24"/>
        </w:rPr>
        <w:t>.</w:t>
      </w:r>
    </w:p>
    <w:p w:rsidR="000E2F95" w:rsidRDefault="000E2F95" w:rsidP="000E2F95">
      <w:pPr>
        <w:spacing w:line="360" w:lineRule="auto"/>
        <w:rPr>
          <w:rFonts w:ascii="Times" w:eastAsia="Times New Roman" w:hAnsi="Times" w:cs="Times New Roman"/>
          <w:sz w:val="24"/>
          <w:szCs w:val="24"/>
        </w:rPr>
      </w:pPr>
    </w:p>
    <w:p w:rsidR="00DF3280" w:rsidRPr="000E2F95" w:rsidRDefault="00DF3280" w:rsidP="000E2F95">
      <w:pPr>
        <w:spacing w:line="360" w:lineRule="auto"/>
        <w:rPr>
          <w:rFonts w:ascii="Times" w:eastAsia="Times New Roman" w:hAnsi="Times" w:cs="Times New Roman"/>
          <w:sz w:val="24"/>
          <w:szCs w:val="24"/>
        </w:rPr>
      </w:pPr>
      <w:r w:rsidRPr="00DF3280">
        <w:rPr>
          <w:rFonts w:ascii="Times" w:eastAsia="Times New Roman" w:hAnsi="Times" w:cs="Times New Roman"/>
          <w:sz w:val="24"/>
          <w:szCs w:val="24"/>
        </w:rPr>
        <w:t>Chu and Karr's paper explores the idea, effects, and quantification of environmental impact. The discussion on the importance of comprehending environmental impact and its consequences for ecosystem health and human well-being in the introduction probably sets the stage. By using a literature review methodology to integrate existing knowledge and theories linked to the concept, effects, and measurement of environmental impact across multiple ecosystems and human activities, the study seeks to provide a thorough overview of environmental impact. With a focus on examining the connections between environmental processes and huma</w:t>
      </w:r>
      <w:r w:rsidR="00564B1F">
        <w:rPr>
          <w:rFonts w:ascii="Times" w:eastAsia="Times New Roman" w:hAnsi="Times" w:cs="Times New Roman"/>
          <w:sz w:val="24"/>
          <w:szCs w:val="24"/>
        </w:rPr>
        <w:t>n activity, the article address various subjects of</w:t>
      </w:r>
      <w:r w:rsidRPr="00DF3280">
        <w:rPr>
          <w:rFonts w:ascii="Times" w:eastAsia="Times New Roman" w:hAnsi="Times" w:cs="Times New Roman"/>
          <w:sz w:val="24"/>
          <w:szCs w:val="24"/>
        </w:rPr>
        <w:t xml:space="preserve"> a wide range of environmental impact-related topics, such as pollution, habitat destruction, biodiversity loss, climate change, and resource depletion. </w:t>
      </w:r>
      <w:r w:rsidRPr="000E2F95">
        <w:rPr>
          <w:rFonts w:ascii="Times" w:eastAsia="Times New Roman" w:hAnsi="Times" w:cs="Times New Roman"/>
          <w:sz w:val="24"/>
          <w:szCs w:val="24"/>
        </w:rPr>
        <w:t xml:space="preserve"> This article provides a thorough analysis of the concept, measurement techniques, and implications of environmental impact on ecosystems and society, making it an invaluable resource for researchers, policymakers, and practitioners interested in understanding and mitigating the environmental consequences of hum</w:t>
      </w:r>
      <w:r w:rsidR="00564B1F">
        <w:rPr>
          <w:rFonts w:ascii="Times" w:eastAsia="Times New Roman" w:hAnsi="Times" w:cs="Times New Roman"/>
          <w:sz w:val="24"/>
          <w:szCs w:val="24"/>
        </w:rPr>
        <w:t>an activities. The article covers</w:t>
      </w:r>
      <w:r w:rsidRPr="000E2F95">
        <w:rPr>
          <w:rFonts w:ascii="Times" w:eastAsia="Times New Roman" w:hAnsi="Times" w:cs="Times New Roman"/>
          <w:sz w:val="24"/>
          <w:szCs w:val="24"/>
        </w:rPr>
        <w:t>, depth of analysis, and the need for additional empirical research to support and improve current theories and measurement methods for evaluating environmental impact at various temporal and spatial scales are some of its possible drawbacks. This article adds to a better understanding of the intricate relationships that exist between human activity and the environment by looking at the idea, effects, and measurement of environmental impact. It provides insightful information that can help guide management plans and policy choices that support environmental sustainability and resilience in the face of severe environmental problems worldwide.</w:t>
      </w:r>
    </w:p>
    <w:p w:rsidR="00DF3280" w:rsidRPr="000E2F95" w:rsidRDefault="00DF3280" w:rsidP="000E2F95">
      <w:pPr>
        <w:spacing w:line="360" w:lineRule="auto"/>
        <w:rPr>
          <w:rFonts w:ascii="Times" w:eastAsia="Times New Roman" w:hAnsi="Times" w:cs="Times New Roman"/>
          <w:sz w:val="24"/>
          <w:szCs w:val="24"/>
        </w:rPr>
      </w:pPr>
    </w:p>
    <w:p w:rsidR="00DF3280" w:rsidRPr="00DF3280" w:rsidRDefault="00DF3280" w:rsidP="000E2F95">
      <w:pPr>
        <w:spacing w:after="0" w:line="360" w:lineRule="auto"/>
        <w:rPr>
          <w:rFonts w:ascii="Times" w:eastAsia="Times New Roman" w:hAnsi="Times" w:cs="Times New Roman"/>
          <w:sz w:val="24"/>
          <w:szCs w:val="24"/>
        </w:rPr>
      </w:pPr>
    </w:p>
    <w:p w:rsidR="00DF3280" w:rsidRPr="000E2F95" w:rsidRDefault="00DF3280" w:rsidP="000E2F95">
      <w:pPr>
        <w:spacing w:after="240" w:line="360" w:lineRule="auto"/>
        <w:rPr>
          <w:rFonts w:ascii="Times" w:eastAsia="Times New Roman" w:hAnsi="Times" w:cs="Times New Roman"/>
          <w:sz w:val="24"/>
          <w:szCs w:val="24"/>
        </w:rPr>
      </w:pPr>
    </w:p>
    <w:p w:rsidR="00DF3280" w:rsidRPr="000E2F95" w:rsidRDefault="00DF3280" w:rsidP="000E2F95">
      <w:pPr>
        <w:spacing w:after="240" w:line="360" w:lineRule="auto"/>
        <w:rPr>
          <w:rFonts w:ascii="Times" w:eastAsia="Times New Roman" w:hAnsi="Times" w:cs="Times New Roman"/>
          <w:i/>
          <w:sz w:val="24"/>
          <w:szCs w:val="24"/>
        </w:rPr>
      </w:pPr>
      <w:r w:rsidRPr="00DF3280">
        <w:rPr>
          <w:rFonts w:ascii="Times" w:eastAsia="Times New Roman" w:hAnsi="Times" w:cs="Times New Roman"/>
          <w:i/>
          <w:sz w:val="24"/>
          <w:szCs w:val="24"/>
        </w:rPr>
        <w:lastRenderedPageBreak/>
        <w:t xml:space="preserve">European Parliament (2020). </w:t>
      </w:r>
      <w:r w:rsidRPr="00DF3280">
        <w:rPr>
          <w:rFonts w:ascii="Times" w:eastAsia="Times New Roman" w:hAnsi="Times" w:cs="Times New Roman"/>
          <w:i/>
          <w:iCs/>
          <w:sz w:val="24"/>
          <w:szCs w:val="24"/>
        </w:rPr>
        <w:t>Exploring migration causes: why people migrate | Topics | European Parliament</w:t>
      </w:r>
      <w:r w:rsidRPr="00DF3280">
        <w:rPr>
          <w:rFonts w:ascii="Times" w:eastAsia="Times New Roman" w:hAnsi="Times" w:cs="Times New Roman"/>
          <w:i/>
          <w:sz w:val="24"/>
          <w:szCs w:val="24"/>
        </w:rPr>
        <w:t>. [</w:t>
      </w:r>
      <w:r w:rsidR="000E2F95" w:rsidRPr="00DF3280">
        <w:rPr>
          <w:rFonts w:ascii="Times" w:eastAsia="Times New Roman" w:hAnsi="Times" w:cs="Times New Roman"/>
          <w:i/>
          <w:sz w:val="24"/>
          <w:szCs w:val="24"/>
        </w:rPr>
        <w:t>Online</w:t>
      </w:r>
      <w:r w:rsidRPr="00DF3280">
        <w:rPr>
          <w:rFonts w:ascii="Times" w:eastAsia="Times New Roman" w:hAnsi="Times" w:cs="Times New Roman"/>
          <w:i/>
          <w:sz w:val="24"/>
          <w:szCs w:val="24"/>
        </w:rPr>
        <w:t xml:space="preserve">] www.europarl.europa.eu. Available at: </w:t>
      </w:r>
      <w:hyperlink r:id="rId5" w:history="1">
        <w:r w:rsidRPr="000E2F95">
          <w:rPr>
            <w:rStyle w:val="Hyperlink"/>
            <w:rFonts w:ascii="Times" w:eastAsia="Times New Roman" w:hAnsi="Times" w:cs="Times New Roman"/>
            <w:i/>
            <w:color w:val="auto"/>
            <w:sz w:val="24"/>
            <w:szCs w:val="24"/>
            <w:u w:val="none"/>
          </w:rPr>
          <w:t>https://www.europarl.europa.eu/topics/en/article/20200624STO81906/exploring-migration-causes-why-people-migrate</w:t>
        </w:r>
      </w:hyperlink>
      <w:r w:rsidRPr="00DF3280">
        <w:rPr>
          <w:rFonts w:ascii="Times" w:eastAsia="Times New Roman" w:hAnsi="Times" w:cs="Times New Roman"/>
          <w:i/>
          <w:sz w:val="24"/>
          <w:szCs w:val="24"/>
        </w:rPr>
        <w:t>.</w:t>
      </w:r>
    </w:p>
    <w:p w:rsidR="000E2F95" w:rsidRDefault="000E2F95" w:rsidP="000E2F95">
      <w:pPr>
        <w:spacing w:line="360" w:lineRule="auto"/>
        <w:rPr>
          <w:rFonts w:ascii="Times" w:eastAsia="Times New Roman" w:hAnsi="Times" w:cs="Times New Roman"/>
          <w:sz w:val="24"/>
          <w:szCs w:val="24"/>
        </w:rPr>
      </w:pPr>
    </w:p>
    <w:p w:rsidR="00DF3280" w:rsidRPr="000E2F95" w:rsidRDefault="00DF3280" w:rsidP="000E2F95">
      <w:pPr>
        <w:spacing w:line="360" w:lineRule="auto"/>
        <w:rPr>
          <w:rFonts w:ascii="Times" w:eastAsia="Times New Roman" w:hAnsi="Times" w:cs="Times New Roman"/>
          <w:sz w:val="24"/>
          <w:szCs w:val="24"/>
        </w:rPr>
      </w:pPr>
      <w:r w:rsidRPr="00DF3280">
        <w:rPr>
          <w:rFonts w:ascii="Times" w:eastAsia="Times New Roman" w:hAnsi="Times" w:cs="Times New Roman"/>
          <w:sz w:val="24"/>
          <w:szCs w:val="24"/>
        </w:rPr>
        <w:t xml:space="preserve">The paper from the European Parliament examines the reasons for migration, with a special emphasis on the economic and demographic aspects that influence migration. It seeks to shed light on the nuanced reasons driving migration trends and how they affect communities and decision-makers. With the use of qualitative and quantitative research techniques like literature reviews, case studies, statistical analysis, and expert interviews, the article most likely seeks to discover and comprehend the main elements impacting migration decisions. In the context of both domestic and international migration flows, the article's scope probably includes a wide range of migration causes, including demographic factors like population growth, aging, and urbanization, as well as economic factors like employment opportunities, income disparities, and poverty. </w:t>
      </w:r>
      <w:r w:rsidRPr="000E2F95">
        <w:rPr>
          <w:rFonts w:ascii="Times" w:eastAsia="Times New Roman" w:hAnsi="Times" w:cs="Times New Roman"/>
          <w:sz w:val="24"/>
          <w:szCs w:val="24"/>
        </w:rPr>
        <w:t>Policymakers, scholars, and the general public who want to comprehend the intricate dynamics of migration and its root causes will find this article to be a useful resource. It sheds light on the complex reasons behind migration and emphasizes the necessity for thorough, empirically supported methods of managing migration and formulating public policy. The focus on demographic and economic factors at the expense of other social, political, and environmental drivers of migration, as well as the need for more research on the intersectionality of migration motivations and their implications for various migrant populations and receiving communities, are potential limitations of the article, even though it offers insightful information about the causes of migration. Through examining the reasons for migration, specifically related to demographic and economic considerations, this essay advances our comprehension of the intricate dynamics influencing migration patterns. It provides insightful information that can help shape interventions and policy responses targeted at resolving the underlying causes of migration and advancing more equitable and sustainable migration practices.</w:t>
      </w:r>
    </w:p>
    <w:p w:rsidR="00DF3280" w:rsidRPr="000E2F95" w:rsidRDefault="00DF3280" w:rsidP="000E2F95">
      <w:pPr>
        <w:spacing w:line="360" w:lineRule="auto"/>
        <w:rPr>
          <w:rFonts w:ascii="Times" w:eastAsia="Times New Roman" w:hAnsi="Times" w:cs="Times New Roman"/>
          <w:sz w:val="24"/>
          <w:szCs w:val="24"/>
        </w:rPr>
      </w:pPr>
    </w:p>
    <w:p w:rsidR="00DF3280" w:rsidRPr="00DF3280" w:rsidRDefault="00DF3280" w:rsidP="000E2F95">
      <w:pPr>
        <w:spacing w:after="0" w:line="360" w:lineRule="auto"/>
        <w:rPr>
          <w:rFonts w:ascii="Times" w:eastAsia="Times New Roman" w:hAnsi="Times" w:cs="Times New Roman"/>
          <w:sz w:val="24"/>
          <w:szCs w:val="24"/>
        </w:rPr>
      </w:pPr>
    </w:p>
    <w:p w:rsidR="00DF3280" w:rsidRPr="000E2F95" w:rsidRDefault="00DF3280" w:rsidP="000E2F95">
      <w:pPr>
        <w:spacing w:after="240" w:line="360" w:lineRule="auto"/>
        <w:rPr>
          <w:rFonts w:ascii="Times" w:eastAsia="Times New Roman" w:hAnsi="Times" w:cs="Times New Roman"/>
          <w:i/>
          <w:sz w:val="24"/>
          <w:szCs w:val="24"/>
        </w:rPr>
      </w:pPr>
      <w:r w:rsidRPr="00DF3280">
        <w:rPr>
          <w:rFonts w:ascii="Times" w:eastAsia="Times New Roman" w:hAnsi="Times" w:cs="Times New Roman"/>
          <w:i/>
          <w:sz w:val="24"/>
          <w:szCs w:val="24"/>
        </w:rPr>
        <w:lastRenderedPageBreak/>
        <w:t xml:space="preserve">LINDAU, L.A., HIDALGO, D. and FACCHINI, D. (2010). Curitiba, the Cradle of Bus Rapid Transit. </w:t>
      </w:r>
      <w:r w:rsidRPr="00DF3280">
        <w:rPr>
          <w:rFonts w:ascii="Times" w:eastAsia="Times New Roman" w:hAnsi="Times" w:cs="Times New Roman"/>
          <w:i/>
          <w:iCs/>
          <w:sz w:val="24"/>
          <w:szCs w:val="24"/>
        </w:rPr>
        <w:t>Built Environment (1978</w:t>
      </w:r>
      <w:r w:rsidR="000E2F95" w:rsidRPr="00DF3280">
        <w:rPr>
          <w:rFonts w:ascii="Times" w:eastAsia="Times New Roman" w:hAnsi="Times" w:cs="Times New Roman"/>
          <w:i/>
          <w:iCs/>
          <w:sz w:val="24"/>
          <w:szCs w:val="24"/>
        </w:rPr>
        <w:t>- )</w:t>
      </w:r>
      <w:r w:rsidRPr="00DF3280">
        <w:rPr>
          <w:rFonts w:ascii="Times" w:eastAsia="Times New Roman" w:hAnsi="Times" w:cs="Times New Roman"/>
          <w:i/>
          <w:sz w:val="24"/>
          <w:szCs w:val="24"/>
        </w:rPr>
        <w:t xml:space="preserve">, [online] 36(3), pp.274–282. Available at: </w:t>
      </w:r>
      <w:hyperlink r:id="rId6" w:history="1">
        <w:r w:rsidRPr="000E2F95">
          <w:rPr>
            <w:rStyle w:val="Hyperlink"/>
            <w:rFonts w:ascii="Times" w:eastAsia="Times New Roman" w:hAnsi="Times" w:cs="Times New Roman"/>
            <w:i/>
            <w:color w:val="auto"/>
            <w:sz w:val="24"/>
            <w:szCs w:val="24"/>
            <w:u w:val="none"/>
          </w:rPr>
          <w:t>https://www.jstor.org/stable/23289717</w:t>
        </w:r>
      </w:hyperlink>
      <w:r w:rsidRPr="00DF3280">
        <w:rPr>
          <w:rFonts w:ascii="Times" w:eastAsia="Times New Roman" w:hAnsi="Times" w:cs="Times New Roman"/>
          <w:i/>
          <w:sz w:val="24"/>
          <w:szCs w:val="24"/>
        </w:rPr>
        <w:t>.</w:t>
      </w:r>
    </w:p>
    <w:p w:rsidR="000E2F95" w:rsidRDefault="000E2F95" w:rsidP="000E2F95">
      <w:pPr>
        <w:spacing w:line="360" w:lineRule="auto"/>
        <w:rPr>
          <w:rFonts w:ascii="Times" w:eastAsia="Times New Roman" w:hAnsi="Times" w:cs="Times New Roman"/>
          <w:sz w:val="24"/>
          <w:szCs w:val="24"/>
        </w:rPr>
      </w:pPr>
    </w:p>
    <w:p w:rsidR="00DF3280" w:rsidRPr="000E2F95" w:rsidRDefault="00DF3280" w:rsidP="000E2F95">
      <w:pPr>
        <w:spacing w:line="360" w:lineRule="auto"/>
        <w:rPr>
          <w:rFonts w:ascii="Times" w:eastAsia="Times New Roman" w:hAnsi="Times" w:cs="Times New Roman"/>
          <w:sz w:val="24"/>
          <w:szCs w:val="24"/>
        </w:rPr>
      </w:pPr>
      <w:r w:rsidRPr="00DF3280">
        <w:rPr>
          <w:rFonts w:ascii="Times" w:eastAsia="Times New Roman" w:hAnsi="Times" w:cs="Times New Roman"/>
          <w:sz w:val="24"/>
          <w:szCs w:val="24"/>
        </w:rPr>
        <w:t xml:space="preserve">The Bus Rapid Transit (BRT) system in Curitiba is examined in the article by Lindau et al., emphasizing its importance as a trailblazing model of sustainable urban transportation. The background information about the creation of Curitiba's BRT system and its effects on urban mobility and sustainability is provided in the introduction. In order to evaluate the design, execution, and effectiveness of Curitiba's BRT system, the study will use a variety of methods, including case study analysis, field observations, </w:t>
      </w:r>
      <w:r w:rsidR="000E2F95" w:rsidRPr="00DF3280">
        <w:rPr>
          <w:rFonts w:ascii="Times" w:eastAsia="Times New Roman" w:hAnsi="Times" w:cs="Times New Roman"/>
          <w:sz w:val="24"/>
          <w:szCs w:val="24"/>
        </w:rPr>
        <w:t>and interviews</w:t>
      </w:r>
      <w:r w:rsidRPr="00DF3280">
        <w:rPr>
          <w:rFonts w:ascii="Times" w:eastAsia="Times New Roman" w:hAnsi="Times" w:cs="Times New Roman"/>
          <w:sz w:val="24"/>
          <w:szCs w:val="24"/>
        </w:rPr>
        <w:t xml:space="preserve"> with important stakeholders, and a review of the literature. </w:t>
      </w:r>
      <w:r w:rsidRPr="000E2F95">
        <w:rPr>
          <w:rFonts w:ascii="Times" w:eastAsia="Times New Roman" w:hAnsi="Times" w:cs="Times New Roman"/>
          <w:sz w:val="24"/>
          <w:szCs w:val="24"/>
        </w:rPr>
        <w:t>With a focus on identifying lessons learned and best practices for BRT implementation in other cities, the study's scope is likely to cover a variety of aspects of Curitiba's BRT system, including its design features, operational strategies, ridership patterns, and social impacts. For scholars, urban planners, and transportation policymakers who want to know what makes BRT system implementation successful and what doesn't, this paper is a great resource. It provides information on the governance frameworks, stakeholder engagement tactics, and planning and design tenets that made Curitiba's BRT system successful. One of the study's possible weaknesses is that it only looks at Curitiba's BRT system as a single case study, which might not accurately reflect the variety of BRT experiences found in other cities or areas. Furthermore, the study might not have included all of the variables that affect the efficacy and performance of BRT, such as political dynamics, socioeconomic circumstances, and patterns of land use. This study adds to a greater understanding of BRT's potential as a sustainable urban transportation solution by analyzing Curitiba's BRT system. It provides insightful information and lessons learned that can guide BRT design and implementation initiatives in other cities, advancing the global goals of sustainable urban mobility.</w:t>
      </w:r>
    </w:p>
    <w:p w:rsidR="00DF3280" w:rsidRPr="000E2F95" w:rsidRDefault="00DF3280" w:rsidP="000E2F95">
      <w:pPr>
        <w:spacing w:line="360" w:lineRule="auto"/>
        <w:rPr>
          <w:rFonts w:ascii="Times" w:eastAsia="Times New Roman" w:hAnsi="Times" w:cs="Times New Roman"/>
          <w:sz w:val="24"/>
          <w:szCs w:val="24"/>
        </w:rPr>
      </w:pPr>
    </w:p>
    <w:p w:rsidR="00DF3280" w:rsidRPr="00DF3280" w:rsidRDefault="00DF3280" w:rsidP="000E2F95">
      <w:pPr>
        <w:spacing w:after="0" w:line="360" w:lineRule="auto"/>
        <w:rPr>
          <w:rFonts w:ascii="Times" w:eastAsia="Times New Roman" w:hAnsi="Times" w:cs="Times New Roman"/>
          <w:sz w:val="24"/>
          <w:szCs w:val="24"/>
        </w:rPr>
      </w:pPr>
    </w:p>
    <w:p w:rsidR="00DF3280" w:rsidRPr="00DF3280" w:rsidRDefault="00DF3280" w:rsidP="000E2F95">
      <w:pPr>
        <w:spacing w:after="240" w:line="360" w:lineRule="auto"/>
        <w:rPr>
          <w:rFonts w:ascii="Times" w:eastAsia="Times New Roman" w:hAnsi="Times" w:cs="Times New Roman"/>
          <w:sz w:val="24"/>
          <w:szCs w:val="24"/>
        </w:rPr>
      </w:pPr>
    </w:p>
    <w:p w:rsidR="00DF3280" w:rsidRPr="000E2F95" w:rsidRDefault="00DF3280" w:rsidP="000E2F95">
      <w:pPr>
        <w:spacing w:after="240" w:line="360" w:lineRule="auto"/>
        <w:rPr>
          <w:rFonts w:ascii="Times" w:eastAsia="Times New Roman" w:hAnsi="Times" w:cs="Times New Roman"/>
          <w:i/>
          <w:sz w:val="24"/>
          <w:szCs w:val="24"/>
        </w:rPr>
      </w:pPr>
      <w:r w:rsidRPr="00DF3280">
        <w:rPr>
          <w:rFonts w:ascii="Times" w:eastAsia="Times New Roman" w:hAnsi="Times" w:cs="Times New Roman"/>
          <w:i/>
          <w:sz w:val="24"/>
          <w:szCs w:val="24"/>
        </w:rPr>
        <w:lastRenderedPageBreak/>
        <w:t xml:space="preserve">StudySmarter UK. (n.d.). </w:t>
      </w:r>
      <w:r w:rsidR="000E2F95" w:rsidRPr="00DF3280">
        <w:rPr>
          <w:rFonts w:ascii="Times" w:eastAsia="Times New Roman" w:hAnsi="Times" w:cs="Times New Roman"/>
          <w:i/>
          <w:iCs/>
          <w:sz w:val="24"/>
          <w:szCs w:val="24"/>
        </w:rPr>
        <w:t>Urbanization</w:t>
      </w:r>
      <w:r w:rsidRPr="00DF3280">
        <w:rPr>
          <w:rFonts w:ascii="Times" w:eastAsia="Times New Roman" w:hAnsi="Times" w:cs="Times New Roman"/>
          <w:i/>
          <w:iCs/>
          <w:sz w:val="24"/>
          <w:szCs w:val="24"/>
        </w:rPr>
        <w:t>: Meaning, Causes &amp; Examples | StudySmarter</w:t>
      </w:r>
      <w:r w:rsidRPr="00DF3280">
        <w:rPr>
          <w:rFonts w:ascii="Times" w:eastAsia="Times New Roman" w:hAnsi="Times" w:cs="Times New Roman"/>
          <w:i/>
          <w:sz w:val="24"/>
          <w:szCs w:val="24"/>
        </w:rPr>
        <w:t>. [</w:t>
      </w:r>
      <w:r w:rsidR="000E2F95" w:rsidRPr="00DF3280">
        <w:rPr>
          <w:rFonts w:ascii="Times" w:eastAsia="Times New Roman" w:hAnsi="Times" w:cs="Times New Roman"/>
          <w:i/>
          <w:sz w:val="24"/>
          <w:szCs w:val="24"/>
        </w:rPr>
        <w:t>Online</w:t>
      </w:r>
      <w:r w:rsidRPr="00DF3280">
        <w:rPr>
          <w:rFonts w:ascii="Times" w:eastAsia="Times New Roman" w:hAnsi="Times" w:cs="Times New Roman"/>
          <w:i/>
          <w:sz w:val="24"/>
          <w:szCs w:val="24"/>
        </w:rPr>
        <w:t xml:space="preserve">] Available at: </w:t>
      </w:r>
      <w:hyperlink r:id="rId7" w:anchor=":~:text=More%20and%20more%20people%20live" w:history="1">
        <w:r w:rsidRPr="000E2F95">
          <w:rPr>
            <w:rStyle w:val="Hyperlink"/>
            <w:rFonts w:ascii="Times" w:eastAsia="Times New Roman" w:hAnsi="Times" w:cs="Times New Roman"/>
            <w:i/>
            <w:color w:val="auto"/>
            <w:sz w:val="24"/>
            <w:szCs w:val="24"/>
            <w:u w:val="none"/>
          </w:rPr>
          <w:t>https://www.studysmarter.co.uk/explanations/social-studies/global-development/urbanisation/#:~:text=More%20and%20more%20people%20live</w:t>
        </w:r>
      </w:hyperlink>
      <w:r w:rsidRPr="00DF3280">
        <w:rPr>
          <w:rFonts w:ascii="Times" w:eastAsia="Times New Roman" w:hAnsi="Times" w:cs="Times New Roman"/>
          <w:i/>
          <w:sz w:val="24"/>
          <w:szCs w:val="24"/>
        </w:rPr>
        <w:t>.</w:t>
      </w:r>
    </w:p>
    <w:p w:rsidR="00DF3280" w:rsidRPr="000E2F95" w:rsidRDefault="00DF3280" w:rsidP="000E2F95">
      <w:pPr>
        <w:spacing w:after="240" w:line="360" w:lineRule="auto"/>
        <w:rPr>
          <w:rFonts w:ascii="Times" w:eastAsia="Times New Roman" w:hAnsi="Times" w:cs="Times New Roman"/>
          <w:sz w:val="24"/>
          <w:szCs w:val="24"/>
        </w:rPr>
      </w:pPr>
    </w:p>
    <w:p w:rsidR="00DF3280" w:rsidRPr="000E2F95" w:rsidRDefault="00DF3280" w:rsidP="000E2F95">
      <w:pPr>
        <w:spacing w:line="360" w:lineRule="auto"/>
        <w:rPr>
          <w:rFonts w:ascii="Times" w:eastAsia="Times New Roman" w:hAnsi="Times" w:cs="Times New Roman"/>
          <w:sz w:val="24"/>
          <w:szCs w:val="24"/>
        </w:rPr>
      </w:pPr>
      <w:r w:rsidRPr="00DF3280">
        <w:rPr>
          <w:rFonts w:ascii="Times" w:eastAsia="Times New Roman" w:hAnsi="Times" w:cs="Times New Roman"/>
          <w:sz w:val="24"/>
          <w:szCs w:val="24"/>
        </w:rPr>
        <w:t>The given source explores the definition, reasons behind, and instances of urbanization, illuminating its complex dynamics in the context of social studies and the discourse surrounding global development. Understanding the processes and effects of urbanization may be one of the study's objectives, and data analysis, case studies, and a review of the literature may be used as research methods to examine pertinent theor</w:t>
      </w:r>
      <w:r w:rsidR="00564B1F">
        <w:rPr>
          <w:rFonts w:ascii="Times" w:eastAsia="Times New Roman" w:hAnsi="Times" w:cs="Times New Roman"/>
          <w:sz w:val="24"/>
          <w:szCs w:val="24"/>
        </w:rPr>
        <w:t xml:space="preserve">ies and empirical evidence. This source </w:t>
      </w:r>
      <w:r w:rsidRPr="00DF3280">
        <w:rPr>
          <w:rFonts w:ascii="Times" w:eastAsia="Times New Roman" w:hAnsi="Times" w:cs="Times New Roman"/>
          <w:sz w:val="24"/>
          <w:szCs w:val="24"/>
        </w:rPr>
        <w:t xml:space="preserve">includes a variety of urbanization-related topics, including population changes, economic developments, infrastructure construction, and social transformations, both globally and in particular places or situations. </w:t>
      </w:r>
      <w:r w:rsidRPr="000E2F95">
        <w:rPr>
          <w:rFonts w:ascii="Times" w:eastAsia="Times New Roman" w:hAnsi="Times" w:cs="Times New Roman"/>
          <w:sz w:val="24"/>
          <w:szCs w:val="24"/>
        </w:rPr>
        <w:t>For academics, decision-makers, and professionals who want to comprehend the intricacies of urbanization and its effects on sustainability, economic g</w:t>
      </w:r>
      <w:r w:rsidR="000E2F95">
        <w:rPr>
          <w:rFonts w:ascii="Times" w:eastAsia="Times New Roman" w:hAnsi="Times" w:cs="Times New Roman"/>
          <w:sz w:val="24"/>
          <w:szCs w:val="24"/>
        </w:rPr>
        <w:t xml:space="preserve">rowth, and societal development </w:t>
      </w:r>
      <w:r w:rsidRPr="000E2F95">
        <w:rPr>
          <w:rFonts w:ascii="Times" w:eastAsia="Times New Roman" w:hAnsi="Times" w:cs="Times New Roman"/>
          <w:sz w:val="24"/>
          <w:szCs w:val="24"/>
        </w:rPr>
        <w:t xml:space="preserve">this study offers insightful information. The </w:t>
      </w:r>
      <w:r w:rsidR="00564B1F" w:rsidRPr="000E2F95">
        <w:rPr>
          <w:rFonts w:ascii="Times" w:eastAsia="Times New Roman" w:hAnsi="Times" w:cs="Times New Roman"/>
          <w:sz w:val="24"/>
          <w:szCs w:val="24"/>
        </w:rPr>
        <w:t>study</w:t>
      </w:r>
      <w:r w:rsidR="00564B1F">
        <w:rPr>
          <w:rFonts w:ascii="Times" w:eastAsia="Times New Roman" w:hAnsi="Times" w:cs="Times New Roman"/>
          <w:sz w:val="24"/>
          <w:szCs w:val="24"/>
        </w:rPr>
        <w:t xml:space="preserve"> </w:t>
      </w:r>
      <w:r w:rsidR="00564B1F" w:rsidRPr="000E2F95">
        <w:rPr>
          <w:rFonts w:ascii="Times" w:eastAsia="Times New Roman" w:hAnsi="Times" w:cs="Times New Roman"/>
          <w:sz w:val="24"/>
          <w:szCs w:val="24"/>
        </w:rPr>
        <w:t>has</w:t>
      </w:r>
      <w:r w:rsidRPr="000E2F95">
        <w:rPr>
          <w:rFonts w:ascii="Times" w:eastAsia="Times New Roman" w:hAnsi="Times" w:cs="Times New Roman"/>
          <w:sz w:val="24"/>
          <w:szCs w:val="24"/>
        </w:rPr>
        <w:t xml:space="preserve"> limitations related to data restrictions, methodological biases, and the generalizability of findings across various socio-cultural contexts. These limitations may have an impact on the validity and comprehensiveness of the research outcomes. This study adds to a better understanding of urbanization and its significance within the larger conversation on social studies and global development by looking at the definition, causes, and examples of the phenomena. It provides fundamental information for additional study and analysis in this area and sheds light on the dynamics of urbanization and how it affects modern society.</w:t>
      </w:r>
    </w:p>
    <w:p w:rsidR="00DF3280" w:rsidRPr="000E2F95" w:rsidRDefault="00DF3280" w:rsidP="000E2F95">
      <w:pPr>
        <w:spacing w:line="360" w:lineRule="auto"/>
        <w:rPr>
          <w:rFonts w:ascii="Times" w:eastAsia="Times New Roman" w:hAnsi="Times" w:cs="Times New Roman"/>
          <w:sz w:val="24"/>
          <w:szCs w:val="24"/>
        </w:rPr>
      </w:pPr>
    </w:p>
    <w:p w:rsidR="00DF3280" w:rsidRPr="000E2F95" w:rsidRDefault="00DF3280" w:rsidP="000E2F95">
      <w:pPr>
        <w:spacing w:after="240" w:line="360" w:lineRule="auto"/>
        <w:rPr>
          <w:rFonts w:ascii="Times" w:eastAsia="Times New Roman" w:hAnsi="Times" w:cs="Times New Roman"/>
          <w:i/>
          <w:sz w:val="24"/>
          <w:szCs w:val="24"/>
        </w:rPr>
      </w:pPr>
      <w:r w:rsidRPr="00DF3280">
        <w:rPr>
          <w:rFonts w:ascii="Times" w:eastAsia="Times New Roman" w:hAnsi="Times" w:cs="Times New Roman"/>
          <w:i/>
          <w:sz w:val="24"/>
          <w:szCs w:val="24"/>
        </w:rPr>
        <w:t xml:space="preserve">United Nations Statistics Division (2019). </w:t>
      </w:r>
      <w:r w:rsidRPr="00DF3280">
        <w:rPr>
          <w:rFonts w:ascii="Times" w:eastAsia="Times New Roman" w:hAnsi="Times" w:cs="Times New Roman"/>
          <w:i/>
          <w:iCs/>
          <w:sz w:val="24"/>
          <w:szCs w:val="24"/>
        </w:rPr>
        <w:t>SDG Indicators</w:t>
      </w:r>
      <w:r w:rsidRPr="00DF3280">
        <w:rPr>
          <w:rFonts w:ascii="Times" w:eastAsia="Times New Roman" w:hAnsi="Times" w:cs="Times New Roman"/>
          <w:i/>
          <w:sz w:val="24"/>
          <w:szCs w:val="24"/>
        </w:rPr>
        <w:t>. [</w:t>
      </w:r>
      <w:r w:rsidR="00564B1F" w:rsidRPr="00DF3280">
        <w:rPr>
          <w:rFonts w:ascii="Times" w:eastAsia="Times New Roman" w:hAnsi="Times" w:cs="Times New Roman"/>
          <w:i/>
          <w:sz w:val="24"/>
          <w:szCs w:val="24"/>
        </w:rPr>
        <w:t>Online</w:t>
      </w:r>
      <w:r w:rsidRPr="00DF3280">
        <w:rPr>
          <w:rFonts w:ascii="Times" w:eastAsia="Times New Roman" w:hAnsi="Times" w:cs="Times New Roman"/>
          <w:i/>
          <w:sz w:val="24"/>
          <w:szCs w:val="24"/>
        </w:rPr>
        <w:t xml:space="preserve">] Un.org. Available at: </w:t>
      </w:r>
      <w:hyperlink r:id="rId8" w:history="1">
        <w:r w:rsidRPr="000E2F95">
          <w:rPr>
            <w:rStyle w:val="Hyperlink"/>
            <w:rFonts w:ascii="Times" w:eastAsia="Times New Roman" w:hAnsi="Times" w:cs="Times New Roman"/>
            <w:i/>
            <w:color w:val="auto"/>
            <w:sz w:val="24"/>
            <w:szCs w:val="24"/>
            <w:u w:val="none"/>
          </w:rPr>
          <w:t>https://unstats.un.org/sdgs/report/2019/goal-11/</w:t>
        </w:r>
      </w:hyperlink>
      <w:r w:rsidRPr="00DF3280">
        <w:rPr>
          <w:rFonts w:ascii="Times" w:eastAsia="Times New Roman" w:hAnsi="Times" w:cs="Times New Roman"/>
          <w:i/>
          <w:sz w:val="24"/>
          <w:szCs w:val="24"/>
        </w:rPr>
        <w:t>.</w:t>
      </w:r>
    </w:p>
    <w:p w:rsidR="00DF3280" w:rsidRPr="000E2F95" w:rsidRDefault="00DF3280" w:rsidP="000E2F95">
      <w:pPr>
        <w:spacing w:after="240" w:line="360" w:lineRule="auto"/>
        <w:rPr>
          <w:rFonts w:ascii="Times" w:eastAsia="Times New Roman" w:hAnsi="Times" w:cs="Times New Roman"/>
          <w:sz w:val="24"/>
          <w:szCs w:val="24"/>
        </w:rPr>
      </w:pPr>
    </w:p>
    <w:p w:rsidR="000E2F95" w:rsidRDefault="00D7120B" w:rsidP="000E2F95">
      <w:pPr>
        <w:spacing w:line="360" w:lineRule="auto"/>
        <w:rPr>
          <w:rFonts w:ascii="Times" w:eastAsia="Times New Roman" w:hAnsi="Times" w:cs="Times New Roman"/>
          <w:sz w:val="24"/>
          <w:szCs w:val="24"/>
        </w:rPr>
      </w:pPr>
      <w:r w:rsidRPr="00D7120B">
        <w:rPr>
          <w:rFonts w:ascii="Times" w:eastAsia="Times New Roman" w:hAnsi="Times" w:cs="Times New Roman"/>
          <w:sz w:val="24"/>
          <w:szCs w:val="24"/>
        </w:rPr>
        <w:t xml:space="preserve">The Sustainable Development Goal 11 (SDG 11) report on SDG Indicators from the United Nations Statistics Division gives a summary of the progress made in reaching the goal of "Sustainable Cities and Communities." The significance of SDG 11 in the global development agenda is probably discussed in the introduction, along with important metrics and goals </w:t>
      </w:r>
      <w:r w:rsidRPr="00D7120B">
        <w:rPr>
          <w:rFonts w:ascii="Times" w:eastAsia="Times New Roman" w:hAnsi="Times" w:cs="Times New Roman"/>
          <w:sz w:val="24"/>
          <w:szCs w:val="24"/>
        </w:rPr>
        <w:lastRenderedPageBreak/>
        <w:t xml:space="preserve">pertaining to urban resilience and sustainability. Using a combination of data collecting, analysis, and reporting techniques, the study tracks trends and patterns in urban development indicators across various nations and areas in order to evaluate the progress made towards SDG 11 targets. </w:t>
      </w:r>
      <w:r w:rsidRPr="000E2F95">
        <w:rPr>
          <w:rFonts w:ascii="Times" w:eastAsia="Times New Roman" w:hAnsi="Times" w:cs="Times New Roman"/>
          <w:sz w:val="24"/>
          <w:szCs w:val="24"/>
        </w:rPr>
        <w:t xml:space="preserve"> With a focus on tracking progress towards achieving SDG 11 targets by 2030, the report's scope covers a wide range of indicators related to urban sustainability and resilience, including but not limited to access to basic services, housing affordability, environmental quality, disaster risk reduction, and participatory urban governance. Policymakers, development professionals, and researchers who want to track and assess the advancement of sustainable urban development may find great value in this paper. It provides thorough information and analysis on important urban sustainability indicators, which can guide initiatives and policy choices meant to advance inclusive and resilient cities. Data shortages, methodological issues, and the need for more contextualization and disaggregation of urban development indicators to highlight the many realities and difficulties encountered by various urban people and groups could be some of the report's potential shortcomings. This research helps to better understand the opportunities and challenges related to urban development by offering insights into SDG 11 indicators and the progress made toward creating sustainable cities and communities. It provides insightful data that may direct investments and policy decisions in the direction of creating more resilient, inclusive, and sustainable cities for both the present and the future.</w:t>
      </w:r>
    </w:p>
    <w:p w:rsidR="000E2F95" w:rsidRDefault="000E2F95" w:rsidP="000E2F95">
      <w:pPr>
        <w:spacing w:line="360" w:lineRule="auto"/>
        <w:rPr>
          <w:rFonts w:ascii="Times" w:eastAsia="Times New Roman" w:hAnsi="Times" w:cs="Times New Roman"/>
          <w:sz w:val="24"/>
          <w:szCs w:val="24"/>
        </w:rPr>
      </w:pPr>
    </w:p>
    <w:p w:rsidR="00DF3280" w:rsidRPr="000E2F95" w:rsidRDefault="00DF3280" w:rsidP="000E2F95">
      <w:pPr>
        <w:spacing w:line="360" w:lineRule="auto"/>
        <w:rPr>
          <w:rFonts w:ascii="Times" w:eastAsia="Times New Roman" w:hAnsi="Times" w:cs="Times New Roman"/>
          <w:i/>
          <w:sz w:val="24"/>
          <w:szCs w:val="24"/>
        </w:rPr>
      </w:pPr>
      <w:r w:rsidRPr="00DF3280">
        <w:rPr>
          <w:rFonts w:ascii="Times" w:eastAsia="Times New Roman" w:hAnsi="Times" w:cs="Times New Roman"/>
          <w:i/>
          <w:sz w:val="24"/>
          <w:szCs w:val="24"/>
        </w:rPr>
        <w:t xml:space="preserve">www.delib.net. (n.d.). </w:t>
      </w:r>
      <w:r w:rsidRPr="00DF3280">
        <w:rPr>
          <w:rFonts w:ascii="Times" w:eastAsia="Times New Roman" w:hAnsi="Times" w:cs="Times New Roman"/>
          <w:i/>
          <w:iCs/>
          <w:sz w:val="24"/>
          <w:szCs w:val="24"/>
        </w:rPr>
        <w:t>Delib | Next-generation engagement</w:t>
      </w:r>
      <w:r w:rsidRPr="00DF3280">
        <w:rPr>
          <w:rFonts w:ascii="Times" w:eastAsia="Times New Roman" w:hAnsi="Times" w:cs="Times New Roman"/>
          <w:i/>
          <w:sz w:val="24"/>
          <w:szCs w:val="24"/>
        </w:rPr>
        <w:t>. [</w:t>
      </w:r>
      <w:r w:rsidR="00564B1F" w:rsidRPr="00DF3280">
        <w:rPr>
          <w:rFonts w:ascii="Times" w:eastAsia="Times New Roman" w:hAnsi="Times" w:cs="Times New Roman"/>
          <w:i/>
          <w:sz w:val="24"/>
          <w:szCs w:val="24"/>
        </w:rPr>
        <w:t>Online</w:t>
      </w:r>
      <w:r w:rsidRPr="00DF3280">
        <w:rPr>
          <w:rFonts w:ascii="Times" w:eastAsia="Times New Roman" w:hAnsi="Times" w:cs="Times New Roman"/>
          <w:i/>
          <w:sz w:val="24"/>
          <w:szCs w:val="24"/>
        </w:rPr>
        <w:t>] Available at: https://www.delib.net/?mtm_campaign=Namebid&amp;mtm_source=google&amp;mtm_medium=ppc&amp;gad_source=1. [Accessed 8 Mar. 2024].</w:t>
      </w:r>
    </w:p>
    <w:p w:rsidR="00DF3280" w:rsidRPr="000E2F95" w:rsidRDefault="00DF3280" w:rsidP="000E2F95">
      <w:pPr>
        <w:spacing w:after="240" w:line="360" w:lineRule="auto"/>
        <w:rPr>
          <w:rFonts w:ascii="Times" w:eastAsia="Times New Roman" w:hAnsi="Times" w:cs="Times New Roman"/>
          <w:sz w:val="24"/>
          <w:szCs w:val="24"/>
        </w:rPr>
      </w:pPr>
    </w:p>
    <w:p w:rsidR="00D7120B" w:rsidRPr="000E2F95" w:rsidRDefault="00564B1F" w:rsidP="000E2F95">
      <w:pPr>
        <w:spacing w:line="360" w:lineRule="auto"/>
        <w:rPr>
          <w:rFonts w:ascii="Times" w:eastAsia="Times New Roman" w:hAnsi="Times" w:cs="Times New Roman"/>
          <w:sz w:val="24"/>
          <w:szCs w:val="24"/>
        </w:rPr>
      </w:pPr>
      <w:r>
        <w:rPr>
          <w:rFonts w:ascii="Times" w:eastAsia="Times New Roman" w:hAnsi="Times" w:cs="Times New Roman"/>
          <w:sz w:val="24"/>
          <w:szCs w:val="24"/>
        </w:rPr>
        <w:t>On thi</w:t>
      </w:r>
      <w:r w:rsidR="00D7120B" w:rsidRPr="00D7120B">
        <w:rPr>
          <w:rFonts w:ascii="Times" w:eastAsia="Times New Roman" w:hAnsi="Times" w:cs="Times New Roman"/>
          <w:sz w:val="24"/>
          <w:szCs w:val="24"/>
        </w:rPr>
        <w:t xml:space="preserve">s website, Delib presents its platform as Next-Generation interaction, implying that it provides creative approaches to public consultation and interaction. </w:t>
      </w:r>
      <w:r>
        <w:rPr>
          <w:rFonts w:ascii="Times" w:eastAsia="Times New Roman" w:hAnsi="Times" w:cs="Times New Roman"/>
          <w:sz w:val="24"/>
          <w:szCs w:val="24"/>
        </w:rPr>
        <w:t>T</w:t>
      </w:r>
      <w:r w:rsidR="00D7120B" w:rsidRPr="00D7120B">
        <w:rPr>
          <w:rFonts w:ascii="Times" w:eastAsia="Times New Roman" w:hAnsi="Times" w:cs="Times New Roman"/>
          <w:sz w:val="24"/>
          <w:szCs w:val="24"/>
        </w:rPr>
        <w:t xml:space="preserve">he introduction describes Delib's strategy for encouraging significant engagement and cooperation between public authorities, groups, and individuals. Using case studies, customer endorsements, and product specifications, the website most likely seeks to highlight Delib's engagement tools and approaches and illustrate how the platform facilitates inclusive, transparent, and effective public participation procedures. </w:t>
      </w:r>
      <w:r w:rsidR="00D7120B" w:rsidRPr="000E2F95">
        <w:rPr>
          <w:rFonts w:ascii="Times" w:eastAsia="Times New Roman" w:hAnsi="Times" w:cs="Times New Roman"/>
          <w:sz w:val="24"/>
          <w:szCs w:val="24"/>
        </w:rPr>
        <w:t xml:space="preserve">Research techniques to improve the efficacy of Delib's engagement </w:t>
      </w:r>
      <w:r w:rsidR="00D7120B" w:rsidRPr="000E2F95">
        <w:rPr>
          <w:rFonts w:ascii="Times" w:eastAsia="Times New Roman" w:hAnsi="Times" w:cs="Times New Roman"/>
          <w:sz w:val="24"/>
          <w:szCs w:val="24"/>
        </w:rPr>
        <w:lastRenderedPageBreak/>
        <w:t>tools could include usability testing, user input, and iterative design procedures. The website's scope probably includes a number of public engagement and consultation activities, such as crowd sourcing campaigns, online surveys, deliberative forums, and participatory budgeting, with an emphasis on highlighting Delib's experience and reputation in fostering fruitful relationships between the public and governing bodies. For government agencies, public sector companies, and community groups looking to improve their public engagement strategies, this website is a great resource. It provides information on cutting-edge strategies and industry best practices for using technology to advance democratic governance, accountability, and transparency. One of the website's possible drawbacks could be its emphasis on promoting Delib's goods and services, which might not accurately reflect the range of strategies and resources available for public participation. Furthermore, not all of the difficulties and complexities involved in creating and putting into practice successful engagement processes in various sociopolitical contexts may be covered by the website. Through the presentation of Next-Generation Engagement solutions, this website advances the fields of democratic governance and public engagement. It provides stakeholders with useful tools and tactics to encourage communication, cooperation, and co-creation between citizens and governments, resulting in more responsive and inclusive decision-making processes.</w:t>
      </w:r>
      <w:r w:rsidR="00820033" w:rsidRPr="000E2F95">
        <w:rPr>
          <w:rFonts w:ascii="Times" w:eastAsia="Times New Roman" w:hAnsi="Times" w:cs="Times New Roman"/>
          <w:sz w:val="24"/>
          <w:szCs w:val="24"/>
        </w:rPr>
        <w:t xml:space="preserve"> </w:t>
      </w:r>
    </w:p>
    <w:p w:rsidR="00D7120B" w:rsidRPr="000E2F95" w:rsidRDefault="00D7120B" w:rsidP="000E2F95">
      <w:pPr>
        <w:spacing w:line="360" w:lineRule="auto"/>
        <w:rPr>
          <w:rFonts w:ascii="Times" w:eastAsia="Times New Roman" w:hAnsi="Times" w:cs="Times New Roman"/>
          <w:sz w:val="24"/>
          <w:szCs w:val="24"/>
        </w:rPr>
      </w:pPr>
    </w:p>
    <w:p w:rsidR="00820033" w:rsidRPr="000E2F95" w:rsidRDefault="00820033" w:rsidP="000E2F95">
      <w:pPr>
        <w:pStyle w:val="NormalWeb"/>
        <w:spacing w:before="0" w:beforeAutospacing="0" w:after="240" w:afterAutospacing="0" w:line="360" w:lineRule="auto"/>
        <w:rPr>
          <w:rFonts w:ascii="Times" w:hAnsi="Times"/>
          <w:i/>
        </w:rPr>
      </w:pPr>
      <w:r w:rsidRPr="000E2F95">
        <w:rPr>
          <w:rFonts w:ascii="Times" w:hAnsi="Times"/>
          <w:i/>
        </w:rPr>
        <w:t xml:space="preserve">www.panasonic.com. (n.d.). </w:t>
      </w:r>
      <w:r w:rsidRPr="000E2F95">
        <w:rPr>
          <w:rFonts w:ascii="Times" w:hAnsi="Times"/>
          <w:i/>
          <w:iCs/>
        </w:rPr>
        <w:t>Sustainability - About Us - Panasonic UK &amp; Ireland</w:t>
      </w:r>
      <w:r w:rsidRPr="000E2F95">
        <w:rPr>
          <w:rFonts w:ascii="Times" w:hAnsi="Times"/>
          <w:i/>
        </w:rPr>
        <w:t>. [</w:t>
      </w:r>
      <w:r w:rsidR="00564B1F" w:rsidRPr="000E2F95">
        <w:rPr>
          <w:rFonts w:ascii="Times" w:hAnsi="Times"/>
          <w:i/>
        </w:rPr>
        <w:t>Online</w:t>
      </w:r>
      <w:r w:rsidRPr="000E2F95">
        <w:rPr>
          <w:rFonts w:ascii="Times" w:hAnsi="Times"/>
          <w:i/>
        </w:rPr>
        <w:t>] Available at: https://www.panasonic.com/uk/corporate/sustainability.html?utm_source=google&amp;utm_medium=cpc&amp;utm_campaign=pgi2023&amp;gad_source=1. [Accessed 8 Mar. 2024].</w:t>
      </w:r>
    </w:p>
    <w:p w:rsidR="00820033" w:rsidRPr="000E2F95" w:rsidRDefault="00820033" w:rsidP="000E2F95">
      <w:pPr>
        <w:pStyle w:val="NormalWeb"/>
        <w:spacing w:before="0" w:beforeAutospacing="0" w:after="240" w:afterAutospacing="0" w:line="360" w:lineRule="auto"/>
        <w:rPr>
          <w:rFonts w:ascii="Times" w:hAnsi="Times"/>
        </w:rPr>
      </w:pPr>
    </w:p>
    <w:p w:rsidR="00820033" w:rsidRPr="000E2F95" w:rsidRDefault="00820033" w:rsidP="000E2F95">
      <w:pPr>
        <w:spacing w:line="360" w:lineRule="auto"/>
        <w:rPr>
          <w:rFonts w:ascii="Times" w:eastAsia="Times New Roman" w:hAnsi="Times" w:cs="Times New Roman"/>
          <w:sz w:val="24"/>
          <w:szCs w:val="24"/>
        </w:rPr>
      </w:pPr>
      <w:r w:rsidRPr="00820033">
        <w:rPr>
          <w:rFonts w:ascii="Times" w:eastAsia="Times New Roman" w:hAnsi="Times" w:cs="Times New Roman"/>
          <w:sz w:val="24"/>
          <w:szCs w:val="24"/>
        </w:rPr>
        <w:t>Details regarding Panasonic's sustainability pledges and activities may be found on the company's UK &amp; Ireland website. It is likely that Panasonic's approach to sustainability and its attempts to incorporate social and environmental concerns into its business operations are described in the introduction. Using a combination of case studies, reports, and multimedia content, the website attempts to highlight Panasonic's sustainability initiatives. It does this by showcasing the company's accomplishments, objectives, and tactics in areas like supply chain management, corporate social responsibility, energy efficiency, and waste reduction.</w:t>
      </w:r>
      <w:r w:rsidRPr="000E2F95">
        <w:rPr>
          <w:rFonts w:ascii="Times" w:eastAsia="Times New Roman" w:hAnsi="Times" w:cs="Times New Roman"/>
          <w:sz w:val="24"/>
          <w:szCs w:val="24"/>
        </w:rPr>
        <w:t xml:space="preserve"> The </w:t>
      </w:r>
      <w:r w:rsidRPr="000E2F95">
        <w:rPr>
          <w:rFonts w:ascii="Times" w:eastAsia="Times New Roman" w:hAnsi="Times" w:cs="Times New Roman"/>
          <w:sz w:val="24"/>
          <w:szCs w:val="24"/>
        </w:rPr>
        <w:lastRenderedPageBreak/>
        <w:t xml:space="preserve">evaluation of the effects of Panasonic's sustainability initiatives may involve performance monitoring, stakeholder involvement, and data collecting as research approaches. The website's scope probably includes a number of topics related to Panasonic's sustainability agenda, such as stakeholder engagement, social responsibility, environmental stewardship, and ethical business practices, with an emphasis on showcasing the company's dedication to corporate citizenship and sustainable development. For stakeholders seeking to comprehend Panasonic's commitment to sustainability and its contributions to tackling global environmental and social concerns, this website is an invaluable resource. It provides information about the company's sustainability objectives, goals, and performance indicators, which can help with stakeholder involvement and decision-making processes. One of the website's possible drawbacks would be its emphasis on highlighting Panasonic's sustainability activities and accomplishments, which might not accurately reflect the company's sustainability issues or areas in need of development. Furthermore, it's possible that the website lacks thorough information about the possible negative effects Panasonic's operations and goods may have on the environment and society over the course of their lifetime. This website helps spread awareness of the value of corporate sustainability and ethical business practices by offering details about Panasonic's sustainability activities. It provides stakeholders with insightful information and tools that can help teamwork in achieving sustainability objectives and having a good social and environmental impact. </w:t>
      </w:r>
    </w:p>
    <w:p w:rsidR="00820033" w:rsidRPr="000E2F95" w:rsidRDefault="00820033" w:rsidP="000E2F95">
      <w:pPr>
        <w:spacing w:line="360" w:lineRule="auto"/>
        <w:rPr>
          <w:rFonts w:ascii="Times" w:eastAsia="Times New Roman" w:hAnsi="Times" w:cs="Times New Roman"/>
          <w:sz w:val="24"/>
          <w:szCs w:val="24"/>
        </w:rPr>
      </w:pPr>
    </w:p>
    <w:p w:rsidR="00DF3280" w:rsidRPr="00DF3280" w:rsidRDefault="00DF3280" w:rsidP="000E2F95">
      <w:pPr>
        <w:spacing w:after="240" w:line="360" w:lineRule="auto"/>
        <w:rPr>
          <w:rFonts w:ascii="Times" w:eastAsia="Times New Roman" w:hAnsi="Times" w:cs="Times New Roman"/>
          <w:i/>
          <w:sz w:val="24"/>
          <w:szCs w:val="24"/>
        </w:rPr>
      </w:pPr>
      <w:r w:rsidRPr="00DF3280">
        <w:rPr>
          <w:rFonts w:ascii="Times" w:eastAsia="Times New Roman" w:hAnsi="Times" w:cs="Times New Roman"/>
          <w:i/>
          <w:sz w:val="24"/>
          <w:szCs w:val="24"/>
        </w:rPr>
        <w:t xml:space="preserve">www.qub.ac.uk. (2022). </w:t>
      </w:r>
      <w:r w:rsidRPr="00DF3280">
        <w:rPr>
          <w:rFonts w:ascii="Times" w:eastAsia="Times New Roman" w:hAnsi="Times" w:cs="Times New Roman"/>
          <w:i/>
          <w:iCs/>
          <w:sz w:val="24"/>
          <w:szCs w:val="24"/>
        </w:rPr>
        <w:t>City Planning and Design | Campaigns | Queen’s University Belfast</w:t>
      </w:r>
      <w:r w:rsidRPr="00DF3280">
        <w:rPr>
          <w:rFonts w:ascii="Times" w:eastAsia="Times New Roman" w:hAnsi="Times" w:cs="Times New Roman"/>
          <w:i/>
          <w:sz w:val="24"/>
          <w:szCs w:val="24"/>
        </w:rPr>
        <w:t>. [</w:t>
      </w:r>
      <w:r w:rsidR="00564B1F" w:rsidRPr="00DF3280">
        <w:rPr>
          <w:rFonts w:ascii="Times" w:eastAsia="Times New Roman" w:hAnsi="Times" w:cs="Times New Roman"/>
          <w:i/>
          <w:sz w:val="24"/>
          <w:szCs w:val="24"/>
        </w:rPr>
        <w:t>Online</w:t>
      </w:r>
      <w:r w:rsidRPr="00DF3280">
        <w:rPr>
          <w:rFonts w:ascii="Times" w:eastAsia="Times New Roman" w:hAnsi="Times" w:cs="Times New Roman"/>
          <w:i/>
          <w:sz w:val="24"/>
          <w:szCs w:val="24"/>
        </w:rPr>
        <w:t>] Available at: https://www.qub.ac.uk/campaign/eps/pg/city-planning-design-msc/?utm_source=google&amp;utm_medium=cpc&amp;utm_campaign=eps_dom_pgt_cityplandes_23_24&amp;gad_source=1&amp;gclid=CjwKCAiAopuvBhBCEiwAm8jaMVc1qqKZxa-RpT_f-TT9sR7Dy7p_GJzstZw5gDhwUrjOET3PLxRj5RoCkLIQAvD_BwE.</w:t>
      </w:r>
    </w:p>
    <w:p w:rsidR="009603D2" w:rsidRPr="000E2F95" w:rsidRDefault="009603D2" w:rsidP="000E2F95">
      <w:pPr>
        <w:spacing w:line="360" w:lineRule="auto"/>
        <w:rPr>
          <w:rFonts w:ascii="Times" w:hAnsi="Times"/>
          <w:sz w:val="24"/>
          <w:szCs w:val="24"/>
        </w:rPr>
      </w:pPr>
    </w:p>
    <w:p w:rsidR="00820033" w:rsidRPr="000E2F95" w:rsidRDefault="00820033" w:rsidP="000E2F95">
      <w:pPr>
        <w:spacing w:line="360" w:lineRule="auto"/>
        <w:rPr>
          <w:rFonts w:ascii="Times" w:eastAsia="Times New Roman" w:hAnsi="Times" w:cs="Times New Roman"/>
          <w:sz w:val="24"/>
          <w:szCs w:val="24"/>
        </w:rPr>
      </w:pPr>
      <w:r w:rsidRPr="00820033">
        <w:rPr>
          <w:rFonts w:ascii="Times" w:eastAsia="Times New Roman" w:hAnsi="Times" w:cs="Times New Roman"/>
          <w:sz w:val="24"/>
          <w:szCs w:val="24"/>
        </w:rPr>
        <w:t xml:space="preserve">The promotion of the City Planning and Design MSc program on the Queen's University Belfast website probably emphasizes how crucial urban planning and design are to creating livable, sustainable cities. The program's goals, curriculum, and future employment prospects for graduates are probably summarized in the introduction. The website uses factual content and persuasive language to highlight the program's distinctive features, faculty expertise, and research opportunities in an effort to draw potential students to the City Planning and Design MSc program. </w:t>
      </w:r>
      <w:r w:rsidRPr="000E2F95">
        <w:rPr>
          <w:rFonts w:ascii="Times" w:eastAsia="Times New Roman" w:hAnsi="Times" w:cs="Times New Roman"/>
          <w:sz w:val="24"/>
          <w:szCs w:val="24"/>
        </w:rPr>
        <w:t>To inform the creation and implementation of programs, research methodologies may include stakeholder meetings, literature reviews, and data analysis. With an emphasis on emphasizing the program's relevance and potential impact in the field of urban planning and design, the website's scope likely covers a variety of aspects of the City Planning and Design MSc program, including its curriculum structure, course offerings, faculty profiles, admission requirements, and application procedures. This website provides information and insights about Queen's University Belfast's MSc program in City Planning and Design, making it an invaluable resource for those considering graduate work in the field.</w:t>
      </w:r>
      <w:r w:rsidR="000E2F95" w:rsidRPr="000E2F95">
        <w:rPr>
          <w:rFonts w:ascii="Times" w:eastAsia="Times New Roman" w:hAnsi="Times" w:cs="Times New Roman"/>
          <w:sz w:val="24"/>
          <w:szCs w:val="24"/>
        </w:rPr>
        <w:t xml:space="preserve"> It helps potential students make educated judgments about their academic and professional goals by giving them a thorough rundown of the program's features and advantages. The absence of comprehensive details on particular research projects, internship opportunities, and alumni results related to the City Planning and Design MSc program could be considered one of the website's possible shortcomings. Furthermore, it's possible that the website </w:t>
      </w:r>
      <w:r w:rsidR="00564B1F" w:rsidRPr="000E2F95">
        <w:rPr>
          <w:rFonts w:ascii="Times" w:eastAsia="Times New Roman" w:hAnsi="Times" w:cs="Times New Roman"/>
          <w:sz w:val="24"/>
          <w:szCs w:val="24"/>
        </w:rPr>
        <w:t>under represents</w:t>
      </w:r>
      <w:r w:rsidR="000E2F95" w:rsidRPr="000E2F95">
        <w:rPr>
          <w:rFonts w:ascii="Times" w:eastAsia="Times New Roman" w:hAnsi="Times" w:cs="Times New Roman"/>
          <w:sz w:val="24"/>
          <w:szCs w:val="24"/>
        </w:rPr>
        <w:t xml:space="preserve"> the variety of viewpoints and experiences that exist within the urban planning and design industry. Through its promotion of the MSc in City Planning and Design, this website helps spread the word about the significance of urban planning and design in building resilient and sustainable cities. By giving potential students the chance to investigate academic and professional paths in urban planning and design, it encourages interest and involvement in tackling today's urban opportunities and challenges.</w:t>
      </w:r>
    </w:p>
    <w:sectPr w:rsidR="00820033" w:rsidRPr="000E2F95" w:rsidSect="001363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imes">
    <w:altName w:val="Times New Roman"/>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280"/>
    <w:rsid w:val="000E2F95"/>
    <w:rsid w:val="00136345"/>
    <w:rsid w:val="003670D5"/>
    <w:rsid w:val="00564B1F"/>
    <w:rsid w:val="007C678E"/>
    <w:rsid w:val="00820033"/>
    <w:rsid w:val="009603D2"/>
    <w:rsid w:val="00C2593F"/>
    <w:rsid w:val="00D7120B"/>
    <w:rsid w:val="00DF3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1BF1EA-16C9-1B42-B750-6BBF014C1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345"/>
  </w:style>
  <w:style w:type="paragraph" w:styleId="Heading1">
    <w:name w:val="heading 1"/>
    <w:basedOn w:val="Normal"/>
    <w:link w:val="Heading1Char"/>
    <w:uiPriority w:val="9"/>
    <w:qFormat/>
    <w:rsid w:val="00DF328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280"/>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DF32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F32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178">
      <w:bodyDiv w:val="1"/>
      <w:marLeft w:val="0"/>
      <w:marRight w:val="0"/>
      <w:marTop w:val="0"/>
      <w:marBottom w:val="0"/>
      <w:divBdr>
        <w:top w:val="none" w:sz="0" w:space="0" w:color="auto"/>
        <w:left w:val="none" w:sz="0" w:space="0" w:color="auto"/>
        <w:bottom w:val="none" w:sz="0" w:space="0" w:color="auto"/>
        <w:right w:val="none" w:sz="0" w:space="0" w:color="auto"/>
      </w:divBdr>
    </w:div>
    <w:div w:id="35928986">
      <w:bodyDiv w:val="1"/>
      <w:marLeft w:val="0"/>
      <w:marRight w:val="0"/>
      <w:marTop w:val="0"/>
      <w:marBottom w:val="0"/>
      <w:divBdr>
        <w:top w:val="none" w:sz="0" w:space="0" w:color="auto"/>
        <w:left w:val="none" w:sz="0" w:space="0" w:color="auto"/>
        <w:bottom w:val="none" w:sz="0" w:space="0" w:color="auto"/>
        <w:right w:val="none" w:sz="0" w:space="0" w:color="auto"/>
      </w:divBdr>
    </w:div>
    <w:div w:id="175581644">
      <w:bodyDiv w:val="1"/>
      <w:marLeft w:val="0"/>
      <w:marRight w:val="0"/>
      <w:marTop w:val="0"/>
      <w:marBottom w:val="0"/>
      <w:divBdr>
        <w:top w:val="none" w:sz="0" w:space="0" w:color="auto"/>
        <w:left w:val="none" w:sz="0" w:space="0" w:color="auto"/>
        <w:bottom w:val="none" w:sz="0" w:space="0" w:color="auto"/>
        <w:right w:val="none" w:sz="0" w:space="0" w:color="auto"/>
      </w:divBdr>
    </w:div>
    <w:div w:id="297880777">
      <w:bodyDiv w:val="1"/>
      <w:marLeft w:val="0"/>
      <w:marRight w:val="0"/>
      <w:marTop w:val="0"/>
      <w:marBottom w:val="0"/>
      <w:divBdr>
        <w:top w:val="none" w:sz="0" w:space="0" w:color="auto"/>
        <w:left w:val="none" w:sz="0" w:space="0" w:color="auto"/>
        <w:bottom w:val="none" w:sz="0" w:space="0" w:color="auto"/>
        <w:right w:val="none" w:sz="0" w:space="0" w:color="auto"/>
      </w:divBdr>
    </w:div>
    <w:div w:id="307327556">
      <w:bodyDiv w:val="1"/>
      <w:marLeft w:val="0"/>
      <w:marRight w:val="0"/>
      <w:marTop w:val="0"/>
      <w:marBottom w:val="0"/>
      <w:divBdr>
        <w:top w:val="none" w:sz="0" w:space="0" w:color="auto"/>
        <w:left w:val="none" w:sz="0" w:space="0" w:color="auto"/>
        <w:bottom w:val="none" w:sz="0" w:space="0" w:color="auto"/>
        <w:right w:val="none" w:sz="0" w:space="0" w:color="auto"/>
      </w:divBdr>
    </w:div>
    <w:div w:id="372773388">
      <w:bodyDiv w:val="1"/>
      <w:marLeft w:val="0"/>
      <w:marRight w:val="0"/>
      <w:marTop w:val="0"/>
      <w:marBottom w:val="0"/>
      <w:divBdr>
        <w:top w:val="none" w:sz="0" w:space="0" w:color="auto"/>
        <w:left w:val="none" w:sz="0" w:space="0" w:color="auto"/>
        <w:bottom w:val="none" w:sz="0" w:space="0" w:color="auto"/>
        <w:right w:val="none" w:sz="0" w:space="0" w:color="auto"/>
      </w:divBdr>
    </w:div>
    <w:div w:id="440883406">
      <w:bodyDiv w:val="1"/>
      <w:marLeft w:val="0"/>
      <w:marRight w:val="0"/>
      <w:marTop w:val="0"/>
      <w:marBottom w:val="0"/>
      <w:divBdr>
        <w:top w:val="none" w:sz="0" w:space="0" w:color="auto"/>
        <w:left w:val="none" w:sz="0" w:space="0" w:color="auto"/>
        <w:bottom w:val="none" w:sz="0" w:space="0" w:color="auto"/>
        <w:right w:val="none" w:sz="0" w:space="0" w:color="auto"/>
      </w:divBdr>
    </w:div>
    <w:div w:id="468524200">
      <w:bodyDiv w:val="1"/>
      <w:marLeft w:val="0"/>
      <w:marRight w:val="0"/>
      <w:marTop w:val="0"/>
      <w:marBottom w:val="0"/>
      <w:divBdr>
        <w:top w:val="none" w:sz="0" w:space="0" w:color="auto"/>
        <w:left w:val="none" w:sz="0" w:space="0" w:color="auto"/>
        <w:bottom w:val="none" w:sz="0" w:space="0" w:color="auto"/>
        <w:right w:val="none" w:sz="0" w:space="0" w:color="auto"/>
      </w:divBdr>
      <w:divsChild>
        <w:div w:id="2027094627">
          <w:marLeft w:val="0"/>
          <w:marRight w:val="0"/>
          <w:marTop w:val="0"/>
          <w:marBottom w:val="0"/>
          <w:divBdr>
            <w:top w:val="none" w:sz="0" w:space="0" w:color="auto"/>
            <w:left w:val="none" w:sz="0" w:space="0" w:color="auto"/>
            <w:bottom w:val="none" w:sz="0" w:space="0" w:color="auto"/>
            <w:right w:val="none" w:sz="0" w:space="0" w:color="auto"/>
          </w:divBdr>
        </w:div>
      </w:divsChild>
    </w:div>
    <w:div w:id="504054816">
      <w:bodyDiv w:val="1"/>
      <w:marLeft w:val="0"/>
      <w:marRight w:val="0"/>
      <w:marTop w:val="0"/>
      <w:marBottom w:val="0"/>
      <w:divBdr>
        <w:top w:val="none" w:sz="0" w:space="0" w:color="auto"/>
        <w:left w:val="none" w:sz="0" w:space="0" w:color="auto"/>
        <w:bottom w:val="none" w:sz="0" w:space="0" w:color="auto"/>
        <w:right w:val="none" w:sz="0" w:space="0" w:color="auto"/>
      </w:divBdr>
    </w:div>
    <w:div w:id="504395297">
      <w:bodyDiv w:val="1"/>
      <w:marLeft w:val="0"/>
      <w:marRight w:val="0"/>
      <w:marTop w:val="0"/>
      <w:marBottom w:val="0"/>
      <w:divBdr>
        <w:top w:val="none" w:sz="0" w:space="0" w:color="auto"/>
        <w:left w:val="none" w:sz="0" w:space="0" w:color="auto"/>
        <w:bottom w:val="none" w:sz="0" w:space="0" w:color="auto"/>
        <w:right w:val="none" w:sz="0" w:space="0" w:color="auto"/>
      </w:divBdr>
    </w:div>
    <w:div w:id="510145514">
      <w:bodyDiv w:val="1"/>
      <w:marLeft w:val="0"/>
      <w:marRight w:val="0"/>
      <w:marTop w:val="0"/>
      <w:marBottom w:val="0"/>
      <w:divBdr>
        <w:top w:val="none" w:sz="0" w:space="0" w:color="auto"/>
        <w:left w:val="none" w:sz="0" w:space="0" w:color="auto"/>
        <w:bottom w:val="none" w:sz="0" w:space="0" w:color="auto"/>
        <w:right w:val="none" w:sz="0" w:space="0" w:color="auto"/>
      </w:divBdr>
    </w:div>
    <w:div w:id="598291666">
      <w:bodyDiv w:val="1"/>
      <w:marLeft w:val="0"/>
      <w:marRight w:val="0"/>
      <w:marTop w:val="0"/>
      <w:marBottom w:val="0"/>
      <w:divBdr>
        <w:top w:val="none" w:sz="0" w:space="0" w:color="auto"/>
        <w:left w:val="none" w:sz="0" w:space="0" w:color="auto"/>
        <w:bottom w:val="none" w:sz="0" w:space="0" w:color="auto"/>
        <w:right w:val="none" w:sz="0" w:space="0" w:color="auto"/>
      </w:divBdr>
    </w:div>
    <w:div w:id="692878324">
      <w:bodyDiv w:val="1"/>
      <w:marLeft w:val="0"/>
      <w:marRight w:val="0"/>
      <w:marTop w:val="0"/>
      <w:marBottom w:val="0"/>
      <w:divBdr>
        <w:top w:val="none" w:sz="0" w:space="0" w:color="auto"/>
        <w:left w:val="none" w:sz="0" w:space="0" w:color="auto"/>
        <w:bottom w:val="none" w:sz="0" w:space="0" w:color="auto"/>
        <w:right w:val="none" w:sz="0" w:space="0" w:color="auto"/>
      </w:divBdr>
    </w:div>
    <w:div w:id="776482772">
      <w:bodyDiv w:val="1"/>
      <w:marLeft w:val="0"/>
      <w:marRight w:val="0"/>
      <w:marTop w:val="0"/>
      <w:marBottom w:val="0"/>
      <w:divBdr>
        <w:top w:val="none" w:sz="0" w:space="0" w:color="auto"/>
        <w:left w:val="none" w:sz="0" w:space="0" w:color="auto"/>
        <w:bottom w:val="none" w:sz="0" w:space="0" w:color="auto"/>
        <w:right w:val="none" w:sz="0" w:space="0" w:color="auto"/>
      </w:divBdr>
    </w:div>
    <w:div w:id="850292328">
      <w:bodyDiv w:val="1"/>
      <w:marLeft w:val="0"/>
      <w:marRight w:val="0"/>
      <w:marTop w:val="0"/>
      <w:marBottom w:val="0"/>
      <w:divBdr>
        <w:top w:val="none" w:sz="0" w:space="0" w:color="auto"/>
        <w:left w:val="none" w:sz="0" w:space="0" w:color="auto"/>
        <w:bottom w:val="none" w:sz="0" w:space="0" w:color="auto"/>
        <w:right w:val="none" w:sz="0" w:space="0" w:color="auto"/>
      </w:divBdr>
    </w:div>
    <w:div w:id="981038410">
      <w:bodyDiv w:val="1"/>
      <w:marLeft w:val="0"/>
      <w:marRight w:val="0"/>
      <w:marTop w:val="0"/>
      <w:marBottom w:val="0"/>
      <w:divBdr>
        <w:top w:val="none" w:sz="0" w:space="0" w:color="auto"/>
        <w:left w:val="none" w:sz="0" w:space="0" w:color="auto"/>
        <w:bottom w:val="none" w:sz="0" w:space="0" w:color="auto"/>
        <w:right w:val="none" w:sz="0" w:space="0" w:color="auto"/>
      </w:divBdr>
    </w:div>
    <w:div w:id="1005207016">
      <w:bodyDiv w:val="1"/>
      <w:marLeft w:val="0"/>
      <w:marRight w:val="0"/>
      <w:marTop w:val="0"/>
      <w:marBottom w:val="0"/>
      <w:divBdr>
        <w:top w:val="none" w:sz="0" w:space="0" w:color="auto"/>
        <w:left w:val="none" w:sz="0" w:space="0" w:color="auto"/>
        <w:bottom w:val="none" w:sz="0" w:space="0" w:color="auto"/>
        <w:right w:val="none" w:sz="0" w:space="0" w:color="auto"/>
      </w:divBdr>
    </w:div>
    <w:div w:id="1176265372">
      <w:bodyDiv w:val="1"/>
      <w:marLeft w:val="0"/>
      <w:marRight w:val="0"/>
      <w:marTop w:val="0"/>
      <w:marBottom w:val="0"/>
      <w:divBdr>
        <w:top w:val="none" w:sz="0" w:space="0" w:color="auto"/>
        <w:left w:val="none" w:sz="0" w:space="0" w:color="auto"/>
        <w:bottom w:val="none" w:sz="0" w:space="0" w:color="auto"/>
        <w:right w:val="none" w:sz="0" w:space="0" w:color="auto"/>
      </w:divBdr>
    </w:div>
    <w:div w:id="1212884966">
      <w:bodyDiv w:val="1"/>
      <w:marLeft w:val="0"/>
      <w:marRight w:val="0"/>
      <w:marTop w:val="0"/>
      <w:marBottom w:val="0"/>
      <w:divBdr>
        <w:top w:val="none" w:sz="0" w:space="0" w:color="auto"/>
        <w:left w:val="none" w:sz="0" w:space="0" w:color="auto"/>
        <w:bottom w:val="none" w:sz="0" w:space="0" w:color="auto"/>
        <w:right w:val="none" w:sz="0" w:space="0" w:color="auto"/>
      </w:divBdr>
    </w:div>
    <w:div w:id="1220629279">
      <w:bodyDiv w:val="1"/>
      <w:marLeft w:val="0"/>
      <w:marRight w:val="0"/>
      <w:marTop w:val="0"/>
      <w:marBottom w:val="0"/>
      <w:divBdr>
        <w:top w:val="none" w:sz="0" w:space="0" w:color="auto"/>
        <w:left w:val="none" w:sz="0" w:space="0" w:color="auto"/>
        <w:bottom w:val="none" w:sz="0" w:space="0" w:color="auto"/>
        <w:right w:val="none" w:sz="0" w:space="0" w:color="auto"/>
      </w:divBdr>
    </w:div>
    <w:div w:id="1248149834">
      <w:bodyDiv w:val="1"/>
      <w:marLeft w:val="0"/>
      <w:marRight w:val="0"/>
      <w:marTop w:val="0"/>
      <w:marBottom w:val="0"/>
      <w:divBdr>
        <w:top w:val="none" w:sz="0" w:space="0" w:color="auto"/>
        <w:left w:val="none" w:sz="0" w:space="0" w:color="auto"/>
        <w:bottom w:val="none" w:sz="0" w:space="0" w:color="auto"/>
        <w:right w:val="none" w:sz="0" w:space="0" w:color="auto"/>
      </w:divBdr>
    </w:div>
    <w:div w:id="1333531450">
      <w:bodyDiv w:val="1"/>
      <w:marLeft w:val="0"/>
      <w:marRight w:val="0"/>
      <w:marTop w:val="0"/>
      <w:marBottom w:val="0"/>
      <w:divBdr>
        <w:top w:val="none" w:sz="0" w:space="0" w:color="auto"/>
        <w:left w:val="none" w:sz="0" w:space="0" w:color="auto"/>
        <w:bottom w:val="none" w:sz="0" w:space="0" w:color="auto"/>
        <w:right w:val="none" w:sz="0" w:space="0" w:color="auto"/>
      </w:divBdr>
    </w:div>
    <w:div w:id="1519078033">
      <w:bodyDiv w:val="1"/>
      <w:marLeft w:val="0"/>
      <w:marRight w:val="0"/>
      <w:marTop w:val="0"/>
      <w:marBottom w:val="0"/>
      <w:divBdr>
        <w:top w:val="none" w:sz="0" w:space="0" w:color="auto"/>
        <w:left w:val="none" w:sz="0" w:space="0" w:color="auto"/>
        <w:bottom w:val="none" w:sz="0" w:space="0" w:color="auto"/>
        <w:right w:val="none" w:sz="0" w:space="0" w:color="auto"/>
      </w:divBdr>
      <w:divsChild>
        <w:div w:id="416831697">
          <w:marLeft w:val="0"/>
          <w:marRight w:val="0"/>
          <w:marTop w:val="0"/>
          <w:marBottom w:val="0"/>
          <w:divBdr>
            <w:top w:val="none" w:sz="0" w:space="0" w:color="auto"/>
            <w:left w:val="none" w:sz="0" w:space="0" w:color="auto"/>
            <w:bottom w:val="none" w:sz="0" w:space="0" w:color="auto"/>
            <w:right w:val="none" w:sz="0" w:space="0" w:color="auto"/>
          </w:divBdr>
        </w:div>
      </w:divsChild>
    </w:div>
    <w:div w:id="1572620574">
      <w:bodyDiv w:val="1"/>
      <w:marLeft w:val="0"/>
      <w:marRight w:val="0"/>
      <w:marTop w:val="0"/>
      <w:marBottom w:val="0"/>
      <w:divBdr>
        <w:top w:val="none" w:sz="0" w:space="0" w:color="auto"/>
        <w:left w:val="none" w:sz="0" w:space="0" w:color="auto"/>
        <w:bottom w:val="none" w:sz="0" w:space="0" w:color="auto"/>
        <w:right w:val="none" w:sz="0" w:space="0" w:color="auto"/>
      </w:divBdr>
    </w:div>
    <w:div w:id="1660038474">
      <w:bodyDiv w:val="1"/>
      <w:marLeft w:val="0"/>
      <w:marRight w:val="0"/>
      <w:marTop w:val="0"/>
      <w:marBottom w:val="0"/>
      <w:divBdr>
        <w:top w:val="none" w:sz="0" w:space="0" w:color="auto"/>
        <w:left w:val="none" w:sz="0" w:space="0" w:color="auto"/>
        <w:bottom w:val="none" w:sz="0" w:space="0" w:color="auto"/>
        <w:right w:val="none" w:sz="0" w:space="0" w:color="auto"/>
      </w:divBdr>
    </w:div>
    <w:div w:id="1752849525">
      <w:bodyDiv w:val="1"/>
      <w:marLeft w:val="0"/>
      <w:marRight w:val="0"/>
      <w:marTop w:val="0"/>
      <w:marBottom w:val="0"/>
      <w:divBdr>
        <w:top w:val="none" w:sz="0" w:space="0" w:color="auto"/>
        <w:left w:val="none" w:sz="0" w:space="0" w:color="auto"/>
        <w:bottom w:val="none" w:sz="0" w:space="0" w:color="auto"/>
        <w:right w:val="none" w:sz="0" w:space="0" w:color="auto"/>
      </w:divBdr>
    </w:div>
    <w:div w:id="1843086177">
      <w:bodyDiv w:val="1"/>
      <w:marLeft w:val="0"/>
      <w:marRight w:val="0"/>
      <w:marTop w:val="0"/>
      <w:marBottom w:val="0"/>
      <w:divBdr>
        <w:top w:val="none" w:sz="0" w:space="0" w:color="auto"/>
        <w:left w:val="none" w:sz="0" w:space="0" w:color="auto"/>
        <w:bottom w:val="none" w:sz="0" w:space="0" w:color="auto"/>
        <w:right w:val="none" w:sz="0" w:space="0" w:color="auto"/>
      </w:divBdr>
    </w:div>
    <w:div w:id="1868903133">
      <w:bodyDiv w:val="1"/>
      <w:marLeft w:val="0"/>
      <w:marRight w:val="0"/>
      <w:marTop w:val="0"/>
      <w:marBottom w:val="0"/>
      <w:divBdr>
        <w:top w:val="none" w:sz="0" w:space="0" w:color="auto"/>
        <w:left w:val="none" w:sz="0" w:space="0" w:color="auto"/>
        <w:bottom w:val="none" w:sz="0" w:space="0" w:color="auto"/>
        <w:right w:val="none" w:sz="0" w:space="0" w:color="auto"/>
      </w:divBdr>
    </w:div>
    <w:div w:id="1952978188">
      <w:bodyDiv w:val="1"/>
      <w:marLeft w:val="0"/>
      <w:marRight w:val="0"/>
      <w:marTop w:val="0"/>
      <w:marBottom w:val="0"/>
      <w:divBdr>
        <w:top w:val="none" w:sz="0" w:space="0" w:color="auto"/>
        <w:left w:val="none" w:sz="0" w:space="0" w:color="auto"/>
        <w:bottom w:val="none" w:sz="0" w:space="0" w:color="auto"/>
        <w:right w:val="none" w:sz="0" w:space="0" w:color="auto"/>
      </w:divBdr>
    </w:div>
    <w:div w:id="205881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nstats.un.org/sdgs/report/2019/goal-11/" TargetMode="External" /><Relationship Id="rId3" Type="http://schemas.openxmlformats.org/officeDocument/2006/relationships/webSettings" Target="webSettings.xml" /><Relationship Id="rId7" Type="http://schemas.openxmlformats.org/officeDocument/2006/relationships/hyperlink" Target="https://www.studysmarter.co.uk/explanations/social-studies/global-development/urbanisation/"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jstor.org/stable/23289717" TargetMode="External" /><Relationship Id="rId5" Type="http://schemas.openxmlformats.org/officeDocument/2006/relationships/hyperlink" Target="https://www.europarl.europa.eu/topics/en/article/20200624STO81906/exploring-migration-causes-why-people-migrate" TargetMode="External" /><Relationship Id="rId10" Type="http://schemas.openxmlformats.org/officeDocument/2006/relationships/theme" Target="theme/theme1.xml" /><Relationship Id="rId4" Type="http://schemas.openxmlformats.org/officeDocument/2006/relationships/hyperlink" Target="https://www.sciencedirect.com/science/article/pii/B9780128096338023803?via%3Dihub" TargetMode="Externa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2773</Words>
  <Characters>15810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Dru Sutherland</dc:creator>
  <cp:lastModifiedBy>drusutherland7@gmail.com</cp:lastModifiedBy>
  <cp:revision>2</cp:revision>
  <dcterms:created xsi:type="dcterms:W3CDTF">2024-03-10T09:37:00Z</dcterms:created>
  <dcterms:modified xsi:type="dcterms:W3CDTF">2024-03-10T09:37:00Z</dcterms:modified>
</cp:coreProperties>
</file>