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A916A" w14:textId="77777777" w:rsidR="001F0E4B" w:rsidRPr="008A00D2" w:rsidRDefault="001F0E4B" w:rsidP="001F0E4B">
      <w:pPr>
        <w:jc w:val="center"/>
        <w:rPr>
          <w:noProof/>
          <w:lang w:val="en-GB"/>
        </w:rPr>
      </w:pPr>
    </w:p>
    <w:p w14:paraId="19A94336" w14:textId="77777777" w:rsidR="001F0E4B" w:rsidRPr="007264BB" w:rsidRDefault="001F0E4B" w:rsidP="001F0E4B">
      <w:pPr>
        <w:jc w:val="center"/>
        <w:rPr>
          <w:lang w:val="en-GB"/>
        </w:rPr>
      </w:pPr>
      <w:r w:rsidRPr="008A00D2">
        <w:rPr>
          <w:noProof/>
          <w:lang w:val="en-GB"/>
        </w:rPr>
        <w:drawing>
          <wp:inline distT="0" distB="0" distL="0" distR="0" wp14:anchorId="774F1FBB" wp14:editId="31814D2F">
            <wp:extent cx="2965836" cy="1101671"/>
            <wp:effectExtent l="0" t="0" r="6350" b="3810"/>
            <wp:docPr id="168028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87824"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t="15990" b="17160"/>
                    <a:stretch>
                      <a:fillRect/>
                    </a:stretch>
                  </pic:blipFill>
                  <pic:spPr bwMode="auto">
                    <a:xfrm>
                      <a:off x="0" y="0"/>
                      <a:ext cx="2992785" cy="1111681"/>
                    </a:xfrm>
                    <a:prstGeom prst="rect">
                      <a:avLst/>
                    </a:prstGeom>
                    <a:noFill/>
                    <a:ln>
                      <a:noFill/>
                    </a:ln>
                    <a:extLst>
                      <a:ext uri="{53640926-AAD7-44D8-BBD7-CCE9431645EC}">
                        <a14:shadowObscured xmlns:a14="http://schemas.microsoft.com/office/drawing/2010/main"/>
                      </a:ext>
                    </a:extLst>
                  </pic:spPr>
                </pic:pic>
              </a:graphicData>
            </a:graphic>
          </wp:inline>
        </w:drawing>
      </w:r>
    </w:p>
    <w:p w14:paraId="0D842ED6" w14:textId="77777777" w:rsidR="001F0E4B" w:rsidRDefault="001F0E4B" w:rsidP="001F0E4B">
      <w:pPr>
        <w:jc w:val="center"/>
        <w:rPr>
          <w:b/>
          <w:bCs/>
          <w:sz w:val="32"/>
          <w:szCs w:val="32"/>
          <w:lang w:val="en-GB"/>
        </w:rPr>
      </w:pPr>
    </w:p>
    <w:p w14:paraId="23056E68" w14:textId="77777777" w:rsidR="001F0E4B" w:rsidRPr="008A00D2" w:rsidRDefault="001F0E4B" w:rsidP="001F0E4B">
      <w:pPr>
        <w:jc w:val="center"/>
        <w:rPr>
          <w:b/>
          <w:bCs/>
          <w:sz w:val="32"/>
          <w:szCs w:val="32"/>
          <w:lang w:val="en-GB"/>
        </w:rPr>
      </w:pPr>
      <w:r w:rsidRPr="008A00D2">
        <w:rPr>
          <w:b/>
          <w:bCs/>
          <w:sz w:val="32"/>
          <w:szCs w:val="32"/>
          <w:lang w:val="en-GB"/>
        </w:rPr>
        <w:t>Master of Business Administration</w:t>
      </w:r>
    </w:p>
    <w:p w14:paraId="22695B22" w14:textId="77777777" w:rsidR="001F0E4B" w:rsidRPr="008A00D2" w:rsidRDefault="001F0E4B" w:rsidP="001F0E4B">
      <w:pPr>
        <w:jc w:val="center"/>
        <w:rPr>
          <w:b/>
          <w:bCs/>
          <w:sz w:val="32"/>
          <w:szCs w:val="32"/>
          <w:lang w:val="en-GB"/>
        </w:rPr>
      </w:pPr>
      <w:r w:rsidRPr="008A00D2">
        <w:rPr>
          <w:b/>
          <w:bCs/>
          <w:sz w:val="32"/>
          <w:szCs w:val="32"/>
          <w:lang w:val="en-GB"/>
        </w:rPr>
        <w:t>LCMB7002 Financial Management</w:t>
      </w:r>
    </w:p>
    <w:p w14:paraId="3ED9E88A" w14:textId="77777777" w:rsidR="001F0E4B" w:rsidRPr="008A00D2" w:rsidRDefault="001F0E4B" w:rsidP="001F0E4B">
      <w:pPr>
        <w:jc w:val="center"/>
        <w:rPr>
          <w:b/>
          <w:bCs/>
          <w:lang w:val="en-GB"/>
        </w:rPr>
      </w:pPr>
    </w:p>
    <w:p w14:paraId="48BAD105" w14:textId="77777777" w:rsidR="001F0E4B" w:rsidRPr="008A00D2" w:rsidRDefault="001F0E4B" w:rsidP="001F0E4B">
      <w:pPr>
        <w:jc w:val="center"/>
        <w:rPr>
          <w:b/>
          <w:bCs/>
          <w:sz w:val="32"/>
          <w:szCs w:val="32"/>
          <w:lang w:val="en-GB"/>
        </w:rPr>
      </w:pPr>
    </w:p>
    <w:p w14:paraId="41F19352" w14:textId="77777777" w:rsidR="001F0E4B" w:rsidRPr="008A00D2" w:rsidRDefault="001F0E4B" w:rsidP="001F0E4B">
      <w:pPr>
        <w:jc w:val="center"/>
        <w:rPr>
          <w:b/>
          <w:bCs/>
          <w:sz w:val="28"/>
          <w:szCs w:val="28"/>
          <w:lang w:val="en-GB"/>
        </w:rPr>
      </w:pPr>
      <w:r w:rsidRPr="008A00D2">
        <w:rPr>
          <w:b/>
          <w:bCs/>
          <w:sz w:val="28"/>
          <w:szCs w:val="28"/>
          <w:lang w:val="en-GB"/>
        </w:rPr>
        <w:t>Assessment component: Financial performance and management</w:t>
      </w:r>
    </w:p>
    <w:p w14:paraId="6BAD76D8" w14:textId="77777777" w:rsidR="001F0E4B" w:rsidRPr="008A00D2" w:rsidRDefault="001F0E4B" w:rsidP="001F0E4B">
      <w:pPr>
        <w:jc w:val="center"/>
        <w:rPr>
          <w:b/>
          <w:bCs/>
          <w:sz w:val="28"/>
          <w:szCs w:val="28"/>
          <w:lang w:val="en-GB"/>
        </w:rPr>
      </w:pPr>
      <w:r w:rsidRPr="008A00D2">
        <w:rPr>
          <w:b/>
          <w:bCs/>
          <w:sz w:val="28"/>
          <w:szCs w:val="28"/>
          <w:lang w:val="en-GB"/>
        </w:rPr>
        <w:t xml:space="preserve">(Case study </w:t>
      </w:r>
      <w:r>
        <w:rPr>
          <w:b/>
          <w:bCs/>
          <w:sz w:val="28"/>
          <w:szCs w:val="28"/>
          <w:lang w:val="en-GB"/>
        </w:rPr>
        <w:t>on</w:t>
      </w:r>
      <w:r w:rsidRPr="008A00D2">
        <w:rPr>
          <w:b/>
          <w:bCs/>
          <w:sz w:val="28"/>
          <w:szCs w:val="28"/>
          <w:lang w:val="en-GB"/>
        </w:rPr>
        <w:t xml:space="preserve"> </w:t>
      </w:r>
      <w:r w:rsidRPr="007264BB">
        <w:rPr>
          <w:b/>
          <w:bCs/>
          <w:sz w:val="28"/>
          <w:szCs w:val="28"/>
          <w:lang w:val="en-GB"/>
        </w:rPr>
        <w:t>Hilton Worldwide</w:t>
      </w:r>
      <w:r>
        <w:rPr>
          <w:b/>
          <w:bCs/>
          <w:sz w:val="28"/>
          <w:szCs w:val="28"/>
          <w:lang w:val="en-GB"/>
        </w:rPr>
        <w:t>, HLT</w:t>
      </w:r>
      <w:r w:rsidRPr="008A00D2">
        <w:rPr>
          <w:b/>
          <w:bCs/>
          <w:sz w:val="28"/>
          <w:szCs w:val="28"/>
          <w:lang w:val="en-GB"/>
        </w:rPr>
        <w:t>)</w:t>
      </w:r>
    </w:p>
    <w:p w14:paraId="78B5364D" w14:textId="77777777" w:rsidR="001F0E4B" w:rsidRPr="008A00D2" w:rsidRDefault="001F0E4B" w:rsidP="001F0E4B">
      <w:pPr>
        <w:jc w:val="center"/>
        <w:rPr>
          <w:b/>
          <w:bCs/>
          <w:lang w:val="en-GB"/>
        </w:rPr>
      </w:pPr>
    </w:p>
    <w:p w14:paraId="5AF10F4C" w14:textId="77777777" w:rsidR="001F0E4B" w:rsidRPr="00F15C60" w:rsidRDefault="001F0E4B" w:rsidP="001F0E4B">
      <w:pPr>
        <w:jc w:val="left"/>
        <w:rPr>
          <w:lang w:val="en-GB"/>
        </w:rPr>
      </w:pPr>
      <w:r w:rsidRPr="008A00D2">
        <w:rPr>
          <w:b/>
          <w:bCs/>
          <w:lang w:val="en-GB"/>
        </w:rPr>
        <w:t>Student Name</w:t>
      </w:r>
      <w:r>
        <w:rPr>
          <w:b/>
          <w:bCs/>
          <w:lang w:val="en-GB"/>
        </w:rPr>
        <w:t xml:space="preserve">: </w:t>
      </w:r>
      <w:r w:rsidRPr="00F15C60">
        <w:rPr>
          <w:lang w:val="en-GB"/>
        </w:rPr>
        <w:t>Yovan Bhaveshbhai Jetani</w:t>
      </w:r>
    </w:p>
    <w:p w14:paraId="6CE4C307" w14:textId="77777777" w:rsidR="001F0E4B" w:rsidRPr="008A00D2" w:rsidRDefault="001F0E4B" w:rsidP="001F0E4B">
      <w:pPr>
        <w:jc w:val="left"/>
        <w:rPr>
          <w:b/>
          <w:bCs/>
          <w:lang w:val="en-GB"/>
        </w:rPr>
      </w:pPr>
      <w:r w:rsidRPr="008A00D2">
        <w:rPr>
          <w:b/>
          <w:bCs/>
          <w:lang w:val="en-GB"/>
        </w:rPr>
        <w:t>Student Id</w:t>
      </w:r>
      <w:r>
        <w:rPr>
          <w:b/>
          <w:bCs/>
          <w:lang w:val="en-GB"/>
        </w:rPr>
        <w:t xml:space="preserve">: </w:t>
      </w:r>
      <w:r w:rsidRPr="00F15C60">
        <w:rPr>
          <w:lang w:val="en-GB"/>
        </w:rPr>
        <w:t>2532585</w:t>
      </w:r>
    </w:p>
    <w:p w14:paraId="1F1ADD61" w14:textId="77777777" w:rsidR="001F0E4B" w:rsidRDefault="001F0E4B" w:rsidP="001F0E4B">
      <w:pPr>
        <w:jc w:val="left"/>
        <w:rPr>
          <w:b/>
          <w:bCs/>
          <w:lang w:val="en-GB"/>
        </w:rPr>
      </w:pPr>
      <w:r>
        <w:rPr>
          <w:b/>
          <w:bCs/>
          <w:lang w:val="en-GB"/>
        </w:rPr>
        <w:t>Lecturer Name</w:t>
      </w:r>
      <w:r w:rsidRPr="00F15C60">
        <w:rPr>
          <w:lang w:val="en-GB"/>
        </w:rPr>
        <w:t xml:space="preserve">: </w:t>
      </w:r>
      <w:proofErr w:type="spellStart"/>
      <w:r w:rsidRPr="00F15C60">
        <w:rPr>
          <w:lang w:val="en-GB"/>
        </w:rPr>
        <w:t>Shengfeng</w:t>
      </w:r>
      <w:proofErr w:type="spellEnd"/>
      <w:r w:rsidRPr="00F15C60">
        <w:rPr>
          <w:lang w:val="en-GB"/>
        </w:rPr>
        <w:t xml:space="preserve"> Mei / Patrick Yeboah</w:t>
      </w:r>
    </w:p>
    <w:p w14:paraId="64AB9333" w14:textId="77777777" w:rsidR="001F0E4B" w:rsidRPr="00F15C60" w:rsidRDefault="001F0E4B" w:rsidP="001F0E4B">
      <w:pPr>
        <w:jc w:val="left"/>
        <w:rPr>
          <w:lang w:val="en-GB"/>
        </w:rPr>
      </w:pPr>
      <w:r w:rsidRPr="008A00D2">
        <w:rPr>
          <w:b/>
          <w:bCs/>
          <w:lang w:val="en-GB"/>
        </w:rPr>
        <w:t xml:space="preserve">Word Count: </w:t>
      </w:r>
      <w:r w:rsidRPr="00F15C60">
        <w:rPr>
          <w:lang w:val="en-GB"/>
        </w:rPr>
        <w:t>5050</w:t>
      </w:r>
    </w:p>
    <w:p w14:paraId="253AF7E0" w14:textId="77777777" w:rsidR="001F0E4B" w:rsidRPr="008A00D2" w:rsidRDefault="001F0E4B" w:rsidP="001F0E4B">
      <w:pPr>
        <w:jc w:val="left"/>
        <w:rPr>
          <w:b/>
          <w:bCs/>
          <w:lang w:val="en-GB"/>
        </w:rPr>
      </w:pPr>
      <w:r>
        <w:rPr>
          <w:b/>
          <w:bCs/>
          <w:lang w:val="en-GB"/>
        </w:rPr>
        <w:t xml:space="preserve">Submission Date: </w:t>
      </w:r>
      <w:r w:rsidRPr="00F15C60">
        <w:rPr>
          <w:lang w:val="en-GB"/>
        </w:rPr>
        <w:t>13 August 2026</w:t>
      </w:r>
    </w:p>
    <w:p w14:paraId="6A6808AB" w14:textId="342181A8" w:rsidR="00693C2E" w:rsidRDefault="00693C2E" w:rsidP="00693C2E">
      <w:pPr>
        <w:tabs>
          <w:tab w:val="left" w:pos="8426"/>
        </w:tabs>
        <w:spacing w:line="278" w:lineRule="auto"/>
        <w:jc w:val="left"/>
        <w:rPr>
          <w:noProof/>
          <w:lang w:val="en-GB"/>
        </w:rPr>
      </w:pPr>
      <w:r>
        <w:rPr>
          <w:noProof/>
          <w:lang w:val="en-GB"/>
        </w:rPr>
        <w:tab/>
      </w:r>
    </w:p>
    <w:p w14:paraId="624418E0" w14:textId="212D8585" w:rsidR="001F0E4B" w:rsidRPr="008A00D2" w:rsidRDefault="001F0E4B" w:rsidP="00693C2E">
      <w:pPr>
        <w:tabs>
          <w:tab w:val="left" w:pos="8426"/>
        </w:tabs>
        <w:spacing w:line="278" w:lineRule="auto"/>
        <w:jc w:val="left"/>
        <w:rPr>
          <w:b/>
          <w:bCs/>
          <w:lang w:val="en-GB"/>
        </w:rPr>
      </w:pPr>
      <w:r w:rsidRPr="00693C2E">
        <w:rPr>
          <w:lang w:val="en-GB"/>
        </w:rPr>
        <w:br w:type="page"/>
      </w:r>
      <w:r w:rsidR="00693C2E">
        <w:rPr>
          <w:b/>
          <w:bCs/>
          <w:lang w:val="en-GB"/>
        </w:rPr>
        <w:lastRenderedPageBreak/>
        <w:tab/>
      </w:r>
    </w:p>
    <w:sdt>
      <w:sdtPr>
        <w:rPr>
          <w:rFonts w:ascii="Arial" w:eastAsiaTheme="minorHAnsi" w:hAnsi="Arial" w:cstheme="minorBidi"/>
          <w:color w:val="auto"/>
          <w:kern w:val="2"/>
          <w:sz w:val="24"/>
          <w:szCs w:val="24"/>
          <w:lang w:val="en-GB"/>
        </w:rPr>
        <w:id w:val="-1561942386"/>
        <w:docPartObj>
          <w:docPartGallery w:val="Table of Contents"/>
          <w:docPartUnique/>
        </w:docPartObj>
      </w:sdtPr>
      <w:sdtEndPr>
        <w:rPr>
          <w:b/>
          <w:bCs/>
          <w:noProof/>
        </w:rPr>
      </w:sdtEndPr>
      <w:sdtContent>
        <w:p w14:paraId="697B34AC" w14:textId="77777777" w:rsidR="001F0E4B" w:rsidRPr="008A00D2" w:rsidRDefault="001F0E4B" w:rsidP="001F0E4B">
          <w:pPr>
            <w:pStyle w:val="TOCHeading"/>
            <w:spacing w:line="360" w:lineRule="auto"/>
            <w:jc w:val="center"/>
            <w:rPr>
              <w:rFonts w:ascii="Arial" w:hAnsi="Arial" w:cs="Arial"/>
              <w:b/>
              <w:bCs/>
              <w:color w:val="auto"/>
              <w:sz w:val="28"/>
              <w:szCs w:val="28"/>
              <w:lang w:val="en-GB"/>
            </w:rPr>
          </w:pPr>
          <w:r w:rsidRPr="008A00D2">
            <w:rPr>
              <w:rFonts w:ascii="Arial" w:hAnsi="Arial" w:cs="Arial"/>
              <w:b/>
              <w:bCs/>
              <w:color w:val="auto"/>
              <w:sz w:val="28"/>
              <w:szCs w:val="28"/>
              <w:lang w:val="en-GB"/>
            </w:rPr>
            <w:t>Table of Contents</w:t>
          </w:r>
        </w:p>
        <w:p w14:paraId="36A08885" w14:textId="77777777" w:rsidR="001F0E4B" w:rsidRDefault="001F0E4B" w:rsidP="001F0E4B">
          <w:pPr>
            <w:pStyle w:val="TOC1"/>
            <w:rPr>
              <w:rFonts w:asciiTheme="minorHAnsi" w:eastAsiaTheme="minorEastAsia" w:hAnsiTheme="minorHAnsi"/>
              <w:b w:val="0"/>
              <w:bCs w:val="0"/>
              <w:lang w:val="en-GB" w:eastAsia="en-GB"/>
            </w:rPr>
          </w:pPr>
          <w:r w:rsidRPr="008A00D2">
            <w:rPr>
              <w:noProof w:val="0"/>
              <w:lang w:val="en-GB"/>
            </w:rPr>
            <w:fldChar w:fldCharType="begin"/>
          </w:r>
          <w:r w:rsidRPr="008A00D2">
            <w:rPr>
              <w:lang w:val="en-GB"/>
            </w:rPr>
            <w:instrText xml:space="preserve"> TOC \o "1-3" \h \z \u </w:instrText>
          </w:r>
          <w:r w:rsidRPr="008A00D2">
            <w:rPr>
              <w:noProof w:val="0"/>
              <w:lang w:val="en-GB"/>
            </w:rPr>
            <w:fldChar w:fldCharType="separate"/>
          </w:r>
          <w:hyperlink w:anchor="_Toc235897043" w:history="1">
            <w:r w:rsidRPr="00A261FC">
              <w:rPr>
                <w:rStyle w:val="Hyperlink"/>
                <w:lang w:val="en-GB"/>
              </w:rPr>
              <w:t>Introduction</w:t>
            </w:r>
            <w:r>
              <w:rPr>
                <w:webHidden/>
              </w:rPr>
              <w:tab/>
            </w:r>
            <w:r>
              <w:rPr>
                <w:webHidden/>
              </w:rPr>
              <w:fldChar w:fldCharType="begin"/>
            </w:r>
            <w:r>
              <w:rPr>
                <w:webHidden/>
              </w:rPr>
              <w:instrText xml:space="preserve"> PAGEREF _Toc235897043 \h </w:instrText>
            </w:r>
            <w:r>
              <w:rPr>
                <w:webHidden/>
              </w:rPr>
            </w:r>
            <w:r>
              <w:rPr>
                <w:webHidden/>
              </w:rPr>
              <w:fldChar w:fldCharType="separate"/>
            </w:r>
            <w:r>
              <w:rPr>
                <w:webHidden/>
              </w:rPr>
              <w:t>5</w:t>
            </w:r>
            <w:r>
              <w:rPr>
                <w:webHidden/>
              </w:rPr>
              <w:fldChar w:fldCharType="end"/>
            </w:r>
          </w:hyperlink>
        </w:p>
        <w:p w14:paraId="47A22E95" w14:textId="77777777" w:rsidR="001F0E4B" w:rsidRDefault="001F0E4B" w:rsidP="001F0E4B">
          <w:pPr>
            <w:pStyle w:val="TOC1"/>
            <w:rPr>
              <w:rFonts w:asciiTheme="minorHAnsi" w:eastAsiaTheme="minorEastAsia" w:hAnsiTheme="minorHAnsi"/>
              <w:b w:val="0"/>
              <w:bCs w:val="0"/>
              <w:lang w:val="en-GB" w:eastAsia="en-GB"/>
            </w:rPr>
          </w:pPr>
          <w:hyperlink w:anchor="_Toc235897044" w:history="1">
            <w:r w:rsidRPr="00A261FC">
              <w:rPr>
                <w:rStyle w:val="Hyperlink"/>
                <w:lang w:val="en-GB"/>
              </w:rPr>
              <w:t>1. Financial Health Check</w:t>
            </w:r>
            <w:r>
              <w:rPr>
                <w:webHidden/>
              </w:rPr>
              <w:tab/>
            </w:r>
            <w:r>
              <w:rPr>
                <w:webHidden/>
              </w:rPr>
              <w:fldChar w:fldCharType="begin"/>
            </w:r>
            <w:r>
              <w:rPr>
                <w:webHidden/>
              </w:rPr>
              <w:instrText xml:space="preserve"> PAGEREF _Toc235897044 \h </w:instrText>
            </w:r>
            <w:r>
              <w:rPr>
                <w:webHidden/>
              </w:rPr>
            </w:r>
            <w:r>
              <w:rPr>
                <w:webHidden/>
              </w:rPr>
              <w:fldChar w:fldCharType="separate"/>
            </w:r>
            <w:r>
              <w:rPr>
                <w:webHidden/>
              </w:rPr>
              <w:t>5</w:t>
            </w:r>
            <w:r>
              <w:rPr>
                <w:webHidden/>
              </w:rPr>
              <w:fldChar w:fldCharType="end"/>
            </w:r>
          </w:hyperlink>
        </w:p>
        <w:p w14:paraId="33E1E2E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5" w:history="1">
            <w:r w:rsidRPr="00A261FC">
              <w:rPr>
                <w:rStyle w:val="Hyperlink"/>
                <w:noProof/>
                <w:lang w:val="en-GB"/>
              </w:rPr>
              <w:t>1.1 Profitability Analysis</w:t>
            </w:r>
            <w:r>
              <w:rPr>
                <w:noProof/>
                <w:webHidden/>
              </w:rPr>
              <w:tab/>
            </w:r>
            <w:r>
              <w:rPr>
                <w:noProof/>
                <w:webHidden/>
              </w:rPr>
              <w:fldChar w:fldCharType="begin"/>
            </w:r>
            <w:r>
              <w:rPr>
                <w:noProof/>
                <w:webHidden/>
              </w:rPr>
              <w:instrText xml:space="preserve"> PAGEREF _Toc235897045 \h </w:instrText>
            </w:r>
            <w:r>
              <w:rPr>
                <w:noProof/>
                <w:webHidden/>
              </w:rPr>
            </w:r>
            <w:r>
              <w:rPr>
                <w:noProof/>
                <w:webHidden/>
              </w:rPr>
              <w:fldChar w:fldCharType="separate"/>
            </w:r>
            <w:r>
              <w:rPr>
                <w:noProof/>
                <w:webHidden/>
              </w:rPr>
              <w:t>6</w:t>
            </w:r>
            <w:r>
              <w:rPr>
                <w:noProof/>
                <w:webHidden/>
              </w:rPr>
              <w:fldChar w:fldCharType="end"/>
            </w:r>
          </w:hyperlink>
        </w:p>
        <w:p w14:paraId="7BCB3493"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6" w:history="1">
            <w:r w:rsidRPr="00A261FC">
              <w:rPr>
                <w:rStyle w:val="Hyperlink"/>
                <w:noProof/>
                <w:lang w:val="en-GB"/>
              </w:rPr>
              <w:t>1.2 Liquidity Analysis</w:t>
            </w:r>
            <w:r>
              <w:rPr>
                <w:noProof/>
                <w:webHidden/>
              </w:rPr>
              <w:tab/>
            </w:r>
            <w:r>
              <w:rPr>
                <w:noProof/>
                <w:webHidden/>
              </w:rPr>
              <w:fldChar w:fldCharType="begin"/>
            </w:r>
            <w:r>
              <w:rPr>
                <w:noProof/>
                <w:webHidden/>
              </w:rPr>
              <w:instrText xml:space="preserve"> PAGEREF _Toc235897046 \h </w:instrText>
            </w:r>
            <w:r>
              <w:rPr>
                <w:noProof/>
                <w:webHidden/>
              </w:rPr>
            </w:r>
            <w:r>
              <w:rPr>
                <w:noProof/>
                <w:webHidden/>
              </w:rPr>
              <w:fldChar w:fldCharType="separate"/>
            </w:r>
            <w:r>
              <w:rPr>
                <w:noProof/>
                <w:webHidden/>
              </w:rPr>
              <w:t>7</w:t>
            </w:r>
            <w:r>
              <w:rPr>
                <w:noProof/>
                <w:webHidden/>
              </w:rPr>
              <w:fldChar w:fldCharType="end"/>
            </w:r>
          </w:hyperlink>
        </w:p>
        <w:p w14:paraId="3DACD820"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7" w:history="1">
            <w:r w:rsidRPr="00A261FC">
              <w:rPr>
                <w:rStyle w:val="Hyperlink"/>
                <w:noProof/>
                <w:lang w:val="en-GB"/>
              </w:rPr>
              <w:t>1.3 Efficiency Analysis</w:t>
            </w:r>
            <w:r>
              <w:rPr>
                <w:noProof/>
                <w:webHidden/>
              </w:rPr>
              <w:tab/>
            </w:r>
            <w:r>
              <w:rPr>
                <w:noProof/>
                <w:webHidden/>
              </w:rPr>
              <w:fldChar w:fldCharType="begin"/>
            </w:r>
            <w:r>
              <w:rPr>
                <w:noProof/>
                <w:webHidden/>
              </w:rPr>
              <w:instrText xml:space="preserve"> PAGEREF _Toc235897047 \h </w:instrText>
            </w:r>
            <w:r>
              <w:rPr>
                <w:noProof/>
                <w:webHidden/>
              </w:rPr>
            </w:r>
            <w:r>
              <w:rPr>
                <w:noProof/>
                <w:webHidden/>
              </w:rPr>
              <w:fldChar w:fldCharType="separate"/>
            </w:r>
            <w:r>
              <w:rPr>
                <w:noProof/>
                <w:webHidden/>
              </w:rPr>
              <w:t>8</w:t>
            </w:r>
            <w:r>
              <w:rPr>
                <w:noProof/>
                <w:webHidden/>
              </w:rPr>
              <w:fldChar w:fldCharType="end"/>
            </w:r>
          </w:hyperlink>
        </w:p>
        <w:p w14:paraId="2AEC0CAF"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8" w:history="1">
            <w:r w:rsidRPr="00A261FC">
              <w:rPr>
                <w:rStyle w:val="Hyperlink"/>
                <w:noProof/>
                <w:lang w:val="en-GB"/>
              </w:rPr>
              <w:t>1.4 Gearing Analysis</w:t>
            </w:r>
            <w:r>
              <w:rPr>
                <w:noProof/>
                <w:webHidden/>
              </w:rPr>
              <w:tab/>
            </w:r>
            <w:r>
              <w:rPr>
                <w:noProof/>
                <w:webHidden/>
              </w:rPr>
              <w:fldChar w:fldCharType="begin"/>
            </w:r>
            <w:r>
              <w:rPr>
                <w:noProof/>
                <w:webHidden/>
              </w:rPr>
              <w:instrText xml:space="preserve"> PAGEREF _Toc235897048 \h </w:instrText>
            </w:r>
            <w:r>
              <w:rPr>
                <w:noProof/>
                <w:webHidden/>
              </w:rPr>
            </w:r>
            <w:r>
              <w:rPr>
                <w:noProof/>
                <w:webHidden/>
              </w:rPr>
              <w:fldChar w:fldCharType="separate"/>
            </w:r>
            <w:r>
              <w:rPr>
                <w:noProof/>
                <w:webHidden/>
              </w:rPr>
              <w:t>9</w:t>
            </w:r>
            <w:r>
              <w:rPr>
                <w:noProof/>
                <w:webHidden/>
              </w:rPr>
              <w:fldChar w:fldCharType="end"/>
            </w:r>
          </w:hyperlink>
        </w:p>
        <w:p w14:paraId="3CAF4CDF"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9" w:history="1">
            <w:r w:rsidRPr="00A261FC">
              <w:rPr>
                <w:rStyle w:val="Hyperlink"/>
                <w:noProof/>
                <w:lang w:val="en-GB"/>
              </w:rPr>
              <w:t>1.5 Investment Analysis</w:t>
            </w:r>
            <w:r>
              <w:rPr>
                <w:noProof/>
                <w:webHidden/>
              </w:rPr>
              <w:tab/>
            </w:r>
            <w:r>
              <w:rPr>
                <w:noProof/>
                <w:webHidden/>
              </w:rPr>
              <w:fldChar w:fldCharType="begin"/>
            </w:r>
            <w:r>
              <w:rPr>
                <w:noProof/>
                <w:webHidden/>
              </w:rPr>
              <w:instrText xml:space="preserve"> PAGEREF _Toc235897049 \h </w:instrText>
            </w:r>
            <w:r>
              <w:rPr>
                <w:noProof/>
                <w:webHidden/>
              </w:rPr>
            </w:r>
            <w:r>
              <w:rPr>
                <w:noProof/>
                <w:webHidden/>
              </w:rPr>
              <w:fldChar w:fldCharType="separate"/>
            </w:r>
            <w:r>
              <w:rPr>
                <w:noProof/>
                <w:webHidden/>
              </w:rPr>
              <w:t>10</w:t>
            </w:r>
            <w:r>
              <w:rPr>
                <w:noProof/>
                <w:webHidden/>
              </w:rPr>
              <w:fldChar w:fldCharType="end"/>
            </w:r>
          </w:hyperlink>
        </w:p>
        <w:p w14:paraId="2C24E2CD"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0" w:history="1">
            <w:r w:rsidRPr="00A261FC">
              <w:rPr>
                <w:rStyle w:val="Hyperlink"/>
                <w:noProof/>
                <w:lang w:val="en-GB"/>
              </w:rPr>
              <w:t>1.6 Cash Flow Analysis</w:t>
            </w:r>
            <w:r>
              <w:rPr>
                <w:noProof/>
                <w:webHidden/>
              </w:rPr>
              <w:tab/>
            </w:r>
            <w:r>
              <w:rPr>
                <w:noProof/>
                <w:webHidden/>
              </w:rPr>
              <w:fldChar w:fldCharType="begin"/>
            </w:r>
            <w:r>
              <w:rPr>
                <w:noProof/>
                <w:webHidden/>
              </w:rPr>
              <w:instrText xml:space="preserve"> PAGEREF _Toc235897050 \h </w:instrText>
            </w:r>
            <w:r>
              <w:rPr>
                <w:noProof/>
                <w:webHidden/>
              </w:rPr>
            </w:r>
            <w:r>
              <w:rPr>
                <w:noProof/>
                <w:webHidden/>
              </w:rPr>
              <w:fldChar w:fldCharType="separate"/>
            </w:r>
            <w:r>
              <w:rPr>
                <w:noProof/>
                <w:webHidden/>
              </w:rPr>
              <w:t>11</w:t>
            </w:r>
            <w:r>
              <w:rPr>
                <w:noProof/>
                <w:webHidden/>
              </w:rPr>
              <w:fldChar w:fldCharType="end"/>
            </w:r>
          </w:hyperlink>
        </w:p>
        <w:p w14:paraId="1E1D9982"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1" w:history="1">
            <w:r w:rsidRPr="00A261FC">
              <w:rPr>
                <w:rStyle w:val="Hyperlink"/>
                <w:noProof/>
                <w:lang w:val="en-GB"/>
              </w:rPr>
              <w:t>1.7 Overall Financial Health Assessment</w:t>
            </w:r>
            <w:r>
              <w:rPr>
                <w:noProof/>
                <w:webHidden/>
              </w:rPr>
              <w:tab/>
            </w:r>
            <w:r>
              <w:rPr>
                <w:noProof/>
                <w:webHidden/>
              </w:rPr>
              <w:fldChar w:fldCharType="begin"/>
            </w:r>
            <w:r>
              <w:rPr>
                <w:noProof/>
                <w:webHidden/>
              </w:rPr>
              <w:instrText xml:space="preserve"> PAGEREF _Toc235897051 \h </w:instrText>
            </w:r>
            <w:r>
              <w:rPr>
                <w:noProof/>
                <w:webHidden/>
              </w:rPr>
            </w:r>
            <w:r>
              <w:rPr>
                <w:noProof/>
                <w:webHidden/>
              </w:rPr>
              <w:fldChar w:fldCharType="separate"/>
            </w:r>
            <w:r>
              <w:rPr>
                <w:noProof/>
                <w:webHidden/>
              </w:rPr>
              <w:t>12</w:t>
            </w:r>
            <w:r>
              <w:rPr>
                <w:noProof/>
                <w:webHidden/>
              </w:rPr>
              <w:fldChar w:fldCharType="end"/>
            </w:r>
          </w:hyperlink>
        </w:p>
        <w:p w14:paraId="7096CB31" w14:textId="77777777" w:rsidR="001F0E4B" w:rsidRDefault="001F0E4B" w:rsidP="001F0E4B">
          <w:pPr>
            <w:pStyle w:val="TOC1"/>
            <w:rPr>
              <w:rFonts w:asciiTheme="minorHAnsi" w:eastAsiaTheme="minorEastAsia" w:hAnsiTheme="minorHAnsi"/>
              <w:b w:val="0"/>
              <w:bCs w:val="0"/>
              <w:lang w:val="en-GB" w:eastAsia="en-GB"/>
            </w:rPr>
          </w:pPr>
          <w:hyperlink w:anchor="_Toc235897052" w:history="1">
            <w:r w:rsidRPr="00A261FC">
              <w:rPr>
                <w:rStyle w:val="Hyperlink"/>
                <w:lang w:val="en-GB"/>
              </w:rPr>
              <w:t>2. Working Capital Management Analysis</w:t>
            </w:r>
            <w:r>
              <w:rPr>
                <w:webHidden/>
              </w:rPr>
              <w:tab/>
            </w:r>
            <w:r>
              <w:rPr>
                <w:webHidden/>
              </w:rPr>
              <w:fldChar w:fldCharType="begin"/>
            </w:r>
            <w:r>
              <w:rPr>
                <w:webHidden/>
              </w:rPr>
              <w:instrText xml:space="preserve"> PAGEREF _Toc235897052 \h </w:instrText>
            </w:r>
            <w:r>
              <w:rPr>
                <w:webHidden/>
              </w:rPr>
            </w:r>
            <w:r>
              <w:rPr>
                <w:webHidden/>
              </w:rPr>
              <w:fldChar w:fldCharType="separate"/>
            </w:r>
            <w:r>
              <w:rPr>
                <w:webHidden/>
              </w:rPr>
              <w:t>13</w:t>
            </w:r>
            <w:r>
              <w:rPr>
                <w:webHidden/>
              </w:rPr>
              <w:fldChar w:fldCharType="end"/>
            </w:r>
          </w:hyperlink>
        </w:p>
        <w:p w14:paraId="63FE1521" w14:textId="77777777" w:rsidR="001F0E4B" w:rsidRDefault="001F0E4B" w:rsidP="001F0E4B">
          <w:pPr>
            <w:pStyle w:val="TOC1"/>
            <w:rPr>
              <w:rFonts w:asciiTheme="minorHAnsi" w:eastAsiaTheme="minorEastAsia" w:hAnsiTheme="minorHAnsi"/>
              <w:b w:val="0"/>
              <w:bCs w:val="0"/>
              <w:lang w:val="en-GB" w:eastAsia="en-GB"/>
            </w:rPr>
          </w:pPr>
          <w:hyperlink w:anchor="_Toc235897053" w:history="1">
            <w:r w:rsidRPr="00A261FC">
              <w:rPr>
                <w:rStyle w:val="Hyperlink"/>
                <w:lang w:val="en-GB"/>
              </w:rPr>
              <w:t>3. Strategic Financial Restructuring Plan</w:t>
            </w:r>
            <w:r>
              <w:rPr>
                <w:webHidden/>
              </w:rPr>
              <w:tab/>
            </w:r>
            <w:r>
              <w:rPr>
                <w:webHidden/>
              </w:rPr>
              <w:fldChar w:fldCharType="begin"/>
            </w:r>
            <w:r>
              <w:rPr>
                <w:webHidden/>
              </w:rPr>
              <w:instrText xml:space="preserve"> PAGEREF _Toc235897053 \h </w:instrText>
            </w:r>
            <w:r>
              <w:rPr>
                <w:webHidden/>
              </w:rPr>
            </w:r>
            <w:r>
              <w:rPr>
                <w:webHidden/>
              </w:rPr>
              <w:fldChar w:fldCharType="separate"/>
            </w:r>
            <w:r>
              <w:rPr>
                <w:webHidden/>
              </w:rPr>
              <w:t>16</w:t>
            </w:r>
            <w:r>
              <w:rPr>
                <w:webHidden/>
              </w:rPr>
              <w:fldChar w:fldCharType="end"/>
            </w:r>
          </w:hyperlink>
        </w:p>
        <w:p w14:paraId="257D766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4" w:history="1">
            <w:r w:rsidRPr="00A261FC">
              <w:rPr>
                <w:rStyle w:val="Hyperlink"/>
                <w:noProof/>
                <w:lang w:val="en-GB"/>
              </w:rPr>
              <w:t>a. Financial Restructuring Options</w:t>
            </w:r>
            <w:r>
              <w:rPr>
                <w:noProof/>
                <w:webHidden/>
              </w:rPr>
              <w:tab/>
            </w:r>
            <w:r>
              <w:rPr>
                <w:noProof/>
                <w:webHidden/>
              </w:rPr>
              <w:fldChar w:fldCharType="begin"/>
            </w:r>
            <w:r>
              <w:rPr>
                <w:noProof/>
                <w:webHidden/>
              </w:rPr>
              <w:instrText xml:space="preserve"> PAGEREF _Toc235897054 \h </w:instrText>
            </w:r>
            <w:r>
              <w:rPr>
                <w:noProof/>
                <w:webHidden/>
              </w:rPr>
            </w:r>
            <w:r>
              <w:rPr>
                <w:noProof/>
                <w:webHidden/>
              </w:rPr>
              <w:fldChar w:fldCharType="separate"/>
            </w:r>
            <w:r>
              <w:rPr>
                <w:noProof/>
                <w:webHidden/>
              </w:rPr>
              <w:t>16</w:t>
            </w:r>
            <w:r>
              <w:rPr>
                <w:noProof/>
                <w:webHidden/>
              </w:rPr>
              <w:fldChar w:fldCharType="end"/>
            </w:r>
          </w:hyperlink>
        </w:p>
        <w:p w14:paraId="5934C222"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5" w:history="1">
            <w:r w:rsidRPr="00A261FC">
              <w:rPr>
                <w:rStyle w:val="Hyperlink"/>
                <w:noProof/>
                <w:lang w:val="en-GB"/>
              </w:rPr>
              <w:t xml:space="preserve">b. Impact on </w:t>
            </w:r>
            <w:r w:rsidRPr="00A261FC">
              <w:rPr>
                <w:rStyle w:val="Hyperlink"/>
                <w:noProof/>
              </w:rPr>
              <w:t>shareholder</w:t>
            </w:r>
            <w:r w:rsidRPr="00A261FC">
              <w:rPr>
                <w:rStyle w:val="Hyperlink"/>
                <w:noProof/>
                <w:lang w:val="en-GB"/>
              </w:rPr>
              <w:t xml:space="preserve"> value, debt structure, and operational flexibility</w:t>
            </w:r>
            <w:r>
              <w:rPr>
                <w:noProof/>
                <w:webHidden/>
              </w:rPr>
              <w:tab/>
            </w:r>
            <w:r>
              <w:rPr>
                <w:noProof/>
                <w:webHidden/>
              </w:rPr>
              <w:fldChar w:fldCharType="begin"/>
            </w:r>
            <w:r>
              <w:rPr>
                <w:noProof/>
                <w:webHidden/>
              </w:rPr>
              <w:instrText xml:space="preserve"> PAGEREF _Toc235897055 \h </w:instrText>
            </w:r>
            <w:r>
              <w:rPr>
                <w:noProof/>
                <w:webHidden/>
              </w:rPr>
            </w:r>
            <w:r>
              <w:rPr>
                <w:noProof/>
                <w:webHidden/>
              </w:rPr>
              <w:fldChar w:fldCharType="separate"/>
            </w:r>
            <w:r>
              <w:rPr>
                <w:noProof/>
                <w:webHidden/>
              </w:rPr>
              <w:t>17</w:t>
            </w:r>
            <w:r>
              <w:rPr>
                <w:noProof/>
                <w:webHidden/>
              </w:rPr>
              <w:fldChar w:fldCharType="end"/>
            </w:r>
          </w:hyperlink>
        </w:p>
        <w:p w14:paraId="58087555"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6" w:history="1">
            <w:r w:rsidRPr="00A261FC">
              <w:rPr>
                <w:rStyle w:val="Hyperlink"/>
                <w:noProof/>
                <w:lang w:val="en-GB"/>
              </w:rPr>
              <w:t>c. International and ethical considerations</w:t>
            </w:r>
            <w:r>
              <w:rPr>
                <w:noProof/>
                <w:webHidden/>
              </w:rPr>
              <w:tab/>
            </w:r>
            <w:r>
              <w:rPr>
                <w:noProof/>
                <w:webHidden/>
              </w:rPr>
              <w:fldChar w:fldCharType="begin"/>
            </w:r>
            <w:r>
              <w:rPr>
                <w:noProof/>
                <w:webHidden/>
              </w:rPr>
              <w:instrText xml:space="preserve"> PAGEREF _Toc235897056 \h </w:instrText>
            </w:r>
            <w:r>
              <w:rPr>
                <w:noProof/>
                <w:webHidden/>
              </w:rPr>
            </w:r>
            <w:r>
              <w:rPr>
                <w:noProof/>
                <w:webHidden/>
              </w:rPr>
              <w:fldChar w:fldCharType="separate"/>
            </w:r>
            <w:r>
              <w:rPr>
                <w:noProof/>
                <w:webHidden/>
              </w:rPr>
              <w:t>18</w:t>
            </w:r>
            <w:r>
              <w:rPr>
                <w:noProof/>
                <w:webHidden/>
              </w:rPr>
              <w:fldChar w:fldCharType="end"/>
            </w:r>
          </w:hyperlink>
        </w:p>
        <w:p w14:paraId="578A15B2" w14:textId="77777777" w:rsidR="001F0E4B" w:rsidRDefault="001F0E4B" w:rsidP="001F0E4B">
          <w:pPr>
            <w:pStyle w:val="TOC1"/>
            <w:rPr>
              <w:rFonts w:asciiTheme="minorHAnsi" w:eastAsiaTheme="minorEastAsia" w:hAnsiTheme="minorHAnsi"/>
              <w:b w:val="0"/>
              <w:bCs w:val="0"/>
              <w:lang w:val="en-GB" w:eastAsia="en-GB"/>
            </w:rPr>
          </w:pPr>
          <w:hyperlink w:anchor="_Toc235897057" w:history="1">
            <w:r w:rsidRPr="00A261FC">
              <w:rPr>
                <w:rStyle w:val="Hyperlink"/>
                <w:lang w:val="en-GB"/>
              </w:rPr>
              <w:t>4. Investment Appraisal and Capital Budgeting</w:t>
            </w:r>
            <w:r>
              <w:rPr>
                <w:webHidden/>
              </w:rPr>
              <w:tab/>
            </w:r>
            <w:r>
              <w:rPr>
                <w:webHidden/>
              </w:rPr>
              <w:fldChar w:fldCharType="begin"/>
            </w:r>
            <w:r>
              <w:rPr>
                <w:webHidden/>
              </w:rPr>
              <w:instrText xml:space="preserve"> PAGEREF _Toc235897057 \h </w:instrText>
            </w:r>
            <w:r>
              <w:rPr>
                <w:webHidden/>
              </w:rPr>
            </w:r>
            <w:r>
              <w:rPr>
                <w:webHidden/>
              </w:rPr>
              <w:fldChar w:fldCharType="separate"/>
            </w:r>
            <w:r>
              <w:rPr>
                <w:webHidden/>
              </w:rPr>
              <w:t>18</w:t>
            </w:r>
            <w:r>
              <w:rPr>
                <w:webHidden/>
              </w:rPr>
              <w:fldChar w:fldCharType="end"/>
            </w:r>
          </w:hyperlink>
        </w:p>
        <w:p w14:paraId="676F2301" w14:textId="77777777" w:rsidR="001F0E4B" w:rsidRDefault="001F0E4B" w:rsidP="001F0E4B">
          <w:pPr>
            <w:pStyle w:val="TOC1"/>
            <w:rPr>
              <w:rFonts w:asciiTheme="minorHAnsi" w:eastAsiaTheme="minorEastAsia" w:hAnsiTheme="minorHAnsi"/>
              <w:b w:val="0"/>
              <w:bCs w:val="0"/>
              <w:lang w:val="en-GB" w:eastAsia="en-GB"/>
            </w:rPr>
          </w:pPr>
          <w:hyperlink w:anchor="_Toc235897058" w:history="1">
            <w:r w:rsidRPr="00A261FC">
              <w:rPr>
                <w:rStyle w:val="Hyperlink"/>
                <w:lang w:val="en-GB"/>
              </w:rPr>
              <w:t xml:space="preserve">5. </w:t>
            </w:r>
            <w:r w:rsidRPr="00A261FC">
              <w:rPr>
                <w:rStyle w:val="Hyperlink"/>
              </w:rPr>
              <w:t>Critical Reflection on AI Usage</w:t>
            </w:r>
            <w:r>
              <w:rPr>
                <w:webHidden/>
              </w:rPr>
              <w:tab/>
            </w:r>
            <w:r>
              <w:rPr>
                <w:webHidden/>
              </w:rPr>
              <w:fldChar w:fldCharType="begin"/>
            </w:r>
            <w:r>
              <w:rPr>
                <w:webHidden/>
              </w:rPr>
              <w:instrText xml:space="preserve"> PAGEREF _Toc235897058 \h </w:instrText>
            </w:r>
            <w:r>
              <w:rPr>
                <w:webHidden/>
              </w:rPr>
            </w:r>
            <w:r>
              <w:rPr>
                <w:webHidden/>
              </w:rPr>
              <w:fldChar w:fldCharType="separate"/>
            </w:r>
            <w:r>
              <w:rPr>
                <w:webHidden/>
              </w:rPr>
              <w:t>22</w:t>
            </w:r>
            <w:r>
              <w:rPr>
                <w:webHidden/>
              </w:rPr>
              <w:fldChar w:fldCharType="end"/>
            </w:r>
          </w:hyperlink>
        </w:p>
        <w:p w14:paraId="2D9ED94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9" w:history="1">
            <w:r w:rsidRPr="00A261FC">
              <w:rPr>
                <w:rStyle w:val="Hyperlink"/>
                <w:noProof/>
                <w:lang w:val="en-GB"/>
              </w:rPr>
              <w:t xml:space="preserve">5.1 </w:t>
            </w:r>
            <w:r w:rsidRPr="00A261FC">
              <w:rPr>
                <w:rStyle w:val="Hyperlink"/>
                <w:noProof/>
              </w:rPr>
              <w:t>Tool Disclosure</w:t>
            </w:r>
            <w:r>
              <w:rPr>
                <w:noProof/>
                <w:webHidden/>
              </w:rPr>
              <w:tab/>
            </w:r>
            <w:r>
              <w:rPr>
                <w:noProof/>
                <w:webHidden/>
              </w:rPr>
              <w:fldChar w:fldCharType="begin"/>
            </w:r>
            <w:r>
              <w:rPr>
                <w:noProof/>
                <w:webHidden/>
              </w:rPr>
              <w:instrText xml:space="preserve"> PAGEREF _Toc235897059 \h </w:instrText>
            </w:r>
            <w:r>
              <w:rPr>
                <w:noProof/>
                <w:webHidden/>
              </w:rPr>
            </w:r>
            <w:r>
              <w:rPr>
                <w:noProof/>
                <w:webHidden/>
              </w:rPr>
              <w:fldChar w:fldCharType="separate"/>
            </w:r>
            <w:r>
              <w:rPr>
                <w:noProof/>
                <w:webHidden/>
              </w:rPr>
              <w:t>22</w:t>
            </w:r>
            <w:r>
              <w:rPr>
                <w:noProof/>
                <w:webHidden/>
              </w:rPr>
              <w:fldChar w:fldCharType="end"/>
            </w:r>
          </w:hyperlink>
        </w:p>
        <w:p w14:paraId="4202FCB8"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0" w:history="1">
            <w:r w:rsidRPr="00A261FC">
              <w:rPr>
                <w:rStyle w:val="Hyperlink"/>
                <w:noProof/>
                <w:lang w:val="en-GB"/>
              </w:rPr>
              <w:t xml:space="preserve">5.2 </w:t>
            </w:r>
            <w:r w:rsidRPr="00A261FC">
              <w:rPr>
                <w:rStyle w:val="Hyperlink"/>
                <w:noProof/>
              </w:rPr>
              <w:t>Critical Evaluation of AI Output</w:t>
            </w:r>
            <w:r>
              <w:rPr>
                <w:noProof/>
                <w:webHidden/>
              </w:rPr>
              <w:tab/>
            </w:r>
            <w:r>
              <w:rPr>
                <w:noProof/>
                <w:webHidden/>
              </w:rPr>
              <w:fldChar w:fldCharType="begin"/>
            </w:r>
            <w:r>
              <w:rPr>
                <w:noProof/>
                <w:webHidden/>
              </w:rPr>
              <w:instrText xml:space="preserve"> PAGEREF _Toc235897060 \h </w:instrText>
            </w:r>
            <w:r>
              <w:rPr>
                <w:noProof/>
                <w:webHidden/>
              </w:rPr>
            </w:r>
            <w:r>
              <w:rPr>
                <w:noProof/>
                <w:webHidden/>
              </w:rPr>
              <w:fldChar w:fldCharType="separate"/>
            </w:r>
            <w:r>
              <w:rPr>
                <w:noProof/>
                <w:webHidden/>
              </w:rPr>
              <w:t>23</w:t>
            </w:r>
            <w:r>
              <w:rPr>
                <w:noProof/>
                <w:webHidden/>
              </w:rPr>
              <w:fldChar w:fldCharType="end"/>
            </w:r>
          </w:hyperlink>
        </w:p>
        <w:p w14:paraId="07A5FCF5"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1" w:history="1">
            <w:r w:rsidRPr="00A261FC">
              <w:rPr>
                <w:rStyle w:val="Hyperlink"/>
                <w:noProof/>
                <w:lang w:val="en-GB"/>
              </w:rPr>
              <w:t>5.3 Contribution Analysis</w:t>
            </w:r>
            <w:r>
              <w:rPr>
                <w:noProof/>
                <w:webHidden/>
              </w:rPr>
              <w:tab/>
            </w:r>
            <w:r>
              <w:rPr>
                <w:noProof/>
                <w:webHidden/>
              </w:rPr>
              <w:fldChar w:fldCharType="begin"/>
            </w:r>
            <w:r>
              <w:rPr>
                <w:noProof/>
                <w:webHidden/>
              </w:rPr>
              <w:instrText xml:space="preserve"> PAGEREF _Toc235897061 \h </w:instrText>
            </w:r>
            <w:r>
              <w:rPr>
                <w:noProof/>
                <w:webHidden/>
              </w:rPr>
            </w:r>
            <w:r>
              <w:rPr>
                <w:noProof/>
                <w:webHidden/>
              </w:rPr>
              <w:fldChar w:fldCharType="separate"/>
            </w:r>
            <w:r>
              <w:rPr>
                <w:noProof/>
                <w:webHidden/>
              </w:rPr>
              <w:t>23</w:t>
            </w:r>
            <w:r>
              <w:rPr>
                <w:noProof/>
                <w:webHidden/>
              </w:rPr>
              <w:fldChar w:fldCharType="end"/>
            </w:r>
          </w:hyperlink>
        </w:p>
        <w:p w14:paraId="05E5FBE1"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2" w:history="1">
            <w:r w:rsidRPr="00A261FC">
              <w:rPr>
                <w:rStyle w:val="Hyperlink"/>
                <w:noProof/>
                <w:lang w:val="en-GB"/>
              </w:rPr>
              <w:t xml:space="preserve">5.4 </w:t>
            </w:r>
            <w:r w:rsidRPr="00A261FC">
              <w:rPr>
                <w:rStyle w:val="Hyperlink"/>
                <w:noProof/>
              </w:rPr>
              <w:t>Ethical &amp; Professional Reflection</w:t>
            </w:r>
            <w:r>
              <w:rPr>
                <w:noProof/>
                <w:webHidden/>
              </w:rPr>
              <w:tab/>
            </w:r>
            <w:r>
              <w:rPr>
                <w:noProof/>
                <w:webHidden/>
              </w:rPr>
              <w:fldChar w:fldCharType="begin"/>
            </w:r>
            <w:r>
              <w:rPr>
                <w:noProof/>
                <w:webHidden/>
              </w:rPr>
              <w:instrText xml:space="preserve"> PAGEREF _Toc235897062 \h </w:instrText>
            </w:r>
            <w:r>
              <w:rPr>
                <w:noProof/>
                <w:webHidden/>
              </w:rPr>
            </w:r>
            <w:r>
              <w:rPr>
                <w:noProof/>
                <w:webHidden/>
              </w:rPr>
              <w:fldChar w:fldCharType="separate"/>
            </w:r>
            <w:r>
              <w:rPr>
                <w:noProof/>
                <w:webHidden/>
              </w:rPr>
              <w:t>24</w:t>
            </w:r>
            <w:r>
              <w:rPr>
                <w:noProof/>
                <w:webHidden/>
              </w:rPr>
              <w:fldChar w:fldCharType="end"/>
            </w:r>
          </w:hyperlink>
        </w:p>
        <w:p w14:paraId="62FC950B" w14:textId="77777777" w:rsidR="001F0E4B" w:rsidRDefault="001F0E4B" w:rsidP="001F0E4B">
          <w:pPr>
            <w:pStyle w:val="TOC1"/>
            <w:rPr>
              <w:rFonts w:asciiTheme="minorHAnsi" w:eastAsiaTheme="minorEastAsia" w:hAnsiTheme="minorHAnsi"/>
              <w:b w:val="0"/>
              <w:bCs w:val="0"/>
              <w:lang w:val="en-GB" w:eastAsia="en-GB"/>
            </w:rPr>
          </w:pPr>
          <w:hyperlink w:anchor="_Toc235897063" w:history="1">
            <w:r w:rsidRPr="00A261FC">
              <w:rPr>
                <w:rStyle w:val="Hyperlink"/>
                <w:lang w:val="en-GB"/>
              </w:rPr>
              <w:t>Conclusion</w:t>
            </w:r>
            <w:r>
              <w:rPr>
                <w:webHidden/>
              </w:rPr>
              <w:tab/>
            </w:r>
            <w:r>
              <w:rPr>
                <w:webHidden/>
              </w:rPr>
              <w:fldChar w:fldCharType="begin"/>
            </w:r>
            <w:r>
              <w:rPr>
                <w:webHidden/>
              </w:rPr>
              <w:instrText xml:space="preserve"> PAGEREF _Toc235897063 \h </w:instrText>
            </w:r>
            <w:r>
              <w:rPr>
                <w:webHidden/>
              </w:rPr>
            </w:r>
            <w:r>
              <w:rPr>
                <w:webHidden/>
              </w:rPr>
              <w:fldChar w:fldCharType="separate"/>
            </w:r>
            <w:r>
              <w:rPr>
                <w:webHidden/>
              </w:rPr>
              <w:t>24</w:t>
            </w:r>
            <w:r>
              <w:rPr>
                <w:webHidden/>
              </w:rPr>
              <w:fldChar w:fldCharType="end"/>
            </w:r>
          </w:hyperlink>
        </w:p>
        <w:p w14:paraId="0EEEAA94" w14:textId="77777777" w:rsidR="001F0E4B" w:rsidRDefault="001F0E4B" w:rsidP="001F0E4B">
          <w:pPr>
            <w:pStyle w:val="TOC1"/>
            <w:rPr>
              <w:rFonts w:asciiTheme="minorHAnsi" w:eastAsiaTheme="minorEastAsia" w:hAnsiTheme="minorHAnsi"/>
              <w:b w:val="0"/>
              <w:bCs w:val="0"/>
              <w:lang w:val="en-GB" w:eastAsia="en-GB"/>
            </w:rPr>
          </w:pPr>
          <w:hyperlink w:anchor="_Toc235897064" w:history="1">
            <w:r w:rsidRPr="00A261FC">
              <w:rPr>
                <w:rStyle w:val="Hyperlink"/>
                <w:lang w:val="en-GB"/>
              </w:rPr>
              <w:t>Reference List</w:t>
            </w:r>
            <w:r>
              <w:rPr>
                <w:webHidden/>
              </w:rPr>
              <w:tab/>
            </w:r>
            <w:r>
              <w:rPr>
                <w:webHidden/>
              </w:rPr>
              <w:fldChar w:fldCharType="begin"/>
            </w:r>
            <w:r>
              <w:rPr>
                <w:webHidden/>
              </w:rPr>
              <w:instrText xml:space="preserve"> PAGEREF _Toc235897064 \h </w:instrText>
            </w:r>
            <w:r>
              <w:rPr>
                <w:webHidden/>
              </w:rPr>
            </w:r>
            <w:r>
              <w:rPr>
                <w:webHidden/>
              </w:rPr>
              <w:fldChar w:fldCharType="separate"/>
            </w:r>
            <w:r>
              <w:rPr>
                <w:webHidden/>
              </w:rPr>
              <w:t>25</w:t>
            </w:r>
            <w:r>
              <w:rPr>
                <w:webHidden/>
              </w:rPr>
              <w:fldChar w:fldCharType="end"/>
            </w:r>
          </w:hyperlink>
        </w:p>
        <w:p w14:paraId="7512B299" w14:textId="77777777" w:rsidR="001F0E4B" w:rsidRDefault="001F0E4B" w:rsidP="001F0E4B">
          <w:pPr>
            <w:pStyle w:val="TOC1"/>
            <w:rPr>
              <w:rFonts w:asciiTheme="minorHAnsi" w:eastAsiaTheme="minorEastAsia" w:hAnsiTheme="minorHAnsi"/>
              <w:b w:val="0"/>
              <w:bCs w:val="0"/>
              <w:lang w:val="en-GB" w:eastAsia="en-GB"/>
            </w:rPr>
          </w:pPr>
          <w:hyperlink w:anchor="_Toc235897065" w:history="1">
            <w:r w:rsidRPr="00A261FC">
              <w:rPr>
                <w:rStyle w:val="Hyperlink"/>
                <w:lang w:val="en-GB"/>
              </w:rPr>
              <w:t>Appendices</w:t>
            </w:r>
            <w:r>
              <w:rPr>
                <w:webHidden/>
              </w:rPr>
              <w:tab/>
            </w:r>
            <w:r>
              <w:rPr>
                <w:webHidden/>
              </w:rPr>
              <w:fldChar w:fldCharType="begin"/>
            </w:r>
            <w:r>
              <w:rPr>
                <w:webHidden/>
              </w:rPr>
              <w:instrText xml:space="preserve"> PAGEREF _Toc235897065 \h </w:instrText>
            </w:r>
            <w:r>
              <w:rPr>
                <w:webHidden/>
              </w:rPr>
            </w:r>
            <w:r>
              <w:rPr>
                <w:webHidden/>
              </w:rPr>
              <w:fldChar w:fldCharType="separate"/>
            </w:r>
            <w:r>
              <w:rPr>
                <w:webHidden/>
              </w:rPr>
              <w:t>30</w:t>
            </w:r>
            <w:r>
              <w:rPr>
                <w:webHidden/>
              </w:rPr>
              <w:fldChar w:fldCharType="end"/>
            </w:r>
          </w:hyperlink>
        </w:p>
        <w:p w14:paraId="695A98AE"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6" w:history="1">
            <w:r w:rsidRPr="00A261FC">
              <w:rPr>
                <w:rStyle w:val="Hyperlink"/>
                <w:noProof/>
                <w:lang w:val="en-GB"/>
              </w:rPr>
              <w:t>Appendix A: Ratio Analysis</w:t>
            </w:r>
            <w:r>
              <w:rPr>
                <w:noProof/>
                <w:webHidden/>
              </w:rPr>
              <w:tab/>
            </w:r>
            <w:r>
              <w:rPr>
                <w:noProof/>
                <w:webHidden/>
              </w:rPr>
              <w:fldChar w:fldCharType="begin"/>
            </w:r>
            <w:r>
              <w:rPr>
                <w:noProof/>
                <w:webHidden/>
              </w:rPr>
              <w:instrText xml:space="preserve"> PAGEREF _Toc235897066 \h </w:instrText>
            </w:r>
            <w:r>
              <w:rPr>
                <w:noProof/>
                <w:webHidden/>
              </w:rPr>
            </w:r>
            <w:r>
              <w:rPr>
                <w:noProof/>
                <w:webHidden/>
              </w:rPr>
              <w:fldChar w:fldCharType="separate"/>
            </w:r>
            <w:r>
              <w:rPr>
                <w:noProof/>
                <w:webHidden/>
              </w:rPr>
              <w:t>30</w:t>
            </w:r>
            <w:r>
              <w:rPr>
                <w:noProof/>
                <w:webHidden/>
              </w:rPr>
              <w:fldChar w:fldCharType="end"/>
            </w:r>
          </w:hyperlink>
        </w:p>
        <w:p w14:paraId="53A04A37"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7" w:history="1">
            <w:r w:rsidRPr="00A261FC">
              <w:rPr>
                <w:rStyle w:val="Hyperlink"/>
                <w:noProof/>
                <w:lang w:val="en-GB"/>
              </w:rPr>
              <w:t>Appendix B: Investment Appraisal</w:t>
            </w:r>
            <w:r>
              <w:rPr>
                <w:noProof/>
                <w:webHidden/>
              </w:rPr>
              <w:tab/>
            </w:r>
            <w:r>
              <w:rPr>
                <w:noProof/>
                <w:webHidden/>
              </w:rPr>
              <w:fldChar w:fldCharType="begin"/>
            </w:r>
            <w:r>
              <w:rPr>
                <w:noProof/>
                <w:webHidden/>
              </w:rPr>
              <w:instrText xml:space="preserve"> PAGEREF _Toc235897067 \h </w:instrText>
            </w:r>
            <w:r>
              <w:rPr>
                <w:noProof/>
                <w:webHidden/>
              </w:rPr>
            </w:r>
            <w:r>
              <w:rPr>
                <w:noProof/>
                <w:webHidden/>
              </w:rPr>
              <w:fldChar w:fldCharType="separate"/>
            </w:r>
            <w:r>
              <w:rPr>
                <w:noProof/>
                <w:webHidden/>
              </w:rPr>
              <w:t>35</w:t>
            </w:r>
            <w:r>
              <w:rPr>
                <w:noProof/>
                <w:webHidden/>
              </w:rPr>
              <w:fldChar w:fldCharType="end"/>
            </w:r>
          </w:hyperlink>
        </w:p>
        <w:p w14:paraId="474BF540" w14:textId="77777777" w:rsidR="001F0E4B" w:rsidRPr="008A00D2" w:rsidRDefault="001F0E4B" w:rsidP="001F0E4B">
          <w:pPr>
            <w:rPr>
              <w:lang w:val="en-GB"/>
            </w:rPr>
          </w:pPr>
          <w:r w:rsidRPr="008A00D2">
            <w:rPr>
              <w:b/>
              <w:bCs/>
              <w:noProof/>
              <w:lang w:val="en-GB"/>
            </w:rPr>
            <w:fldChar w:fldCharType="end"/>
          </w:r>
        </w:p>
      </w:sdtContent>
    </w:sdt>
    <w:p w14:paraId="480C66DA" w14:textId="77777777" w:rsidR="001F0E4B" w:rsidRPr="008A00D2" w:rsidRDefault="001F0E4B" w:rsidP="001F0E4B">
      <w:pPr>
        <w:spacing w:line="278" w:lineRule="auto"/>
        <w:jc w:val="center"/>
        <w:rPr>
          <w:lang w:val="en-GB"/>
        </w:rPr>
      </w:pPr>
      <w:r w:rsidRPr="008A00D2">
        <w:rPr>
          <w:lang w:val="en-GB"/>
        </w:rPr>
        <w:br w:type="page"/>
      </w:r>
    </w:p>
    <w:p w14:paraId="1ED2816E" w14:textId="77777777" w:rsidR="001F0E4B" w:rsidRDefault="001F0E4B" w:rsidP="001F0E4B">
      <w:pPr>
        <w:jc w:val="center"/>
        <w:rPr>
          <w:b/>
          <w:bCs/>
          <w:sz w:val="28"/>
          <w:szCs w:val="28"/>
          <w:lang w:val="en-GB"/>
        </w:rPr>
      </w:pPr>
      <w:r w:rsidRPr="00EF774C">
        <w:rPr>
          <w:b/>
          <w:bCs/>
          <w:sz w:val="28"/>
          <w:szCs w:val="28"/>
          <w:lang w:val="en-GB"/>
        </w:rPr>
        <w:lastRenderedPageBreak/>
        <w:t>List of Figures</w:t>
      </w:r>
    </w:p>
    <w:p w14:paraId="0CBC1056" w14:textId="77777777" w:rsidR="001F0E4B" w:rsidRDefault="001F0E4B" w:rsidP="001F0E4B">
      <w:pPr>
        <w:pStyle w:val="TableofFigures"/>
        <w:tabs>
          <w:tab w:val="right" w:leader="dot" w:pos="9350"/>
        </w:tabs>
        <w:rPr>
          <w:noProof/>
        </w:rPr>
      </w:pPr>
      <w:r>
        <w:rPr>
          <w:b/>
          <w:bCs/>
          <w:sz w:val="28"/>
          <w:szCs w:val="28"/>
          <w:lang w:val="en-GB"/>
        </w:rPr>
        <w:fldChar w:fldCharType="begin"/>
      </w:r>
      <w:r>
        <w:rPr>
          <w:b/>
          <w:bCs/>
          <w:sz w:val="28"/>
          <w:szCs w:val="28"/>
          <w:lang w:val="en-GB"/>
        </w:rPr>
        <w:instrText xml:space="preserve"> TOC \h \z \c "Figure" </w:instrText>
      </w:r>
      <w:r>
        <w:rPr>
          <w:b/>
          <w:bCs/>
          <w:sz w:val="28"/>
          <w:szCs w:val="28"/>
          <w:lang w:val="en-GB"/>
        </w:rPr>
        <w:fldChar w:fldCharType="separate"/>
      </w:r>
      <w:hyperlink w:anchor="_Toc235896916" w:history="1">
        <w:r w:rsidRPr="00CC5A4B">
          <w:rPr>
            <w:rStyle w:val="Hyperlink"/>
            <w:noProof/>
          </w:rPr>
          <w:t>Figure 1: Hilton Profitability Ratios (2021–2025)</w:t>
        </w:r>
        <w:r>
          <w:rPr>
            <w:noProof/>
            <w:webHidden/>
          </w:rPr>
          <w:tab/>
        </w:r>
        <w:r>
          <w:rPr>
            <w:noProof/>
            <w:webHidden/>
          </w:rPr>
          <w:fldChar w:fldCharType="begin"/>
        </w:r>
        <w:r>
          <w:rPr>
            <w:noProof/>
            <w:webHidden/>
          </w:rPr>
          <w:instrText xml:space="preserve"> PAGEREF _Toc235896916 \h </w:instrText>
        </w:r>
        <w:r>
          <w:rPr>
            <w:noProof/>
            <w:webHidden/>
          </w:rPr>
        </w:r>
        <w:r>
          <w:rPr>
            <w:noProof/>
            <w:webHidden/>
          </w:rPr>
          <w:fldChar w:fldCharType="separate"/>
        </w:r>
        <w:r>
          <w:rPr>
            <w:noProof/>
            <w:webHidden/>
          </w:rPr>
          <w:t>6</w:t>
        </w:r>
        <w:r>
          <w:rPr>
            <w:noProof/>
            <w:webHidden/>
          </w:rPr>
          <w:fldChar w:fldCharType="end"/>
        </w:r>
      </w:hyperlink>
    </w:p>
    <w:p w14:paraId="25CB6FA3" w14:textId="77777777" w:rsidR="001F0E4B" w:rsidRDefault="001F0E4B" w:rsidP="001F0E4B">
      <w:pPr>
        <w:pStyle w:val="TableofFigures"/>
        <w:tabs>
          <w:tab w:val="right" w:leader="dot" w:pos="9350"/>
        </w:tabs>
        <w:rPr>
          <w:noProof/>
        </w:rPr>
      </w:pPr>
      <w:hyperlink w:anchor="_Toc235896917" w:history="1">
        <w:r w:rsidRPr="00CC5A4B">
          <w:rPr>
            <w:rStyle w:val="Hyperlink"/>
            <w:noProof/>
          </w:rPr>
          <w:t>Figure 2: Hilton Current Ratio (2021–2025)</w:t>
        </w:r>
        <w:r>
          <w:rPr>
            <w:noProof/>
            <w:webHidden/>
          </w:rPr>
          <w:tab/>
        </w:r>
        <w:r>
          <w:rPr>
            <w:noProof/>
            <w:webHidden/>
          </w:rPr>
          <w:fldChar w:fldCharType="begin"/>
        </w:r>
        <w:r>
          <w:rPr>
            <w:noProof/>
            <w:webHidden/>
          </w:rPr>
          <w:instrText xml:space="preserve"> PAGEREF _Toc235896917 \h </w:instrText>
        </w:r>
        <w:r>
          <w:rPr>
            <w:noProof/>
            <w:webHidden/>
          </w:rPr>
        </w:r>
        <w:r>
          <w:rPr>
            <w:noProof/>
            <w:webHidden/>
          </w:rPr>
          <w:fldChar w:fldCharType="separate"/>
        </w:r>
        <w:r>
          <w:rPr>
            <w:noProof/>
            <w:webHidden/>
          </w:rPr>
          <w:t>7</w:t>
        </w:r>
        <w:r>
          <w:rPr>
            <w:noProof/>
            <w:webHidden/>
          </w:rPr>
          <w:fldChar w:fldCharType="end"/>
        </w:r>
      </w:hyperlink>
    </w:p>
    <w:p w14:paraId="08868321" w14:textId="77777777" w:rsidR="001F0E4B" w:rsidRDefault="001F0E4B" w:rsidP="001F0E4B">
      <w:pPr>
        <w:pStyle w:val="TableofFigures"/>
        <w:tabs>
          <w:tab w:val="right" w:leader="dot" w:pos="9350"/>
        </w:tabs>
        <w:rPr>
          <w:noProof/>
        </w:rPr>
      </w:pPr>
      <w:hyperlink w:anchor="_Toc235896918" w:history="1">
        <w:r w:rsidRPr="00CC5A4B">
          <w:rPr>
            <w:rStyle w:val="Hyperlink"/>
            <w:noProof/>
          </w:rPr>
          <w:t>Figure 3: Hilton Efficiency Ratios (2021–2025)</w:t>
        </w:r>
        <w:r>
          <w:rPr>
            <w:noProof/>
            <w:webHidden/>
          </w:rPr>
          <w:tab/>
        </w:r>
        <w:r>
          <w:rPr>
            <w:noProof/>
            <w:webHidden/>
          </w:rPr>
          <w:fldChar w:fldCharType="begin"/>
        </w:r>
        <w:r>
          <w:rPr>
            <w:noProof/>
            <w:webHidden/>
          </w:rPr>
          <w:instrText xml:space="preserve"> PAGEREF _Toc235896918 \h </w:instrText>
        </w:r>
        <w:r>
          <w:rPr>
            <w:noProof/>
            <w:webHidden/>
          </w:rPr>
        </w:r>
        <w:r>
          <w:rPr>
            <w:noProof/>
            <w:webHidden/>
          </w:rPr>
          <w:fldChar w:fldCharType="separate"/>
        </w:r>
        <w:r>
          <w:rPr>
            <w:noProof/>
            <w:webHidden/>
          </w:rPr>
          <w:t>8</w:t>
        </w:r>
        <w:r>
          <w:rPr>
            <w:noProof/>
            <w:webHidden/>
          </w:rPr>
          <w:fldChar w:fldCharType="end"/>
        </w:r>
      </w:hyperlink>
    </w:p>
    <w:p w14:paraId="2B614455" w14:textId="77777777" w:rsidR="001F0E4B" w:rsidRDefault="001F0E4B" w:rsidP="001F0E4B">
      <w:pPr>
        <w:pStyle w:val="TableofFigures"/>
        <w:tabs>
          <w:tab w:val="right" w:leader="dot" w:pos="9350"/>
        </w:tabs>
        <w:rPr>
          <w:noProof/>
        </w:rPr>
      </w:pPr>
      <w:hyperlink w:anchor="_Toc235896919" w:history="1">
        <w:r w:rsidRPr="00CC5A4B">
          <w:rPr>
            <w:rStyle w:val="Hyperlink"/>
            <w:noProof/>
          </w:rPr>
          <w:t>Figure 4: Hilton Gearing Ratios (2021–2025)</w:t>
        </w:r>
        <w:r>
          <w:rPr>
            <w:noProof/>
            <w:webHidden/>
          </w:rPr>
          <w:tab/>
        </w:r>
        <w:r>
          <w:rPr>
            <w:noProof/>
            <w:webHidden/>
          </w:rPr>
          <w:fldChar w:fldCharType="begin"/>
        </w:r>
        <w:r>
          <w:rPr>
            <w:noProof/>
            <w:webHidden/>
          </w:rPr>
          <w:instrText xml:space="preserve"> PAGEREF _Toc235896919 \h </w:instrText>
        </w:r>
        <w:r>
          <w:rPr>
            <w:noProof/>
            <w:webHidden/>
          </w:rPr>
        </w:r>
        <w:r>
          <w:rPr>
            <w:noProof/>
            <w:webHidden/>
          </w:rPr>
          <w:fldChar w:fldCharType="separate"/>
        </w:r>
        <w:r>
          <w:rPr>
            <w:noProof/>
            <w:webHidden/>
          </w:rPr>
          <w:t>9</w:t>
        </w:r>
        <w:r>
          <w:rPr>
            <w:noProof/>
            <w:webHidden/>
          </w:rPr>
          <w:fldChar w:fldCharType="end"/>
        </w:r>
      </w:hyperlink>
    </w:p>
    <w:p w14:paraId="4D874553" w14:textId="77777777" w:rsidR="001F0E4B" w:rsidRDefault="001F0E4B" w:rsidP="001F0E4B">
      <w:pPr>
        <w:pStyle w:val="TableofFigures"/>
        <w:tabs>
          <w:tab w:val="right" w:leader="dot" w:pos="9350"/>
        </w:tabs>
        <w:rPr>
          <w:noProof/>
        </w:rPr>
      </w:pPr>
      <w:hyperlink w:anchor="_Toc235896920" w:history="1">
        <w:r w:rsidRPr="00CC5A4B">
          <w:rPr>
            <w:rStyle w:val="Hyperlink"/>
            <w:noProof/>
          </w:rPr>
          <w:t>Figure 5: Hilton Price-to-Earnings Ratio (2021–2025)</w:t>
        </w:r>
        <w:r>
          <w:rPr>
            <w:noProof/>
            <w:webHidden/>
          </w:rPr>
          <w:tab/>
        </w:r>
        <w:r>
          <w:rPr>
            <w:noProof/>
            <w:webHidden/>
          </w:rPr>
          <w:fldChar w:fldCharType="begin"/>
        </w:r>
        <w:r>
          <w:rPr>
            <w:noProof/>
            <w:webHidden/>
          </w:rPr>
          <w:instrText xml:space="preserve"> PAGEREF _Toc235896920 \h </w:instrText>
        </w:r>
        <w:r>
          <w:rPr>
            <w:noProof/>
            <w:webHidden/>
          </w:rPr>
        </w:r>
        <w:r>
          <w:rPr>
            <w:noProof/>
            <w:webHidden/>
          </w:rPr>
          <w:fldChar w:fldCharType="separate"/>
        </w:r>
        <w:r>
          <w:rPr>
            <w:noProof/>
            <w:webHidden/>
          </w:rPr>
          <w:t>11</w:t>
        </w:r>
        <w:r>
          <w:rPr>
            <w:noProof/>
            <w:webHidden/>
          </w:rPr>
          <w:fldChar w:fldCharType="end"/>
        </w:r>
      </w:hyperlink>
    </w:p>
    <w:p w14:paraId="597B4FD3" w14:textId="77777777" w:rsidR="001F0E4B" w:rsidRDefault="001F0E4B" w:rsidP="001F0E4B">
      <w:pPr>
        <w:pStyle w:val="TableofFigures"/>
        <w:tabs>
          <w:tab w:val="right" w:leader="dot" w:pos="9350"/>
        </w:tabs>
        <w:rPr>
          <w:noProof/>
        </w:rPr>
      </w:pPr>
      <w:hyperlink w:anchor="_Toc235896921" w:history="1">
        <w:r w:rsidRPr="00CC5A4B">
          <w:rPr>
            <w:rStyle w:val="Hyperlink"/>
            <w:noProof/>
          </w:rPr>
          <w:t>Figure 6: Hilton Operating Cash Flow Margin (2021-2025)</w:t>
        </w:r>
        <w:r>
          <w:rPr>
            <w:noProof/>
            <w:webHidden/>
          </w:rPr>
          <w:tab/>
        </w:r>
        <w:r>
          <w:rPr>
            <w:noProof/>
            <w:webHidden/>
          </w:rPr>
          <w:fldChar w:fldCharType="begin"/>
        </w:r>
        <w:r>
          <w:rPr>
            <w:noProof/>
            <w:webHidden/>
          </w:rPr>
          <w:instrText xml:space="preserve"> PAGEREF _Toc235896921 \h </w:instrText>
        </w:r>
        <w:r>
          <w:rPr>
            <w:noProof/>
            <w:webHidden/>
          </w:rPr>
        </w:r>
        <w:r>
          <w:rPr>
            <w:noProof/>
            <w:webHidden/>
          </w:rPr>
          <w:fldChar w:fldCharType="separate"/>
        </w:r>
        <w:r>
          <w:rPr>
            <w:noProof/>
            <w:webHidden/>
          </w:rPr>
          <w:t>12</w:t>
        </w:r>
        <w:r>
          <w:rPr>
            <w:noProof/>
            <w:webHidden/>
          </w:rPr>
          <w:fldChar w:fldCharType="end"/>
        </w:r>
      </w:hyperlink>
    </w:p>
    <w:p w14:paraId="6AB24736" w14:textId="77777777" w:rsidR="001F0E4B" w:rsidRDefault="001F0E4B" w:rsidP="001F0E4B">
      <w:pPr>
        <w:pStyle w:val="TableofFigures"/>
        <w:tabs>
          <w:tab w:val="right" w:leader="dot" w:pos="9350"/>
        </w:tabs>
        <w:rPr>
          <w:noProof/>
        </w:rPr>
      </w:pPr>
      <w:hyperlink w:anchor="_Toc235896922" w:history="1">
        <w:r w:rsidRPr="00CC5A4B">
          <w:rPr>
            <w:rStyle w:val="Hyperlink"/>
            <w:noProof/>
          </w:rPr>
          <w:t>Figure 7: Hilton Operating Cycle Cash (2021-2025)</w:t>
        </w:r>
        <w:r>
          <w:rPr>
            <w:noProof/>
            <w:webHidden/>
          </w:rPr>
          <w:tab/>
        </w:r>
        <w:r>
          <w:rPr>
            <w:noProof/>
            <w:webHidden/>
          </w:rPr>
          <w:fldChar w:fldCharType="begin"/>
        </w:r>
        <w:r>
          <w:rPr>
            <w:noProof/>
            <w:webHidden/>
          </w:rPr>
          <w:instrText xml:space="preserve"> PAGEREF _Toc235896922 \h </w:instrText>
        </w:r>
        <w:r>
          <w:rPr>
            <w:noProof/>
            <w:webHidden/>
          </w:rPr>
        </w:r>
        <w:r>
          <w:rPr>
            <w:noProof/>
            <w:webHidden/>
          </w:rPr>
          <w:fldChar w:fldCharType="separate"/>
        </w:r>
        <w:r>
          <w:rPr>
            <w:noProof/>
            <w:webHidden/>
          </w:rPr>
          <w:t>14</w:t>
        </w:r>
        <w:r>
          <w:rPr>
            <w:noProof/>
            <w:webHidden/>
          </w:rPr>
          <w:fldChar w:fldCharType="end"/>
        </w:r>
      </w:hyperlink>
    </w:p>
    <w:p w14:paraId="5462E298" w14:textId="77777777" w:rsidR="001F0E4B" w:rsidRDefault="001F0E4B" w:rsidP="001F0E4B">
      <w:pPr>
        <w:jc w:val="center"/>
        <w:rPr>
          <w:b/>
          <w:bCs/>
          <w:sz w:val="28"/>
          <w:szCs w:val="28"/>
          <w:lang w:val="en-GB"/>
        </w:rPr>
      </w:pPr>
      <w:r>
        <w:rPr>
          <w:b/>
          <w:bCs/>
          <w:sz w:val="28"/>
          <w:szCs w:val="28"/>
          <w:lang w:val="en-GB"/>
        </w:rPr>
        <w:fldChar w:fldCharType="end"/>
      </w:r>
    </w:p>
    <w:p w14:paraId="709BC459" w14:textId="77777777" w:rsidR="001F0E4B" w:rsidRDefault="001F0E4B" w:rsidP="001F0E4B">
      <w:pPr>
        <w:jc w:val="center"/>
        <w:rPr>
          <w:b/>
          <w:bCs/>
          <w:sz w:val="28"/>
          <w:szCs w:val="28"/>
          <w:lang w:val="en-GB"/>
        </w:rPr>
      </w:pPr>
      <w:r>
        <w:rPr>
          <w:b/>
          <w:bCs/>
          <w:sz w:val="28"/>
          <w:szCs w:val="28"/>
          <w:lang w:val="en-GB"/>
        </w:rPr>
        <w:t>List of Tables</w:t>
      </w:r>
    </w:p>
    <w:p w14:paraId="22C87016"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r>
        <w:rPr>
          <w:b/>
          <w:bCs/>
          <w:sz w:val="28"/>
          <w:szCs w:val="28"/>
          <w:lang w:val="en-GB"/>
        </w:rPr>
        <w:fldChar w:fldCharType="begin"/>
      </w:r>
      <w:r>
        <w:rPr>
          <w:b/>
          <w:bCs/>
          <w:sz w:val="28"/>
          <w:szCs w:val="28"/>
          <w:lang w:val="en-GB"/>
        </w:rPr>
        <w:instrText xml:space="preserve"> TOC \h \z \c "Table" </w:instrText>
      </w:r>
      <w:r>
        <w:rPr>
          <w:b/>
          <w:bCs/>
          <w:sz w:val="28"/>
          <w:szCs w:val="28"/>
          <w:lang w:val="en-GB"/>
        </w:rPr>
        <w:fldChar w:fldCharType="separate"/>
      </w:r>
      <w:hyperlink w:anchor="_Toc235896928" w:history="1">
        <w:r w:rsidRPr="00454736">
          <w:rPr>
            <w:rStyle w:val="Hyperlink"/>
            <w:noProof/>
          </w:rPr>
          <w:t>Table 1: Hilton Worldwide Financial Statement Data (2021-2025)</w:t>
        </w:r>
        <w:r>
          <w:rPr>
            <w:noProof/>
            <w:webHidden/>
          </w:rPr>
          <w:tab/>
        </w:r>
        <w:r>
          <w:rPr>
            <w:noProof/>
            <w:webHidden/>
          </w:rPr>
          <w:fldChar w:fldCharType="begin"/>
        </w:r>
        <w:r>
          <w:rPr>
            <w:noProof/>
            <w:webHidden/>
          </w:rPr>
          <w:instrText xml:space="preserve"> PAGEREF _Toc235896928 \h </w:instrText>
        </w:r>
        <w:r>
          <w:rPr>
            <w:noProof/>
            <w:webHidden/>
          </w:rPr>
        </w:r>
        <w:r>
          <w:rPr>
            <w:noProof/>
            <w:webHidden/>
          </w:rPr>
          <w:fldChar w:fldCharType="separate"/>
        </w:r>
        <w:r>
          <w:rPr>
            <w:noProof/>
            <w:webHidden/>
          </w:rPr>
          <w:t>5</w:t>
        </w:r>
        <w:r>
          <w:rPr>
            <w:noProof/>
            <w:webHidden/>
          </w:rPr>
          <w:fldChar w:fldCharType="end"/>
        </w:r>
      </w:hyperlink>
    </w:p>
    <w:p w14:paraId="7E80C93D"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29" w:history="1">
        <w:r w:rsidRPr="00454736">
          <w:rPr>
            <w:rStyle w:val="Hyperlink"/>
            <w:noProof/>
          </w:rPr>
          <w:t>Table 2: Hilton Financial Ratio Analysis (2021-2025)</w:t>
        </w:r>
        <w:r>
          <w:rPr>
            <w:noProof/>
            <w:webHidden/>
          </w:rPr>
          <w:tab/>
        </w:r>
        <w:r>
          <w:rPr>
            <w:noProof/>
            <w:webHidden/>
          </w:rPr>
          <w:fldChar w:fldCharType="begin"/>
        </w:r>
        <w:r>
          <w:rPr>
            <w:noProof/>
            <w:webHidden/>
          </w:rPr>
          <w:instrText xml:space="preserve"> PAGEREF _Toc235896929 \h </w:instrText>
        </w:r>
        <w:r>
          <w:rPr>
            <w:noProof/>
            <w:webHidden/>
          </w:rPr>
        </w:r>
        <w:r>
          <w:rPr>
            <w:noProof/>
            <w:webHidden/>
          </w:rPr>
          <w:fldChar w:fldCharType="separate"/>
        </w:r>
        <w:r>
          <w:rPr>
            <w:noProof/>
            <w:webHidden/>
          </w:rPr>
          <w:t>13</w:t>
        </w:r>
        <w:r>
          <w:rPr>
            <w:noProof/>
            <w:webHidden/>
          </w:rPr>
          <w:fldChar w:fldCharType="end"/>
        </w:r>
      </w:hyperlink>
    </w:p>
    <w:p w14:paraId="2DB533C7"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0" w:history="1">
        <w:r w:rsidRPr="00454736">
          <w:rPr>
            <w:rStyle w:val="Hyperlink"/>
            <w:noProof/>
          </w:rPr>
          <w:t>Table 3: Hilton Cash Operating Cycle (2021-2025)</w:t>
        </w:r>
        <w:r>
          <w:rPr>
            <w:noProof/>
            <w:webHidden/>
          </w:rPr>
          <w:tab/>
        </w:r>
        <w:r>
          <w:rPr>
            <w:noProof/>
            <w:webHidden/>
          </w:rPr>
          <w:fldChar w:fldCharType="begin"/>
        </w:r>
        <w:r>
          <w:rPr>
            <w:noProof/>
            <w:webHidden/>
          </w:rPr>
          <w:instrText xml:space="preserve"> PAGEREF _Toc235896930 \h </w:instrText>
        </w:r>
        <w:r>
          <w:rPr>
            <w:noProof/>
            <w:webHidden/>
          </w:rPr>
        </w:r>
        <w:r>
          <w:rPr>
            <w:noProof/>
            <w:webHidden/>
          </w:rPr>
          <w:fldChar w:fldCharType="separate"/>
        </w:r>
        <w:r>
          <w:rPr>
            <w:noProof/>
            <w:webHidden/>
          </w:rPr>
          <w:t>13</w:t>
        </w:r>
        <w:r>
          <w:rPr>
            <w:noProof/>
            <w:webHidden/>
          </w:rPr>
          <w:fldChar w:fldCharType="end"/>
        </w:r>
      </w:hyperlink>
    </w:p>
    <w:p w14:paraId="1B9034A2"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1" w:history="1">
        <w:r w:rsidRPr="00454736">
          <w:rPr>
            <w:rStyle w:val="Hyperlink"/>
            <w:noProof/>
          </w:rPr>
          <w:t>Table 4: Using a Discounted Cash Flow to analyse the investment projects</w:t>
        </w:r>
        <w:r>
          <w:rPr>
            <w:noProof/>
            <w:webHidden/>
          </w:rPr>
          <w:tab/>
        </w:r>
        <w:r>
          <w:rPr>
            <w:noProof/>
            <w:webHidden/>
          </w:rPr>
          <w:fldChar w:fldCharType="begin"/>
        </w:r>
        <w:r>
          <w:rPr>
            <w:noProof/>
            <w:webHidden/>
          </w:rPr>
          <w:instrText xml:space="preserve"> PAGEREF _Toc235896931 \h </w:instrText>
        </w:r>
        <w:r>
          <w:rPr>
            <w:noProof/>
            <w:webHidden/>
          </w:rPr>
        </w:r>
        <w:r>
          <w:rPr>
            <w:noProof/>
            <w:webHidden/>
          </w:rPr>
          <w:fldChar w:fldCharType="separate"/>
        </w:r>
        <w:r>
          <w:rPr>
            <w:noProof/>
            <w:webHidden/>
          </w:rPr>
          <w:t>19</w:t>
        </w:r>
        <w:r>
          <w:rPr>
            <w:noProof/>
            <w:webHidden/>
          </w:rPr>
          <w:fldChar w:fldCharType="end"/>
        </w:r>
      </w:hyperlink>
    </w:p>
    <w:p w14:paraId="063FEE71"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2" w:history="1">
        <w:r w:rsidRPr="00454736">
          <w:rPr>
            <w:rStyle w:val="Hyperlink"/>
            <w:noProof/>
          </w:rPr>
          <w:t>Table 5: Investment Appraisal Results</w:t>
        </w:r>
        <w:r>
          <w:rPr>
            <w:noProof/>
            <w:webHidden/>
          </w:rPr>
          <w:tab/>
        </w:r>
        <w:r>
          <w:rPr>
            <w:noProof/>
            <w:webHidden/>
          </w:rPr>
          <w:fldChar w:fldCharType="begin"/>
        </w:r>
        <w:r>
          <w:rPr>
            <w:noProof/>
            <w:webHidden/>
          </w:rPr>
          <w:instrText xml:space="preserve"> PAGEREF _Toc235896932 \h </w:instrText>
        </w:r>
        <w:r>
          <w:rPr>
            <w:noProof/>
            <w:webHidden/>
          </w:rPr>
        </w:r>
        <w:r>
          <w:rPr>
            <w:noProof/>
            <w:webHidden/>
          </w:rPr>
          <w:fldChar w:fldCharType="separate"/>
        </w:r>
        <w:r>
          <w:rPr>
            <w:noProof/>
            <w:webHidden/>
          </w:rPr>
          <w:t>19</w:t>
        </w:r>
        <w:r>
          <w:rPr>
            <w:noProof/>
            <w:webHidden/>
          </w:rPr>
          <w:fldChar w:fldCharType="end"/>
        </w:r>
      </w:hyperlink>
    </w:p>
    <w:p w14:paraId="5DAB1262"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3" w:history="1">
        <w:r w:rsidRPr="00454736">
          <w:rPr>
            <w:rStyle w:val="Hyperlink"/>
            <w:noProof/>
          </w:rPr>
          <w:t>Table 6: Capital Rationing Analysis</w:t>
        </w:r>
        <w:r>
          <w:rPr>
            <w:noProof/>
            <w:webHidden/>
          </w:rPr>
          <w:tab/>
        </w:r>
        <w:r>
          <w:rPr>
            <w:noProof/>
            <w:webHidden/>
          </w:rPr>
          <w:fldChar w:fldCharType="begin"/>
        </w:r>
        <w:r>
          <w:rPr>
            <w:noProof/>
            <w:webHidden/>
          </w:rPr>
          <w:instrText xml:space="preserve"> PAGEREF _Toc235896933 \h </w:instrText>
        </w:r>
        <w:r>
          <w:rPr>
            <w:noProof/>
            <w:webHidden/>
          </w:rPr>
        </w:r>
        <w:r>
          <w:rPr>
            <w:noProof/>
            <w:webHidden/>
          </w:rPr>
          <w:fldChar w:fldCharType="separate"/>
        </w:r>
        <w:r>
          <w:rPr>
            <w:noProof/>
            <w:webHidden/>
          </w:rPr>
          <w:t>21</w:t>
        </w:r>
        <w:r>
          <w:rPr>
            <w:noProof/>
            <w:webHidden/>
          </w:rPr>
          <w:fldChar w:fldCharType="end"/>
        </w:r>
      </w:hyperlink>
    </w:p>
    <w:p w14:paraId="06ED0F53" w14:textId="77777777" w:rsidR="001F0E4B" w:rsidRPr="00EF774C" w:rsidRDefault="001F0E4B" w:rsidP="001F0E4B">
      <w:pPr>
        <w:jc w:val="center"/>
        <w:rPr>
          <w:b/>
          <w:bCs/>
          <w:sz w:val="28"/>
          <w:szCs w:val="28"/>
          <w:lang w:val="en-GB"/>
        </w:rPr>
      </w:pPr>
      <w:r>
        <w:rPr>
          <w:b/>
          <w:bCs/>
          <w:sz w:val="28"/>
          <w:szCs w:val="28"/>
          <w:lang w:val="en-GB"/>
        </w:rPr>
        <w:fldChar w:fldCharType="end"/>
      </w:r>
    </w:p>
    <w:p w14:paraId="4F718ED6" w14:textId="77777777" w:rsidR="001F0E4B" w:rsidRDefault="001F0E4B" w:rsidP="001F0E4B">
      <w:pPr>
        <w:spacing w:before="0" w:after="160" w:line="278" w:lineRule="auto"/>
        <w:jc w:val="left"/>
        <w:rPr>
          <w:rFonts w:eastAsiaTheme="majorEastAsia" w:cstheme="majorBidi"/>
          <w:b/>
          <w:sz w:val="28"/>
          <w:szCs w:val="40"/>
          <w:lang w:val="en-GB"/>
        </w:rPr>
      </w:pPr>
      <w:r>
        <w:rPr>
          <w:lang w:val="en-GB"/>
        </w:rPr>
        <w:br w:type="page"/>
      </w:r>
    </w:p>
    <w:p w14:paraId="52817D9C" w14:textId="77777777" w:rsidR="001F0E4B" w:rsidRPr="00F15C60" w:rsidRDefault="001F0E4B" w:rsidP="001F0E4B">
      <w:pPr>
        <w:pStyle w:val="Heading1"/>
        <w:rPr>
          <w:lang w:val="en-GB"/>
        </w:rPr>
      </w:pPr>
      <w:bookmarkStart w:id="0" w:name="_Toc235897043"/>
      <w:r w:rsidRPr="00E60153">
        <w:rPr>
          <w:lang w:val="en-GB"/>
        </w:rPr>
        <w:lastRenderedPageBreak/>
        <w:t>Introduction</w:t>
      </w:r>
      <w:bookmarkEnd w:id="0"/>
      <w:r w:rsidRPr="00E60153">
        <w:rPr>
          <w:lang w:val="en-GB"/>
        </w:rPr>
        <w:t xml:space="preserve"> </w:t>
      </w:r>
    </w:p>
    <w:p w14:paraId="4CBCA9A8" w14:textId="77777777" w:rsidR="001F0E4B" w:rsidRPr="00F15C60" w:rsidRDefault="001F0E4B" w:rsidP="001F0E4B">
      <w:pPr>
        <w:rPr>
          <w:lang w:val="en-GB"/>
        </w:rPr>
      </w:pPr>
      <w:r w:rsidRPr="00F15C60">
        <w:rPr>
          <w:lang w:val="en-GB"/>
        </w:rPr>
        <w:t>This report analyses the financial performance and strategic financial position of Hilton Worldwide Holdings Inc. in the period 2021-2025. Financial data provided in the company's annual reports together with external sources will be used to analyse Hilton's financial soundness, working capital management, strategic financial reorganisation and investment appraisal to evaluate the company's financial sustainability and future strategic position. Using financial ratio analysis, Hilton's profitability, liquidity, efficiency, gearing, investment performance and cash flow will be evaluated; using working capital analysis, the ability of the company to manage its short-term financial liabilities will be assessed. In addition, possible financial reorganisations will be considered in terms of shareholder value, debt and financial flexibility. Moreover, Payback Period (PBP), Accounting Rate of Return (ARR), Net Present Value (NPV), Profitability Index (PI) and Internal Rate of Return (IRR) will be applied to assess the potential investment projects and find out which one is more financially attractive. The conclusions will be drawn on the basis of Hilton's annual reports, Yahoo Finance and academic literature.</w:t>
      </w:r>
    </w:p>
    <w:p w14:paraId="7CC55FA7" w14:textId="77777777" w:rsidR="001F0E4B" w:rsidRPr="001D2B33" w:rsidRDefault="001F0E4B" w:rsidP="001F0E4B">
      <w:pPr>
        <w:pStyle w:val="Heading1"/>
        <w:rPr>
          <w:lang w:val="en-GB"/>
        </w:rPr>
      </w:pPr>
      <w:bookmarkStart w:id="1" w:name="_Toc235897044"/>
      <w:r w:rsidRPr="001D2B33">
        <w:rPr>
          <w:lang w:val="en-GB"/>
        </w:rPr>
        <w:t>1. Financial Health Check</w:t>
      </w:r>
      <w:bookmarkEnd w:id="1"/>
    </w:p>
    <w:p w14:paraId="3AF390C4" w14:textId="77777777" w:rsidR="001F0E4B" w:rsidRPr="001D2B33" w:rsidRDefault="001F0E4B" w:rsidP="001F0E4B">
      <w:pPr>
        <w:rPr>
          <w:lang w:val="en-GB"/>
        </w:rPr>
      </w:pPr>
      <w:r w:rsidRPr="001D2B33">
        <w:rPr>
          <w:lang w:val="en-GB"/>
        </w:rPr>
        <w:t xml:space="preserve">Financial ratio analysis is well-known as a powerful tool to assess the profitability, liquidity, efficiency of the operations, financial stability and attractiveness of investments in an organisation (Olulu-Briggs and Wobo, 2023; </w:t>
      </w:r>
      <w:proofErr w:type="spellStart"/>
      <w:r w:rsidRPr="001D2B33">
        <w:rPr>
          <w:lang w:val="en-GB"/>
        </w:rPr>
        <w:t>Fowowe</w:t>
      </w:r>
      <w:proofErr w:type="spellEnd"/>
      <w:r w:rsidRPr="001D2B33">
        <w:rPr>
          <w:lang w:val="en-GB"/>
        </w:rPr>
        <w:t>, 2025). This analysis particularly applies to Hilton because it has an asset-light business model that is mostly reliant on franchise and management contracts to establish high cash flows and comparatively low capital intensity (Cardoso, 2022).</w:t>
      </w:r>
    </w:p>
    <w:p w14:paraId="2D0575DD" w14:textId="77777777" w:rsidR="001F0E4B" w:rsidRPr="001D2B33" w:rsidRDefault="001F0E4B" w:rsidP="001F0E4B">
      <w:pPr>
        <w:jc w:val="center"/>
        <w:rPr>
          <w:lang w:val="en-GB"/>
        </w:rPr>
      </w:pPr>
      <w:r w:rsidRPr="00BD0AF4">
        <w:rPr>
          <w:noProof/>
        </w:rPr>
        <w:lastRenderedPageBreak/>
        <w:drawing>
          <wp:inline distT="0" distB="0" distL="0" distR="0" wp14:anchorId="487ACE7A" wp14:editId="2A500653">
            <wp:extent cx="4640580" cy="2750820"/>
            <wp:effectExtent l="0" t="0" r="7620" b="0"/>
            <wp:docPr id="922648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48938"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640580" cy="2750820"/>
                    </a:xfrm>
                    <a:prstGeom prst="rect">
                      <a:avLst/>
                    </a:prstGeom>
                    <a:noFill/>
                    <a:ln>
                      <a:noFill/>
                    </a:ln>
                  </pic:spPr>
                </pic:pic>
              </a:graphicData>
            </a:graphic>
          </wp:inline>
        </w:drawing>
      </w:r>
    </w:p>
    <w:p w14:paraId="45875DC6" w14:textId="77777777" w:rsidR="001F0E4B" w:rsidRPr="00EB0418" w:rsidRDefault="001F0E4B" w:rsidP="001F0E4B">
      <w:pPr>
        <w:pStyle w:val="Caption"/>
        <w:jc w:val="center"/>
        <w:rPr>
          <w:b/>
          <w:bCs/>
          <w:lang w:val="en-GB"/>
        </w:rPr>
      </w:pPr>
      <w:bookmarkStart w:id="2" w:name="_Toc235896928"/>
      <w:r>
        <w:t xml:space="preserve">Table </w:t>
      </w:r>
      <w:fldSimple w:instr=" SEQ Table \* ARABIC ">
        <w:r>
          <w:rPr>
            <w:noProof/>
          </w:rPr>
          <w:t>1</w:t>
        </w:r>
      </w:fldSimple>
      <w:r>
        <w:t xml:space="preserve">: </w:t>
      </w:r>
      <w:r w:rsidRPr="00603D6E">
        <w:t>Hilton Worldwide Financial Statement Data (2021-2025)</w:t>
      </w:r>
      <w:bookmarkEnd w:id="2"/>
    </w:p>
    <w:p w14:paraId="7525617F" w14:textId="77777777" w:rsidR="001F0E4B" w:rsidRPr="001D2B33" w:rsidRDefault="001F0E4B" w:rsidP="001F0E4B">
      <w:pPr>
        <w:jc w:val="center"/>
        <w:rPr>
          <w:lang w:val="en-GB"/>
        </w:rPr>
      </w:pPr>
      <w:r>
        <w:rPr>
          <w:lang w:val="en-GB"/>
        </w:rPr>
        <w:t>(</w:t>
      </w:r>
      <w:r w:rsidRPr="001D2B33">
        <w:rPr>
          <w:lang w:val="en-GB"/>
        </w:rPr>
        <w:t>Source: Hilton (2026); Yahoo Finance (2026)</w:t>
      </w:r>
      <w:r>
        <w:rPr>
          <w:lang w:val="en-GB"/>
        </w:rPr>
        <w:t>)</w:t>
      </w:r>
    </w:p>
    <w:p w14:paraId="361A4CE8" w14:textId="77777777" w:rsidR="001F0E4B" w:rsidRPr="001D2B33" w:rsidRDefault="001F0E4B" w:rsidP="001F0E4B">
      <w:pPr>
        <w:pStyle w:val="Heading2"/>
        <w:rPr>
          <w:lang w:val="en-GB"/>
        </w:rPr>
      </w:pPr>
      <w:bookmarkStart w:id="3" w:name="_Toc235897045"/>
      <w:r w:rsidRPr="001D2B33">
        <w:rPr>
          <w:lang w:val="en-GB"/>
        </w:rPr>
        <w:t>1.1 Profitability Analysis</w:t>
      </w:r>
      <w:bookmarkEnd w:id="3"/>
    </w:p>
    <w:p w14:paraId="2A053F38" w14:textId="77777777" w:rsidR="001F0E4B" w:rsidRPr="001D2B33" w:rsidRDefault="001F0E4B" w:rsidP="001F0E4B">
      <w:pPr>
        <w:rPr>
          <w:lang w:val="en-GB"/>
        </w:rPr>
      </w:pPr>
      <w:r w:rsidRPr="001D2B33">
        <w:rPr>
          <w:lang w:val="en-GB"/>
        </w:rPr>
        <w:t xml:space="preserve">Hilton achieved high profitability within the five-year period despite all the changes in the world hospitality </w:t>
      </w:r>
      <w:proofErr w:type="gramStart"/>
      <w:r w:rsidRPr="001D2B33">
        <w:rPr>
          <w:lang w:val="en-GB"/>
        </w:rPr>
        <w:t>environment .</w:t>
      </w:r>
      <w:proofErr w:type="gramEnd"/>
      <w:r w:rsidRPr="001D2B33">
        <w:rPr>
          <w:lang w:val="en-GB"/>
        </w:rPr>
        <w:t xml:space="preserve"> As illustrated in Table 2 and Figure 1, the net profit margin increased from 11.46% in 2021 to 13.02% in 2022, before declining to 10.22% in 2023. This was succeeded by a rebound in profitability to 13.75% in 2024 and a slight abatement to 12.12% in 2025. Similarly, return on assets (ROA) improved from 4.97% in 2021 to a peak of 9.37% in 2024 before declining marginally to 8.53% in 2025.</w:t>
      </w:r>
    </w:p>
    <w:p w14:paraId="26570024" w14:textId="77777777" w:rsidR="001F0E4B" w:rsidRPr="001D2B33" w:rsidRDefault="001F0E4B" w:rsidP="001F0E4B">
      <w:pPr>
        <w:jc w:val="center"/>
        <w:rPr>
          <w:lang w:val="en-GB"/>
        </w:rPr>
      </w:pPr>
      <w:r>
        <w:rPr>
          <w:noProof/>
        </w:rPr>
        <w:lastRenderedPageBreak/>
        <w:drawing>
          <wp:inline distT="0" distB="0" distL="0" distR="0" wp14:anchorId="5B0F561F" wp14:editId="7667D766">
            <wp:extent cx="4572000" cy="2743200"/>
            <wp:effectExtent l="0" t="0" r="0" b="0"/>
            <wp:docPr id="754641921" name="Chart 1">
              <a:extLst xmlns:a="http://schemas.openxmlformats.org/drawingml/2006/main">
                <a:ext uri="{FF2B5EF4-FFF2-40B4-BE49-F238E27FC236}">
                  <a16:creationId xmlns:a16="http://schemas.microsoft.com/office/drawing/2014/main" id="{803BD214-4781-4402-A49B-280DA6E40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AD32C7" w14:textId="77777777" w:rsidR="001F0E4B" w:rsidRPr="00EB0418" w:rsidRDefault="001F0E4B" w:rsidP="001F0E4B">
      <w:pPr>
        <w:pStyle w:val="Caption"/>
        <w:jc w:val="center"/>
        <w:rPr>
          <w:b/>
          <w:bCs/>
          <w:lang w:val="en-GB"/>
        </w:rPr>
      </w:pPr>
      <w:bookmarkStart w:id="4" w:name="_Toc235896916"/>
      <w:r>
        <w:t xml:space="preserve">Figure </w:t>
      </w:r>
      <w:fldSimple w:instr=" SEQ Figure \* ARABIC ">
        <w:r>
          <w:rPr>
            <w:noProof/>
          </w:rPr>
          <w:t>1</w:t>
        </w:r>
      </w:fldSimple>
      <w:r>
        <w:t xml:space="preserve">: </w:t>
      </w:r>
      <w:r w:rsidRPr="002B45A8">
        <w:t>Hilton Profitability Ratios (2021–2025)</w:t>
      </w:r>
      <w:bookmarkEnd w:id="4"/>
    </w:p>
    <w:p w14:paraId="7981E3FE"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0714701A" w14:textId="77777777" w:rsidR="001F0E4B" w:rsidRPr="001D2B33" w:rsidRDefault="001F0E4B" w:rsidP="001F0E4B">
      <w:pPr>
        <w:rPr>
          <w:lang w:val="en-GB"/>
        </w:rPr>
      </w:pPr>
      <w:r w:rsidRPr="001D2B33">
        <w:rPr>
          <w:lang w:val="en-GB"/>
        </w:rPr>
        <w:t xml:space="preserve">The net growth predicts that Hilton is recovering following the pandemic and could convert its increasing revenues to sustainable returns. Revenue grew from 2021 to 2025 by 400 million pounds to 9450 million pounds, respectively, and net profit grew by almost 590 million to 1145 million pounds, respectively. It has already been demonstrated by previous studies that COVID-19 has had a drastic impact on the finances of the hotel operator on the planet, and, since then, they have gradually restored their positions thanks to tourism demand and organisation and optimisation of work (Temelkov, 2022; </w:t>
      </w:r>
      <w:r w:rsidRPr="00AB31B2">
        <w:t>Radivojević</w:t>
      </w:r>
      <w:r w:rsidRPr="001D2B33">
        <w:rPr>
          <w:lang w:val="en-GB"/>
        </w:rPr>
        <w:t xml:space="preserve"> and et al., 2023). Hilton's profitability is consistent with this broader industry recovery and is indicative of the effectiveness of its operating model, a franchise-based one (Cardoso, 2022). Nevertheless, the slight decline in both NPM and ROA in 2025 is a pointer that the increasing operating costs and growth in operations might have held down profitability even though the revenues would have been on the rise.</w:t>
      </w:r>
    </w:p>
    <w:p w14:paraId="361D4D6B" w14:textId="77777777" w:rsidR="001F0E4B" w:rsidRPr="001D2B33" w:rsidRDefault="001F0E4B" w:rsidP="001F0E4B">
      <w:pPr>
        <w:pStyle w:val="Heading2"/>
        <w:rPr>
          <w:lang w:val="en-GB"/>
        </w:rPr>
      </w:pPr>
      <w:bookmarkStart w:id="5" w:name="_Toc235897046"/>
      <w:r w:rsidRPr="001D2B33">
        <w:rPr>
          <w:lang w:val="en-GB"/>
        </w:rPr>
        <w:t>1.2 Liquidity Analysis</w:t>
      </w:r>
      <w:bookmarkEnd w:id="5"/>
    </w:p>
    <w:p w14:paraId="1D2FCFA6" w14:textId="77777777" w:rsidR="001F0E4B" w:rsidRDefault="001F0E4B" w:rsidP="001F0E4B">
      <w:pPr>
        <w:rPr>
          <w:lang w:val="en-GB"/>
        </w:rPr>
      </w:pPr>
      <w:r w:rsidRPr="001D2B33">
        <w:rPr>
          <w:lang w:val="en-GB"/>
        </w:rPr>
        <w:t xml:space="preserve">Liquidity analysis shows that Hilton continued to have a rather weak short-term solvency during the period of assessment. Table 2 and Figure 2 show that the current ratio went </w:t>
      </w:r>
      <w:r w:rsidRPr="001D2B33">
        <w:rPr>
          <w:lang w:val="en-GB"/>
        </w:rPr>
        <w:lastRenderedPageBreak/>
        <w:t>down steadily from 2021 to 2025, from 0.86 to 0.66, respectively. During the five years, current liabilities were always greater than current assets, which indicated that the conventional liquidity was lower than the generally accepted level of liquidity of 1.0.</w:t>
      </w:r>
    </w:p>
    <w:p w14:paraId="4E3DDB9C" w14:textId="77777777" w:rsidR="001F0E4B" w:rsidRPr="001D2B33" w:rsidRDefault="001F0E4B" w:rsidP="001F0E4B">
      <w:pPr>
        <w:jc w:val="center"/>
        <w:rPr>
          <w:lang w:val="en-GB"/>
        </w:rPr>
      </w:pPr>
      <w:r>
        <w:rPr>
          <w:noProof/>
        </w:rPr>
        <w:drawing>
          <wp:inline distT="0" distB="0" distL="0" distR="0" wp14:anchorId="08BF52BA" wp14:editId="2ED567FD">
            <wp:extent cx="4707172" cy="2822713"/>
            <wp:effectExtent l="0" t="0" r="17780" b="15875"/>
            <wp:docPr id="2072416355" name="Chart 1">
              <a:extLst xmlns:a="http://schemas.openxmlformats.org/drawingml/2006/main">
                <a:ext uri="{FF2B5EF4-FFF2-40B4-BE49-F238E27FC236}">
                  <a16:creationId xmlns:a16="http://schemas.microsoft.com/office/drawing/2014/main" id="{313FD73E-D024-40FF-AAFD-DE480D95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1ED460" w14:textId="77777777" w:rsidR="001F0E4B" w:rsidRPr="00BD0AF4" w:rsidRDefault="001F0E4B" w:rsidP="001F0E4B">
      <w:pPr>
        <w:pStyle w:val="Caption"/>
        <w:jc w:val="center"/>
        <w:rPr>
          <w:b/>
          <w:bCs/>
          <w:lang w:val="en-GB"/>
        </w:rPr>
      </w:pPr>
      <w:bookmarkStart w:id="6" w:name="_Toc235896917"/>
      <w:r>
        <w:t xml:space="preserve">Figure </w:t>
      </w:r>
      <w:fldSimple w:instr=" SEQ Figure \* ARABIC ">
        <w:r>
          <w:rPr>
            <w:noProof/>
          </w:rPr>
          <w:t>2</w:t>
        </w:r>
      </w:fldSimple>
      <w:r>
        <w:t xml:space="preserve">: </w:t>
      </w:r>
      <w:r w:rsidRPr="00916BD3">
        <w:t>Hilton Current Ratio (2021–2025)</w:t>
      </w:r>
      <w:bookmarkEnd w:id="6"/>
    </w:p>
    <w:p w14:paraId="57C64582"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6C6575E0" w14:textId="77777777" w:rsidR="001F0E4B" w:rsidRPr="001D2B33" w:rsidRDefault="001F0E4B" w:rsidP="001F0E4B">
      <w:pPr>
        <w:rPr>
          <w:lang w:val="en-GB"/>
        </w:rPr>
      </w:pPr>
      <w:r w:rsidRPr="001D2B33">
        <w:rPr>
          <w:lang w:val="en-GB"/>
        </w:rPr>
        <w:t>A decreasing current ratio would generally be a sign of rising liquidity risk since the company would have fewer current assets to meet current liabilities (Ahmad, Karimah and Akbar, 2026). But the concept of liquidity must be understood in the context of Hilton's business. The asset-light nature of the company generates relatively constant management and franchise fee revenues and relatively low inventory and working-capital requirements. In addition, post 2021, Hilton has generated high operating cash flows, partly offsetting the implication of lower conventional liquidity metrics. The current ratio therefore is on the decline, but this does not mean that the business is in distress as long as the current ratio is kept under check.</w:t>
      </w:r>
    </w:p>
    <w:p w14:paraId="0B67F090" w14:textId="77777777" w:rsidR="001F0E4B" w:rsidRPr="001D2B33" w:rsidRDefault="001F0E4B" w:rsidP="001F0E4B">
      <w:pPr>
        <w:pStyle w:val="Heading2"/>
        <w:rPr>
          <w:lang w:val="en-GB"/>
        </w:rPr>
      </w:pPr>
      <w:bookmarkStart w:id="7" w:name="_Toc235897047"/>
      <w:r w:rsidRPr="001D2B33">
        <w:rPr>
          <w:lang w:val="en-GB"/>
        </w:rPr>
        <w:t>1.3 Efficiency Analysis</w:t>
      </w:r>
      <w:bookmarkEnd w:id="7"/>
    </w:p>
    <w:p w14:paraId="2D84843A" w14:textId="77777777" w:rsidR="001F0E4B" w:rsidRPr="001D2B33" w:rsidRDefault="001F0E4B" w:rsidP="001F0E4B">
      <w:pPr>
        <w:rPr>
          <w:lang w:val="en-GB"/>
        </w:rPr>
      </w:pPr>
      <w:r w:rsidRPr="001D2B33">
        <w:rPr>
          <w:lang w:val="en-GB"/>
        </w:rPr>
        <w:t xml:space="preserve">Table 2 and Figure 3 are the application of DIO, DSO and DPO as measures of operational efficiency. Hilton experienced zero inventory in the five years, and this </w:t>
      </w:r>
      <w:r w:rsidRPr="001D2B33">
        <w:rPr>
          <w:lang w:val="en-GB"/>
        </w:rPr>
        <w:lastRenderedPageBreak/>
        <w:t>created a DIO of zero days. This is an indication of the character of the asset-light operating model of Hilton, where inventory is not important in the creation of value as compared to manufacturing or retail organisations.</w:t>
      </w:r>
    </w:p>
    <w:p w14:paraId="4FD17C96" w14:textId="77777777" w:rsidR="001F0E4B" w:rsidRPr="001D2B33" w:rsidRDefault="001F0E4B" w:rsidP="001F0E4B">
      <w:pPr>
        <w:jc w:val="center"/>
        <w:rPr>
          <w:lang w:val="en-GB"/>
        </w:rPr>
      </w:pPr>
      <w:r>
        <w:rPr>
          <w:noProof/>
        </w:rPr>
        <w:drawing>
          <wp:inline distT="0" distB="0" distL="0" distR="0" wp14:anchorId="4C031426" wp14:editId="2D28DB56">
            <wp:extent cx="4659465" cy="2767054"/>
            <wp:effectExtent l="0" t="0" r="8255" b="14605"/>
            <wp:docPr id="1059772766" name="Chart 1">
              <a:extLst xmlns:a="http://schemas.openxmlformats.org/drawingml/2006/main">
                <a:ext uri="{FF2B5EF4-FFF2-40B4-BE49-F238E27FC236}">
                  <a16:creationId xmlns:a16="http://schemas.microsoft.com/office/drawing/2014/main" id="{F22501A7-5395-40D6-8663-8F8F45C54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A56654" w14:textId="77777777" w:rsidR="001F0E4B" w:rsidRPr="00EB0418" w:rsidRDefault="001F0E4B" w:rsidP="001F0E4B">
      <w:pPr>
        <w:pStyle w:val="Caption"/>
        <w:jc w:val="center"/>
        <w:rPr>
          <w:b/>
          <w:bCs/>
          <w:lang w:val="en-GB"/>
        </w:rPr>
      </w:pPr>
      <w:bookmarkStart w:id="8" w:name="_Toc235896918"/>
      <w:r>
        <w:t xml:space="preserve">Figure </w:t>
      </w:r>
      <w:fldSimple w:instr=" SEQ Figure \* ARABIC ">
        <w:r>
          <w:rPr>
            <w:noProof/>
          </w:rPr>
          <w:t>3</w:t>
        </w:r>
      </w:fldSimple>
      <w:r>
        <w:t xml:space="preserve">: </w:t>
      </w:r>
      <w:r w:rsidRPr="007A6E78">
        <w:t>Hilton Efficiency Ratios (2021–2025)</w:t>
      </w:r>
      <w:bookmarkEnd w:id="8"/>
    </w:p>
    <w:p w14:paraId="0E536435"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303807DE" w14:textId="77777777" w:rsidR="001F0E4B" w:rsidRPr="001D2B33" w:rsidRDefault="001F0E4B" w:rsidP="001F0E4B">
      <w:pPr>
        <w:rPr>
          <w:lang w:val="en-GB"/>
        </w:rPr>
      </w:pPr>
      <w:r w:rsidRPr="001D2B33">
        <w:rPr>
          <w:lang w:val="en-GB"/>
        </w:rPr>
        <w:t>Comparatively, DSO has increased to 47.72 days in the year 2023, as compared to 58.12 days in the year 2021, indicating that the company is managing its receivables more efficiently. It, however, subsequently increased to circa 51 days in 2024 and 2025, suggesting a minor decrease in the efficiency of collection. On the other hand, DPO decreased steadily, as it was between 24.44 days in 2021 and 15.99 days in 2025. Although quicker supplier payment can enhance business relations, falling DPO can also decrease access to supplier funding and can put extra strain on cash reserves. According to the studies, working capital management could positively influence the performance and liquidity of the firms and receivables management could have a direct effect on cash availability in service-based businesses (Ngo and Van Nguyen, 2022; Huynh, Nguyen and Nguyen, 2025).</w:t>
      </w:r>
    </w:p>
    <w:p w14:paraId="7092957B" w14:textId="77777777" w:rsidR="001F0E4B" w:rsidRPr="001D2B33" w:rsidRDefault="001F0E4B" w:rsidP="001F0E4B">
      <w:pPr>
        <w:pStyle w:val="Heading2"/>
        <w:rPr>
          <w:lang w:val="en-GB"/>
        </w:rPr>
      </w:pPr>
      <w:bookmarkStart w:id="9" w:name="_Toc235897048"/>
      <w:r w:rsidRPr="001D2B33">
        <w:rPr>
          <w:lang w:val="en-GB"/>
        </w:rPr>
        <w:lastRenderedPageBreak/>
        <w:t>1.4 Gearing Analysis</w:t>
      </w:r>
      <w:bookmarkEnd w:id="9"/>
    </w:p>
    <w:p w14:paraId="427D749D" w14:textId="77777777" w:rsidR="001F0E4B" w:rsidRPr="001D2B33" w:rsidRDefault="001F0E4B" w:rsidP="001F0E4B">
      <w:pPr>
        <w:rPr>
          <w:lang w:val="en-GB"/>
        </w:rPr>
      </w:pPr>
      <w:r w:rsidRPr="001D2B33">
        <w:rPr>
          <w:lang w:val="en-GB"/>
        </w:rPr>
        <w:t>Hilton has experienced a very leveraged capital structure during the period under review. As Figure 4 shows, the debt ratio to assets was steadily rising starting at 0.58 in 2021 and reaching 0.78 in 2025, which means that the company is increasingly relying on debt financing as opposed to its asset base.</w:t>
      </w:r>
    </w:p>
    <w:p w14:paraId="61EF7849" w14:textId="77777777" w:rsidR="001F0E4B" w:rsidRPr="001D2B33" w:rsidRDefault="001F0E4B" w:rsidP="001F0E4B">
      <w:pPr>
        <w:jc w:val="center"/>
        <w:rPr>
          <w:lang w:val="en-GB"/>
        </w:rPr>
      </w:pPr>
      <w:r>
        <w:rPr>
          <w:noProof/>
        </w:rPr>
        <w:drawing>
          <wp:inline distT="0" distB="0" distL="0" distR="0" wp14:anchorId="13732A71" wp14:editId="442FED5E">
            <wp:extent cx="4572000" cy="2743200"/>
            <wp:effectExtent l="0" t="0" r="0" b="0"/>
            <wp:docPr id="2035172238" name="Chart 1">
              <a:extLst xmlns:a="http://schemas.openxmlformats.org/drawingml/2006/main">
                <a:ext uri="{FF2B5EF4-FFF2-40B4-BE49-F238E27FC236}">
                  <a16:creationId xmlns:a16="http://schemas.microsoft.com/office/drawing/2014/main" id="{31795ADE-6C75-4E16-A4BD-365118497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E66CC6" w14:textId="77777777" w:rsidR="001F0E4B" w:rsidRPr="00EB0418" w:rsidRDefault="001F0E4B" w:rsidP="001F0E4B">
      <w:pPr>
        <w:pStyle w:val="Caption"/>
        <w:jc w:val="center"/>
        <w:rPr>
          <w:b/>
          <w:bCs/>
          <w:lang w:val="en-GB"/>
        </w:rPr>
      </w:pPr>
      <w:bookmarkStart w:id="10" w:name="_Toc235896919"/>
      <w:r>
        <w:t xml:space="preserve">Figure </w:t>
      </w:r>
      <w:fldSimple w:instr=" SEQ Figure \* ARABIC ">
        <w:r>
          <w:rPr>
            <w:noProof/>
          </w:rPr>
          <w:t>4</w:t>
        </w:r>
      </w:fldSimple>
      <w:r>
        <w:t xml:space="preserve">: </w:t>
      </w:r>
      <w:r w:rsidRPr="00D8476F">
        <w:t>Hilton Gearing Ratios (2021–2025)</w:t>
      </w:r>
      <w:bookmarkEnd w:id="10"/>
    </w:p>
    <w:p w14:paraId="34E7C31E"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3A3531E9" w14:textId="77777777" w:rsidR="001F0E4B" w:rsidRPr="001D2B33" w:rsidRDefault="001F0E4B" w:rsidP="001F0E4B">
      <w:pPr>
        <w:rPr>
          <w:lang w:val="en-GB"/>
        </w:rPr>
      </w:pPr>
      <w:r w:rsidRPr="001D2B33">
        <w:rPr>
          <w:lang w:val="en-GB"/>
        </w:rPr>
        <w:t xml:space="preserve">The debt-to-equity ratio was negative because over the five-year period, the equity of shareholders was negative, not because the performance was largely bad but because of the capital management policy and deep share buyback programmes of Hilton, other than because of poor performance. The debt-to-equity ratio thus is of little use in this analysis, and it should be looked at with a lot of caution. More focus is thus laid on the debt-to-assets ratio, which states that leverage has been increasing gradually as the total debt grew between 2021 and 2025 from £6,850 million to the current 10,470 million. According to prior studies, the leverage may lead to financial risk and decrease financial flexibility, especially in times of economic uncertainty (Nazeer, Saleem and Amin, 2025; </w:t>
      </w:r>
      <w:proofErr w:type="spellStart"/>
      <w:r w:rsidRPr="001D2B33">
        <w:rPr>
          <w:lang w:val="en-GB"/>
        </w:rPr>
        <w:t>Ikwuo</w:t>
      </w:r>
      <w:proofErr w:type="spellEnd"/>
      <w:r w:rsidRPr="001D2B33">
        <w:rPr>
          <w:lang w:val="en-GB"/>
        </w:rPr>
        <w:t xml:space="preserve"> et al., 2025). Although Hilton continues to make good profits, its </w:t>
      </w:r>
      <w:r w:rsidRPr="001D2B33">
        <w:rPr>
          <w:lang w:val="en-GB"/>
        </w:rPr>
        <w:lastRenderedPageBreak/>
        <w:t>increasing leverage is one of the key financial risks that were identified during this analysis.</w:t>
      </w:r>
    </w:p>
    <w:p w14:paraId="25C89395" w14:textId="77777777" w:rsidR="001F0E4B" w:rsidRPr="001D2B33" w:rsidRDefault="001F0E4B" w:rsidP="001F0E4B">
      <w:pPr>
        <w:pStyle w:val="Heading2"/>
        <w:rPr>
          <w:lang w:val="en-GB"/>
        </w:rPr>
      </w:pPr>
      <w:bookmarkStart w:id="11" w:name="_Toc235897049"/>
      <w:r w:rsidRPr="001D2B33">
        <w:rPr>
          <w:lang w:val="en-GB"/>
        </w:rPr>
        <w:t>1.5 Investment Analysis</w:t>
      </w:r>
      <w:bookmarkEnd w:id="11"/>
    </w:p>
    <w:p w14:paraId="1AD2901A" w14:textId="77777777" w:rsidR="001F0E4B" w:rsidRPr="001D2B33" w:rsidRDefault="001F0E4B" w:rsidP="001F0E4B">
      <w:pPr>
        <w:rPr>
          <w:lang w:val="en-GB"/>
        </w:rPr>
      </w:pPr>
      <w:r w:rsidRPr="001D2B33">
        <w:rPr>
          <w:lang w:val="en-GB"/>
        </w:rPr>
        <w:t xml:space="preserve">Hilton has been strong in the market in terms of its valuation. As Figure 5 indicates, the P/E ratio decreased significantly in 2022, compared to 2021, because the company had a faster </w:t>
      </w:r>
      <w:proofErr w:type="spellStart"/>
      <w:r w:rsidRPr="001D2B33">
        <w:rPr>
          <w:lang w:val="en-GB"/>
        </w:rPr>
        <w:t>bounceback</w:t>
      </w:r>
      <w:proofErr w:type="spellEnd"/>
      <w:r w:rsidRPr="001D2B33">
        <w:rPr>
          <w:lang w:val="en-GB"/>
        </w:rPr>
        <w:t xml:space="preserve"> in earnings than in share prices because of the pandemic. This ratio was then between 40.21 and 47.30 in 2023-2025, an indication that the investors were still optimistic about the future of Hilton.</w:t>
      </w:r>
    </w:p>
    <w:p w14:paraId="1AEEE82D" w14:textId="77777777" w:rsidR="001F0E4B" w:rsidRPr="001D2B33" w:rsidRDefault="001F0E4B" w:rsidP="001F0E4B">
      <w:pPr>
        <w:jc w:val="center"/>
        <w:rPr>
          <w:lang w:val="en-GB"/>
        </w:rPr>
      </w:pPr>
      <w:r>
        <w:rPr>
          <w:noProof/>
        </w:rPr>
        <w:drawing>
          <wp:inline distT="0" distB="0" distL="0" distR="0" wp14:anchorId="7DB21173" wp14:editId="335474F8">
            <wp:extent cx="4572000" cy="2743200"/>
            <wp:effectExtent l="0" t="0" r="0" b="0"/>
            <wp:docPr id="850642805" name="Chart 1">
              <a:extLst xmlns:a="http://schemas.openxmlformats.org/drawingml/2006/main">
                <a:ext uri="{FF2B5EF4-FFF2-40B4-BE49-F238E27FC236}">
                  <a16:creationId xmlns:a16="http://schemas.microsoft.com/office/drawing/2014/main" id="{D53F0B8B-72CE-48B0-B237-DAA979D84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4DB8B3" w14:textId="77777777" w:rsidR="001F0E4B" w:rsidRPr="00EB0418" w:rsidRDefault="001F0E4B" w:rsidP="001F0E4B">
      <w:pPr>
        <w:pStyle w:val="Caption"/>
        <w:jc w:val="center"/>
        <w:rPr>
          <w:b/>
          <w:bCs/>
          <w:lang w:val="en-GB"/>
        </w:rPr>
      </w:pPr>
      <w:bookmarkStart w:id="12" w:name="_Toc235896920"/>
      <w:r>
        <w:t xml:space="preserve">Figure </w:t>
      </w:r>
      <w:fldSimple w:instr=" SEQ Figure \* ARABIC ">
        <w:r>
          <w:rPr>
            <w:noProof/>
          </w:rPr>
          <w:t>5</w:t>
        </w:r>
      </w:fldSimple>
      <w:r>
        <w:t xml:space="preserve">: </w:t>
      </w:r>
      <w:r w:rsidRPr="009F58C3">
        <w:t>Hilton Price-to-Earnings Ratio (2021–2025)</w:t>
      </w:r>
      <w:bookmarkEnd w:id="12"/>
    </w:p>
    <w:p w14:paraId="72B38743"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6C59062E" w14:textId="77777777" w:rsidR="001F0E4B" w:rsidRPr="001D2B33" w:rsidRDefault="001F0E4B" w:rsidP="001F0E4B">
      <w:pPr>
        <w:rPr>
          <w:lang w:val="en-GB"/>
        </w:rPr>
      </w:pPr>
      <w:r w:rsidRPr="001D2B33">
        <w:rPr>
          <w:lang w:val="en-GB"/>
        </w:rPr>
        <w:t>The increase in share price between 2021 (113.00) and 2025 (217.60) is another pointer of positive market sentiment. Although the high P/E ratios are quite good as they reflect the optimistic projections of investors, it may also subject shareholders to valuation risk if such growth in future earnings is slowed down.</w:t>
      </w:r>
    </w:p>
    <w:p w14:paraId="2E4F01D5" w14:textId="77777777" w:rsidR="001F0E4B" w:rsidRPr="001D2B33" w:rsidRDefault="001F0E4B" w:rsidP="001F0E4B">
      <w:pPr>
        <w:pStyle w:val="Heading2"/>
        <w:rPr>
          <w:lang w:val="en-GB"/>
        </w:rPr>
      </w:pPr>
      <w:bookmarkStart w:id="13" w:name="_Toc235897050"/>
      <w:r w:rsidRPr="001D2B33">
        <w:rPr>
          <w:lang w:val="en-GB"/>
        </w:rPr>
        <w:lastRenderedPageBreak/>
        <w:t>1.6 Cash Flow Analysis</w:t>
      </w:r>
      <w:bookmarkEnd w:id="13"/>
    </w:p>
    <w:p w14:paraId="28060A3E" w14:textId="77777777" w:rsidR="001F0E4B" w:rsidRPr="001D2B33" w:rsidRDefault="001F0E4B" w:rsidP="001F0E4B">
      <w:pPr>
        <w:rPr>
          <w:lang w:val="en-GB"/>
        </w:rPr>
      </w:pPr>
      <w:r w:rsidRPr="001D2B33">
        <w:rPr>
          <w:lang w:val="en-GB"/>
        </w:rPr>
        <w:t>The cash flow performance is among the best financial attributes of Hilton. As Figure 6 indicates, the operating cash flow margin increased significantly because it saw an increase of 18.73 percent in 2022, which is compared to the 1.53 percent in 2021, and is likely to be in the range of 17-18 percent in 2023-2025.</w:t>
      </w:r>
    </w:p>
    <w:p w14:paraId="0AC3B967" w14:textId="77777777" w:rsidR="001F0E4B" w:rsidRPr="001D2B33" w:rsidRDefault="001F0E4B" w:rsidP="001F0E4B">
      <w:pPr>
        <w:jc w:val="center"/>
        <w:rPr>
          <w:lang w:val="en-GB"/>
        </w:rPr>
      </w:pPr>
      <w:r>
        <w:rPr>
          <w:noProof/>
        </w:rPr>
        <w:drawing>
          <wp:inline distT="0" distB="0" distL="0" distR="0" wp14:anchorId="4A18223D" wp14:editId="1AE65754">
            <wp:extent cx="4572000" cy="2743200"/>
            <wp:effectExtent l="0" t="0" r="0" b="0"/>
            <wp:docPr id="1325157677" name="Chart 1">
              <a:extLst xmlns:a="http://schemas.openxmlformats.org/drawingml/2006/main">
                <a:ext uri="{FF2B5EF4-FFF2-40B4-BE49-F238E27FC236}">
                  <a16:creationId xmlns:a16="http://schemas.microsoft.com/office/drawing/2014/main" id="{74B36472-B704-4D0E-8EBD-9EA522ED1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1AC65D5" w14:textId="77777777" w:rsidR="001F0E4B" w:rsidRPr="00EB0418" w:rsidRDefault="001F0E4B" w:rsidP="001F0E4B">
      <w:pPr>
        <w:pStyle w:val="Caption"/>
        <w:jc w:val="center"/>
        <w:rPr>
          <w:b/>
          <w:bCs/>
          <w:lang w:val="en-GB"/>
        </w:rPr>
      </w:pPr>
      <w:bookmarkStart w:id="14" w:name="_Toc235896921"/>
      <w:r>
        <w:t xml:space="preserve">Figure </w:t>
      </w:r>
      <w:fldSimple w:instr=" SEQ Figure \* ARABIC ">
        <w:r>
          <w:rPr>
            <w:noProof/>
          </w:rPr>
          <w:t>6</w:t>
        </w:r>
      </w:fldSimple>
      <w:r>
        <w:t xml:space="preserve">: </w:t>
      </w:r>
      <w:r w:rsidRPr="001A373E">
        <w:t>Hilton Operating Cash Flow Margin (2021-2025)</w:t>
      </w:r>
      <w:bookmarkEnd w:id="14"/>
    </w:p>
    <w:p w14:paraId="1DCB65D0"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1F0D9057" w14:textId="77777777" w:rsidR="001F0E4B" w:rsidRPr="001D2B33" w:rsidRDefault="001F0E4B" w:rsidP="001F0E4B">
      <w:pPr>
        <w:rPr>
          <w:lang w:val="en-GB"/>
        </w:rPr>
      </w:pPr>
      <w:r w:rsidRPr="001D2B33">
        <w:rPr>
          <w:lang w:val="en-GB"/>
        </w:rPr>
        <w:t>This dramatic growth is a pointer to the fact that Hilton has been able to convert these increasing revenues into operating cash despite increasing leverage and comparatively low liquidity ratios. A high operating cash generation will provide greater capacity to invest in the project, pay the debt and go through economic risk (Olulu-Briggs and Wobo, 2023). This asset helps to counter the risks of falling current ratios and increasing leverage to some extent, supporting the stability of the asset-light operating model of Hilton.</w:t>
      </w:r>
    </w:p>
    <w:p w14:paraId="666720C9" w14:textId="77777777" w:rsidR="001F0E4B" w:rsidRPr="001D2B33" w:rsidRDefault="001F0E4B" w:rsidP="001F0E4B">
      <w:pPr>
        <w:pStyle w:val="Heading2"/>
        <w:rPr>
          <w:lang w:val="en-GB"/>
        </w:rPr>
      </w:pPr>
      <w:bookmarkStart w:id="15" w:name="_Toc235897051"/>
      <w:r w:rsidRPr="001D2B33">
        <w:rPr>
          <w:lang w:val="en-GB"/>
        </w:rPr>
        <w:lastRenderedPageBreak/>
        <w:t>1.7 Overall Financial Health Assessment</w:t>
      </w:r>
      <w:bookmarkEnd w:id="15"/>
    </w:p>
    <w:p w14:paraId="1D61AE4A" w14:textId="77777777" w:rsidR="001F0E4B" w:rsidRPr="001D2B33" w:rsidRDefault="001F0E4B" w:rsidP="001F0E4B">
      <w:pPr>
        <w:rPr>
          <w:lang w:val="en-GB"/>
        </w:rPr>
      </w:pPr>
      <w:r w:rsidRPr="001D2B33">
        <w:rPr>
          <w:lang w:val="en-GB"/>
        </w:rPr>
        <w:t xml:space="preserve">Generally, the five-year analysis shows that Hilton has been in a solid financial status that is characterised by increasing profitability, robust operating cash generation and investor confidence. The amount of revenue and net profit grew considerably after the post-pandemic recovery, and the company maintained its asset-light business model and globally recognised brand portfolio (Cardoso, 2022; </w:t>
      </w:r>
      <w:proofErr w:type="spellStart"/>
      <w:r w:rsidRPr="001D2B33">
        <w:rPr>
          <w:lang w:val="en-GB"/>
        </w:rPr>
        <w:t>Derowitsch</w:t>
      </w:r>
      <w:proofErr w:type="spellEnd"/>
      <w:r w:rsidRPr="001D2B33">
        <w:rPr>
          <w:lang w:val="en-GB"/>
        </w:rPr>
        <w:t xml:space="preserve"> et al., 2025). But there are still a number of financial problems. This liquidity just kept decreasing, the leverage increased massively, and in 2023, it was not as efficient in the collection of receivables. Therefore, although Hilton has a high earnings capacity and cash generation, financial strategy in the future must focus on enhancing its working-capital management, ensuring that it has prudent debt levels and is financially flexible to help it achieve long-term growth.</w:t>
      </w:r>
    </w:p>
    <w:p w14:paraId="47681C9B" w14:textId="77777777" w:rsidR="001F0E4B" w:rsidRPr="001D2B33" w:rsidRDefault="001F0E4B" w:rsidP="001F0E4B">
      <w:pPr>
        <w:jc w:val="center"/>
        <w:rPr>
          <w:lang w:val="en-GB"/>
        </w:rPr>
      </w:pPr>
      <w:r w:rsidRPr="00BD0AF4">
        <w:rPr>
          <w:noProof/>
        </w:rPr>
        <w:drawing>
          <wp:inline distT="0" distB="0" distL="0" distR="0" wp14:anchorId="11B0EAD7" wp14:editId="4B2DEBDC">
            <wp:extent cx="5943600" cy="1373505"/>
            <wp:effectExtent l="0" t="0" r="0" b="0"/>
            <wp:docPr id="1605300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00617"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943600" cy="1373505"/>
                    </a:xfrm>
                    <a:prstGeom prst="rect">
                      <a:avLst/>
                    </a:prstGeom>
                    <a:noFill/>
                    <a:ln>
                      <a:noFill/>
                    </a:ln>
                  </pic:spPr>
                </pic:pic>
              </a:graphicData>
            </a:graphic>
          </wp:inline>
        </w:drawing>
      </w:r>
    </w:p>
    <w:p w14:paraId="001E4A58" w14:textId="77777777" w:rsidR="001F0E4B" w:rsidRPr="00EB0418" w:rsidRDefault="001F0E4B" w:rsidP="001F0E4B">
      <w:pPr>
        <w:pStyle w:val="Caption"/>
        <w:jc w:val="center"/>
        <w:rPr>
          <w:b/>
          <w:bCs/>
          <w:lang w:val="en-GB"/>
        </w:rPr>
      </w:pPr>
      <w:bookmarkStart w:id="16" w:name="_Toc235896929"/>
      <w:r>
        <w:t xml:space="preserve">Table </w:t>
      </w:r>
      <w:fldSimple w:instr=" SEQ Table \* ARABIC ">
        <w:r>
          <w:rPr>
            <w:noProof/>
          </w:rPr>
          <w:t>2</w:t>
        </w:r>
      </w:fldSimple>
      <w:r>
        <w:t xml:space="preserve">: </w:t>
      </w:r>
      <w:r w:rsidRPr="00D35D2D">
        <w:t>Hilton Financial Ratio Analysis (2021-2025)</w:t>
      </w:r>
      <w:bookmarkEnd w:id="16"/>
    </w:p>
    <w:p w14:paraId="2516B1E4" w14:textId="77777777" w:rsidR="001F0E4B" w:rsidRDefault="001F0E4B" w:rsidP="001F0E4B">
      <w:pPr>
        <w:jc w:val="center"/>
        <w:rPr>
          <w:lang w:val="en-GB"/>
        </w:rPr>
      </w:pPr>
      <w:r>
        <w:rPr>
          <w:lang w:val="en-GB"/>
        </w:rPr>
        <w:t>(</w:t>
      </w:r>
      <w:r w:rsidRPr="001D2B33">
        <w:rPr>
          <w:lang w:val="en-GB"/>
        </w:rPr>
        <w:t xml:space="preserve">Source: calculations </w:t>
      </w:r>
      <w:r>
        <w:rPr>
          <w:lang w:val="en-GB"/>
        </w:rPr>
        <w:t>by author)</w:t>
      </w:r>
    </w:p>
    <w:p w14:paraId="72B339D7" w14:textId="77777777" w:rsidR="001F0E4B" w:rsidRPr="00EB0418" w:rsidRDefault="001F0E4B" w:rsidP="001F0E4B">
      <w:pPr>
        <w:pStyle w:val="Heading1"/>
        <w:rPr>
          <w:lang w:val="en-GB"/>
        </w:rPr>
      </w:pPr>
      <w:bookmarkStart w:id="17" w:name="_Toc235897052"/>
      <w:r w:rsidRPr="00EB0418">
        <w:rPr>
          <w:lang w:val="en-GB"/>
        </w:rPr>
        <w:t>2. Working Capital Management Analysis</w:t>
      </w:r>
      <w:bookmarkEnd w:id="17"/>
    </w:p>
    <w:p w14:paraId="60BED64E" w14:textId="77777777" w:rsidR="001F0E4B" w:rsidRPr="00EB0418" w:rsidRDefault="001F0E4B" w:rsidP="001F0E4B">
      <w:pPr>
        <w:rPr>
          <w:lang w:val="en-GB"/>
        </w:rPr>
      </w:pPr>
      <w:r w:rsidRPr="00EB0418">
        <w:rPr>
          <w:lang w:val="en-GB"/>
        </w:rPr>
        <w:t xml:space="preserve">Well-managed working capital helps organisations to ensure adequate liquidity and, at the same time, to keep the cost of financing the day-to-day running at a minimum. The effective management of receivables, payables, and cash flows is particularly important in the hospitality industry, where business volumes are large, and inventory levels are low, and can help them sustain profitability and financial flexibility (Upreti and Kulshrestha, 2022). The working capital performance of Hilton was measured in terms </w:t>
      </w:r>
      <w:r w:rsidRPr="00EB0418">
        <w:rPr>
          <w:lang w:val="en-GB"/>
        </w:rPr>
        <w:lastRenderedPageBreak/>
        <w:t>of Cash Operating Cycle (COC), which is computed based on the Days Inventory Outstanding (DIO), Days Sales Outstanding (DSO) and Days Payable Outstanding (DPO). Table 3 and Figure 7 display the results.</w:t>
      </w:r>
    </w:p>
    <w:p w14:paraId="14304914" w14:textId="77777777" w:rsidR="001F0E4B" w:rsidRPr="00EB0418" w:rsidRDefault="001F0E4B" w:rsidP="001F0E4B">
      <w:pPr>
        <w:jc w:val="center"/>
        <w:rPr>
          <w:lang w:val="en-GB"/>
        </w:rPr>
      </w:pPr>
      <w:r w:rsidRPr="00BD0AF4">
        <w:rPr>
          <w:noProof/>
        </w:rPr>
        <w:drawing>
          <wp:inline distT="0" distB="0" distL="0" distR="0" wp14:anchorId="3BBE21C7" wp14:editId="08229461">
            <wp:extent cx="4152900" cy="1104900"/>
            <wp:effectExtent l="0" t="0" r="0" b="0"/>
            <wp:docPr id="1153538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38732"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152900" cy="1104900"/>
                    </a:xfrm>
                    <a:prstGeom prst="rect">
                      <a:avLst/>
                    </a:prstGeom>
                    <a:noFill/>
                    <a:ln>
                      <a:noFill/>
                    </a:ln>
                  </pic:spPr>
                </pic:pic>
              </a:graphicData>
            </a:graphic>
          </wp:inline>
        </w:drawing>
      </w:r>
    </w:p>
    <w:p w14:paraId="1B703678" w14:textId="77777777" w:rsidR="001F0E4B" w:rsidRPr="00EB0418" w:rsidRDefault="001F0E4B" w:rsidP="001F0E4B">
      <w:pPr>
        <w:pStyle w:val="Caption"/>
        <w:jc w:val="center"/>
        <w:rPr>
          <w:b/>
          <w:bCs/>
          <w:lang w:val="en-GB"/>
        </w:rPr>
      </w:pPr>
      <w:bookmarkStart w:id="18" w:name="_Toc235896930"/>
      <w:r>
        <w:t xml:space="preserve">Table </w:t>
      </w:r>
      <w:fldSimple w:instr=" SEQ Table \* ARABIC ">
        <w:r>
          <w:rPr>
            <w:noProof/>
          </w:rPr>
          <w:t>3</w:t>
        </w:r>
      </w:fldSimple>
      <w:r>
        <w:t xml:space="preserve">: </w:t>
      </w:r>
      <w:r w:rsidRPr="00702D7A">
        <w:t>Hilton Cash Operating Cycle (2021-2025)</w:t>
      </w:r>
      <w:bookmarkEnd w:id="18"/>
    </w:p>
    <w:p w14:paraId="3AE667E5" w14:textId="77777777" w:rsidR="001F0E4B" w:rsidRPr="00EB0418" w:rsidRDefault="001F0E4B" w:rsidP="001F0E4B">
      <w:pPr>
        <w:jc w:val="center"/>
        <w:rPr>
          <w:lang w:val="en-GB"/>
        </w:rPr>
      </w:pPr>
      <w:r>
        <w:rPr>
          <w:lang w:val="en-GB"/>
        </w:rPr>
        <w:t>(</w:t>
      </w:r>
      <w:r w:rsidRPr="001D2B33">
        <w:rPr>
          <w:lang w:val="en-GB"/>
        </w:rPr>
        <w:t xml:space="preserve">Source: calculations </w:t>
      </w:r>
      <w:r>
        <w:rPr>
          <w:lang w:val="en-GB"/>
        </w:rPr>
        <w:t>by author)</w:t>
      </w:r>
    </w:p>
    <w:p w14:paraId="342C8EEA" w14:textId="77777777" w:rsidR="001F0E4B" w:rsidRPr="00EB0418" w:rsidRDefault="001F0E4B" w:rsidP="001F0E4B">
      <w:pPr>
        <w:rPr>
          <w:lang w:val="en-GB"/>
        </w:rPr>
      </w:pPr>
      <w:r w:rsidRPr="00EB0418">
        <w:rPr>
          <w:lang w:val="en-GB"/>
        </w:rPr>
        <w:t>Table 3 indicates that Hilton has had a steady positive cash operating cycle in 20212025, with a range of between 26.91 days and 35.00 days. The COC deteriorated in 2021 to 33.67 days and then decreased to 26.91 days in 2023, which means that the company has been able to increase its working capital efficiency in the post-pandemic recovery period. However, the cycle increased to 34.31 days in 2024 and 35.00 days in 2025, as presented in Figure 7. The fact that the increase is quite small indicates that the cash was tied up in the operating activities longer before it was recaptured with the customers.</w:t>
      </w:r>
    </w:p>
    <w:p w14:paraId="2C736EDE" w14:textId="77777777" w:rsidR="001F0E4B" w:rsidRPr="00EB0418" w:rsidRDefault="001F0E4B" w:rsidP="001F0E4B">
      <w:pPr>
        <w:jc w:val="center"/>
        <w:rPr>
          <w:lang w:val="en-GB"/>
        </w:rPr>
      </w:pPr>
      <w:r>
        <w:rPr>
          <w:noProof/>
        </w:rPr>
        <w:drawing>
          <wp:inline distT="0" distB="0" distL="0" distR="0" wp14:anchorId="31A312D9" wp14:editId="5816DEDB">
            <wp:extent cx="5010150" cy="2000250"/>
            <wp:effectExtent l="0" t="0" r="0" b="0"/>
            <wp:docPr id="1148998624" name="Chart 1">
              <a:extLst xmlns:a="http://schemas.openxmlformats.org/drawingml/2006/main">
                <a:ext uri="{FF2B5EF4-FFF2-40B4-BE49-F238E27FC236}">
                  <a16:creationId xmlns:a16="http://schemas.microsoft.com/office/drawing/2014/main" id="{75D6BBD0-0125-043E-4283-3884D5E26B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70F58A" w14:textId="77777777" w:rsidR="001F0E4B" w:rsidRPr="00EB0418" w:rsidRDefault="001F0E4B" w:rsidP="001F0E4B">
      <w:pPr>
        <w:pStyle w:val="Caption"/>
        <w:jc w:val="center"/>
        <w:rPr>
          <w:b/>
          <w:bCs/>
          <w:lang w:val="en-GB"/>
        </w:rPr>
      </w:pPr>
      <w:bookmarkStart w:id="19" w:name="_Toc235896922"/>
      <w:r>
        <w:t xml:space="preserve">Figure </w:t>
      </w:r>
      <w:fldSimple w:instr=" SEQ Figure \* ARABIC ">
        <w:r>
          <w:rPr>
            <w:noProof/>
          </w:rPr>
          <w:t>7</w:t>
        </w:r>
      </w:fldSimple>
      <w:r>
        <w:t xml:space="preserve">: </w:t>
      </w:r>
      <w:r w:rsidRPr="00E85E81">
        <w:t>Hilton Operating Cycle Cash (2021-2025)</w:t>
      </w:r>
      <w:bookmarkEnd w:id="19"/>
    </w:p>
    <w:p w14:paraId="7F88A67D" w14:textId="77777777" w:rsidR="001F0E4B" w:rsidRPr="00EB0418" w:rsidRDefault="001F0E4B" w:rsidP="001F0E4B">
      <w:pPr>
        <w:jc w:val="center"/>
        <w:rPr>
          <w:lang w:val="en-GB"/>
        </w:rPr>
      </w:pPr>
      <w:r>
        <w:rPr>
          <w:lang w:val="en-GB"/>
        </w:rPr>
        <w:t>(</w:t>
      </w:r>
      <w:r w:rsidRPr="001D2B33">
        <w:rPr>
          <w:lang w:val="en-GB"/>
        </w:rPr>
        <w:t xml:space="preserve">Source: calculations </w:t>
      </w:r>
      <w:r>
        <w:rPr>
          <w:lang w:val="en-GB"/>
        </w:rPr>
        <w:t>by author)</w:t>
      </w:r>
    </w:p>
    <w:p w14:paraId="3868172D" w14:textId="77777777" w:rsidR="001F0E4B" w:rsidRPr="00EB0418" w:rsidRDefault="001F0E4B" w:rsidP="001F0E4B">
      <w:pPr>
        <w:rPr>
          <w:lang w:val="en-GB"/>
        </w:rPr>
      </w:pPr>
      <w:r w:rsidRPr="00EB0418">
        <w:rPr>
          <w:lang w:val="en-GB"/>
        </w:rPr>
        <w:lastRenderedPageBreak/>
        <w:t>The trend largely depends on the movements in the receivables and the payables. The DSO decreased to 47.72 days in 2023 as compared to 58.12 days in 2021, demonstrating better control over the receivables and quicker receipt of payments by the customers. Nevertheless, there were some minor increases in DSO in 2024 and 2025, which shows that the efficiency of receivables collection was lowered with the development of business activities. Meanwhile, DPO decreased gradually from 2021 (24.44 days) to 2025 (15.99 days), which means that Hilton was paying suppliers faster. Even though payment to suppliers on time can improve the relationship between the business and the supplier and increase supplier confidence, it may lead to less availability of short-term financing since the suppliers will not rely on commercial credit. Hilton recorded no stock at the time of analysis; therefore, DIO was zero in the analysis and did not influence the cash operating cycle.</w:t>
      </w:r>
    </w:p>
    <w:p w14:paraId="0C4DE64D" w14:textId="77777777" w:rsidR="001F0E4B" w:rsidRPr="00EB0418" w:rsidRDefault="001F0E4B" w:rsidP="001F0E4B">
      <w:pPr>
        <w:rPr>
          <w:lang w:val="en-GB"/>
        </w:rPr>
      </w:pPr>
      <w:r w:rsidRPr="00EB0418">
        <w:rPr>
          <w:lang w:val="en-GB"/>
        </w:rPr>
        <w:t>The working capital analysis indicates that Hilton needs to focus on the enhancement of receivables management to avoid additional lengthening of the cash operating cycle. The cash collections may be made faster by making sure the improvement of digital invoicing infrastructure, using automated payment reminders, and making credit checks on commercial and franchise clients stricter. Regular evaluation of outstanding receivables would also improve conversion of cash without having any negative impact on the relationship between the company and the customers. These recommendations are consistent with the empirical evidence that the successful utilisation of working capital affects financial performance and profitability positively (Koroma and Bein, 2024; Huynh, Nguyen and Nguyen, 2025).</w:t>
      </w:r>
    </w:p>
    <w:p w14:paraId="2388E05B" w14:textId="77777777" w:rsidR="001F0E4B" w:rsidRPr="00EB0418" w:rsidRDefault="001F0E4B" w:rsidP="001F0E4B">
      <w:pPr>
        <w:rPr>
          <w:lang w:val="en-GB"/>
        </w:rPr>
      </w:pPr>
      <w:r w:rsidRPr="00EB0418">
        <w:rPr>
          <w:lang w:val="en-GB"/>
        </w:rPr>
        <w:t>Hilton should also strike a balance between suppliers’ payment practices in a more strategic way, liquidity-wise. Although having a good relationship with suppliers is important, there is no need to settle trade payables at an excessively high rate, which may cause unnecessary reliance on outside sources of finance, particularly when the current ratios of Section 1 have fixed the value to less than 1.0 over the five-year period. Arrangements of payment terms that are acceptable in a commercial context but maximise cash retention would lead to better short-term liquidity without greatly altering operational performance (Ngo and Van Nguyen, 2022).</w:t>
      </w:r>
    </w:p>
    <w:p w14:paraId="5513C85E" w14:textId="77777777" w:rsidR="001F0E4B" w:rsidRPr="00EB0418" w:rsidRDefault="001F0E4B" w:rsidP="001F0E4B">
      <w:pPr>
        <w:rPr>
          <w:lang w:val="en-GB"/>
        </w:rPr>
      </w:pPr>
      <w:r w:rsidRPr="00EB0418">
        <w:rPr>
          <w:lang w:val="en-GB"/>
        </w:rPr>
        <w:lastRenderedPageBreak/>
        <w:t>In its financing strategy, Hilton ought to balance between the short-term and long-term sources of funds. Financing instruments that are used in the short term, such as revolving credit facilities, overdrafts and trade credit, give the company flexibility in dealing with seasonal variation in cash flows but subject it to refinancing and interest-rate risks. Conversely, long-term financing such as the use of bonds, term loans or retained earnings may provide greater stability in funding and allow the company to make strategic investments but may also increase the cost of financing and leverage (Danish, 2025). As Hilton has been witnessing an increasing debt to assets ratio trend as witnessed in Section 1, any subsequent long-term borrowing needs to be thought through carefully to avoid additional burden on the Hiltons capital structure.</w:t>
      </w:r>
    </w:p>
    <w:p w14:paraId="72FA98A9" w14:textId="77777777" w:rsidR="001F0E4B" w:rsidRDefault="001F0E4B" w:rsidP="001F0E4B">
      <w:pPr>
        <w:rPr>
          <w:lang w:val="en-GB"/>
        </w:rPr>
      </w:pPr>
      <w:r w:rsidRPr="00EB0418">
        <w:rPr>
          <w:lang w:val="en-GB"/>
        </w:rPr>
        <w:t>Overall, as Table 3 and Figure 7 show, Hilton has a relatively efficient working capital cycle, but it has been slightly deteriorating since 2023. The no inventory needs is a symptom of the asset-light operation model of the company, whereas efficient receivables management has been a key factor of cash conversion. Additional improvements in the receivables collection, policy of balanced supplier payments and disciplined financing will centralise the liquidity, enhance the activities flexibility and enable Hilton to become financially viable in the long-term (</w:t>
      </w:r>
      <w:proofErr w:type="spellStart"/>
      <w:r w:rsidRPr="00EB0418">
        <w:rPr>
          <w:lang w:val="en-GB"/>
        </w:rPr>
        <w:t>Rrudhani</w:t>
      </w:r>
      <w:proofErr w:type="spellEnd"/>
      <w:r w:rsidRPr="00EB0418">
        <w:rPr>
          <w:lang w:val="en-GB"/>
        </w:rPr>
        <w:t>, 2026; Ahmad, Karimah and Akbar, 2026).</w:t>
      </w:r>
    </w:p>
    <w:p w14:paraId="12BF756C" w14:textId="77777777" w:rsidR="001F0E4B" w:rsidRDefault="001F0E4B" w:rsidP="001F0E4B">
      <w:pPr>
        <w:pStyle w:val="Heading1"/>
        <w:rPr>
          <w:lang w:val="en-GB"/>
        </w:rPr>
      </w:pPr>
      <w:bookmarkStart w:id="20" w:name="_Toc235897053"/>
      <w:r w:rsidRPr="00EB0418">
        <w:rPr>
          <w:lang w:val="en-GB"/>
        </w:rPr>
        <w:t>3. Strategic Financial Restructuring Plan</w:t>
      </w:r>
      <w:bookmarkEnd w:id="20"/>
    </w:p>
    <w:p w14:paraId="5608649C" w14:textId="77777777" w:rsidR="001F0E4B" w:rsidRPr="00FD7F41" w:rsidRDefault="001F0E4B" w:rsidP="001F0E4B">
      <w:pPr>
        <w:pStyle w:val="Heading2"/>
        <w:rPr>
          <w:lang w:val="en-GB"/>
        </w:rPr>
      </w:pPr>
      <w:bookmarkStart w:id="21" w:name="_Toc235897054"/>
      <w:r>
        <w:rPr>
          <w:lang w:val="en-GB"/>
        </w:rPr>
        <w:t xml:space="preserve">a. </w:t>
      </w:r>
      <w:r w:rsidRPr="00FD7F41">
        <w:rPr>
          <w:lang w:val="en-GB"/>
        </w:rPr>
        <w:t>Financial Restructuring Options</w:t>
      </w:r>
      <w:bookmarkEnd w:id="21"/>
    </w:p>
    <w:p w14:paraId="1B088D3D" w14:textId="77777777" w:rsidR="001F0E4B" w:rsidRPr="00EB0418" w:rsidRDefault="001F0E4B" w:rsidP="001F0E4B">
      <w:pPr>
        <w:rPr>
          <w:lang w:val="en-GB"/>
        </w:rPr>
      </w:pPr>
      <w:r w:rsidRPr="00EB0418">
        <w:rPr>
          <w:lang w:val="en-GB"/>
        </w:rPr>
        <w:t xml:space="preserve">As the financial analysis shows, Hilton Worldwide continues to be financially robust in terms of profitability and operating cash generation yet is experiencing growing financial risks of growing leverage and declining liquidity. Revenue was growing at a rate of 5,150 million in 2021 and hit 9,450 million in 2025, and operating cash flow margins were not less than 17% since 2022. However, debt to assets ratio increased during the period of the same time with 0.58 increasing to 0.78 and the current ratio decreasing to 0.66. Thus, the Hilton financial restructuring plan is expected to be oriented to capital </w:t>
      </w:r>
      <w:r w:rsidRPr="00EB0418">
        <w:rPr>
          <w:lang w:val="en-GB"/>
        </w:rPr>
        <w:lastRenderedPageBreak/>
        <w:t>structure optimisation and liquidity and financial flexibility growth without any damage to the advantages of the asset-light business model.</w:t>
      </w:r>
    </w:p>
    <w:p w14:paraId="321F2B76" w14:textId="77777777" w:rsidR="001F0E4B" w:rsidRPr="00EB0418" w:rsidRDefault="001F0E4B" w:rsidP="001F0E4B">
      <w:pPr>
        <w:rPr>
          <w:lang w:val="en-GB"/>
        </w:rPr>
      </w:pPr>
      <w:r w:rsidRPr="00EB0418">
        <w:rPr>
          <w:lang w:val="en-GB"/>
        </w:rPr>
        <w:t xml:space="preserve">The initial target of selective refinancing, as a preference to intensive growth of debt, should be on debt optimisation. As shown in Table 2, total debt increased by approximately 53% between 2021 and 2025, increasing Hilton's exposure to refinancing and interest-rate risks. As debt has created more business growth, excessive leverage can reduce financial leeway and negatively impact shareholder value amid economic uncertainty (Nazeer, Saleem and Amin, 2025; </w:t>
      </w:r>
      <w:proofErr w:type="spellStart"/>
      <w:r w:rsidRPr="00EB0418">
        <w:rPr>
          <w:lang w:val="en-GB"/>
        </w:rPr>
        <w:t>Ikwuo</w:t>
      </w:r>
      <w:proofErr w:type="spellEnd"/>
      <w:r w:rsidRPr="00EB0418">
        <w:rPr>
          <w:lang w:val="en-GB"/>
        </w:rPr>
        <w:t xml:space="preserve"> et al., 2025). Hilton therefore needs to refinance their costly borrowings in which they enjoy favourable market conditions and length of debt repayment to alleviate short-term repayment obligations. This would enhance the stability of cash flow without making a huge disturbance to the current operations.</w:t>
      </w:r>
    </w:p>
    <w:p w14:paraId="70D32096" w14:textId="77777777" w:rsidR="001F0E4B" w:rsidRDefault="001F0E4B" w:rsidP="001F0E4B">
      <w:pPr>
        <w:rPr>
          <w:lang w:val="en-GB"/>
        </w:rPr>
      </w:pPr>
      <w:r w:rsidRPr="00EB0418">
        <w:rPr>
          <w:lang w:val="en-GB"/>
        </w:rPr>
        <w:t>Hilton should not attempt to inject equity but should continue the tradition of funding strategic investment with internally generated cash flows and gradually reducing debt. As Figure 6 indicates, generation of operating cash flow was very high following the recovery after the pandemic, which will provide the company with a stable source of internal financing. The ability to fund the chosen investments using retained cash would reduce the dependency on external borrowing without the dilution of shares, as would otherwise be the case with new equity issues. This methodology aligns with the evidence that organisational performance is better in the long term with financial flexibility (Yanti, Sastra and Kurniawan, 2022).</w:t>
      </w:r>
    </w:p>
    <w:p w14:paraId="6E9608B6" w14:textId="77777777" w:rsidR="001F0E4B" w:rsidRPr="00FD7F41" w:rsidRDefault="001F0E4B" w:rsidP="001F0E4B">
      <w:pPr>
        <w:pStyle w:val="Heading2"/>
        <w:rPr>
          <w:lang w:val="en-GB"/>
        </w:rPr>
      </w:pPr>
      <w:bookmarkStart w:id="22" w:name="_Toc235897055"/>
      <w:r>
        <w:rPr>
          <w:lang w:val="en-GB"/>
        </w:rPr>
        <w:t xml:space="preserve">b. </w:t>
      </w:r>
      <w:r w:rsidRPr="00FD7F41">
        <w:rPr>
          <w:lang w:val="en-GB"/>
        </w:rPr>
        <w:t xml:space="preserve">Impact on </w:t>
      </w:r>
      <w:r w:rsidRPr="00EF774C">
        <w:t>shareholder</w:t>
      </w:r>
      <w:r w:rsidRPr="00FD7F41">
        <w:rPr>
          <w:lang w:val="en-GB"/>
        </w:rPr>
        <w:t xml:space="preserve"> value, debt structure, and operational flexibility</w:t>
      </w:r>
      <w:bookmarkEnd w:id="22"/>
    </w:p>
    <w:p w14:paraId="0CD90F74" w14:textId="77777777" w:rsidR="001F0E4B" w:rsidRPr="00EB0418" w:rsidRDefault="001F0E4B" w:rsidP="001F0E4B">
      <w:pPr>
        <w:rPr>
          <w:lang w:val="en-GB"/>
        </w:rPr>
      </w:pPr>
      <w:r w:rsidRPr="00EB0418">
        <w:rPr>
          <w:lang w:val="en-GB"/>
        </w:rPr>
        <w:t xml:space="preserve">Another way that Hilton can enhance its asset-light strategy is to selectively sell off non-core assets as the business continues to grow through franchise and management agreements. Such a business model has comparatively fewer capital needs and enables the company to generate more regular income in terms of fees and less operational risk (Cardoso, 2022; Santos, 2024). Paying off debts, digital transformation </w:t>
      </w:r>
      <w:r w:rsidRPr="00EB0418">
        <w:rPr>
          <w:lang w:val="en-GB"/>
        </w:rPr>
        <w:lastRenderedPageBreak/>
        <w:t>and sustainability projects, and thus enhancing operational flexibility and shareholder value, can be achieved through the disposal of any strategic assets. Reorganisation of the financial resources needs to concentrate on the increase of the capitals efficiency (rather than massive acquisition or merger) that may result in increase of integration risk and require significant additional investment (</w:t>
      </w:r>
      <w:proofErr w:type="spellStart"/>
      <w:r w:rsidRPr="00EB0418">
        <w:rPr>
          <w:lang w:val="en-GB"/>
        </w:rPr>
        <w:t>Zaramella</w:t>
      </w:r>
      <w:proofErr w:type="spellEnd"/>
      <w:r w:rsidRPr="00EB0418">
        <w:rPr>
          <w:lang w:val="en-GB"/>
        </w:rPr>
        <w:t xml:space="preserve">, 2023; </w:t>
      </w:r>
      <w:proofErr w:type="spellStart"/>
      <w:r w:rsidRPr="00EB0418">
        <w:rPr>
          <w:lang w:val="en-GB"/>
        </w:rPr>
        <w:t>Potharla</w:t>
      </w:r>
      <w:proofErr w:type="spellEnd"/>
      <w:r w:rsidRPr="00EB0418">
        <w:rPr>
          <w:lang w:val="en-GB"/>
        </w:rPr>
        <w:t>, 2025).</w:t>
      </w:r>
    </w:p>
    <w:p w14:paraId="7E3286D1" w14:textId="77777777" w:rsidR="001F0E4B" w:rsidRPr="00EB0418" w:rsidRDefault="001F0E4B" w:rsidP="001F0E4B">
      <w:pPr>
        <w:rPr>
          <w:lang w:val="en-GB"/>
        </w:rPr>
      </w:pPr>
      <w:r w:rsidRPr="00EB0418">
        <w:rPr>
          <w:lang w:val="en-GB"/>
        </w:rPr>
        <w:t xml:space="preserve">The restructuring suggested is likely to create </w:t>
      </w:r>
      <w:r>
        <w:rPr>
          <w:lang w:val="en-GB"/>
        </w:rPr>
        <w:t>various</w:t>
      </w:r>
      <w:r w:rsidRPr="00EB0418">
        <w:rPr>
          <w:lang w:val="en-GB"/>
        </w:rPr>
        <w:t xml:space="preserve"> long-term benefits. Less leverage would decrease interest payments and enhance the ability to survive in negative economic times, and greater liquidity would increase the ability to survive in short-term cash flow shocks. Even though moderate leverage can enhance returns by using financial leverage, overdependence on debt can finally elevate the risk of financial distress in case the economic situation is worse off (</w:t>
      </w:r>
      <w:proofErr w:type="spellStart"/>
      <w:r w:rsidRPr="00EB0418">
        <w:rPr>
          <w:lang w:val="en-GB"/>
        </w:rPr>
        <w:t>Palacín</w:t>
      </w:r>
      <w:proofErr w:type="spellEnd"/>
      <w:r w:rsidRPr="00EB0418">
        <w:rPr>
          <w:lang w:val="en-GB"/>
        </w:rPr>
        <w:t>-Sánchez, Alencar-García and Canto-Cuevas, 2023). So, the appropriate proportion of debt financing and internally raised funds should be taken into consideration as one of the strategic objectives.</w:t>
      </w:r>
    </w:p>
    <w:p w14:paraId="736AEA2C" w14:textId="77777777" w:rsidR="001F0E4B" w:rsidRPr="00FD7F41" w:rsidRDefault="001F0E4B" w:rsidP="001F0E4B">
      <w:pPr>
        <w:pStyle w:val="Heading2"/>
        <w:rPr>
          <w:lang w:val="en-GB"/>
        </w:rPr>
      </w:pPr>
      <w:bookmarkStart w:id="23" w:name="_Toc235897056"/>
      <w:r w:rsidRPr="00FD7F41">
        <w:rPr>
          <w:lang w:val="en-GB"/>
        </w:rPr>
        <w:t>c. International and ethical considerations</w:t>
      </w:r>
      <w:bookmarkEnd w:id="23"/>
    </w:p>
    <w:p w14:paraId="67A689B3" w14:textId="77777777" w:rsidR="001F0E4B" w:rsidRPr="00EB0418" w:rsidRDefault="001F0E4B" w:rsidP="001F0E4B">
      <w:pPr>
        <w:rPr>
          <w:lang w:val="en-GB"/>
        </w:rPr>
      </w:pPr>
      <w:r w:rsidRPr="00EB0418">
        <w:rPr>
          <w:lang w:val="en-GB"/>
        </w:rPr>
        <w:t>The international factors are of special concern since Hilton is active in a variety of countries and is vulnerable to the impact of foreign-exchange, inflationary pressures and shifting taxation laws. The value of foreign revenues, operating expenses and debts can be impacted by currency risks, and it is important to manage the risks associated with foreign-exchange risks (Al Amosh, 2025). Additionally, responsible tax planning should not conflict with the international rules to minimise the legal and reputational risks to a minimum.</w:t>
      </w:r>
    </w:p>
    <w:p w14:paraId="7AFD91A2" w14:textId="77777777" w:rsidR="001F0E4B" w:rsidRDefault="001F0E4B" w:rsidP="001F0E4B">
      <w:pPr>
        <w:rPr>
          <w:lang w:val="en-GB"/>
        </w:rPr>
      </w:pPr>
      <w:r w:rsidRPr="00EB0418">
        <w:rPr>
          <w:lang w:val="en-GB"/>
        </w:rPr>
        <w:t xml:space="preserve">Ethical and ESG considerations should be used to make all restructuring decisions. Hilton should not undertake restructuring which will compromise the welfare of the employees, relationship with suppliers or environment in the name of short-term financial gain. The long-term shareholder value can be realised with the help of further investment in sustainable hotel operations, energy savings and responsible corporate governance, which in turn can improve and maintain a positive corporate image and </w:t>
      </w:r>
      <w:r w:rsidRPr="00EB0418">
        <w:rPr>
          <w:lang w:val="en-GB"/>
        </w:rPr>
        <w:lastRenderedPageBreak/>
        <w:t>shareholder value (</w:t>
      </w:r>
      <w:proofErr w:type="spellStart"/>
      <w:r w:rsidRPr="00EB0418">
        <w:rPr>
          <w:lang w:val="en-GB"/>
        </w:rPr>
        <w:t>Lagodiyenko</w:t>
      </w:r>
      <w:proofErr w:type="spellEnd"/>
      <w:r w:rsidRPr="00EB0418">
        <w:rPr>
          <w:lang w:val="en-GB"/>
        </w:rPr>
        <w:t xml:space="preserve">, </w:t>
      </w:r>
      <w:proofErr w:type="spellStart"/>
      <w:r w:rsidRPr="00EB0418">
        <w:rPr>
          <w:lang w:val="en-GB"/>
        </w:rPr>
        <w:t>Uzhva</w:t>
      </w:r>
      <w:proofErr w:type="spellEnd"/>
      <w:r w:rsidRPr="00EB0418">
        <w:rPr>
          <w:lang w:val="en-GB"/>
        </w:rPr>
        <w:t xml:space="preserve"> and </w:t>
      </w:r>
      <w:proofErr w:type="spellStart"/>
      <w:r w:rsidRPr="00EB0418">
        <w:rPr>
          <w:lang w:val="en-GB"/>
        </w:rPr>
        <w:t>Khakhaliev</w:t>
      </w:r>
      <w:proofErr w:type="spellEnd"/>
      <w:r w:rsidRPr="00EB0418">
        <w:rPr>
          <w:lang w:val="en-GB"/>
        </w:rPr>
        <w:t>, 2024; Wahab, 2025). Altogether, a restructuring plan that would focus on debt minimisation, rigorous capital allocation and further asset-light growth would not only enhance the financial strength of Hilton but also help the company achieve sustainable global expansion.</w:t>
      </w:r>
    </w:p>
    <w:p w14:paraId="6CC8EC7C" w14:textId="77777777" w:rsidR="001F0E4B" w:rsidRPr="009F2CA9" w:rsidRDefault="001F0E4B" w:rsidP="001F0E4B">
      <w:pPr>
        <w:pStyle w:val="Heading1"/>
        <w:rPr>
          <w:lang w:val="en-GB"/>
        </w:rPr>
      </w:pPr>
      <w:bookmarkStart w:id="24" w:name="_Toc235897057"/>
      <w:r w:rsidRPr="009F2CA9">
        <w:rPr>
          <w:lang w:val="en-GB"/>
        </w:rPr>
        <w:t xml:space="preserve">4. Investment </w:t>
      </w:r>
      <w:r>
        <w:rPr>
          <w:lang w:val="en-GB"/>
        </w:rPr>
        <w:t>A</w:t>
      </w:r>
      <w:r w:rsidRPr="009F2CA9">
        <w:rPr>
          <w:lang w:val="en-GB"/>
        </w:rPr>
        <w:t xml:space="preserve">ppraisal and </w:t>
      </w:r>
      <w:r>
        <w:rPr>
          <w:lang w:val="en-GB"/>
        </w:rPr>
        <w:t>C</w:t>
      </w:r>
      <w:r w:rsidRPr="009F2CA9">
        <w:rPr>
          <w:lang w:val="en-GB"/>
        </w:rPr>
        <w:t xml:space="preserve">apital </w:t>
      </w:r>
      <w:r>
        <w:rPr>
          <w:lang w:val="en-GB"/>
        </w:rPr>
        <w:t>B</w:t>
      </w:r>
      <w:r w:rsidRPr="009F2CA9">
        <w:rPr>
          <w:lang w:val="en-GB"/>
        </w:rPr>
        <w:t>udgeting</w:t>
      </w:r>
      <w:bookmarkEnd w:id="24"/>
    </w:p>
    <w:p w14:paraId="73253BF7" w14:textId="77777777" w:rsidR="001F0E4B" w:rsidRPr="009F2CA9" w:rsidRDefault="001F0E4B" w:rsidP="001F0E4B">
      <w:pPr>
        <w:rPr>
          <w:lang w:val="en-GB"/>
        </w:rPr>
      </w:pPr>
      <w:r w:rsidRPr="009F2CA9">
        <w:rPr>
          <w:lang w:val="en-GB"/>
        </w:rPr>
        <w:t>Capital budgeting is an essential aspect of financial management in that it allows organisations to allocate their scarce financial resources to the best investment opportunities that help them optimise the long-term shareholders' value. Investment appraisal methods help managers to determine the financial feasibility of competing projects based on the future cash flows that are expected to occur, the investment cost and the time value of money (Malek, 2022). Among all these approaches, it is widely acknowledged that Net Present Value (NPV), Profitability Index (PI), Internal Rate of Return (IRR) and Payback Period are the most suitable techniques of analysing investment projects (Sinaga et al., 2023; Sekhar, 2025). Hilton Worldwide would focus on evaluating three investment opportunities that are mutually independent, and the investment amount is limited to 100 million; hence, it will have to employ capital budgeting methods and capital rationing to decide on the best investment strategy.</w:t>
      </w:r>
    </w:p>
    <w:p w14:paraId="767A7AB9" w14:textId="77777777" w:rsidR="001F0E4B" w:rsidRPr="009F2CA9" w:rsidRDefault="001F0E4B" w:rsidP="001F0E4B">
      <w:pPr>
        <w:jc w:val="center"/>
        <w:rPr>
          <w:lang w:val="en-GB"/>
        </w:rPr>
      </w:pPr>
      <w:r w:rsidRPr="00BD0AF4">
        <w:rPr>
          <w:noProof/>
        </w:rPr>
        <w:drawing>
          <wp:inline distT="0" distB="0" distL="0" distR="0" wp14:anchorId="0070511A" wp14:editId="6FE4083E">
            <wp:extent cx="5943600" cy="1787525"/>
            <wp:effectExtent l="0" t="0" r="0" b="3175"/>
            <wp:docPr id="1817847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47475" name="Picture 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943600" cy="1787525"/>
                    </a:xfrm>
                    <a:prstGeom prst="rect">
                      <a:avLst/>
                    </a:prstGeom>
                    <a:noFill/>
                    <a:ln>
                      <a:noFill/>
                    </a:ln>
                  </pic:spPr>
                </pic:pic>
              </a:graphicData>
            </a:graphic>
          </wp:inline>
        </w:drawing>
      </w:r>
    </w:p>
    <w:p w14:paraId="53C2FF1F" w14:textId="77777777" w:rsidR="001F0E4B" w:rsidRPr="00BD0AF4" w:rsidRDefault="001F0E4B" w:rsidP="001F0E4B">
      <w:pPr>
        <w:pStyle w:val="Caption"/>
        <w:jc w:val="center"/>
        <w:rPr>
          <w:b/>
          <w:bCs/>
          <w:lang w:val="en-GB"/>
        </w:rPr>
      </w:pPr>
      <w:bookmarkStart w:id="25" w:name="_Toc235896931"/>
      <w:r>
        <w:t xml:space="preserve">Table </w:t>
      </w:r>
      <w:fldSimple w:instr=" SEQ Table \* ARABIC ">
        <w:r>
          <w:rPr>
            <w:noProof/>
          </w:rPr>
          <w:t>4</w:t>
        </w:r>
      </w:fldSimple>
      <w:r>
        <w:t xml:space="preserve">: </w:t>
      </w:r>
      <w:r w:rsidRPr="00B926C0">
        <w:t xml:space="preserve">Using a Discounted Cash Flow to </w:t>
      </w:r>
      <w:proofErr w:type="spellStart"/>
      <w:r w:rsidRPr="00B926C0">
        <w:t>analyse</w:t>
      </w:r>
      <w:proofErr w:type="spellEnd"/>
      <w:r w:rsidRPr="00B926C0">
        <w:t xml:space="preserve"> the investment projects</w:t>
      </w:r>
      <w:bookmarkEnd w:id="25"/>
    </w:p>
    <w:p w14:paraId="7AC22219" w14:textId="77777777" w:rsidR="001F0E4B" w:rsidRPr="009F2CA9" w:rsidRDefault="001F0E4B" w:rsidP="001F0E4B">
      <w:pPr>
        <w:jc w:val="center"/>
        <w:rPr>
          <w:lang w:val="en-GB"/>
        </w:rPr>
      </w:pPr>
      <w:r>
        <w:rPr>
          <w:lang w:val="en-GB"/>
        </w:rPr>
        <w:t>(</w:t>
      </w:r>
      <w:r w:rsidRPr="001D2B33">
        <w:rPr>
          <w:lang w:val="en-GB"/>
        </w:rPr>
        <w:t xml:space="preserve">Source: calculations </w:t>
      </w:r>
      <w:r>
        <w:rPr>
          <w:lang w:val="en-GB"/>
        </w:rPr>
        <w:t>by author)</w:t>
      </w:r>
    </w:p>
    <w:p w14:paraId="04A3111F" w14:textId="77777777" w:rsidR="001F0E4B" w:rsidRPr="009F2CA9" w:rsidRDefault="001F0E4B" w:rsidP="001F0E4B">
      <w:pPr>
        <w:jc w:val="center"/>
        <w:rPr>
          <w:lang w:val="en-GB"/>
        </w:rPr>
      </w:pPr>
      <w:r w:rsidRPr="00BD0AF4">
        <w:rPr>
          <w:noProof/>
        </w:rPr>
        <w:lastRenderedPageBreak/>
        <w:drawing>
          <wp:inline distT="0" distB="0" distL="0" distR="0" wp14:anchorId="1A1D1C67" wp14:editId="69D74D65">
            <wp:extent cx="4061460" cy="2019300"/>
            <wp:effectExtent l="0" t="0" r="0" b="0"/>
            <wp:docPr id="3328113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11374" name="Picture 5"/>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061460" cy="2019300"/>
                    </a:xfrm>
                    <a:prstGeom prst="rect">
                      <a:avLst/>
                    </a:prstGeom>
                    <a:noFill/>
                    <a:ln>
                      <a:noFill/>
                    </a:ln>
                  </pic:spPr>
                </pic:pic>
              </a:graphicData>
            </a:graphic>
          </wp:inline>
        </w:drawing>
      </w:r>
    </w:p>
    <w:p w14:paraId="7ED4856F" w14:textId="77777777" w:rsidR="001F0E4B" w:rsidRPr="00BD0AF4" w:rsidRDefault="001F0E4B" w:rsidP="001F0E4B">
      <w:pPr>
        <w:pStyle w:val="Caption"/>
        <w:jc w:val="center"/>
        <w:rPr>
          <w:b/>
          <w:bCs/>
          <w:lang w:val="en-GB"/>
        </w:rPr>
      </w:pPr>
      <w:bookmarkStart w:id="26" w:name="_Toc235896932"/>
      <w:r>
        <w:t xml:space="preserve">Table </w:t>
      </w:r>
      <w:fldSimple w:instr=" SEQ Table \* ARABIC ">
        <w:r>
          <w:rPr>
            <w:noProof/>
          </w:rPr>
          <w:t>5</w:t>
        </w:r>
      </w:fldSimple>
      <w:r>
        <w:t xml:space="preserve">: </w:t>
      </w:r>
      <w:r w:rsidRPr="00E1496A">
        <w:t>Investment Appraisal Results</w:t>
      </w:r>
      <w:bookmarkEnd w:id="26"/>
    </w:p>
    <w:p w14:paraId="3A0FF5DA" w14:textId="77777777" w:rsidR="001F0E4B" w:rsidRPr="009F2CA9" w:rsidRDefault="001F0E4B" w:rsidP="001F0E4B">
      <w:pPr>
        <w:jc w:val="center"/>
        <w:rPr>
          <w:lang w:val="en-GB"/>
        </w:rPr>
      </w:pPr>
      <w:r>
        <w:rPr>
          <w:lang w:val="en-GB"/>
        </w:rPr>
        <w:t>(</w:t>
      </w:r>
      <w:r w:rsidRPr="001D2B33">
        <w:rPr>
          <w:lang w:val="en-GB"/>
        </w:rPr>
        <w:t xml:space="preserve">Source: calculations </w:t>
      </w:r>
      <w:r>
        <w:rPr>
          <w:lang w:val="en-GB"/>
        </w:rPr>
        <w:t>by author)</w:t>
      </w:r>
    </w:p>
    <w:p w14:paraId="11576FDC" w14:textId="77777777" w:rsidR="001F0E4B" w:rsidRPr="009F2CA9" w:rsidRDefault="001F0E4B" w:rsidP="001F0E4B">
      <w:pPr>
        <w:rPr>
          <w:lang w:val="en-GB"/>
        </w:rPr>
      </w:pPr>
      <w:r w:rsidRPr="009F2CA9">
        <w:rPr>
          <w:lang w:val="en-GB"/>
        </w:rPr>
        <w:t>According to the investment appraisal, there is a significant difference in the financial appeal of the three projects. Project A produced an NPV of - 6.55 million, PI of 0.869, IRR of about 2.72, and the longest discounted payback period of the alternatives. When NPV is negative, it would imply that discounted cash flows of the project in the future are not sufficient to pay back the initial investment, implying that the adoption of the project would reduce shareholder wealth. Further, a PI of less than one will guarantee that all pounds that will be invested will result in less than one pound in present value returns. The low IRR also implies that Project A is not a good return compared to the required rate of return by Hilton. Project A should thus be discarded as it does not satisfy the key investment appraisal requirements.</w:t>
      </w:r>
    </w:p>
    <w:p w14:paraId="626AFF38" w14:textId="77777777" w:rsidR="001F0E4B" w:rsidRPr="009F2CA9" w:rsidRDefault="001F0E4B" w:rsidP="001F0E4B">
      <w:pPr>
        <w:rPr>
          <w:lang w:val="en-GB"/>
        </w:rPr>
      </w:pPr>
      <w:r w:rsidRPr="009F2CA9">
        <w:rPr>
          <w:lang w:val="en-GB"/>
        </w:rPr>
        <w:t>Project B slightly performed better than Project A but was also not able to turn out to be economically viable. The project yielded an NPV = -6.07 million pounds, PI = 0.879 and IRR = approximately 3.26. These are a little better than those of Project A, yet the project will generate a negative net present value, and the index value is below unity, which indicates the project is not generating significant economic benefits to support the project. Although the discounted payback period is less than that of Project A, NPV is considered the best decision tool in modern capital budgeting theory as it directly quantifies the value creation and considers the timing and size of future cash flows (Sekhar, 2025). Project B, however, should not be accepted.</w:t>
      </w:r>
    </w:p>
    <w:p w14:paraId="3DCDFF4E" w14:textId="77777777" w:rsidR="001F0E4B" w:rsidRPr="009F2CA9" w:rsidRDefault="001F0E4B" w:rsidP="001F0E4B">
      <w:pPr>
        <w:rPr>
          <w:lang w:val="en-GB"/>
        </w:rPr>
      </w:pPr>
      <w:r w:rsidRPr="009F2CA9">
        <w:rPr>
          <w:lang w:val="en-GB"/>
        </w:rPr>
        <w:lastRenderedPageBreak/>
        <w:t>Project C, on the other hand, has good financial viability in every aspect of investment appraisal. The project reported a positive NPV of £0.86 million as indicated in Table 5 to claim that the investment would increase the shareholder wealth after it recovers its initial investment, not to mention the cost of capital required. The PI of 1.017 indicates that the project has more value than the amount of capital invested in it, and the IRR of about 8.59 per cent is higher than the rate of discount applied in the analysis. Furthermore, Project C, which offers the lowest discounted payback period relative to the two alternatives, enabled Hilton to recover its investment more quickly and reduce the risk of the investment in the long term. These results demonstrate that Project C meets all the key investment appraisal criteria and is the best investment opportunity.</w:t>
      </w:r>
    </w:p>
    <w:p w14:paraId="22C825C2" w14:textId="77777777" w:rsidR="001F0E4B" w:rsidRPr="009F2CA9" w:rsidRDefault="001F0E4B" w:rsidP="001F0E4B">
      <w:pPr>
        <w:rPr>
          <w:lang w:val="en-GB"/>
        </w:rPr>
      </w:pPr>
      <w:r w:rsidRPr="009F2CA9">
        <w:rPr>
          <w:lang w:val="en-GB"/>
        </w:rPr>
        <w:t>Project C is better when compared to the existing body of literature regarding capital budgeting, which argues that projects that have positive NPVs should be prioritised as they would maximise the value of the firm and are most appropriate when making investment decisions (</w:t>
      </w:r>
      <w:proofErr w:type="spellStart"/>
      <w:r w:rsidRPr="009F2CA9">
        <w:rPr>
          <w:lang w:val="en-GB"/>
        </w:rPr>
        <w:t>Usodan</w:t>
      </w:r>
      <w:proofErr w:type="spellEnd"/>
      <w:r w:rsidRPr="009F2CA9">
        <w:rPr>
          <w:lang w:val="en-GB"/>
        </w:rPr>
        <w:t xml:space="preserve"> et al., 2025). IRR and Payback Period continue to provide useful supplementary information on the efficiency of investments and liquidity risk, but in case of a conflict in ranking the investments, it should be superseded by NPV (Kadam and Singh, 2025). As a result, NPV must continue to be the core decision criterion at Hilton due to PI, IRR and Payback Period to ensure that the performance of the projects is holistically assessed.</w:t>
      </w:r>
    </w:p>
    <w:p w14:paraId="735D55D2" w14:textId="77777777" w:rsidR="001F0E4B" w:rsidRPr="009F2CA9" w:rsidRDefault="001F0E4B" w:rsidP="001F0E4B">
      <w:pPr>
        <w:rPr>
          <w:lang w:val="en-GB"/>
        </w:rPr>
      </w:pPr>
      <w:r w:rsidRPr="009F2CA9">
        <w:rPr>
          <w:lang w:val="en-GB"/>
        </w:rPr>
        <w:t>As Hilton will have a limit on the amount of money that it can invest in this project (the limit will be 100 million pounds), capital rationing will need to be considered as well. The combinations of the feasible projects under this budget constraint are evaluated in Table 6.</w:t>
      </w:r>
    </w:p>
    <w:p w14:paraId="5EB24B07" w14:textId="77777777" w:rsidR="001F0E4B" w:rsidRPr="009F2CA9" w:rsidRDefault="001F0E4B" w:rsidP="001F0E4B">
      <w:pPr>
        <w:jc w:val="center"/>
        <w:rPr>
          <w:lang w:val="en-GB"/>
        </w:rPr>
      </w:pPr>
      <w:r w:rsidRPr="00BD0AF4">
        <w:rPr>
          <w:noProof/>
        </w:rPr>
        <w:drawing>
          <wp:inline distT="0" distB="0" distL="0" distR="0" wp14:anchorId="03C0FB74" wp14:editId="1D7B49DD">
            <wp:extent cx="3307080" cy="1287780"/>
            <wp:effectExtent l="0" t="0" r="7620" b="7620"/>
            <wp:docPr id="536539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39359" name="Picture 6"/>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307080" cy="1287780"/>
                    </a:xfrm>
                    <a:prstGeom prst="rect">
                      <a:avLst/>
                    </a:prstGeom>
                    <a:noFill/>
                    <a:ln>
                      <a:noFill/>
                    </a:ln>
                  </pic:spPr>
                </pic:pic>
              </a:graphicData>
            </a:graphic>
          </wp:inline>
        </w:drawing>
      </w:r>
    </w:p>
    <w:p w14:paraId="78F5418D" w14:textId="77777777" w:rsidR="001F0E4B" w:rsidRPr="00BD0AF4" w:rsidRDefault="001F0E4B" w:rsidP="001F0E4B">
      <w:pPr>
        <w:pStyle w:val="Caption"/>
        <w:jc w:val="center"/>
        <w:rPr>
          <w:b/>
          <w:bCs/>
          <w:lang w:val="en-GB"/>
        </w:rPr>
      </w:pPr>
      <w:bookmarkStart w:id="27" w:name="_Toc235896933"/>
      <w:r>
        <w:t xml:space="preserve">Table </w:t>
      </w:r>
      <w:fldSimple w:instr=" SEQ Table \* ARABIC ">
        <w:r>
          <w:rPr>
            <w:noProof/>
          </w:rPr>
          <w:t>6</w:t>
        </w:r>
      </w:fldSimple>
      <w:r>
        <w:t xml:space="preserve">: </w:t>
      </w:r>
      <w:r w:rsidRPr="00730575">
        <w:t>Capital Rationing Analysis</w:t>
      </w:r>
      <w:bookmarkEnd w:id="27"/>
    </w:p>
    <w:p w14:paraId="73E0C1A5" w14:textId="77777777" w:rsidR="001F0E4B" w:rsidRPr="009F2CA9" w:rsidRDefault="001F0E4B" w:rsidP="001F0E4B">
      <w:pPr>
        <w:jc w:val="center"/>
        <w:rPr>
          <w:lang w:val="en-GB"/>
        </w:rPr>
      </w:pPr>
      <w:r>
        <w:rPr>
          <w:lang w:val="en-GB"/>
        </w:rPr>
        <w:lastRenderedPageBreak/>
        <w:t>(</w:t>
      </w:r>
      <w:r w:rsidRPr="001D2B33">
        <w:rPr>
          <w:lang w:val="en-GB"/>
        </w:rPr>
        <w:t xml:space="preserve">Source: calculations </w:t>
      </w:r>
      <w:r>
        <w:rPr>
          <w:lang w:val="en-GB"/>
        </w:rPr>
        <w:t>by author)</w:t>
      </w:r>
    </w:p>
    <w:p w14:paraId="1071C7DD" w14:textId="77777777" w:rsidR="001F0E4B" w:rsidRPr="009F2CA9" w:rsidRDefault="001F0E4B" w:rsidP="001F0E4B">
      <w:pPr>
        <w:rPr>
          <w:lang w:val="en-GB"/>
        </w:rPr>
      </w:pPr>
      <w:r w:rsidRPr="009F2CA9">
        <w:rPr>
          <w:lang w:val="en-GB"/>
        </w:rPr>
        <w:t>The outcome of the capital rationing is that there is a combination of Projects A and B to produce a combined NPV of -12.62 million pounds, and a combination of A and C and B and C to produce an NPV of -5.69 million pounds and -5.21 million pounds, respectively. NPV of the project is negative, and the NPV of the combination of B and C is greater than the other project pair combinations. Taking any combination of projects that brings about negative NPV would lower shareholder value and hence go against the most basic task of corporate financial management.</w:t>
      </w:r>
    </w:p>
    <w:p w14:paraId="780D1291" w14:textId="77777777" w:rsidR="001F0E4B" w:rsidRPr="009F2CA9" w:rsidRDefault="001F0E4B" w:rsidP="001F0E4B">
      <w:pPr>
        <w:rPr>
          <w:lang w:val="en-GB"/>
        </w:rPr>
      </w:pPr>
      <w:r w:rsidRPr="009F2CA9">
        <w:rPr>
          <w:lang w:val="en-GB"/>
        </w:rPr>
        <w:t>Under this, Hilton will not need to invest in the entire investment budget, but only Project C. Capital rationing should not lure it into investing in non-value-adding projects simply because the money will not go to waste. Instead, any uninvested capital left should be reserved for strategic investments in the future, debt settlement or an increase in liquidity, particularly due to the increasing debt-to-asset ratio in Hilton as mentioned in Section 1. Good corporate finance practice also correlates with financial flexibility, which is attained through discipline in the selection of investments, and increases the capacity of the organisation to respond to the growth opportunities in the future (</w:t>
      </w:r>
      <w:proofErr w:type="spellStart"/>
      <w:r w:rsidRPr="009F2CA9">
        <w:rPr>
          <w:lang w:val="en-GB"/>
        </w:rPr>
        <w:t>Eferakeya</w:t>
      </w:r>
      <w:proofErr w:type="spellEnd"/>
      <w:r w:rsidRPr="009F2CA9">
        <w:rPr>
          <w:lang w:val="en-GB"/>
        </w:rPr>
        <w:t xml:space="preserve"> et al., 2022).</w:t>
      </w:r>
    </w:p>
    <w:p w14:paraId="288E481A" w14:textId="77777777" w:rsidR="001F0E4B" w:rsidRPr="009F2CA9" w:rsidRDefault="001F0E4B" w:rsidP="001F0E4B">
      <w:pPr>
        <w:rPr>
          <w:lang w:val="en-GB"/>
        </w:rPr>
      </w:pPr>
      <w:r w:rsidRPr="009F2CA9">
        <w:rPr>
          <w:lang w:val="en-GB"/>
        </w:rPr>
        <w:t>The decision to invest is also in line with the overall Hilton strategic goals. The high operating cash generation and positive financial returns experienced in Project C do not cause the company to make unnecessary increases in leverage. Since the company has an asset-light business model and is already in debt, only value-creating investments will help in achieving long-term sustainable growth without taking undue financial risk. Moreover, having a buffer cash also offers a greater degree of flexibility to fund digital transformation projects, international growth and sustainability projects, which are all becoming more crucial contributors of competitive edge in the global hospitality sector (Santos, 2024).</w:t>
      </w:r>
    </w:p>
    <w:p w14:paraId="7570D7FF" w14:textId="77777777" w:rsidR="001F0E4B" w:rsidRDefault="001F0E4B" w:rsidP="001F0E4B">
      <w:pPr>
        <w:rPr>
          <w:lang w:val="en-GB"/>
        </w:rPr>
      </w:pPr>
      <w:r w:rsidRPr="009F2CA9">
        <w:rPr>
          <w:lang w:val="en-GB"/>
        </w:rPr>
        <w:t xml:space="preserve">All in all, the investment appraisal indicates that the only investment opportunity that is </w:t>
      </w:r>
      <w:r w:rsidRPr="00FD7F41">
        <w:rPr>
          <w:b/>
          <w:bCs/>
          <w:lang w:val="en-GB"/>
        </w:rPr>
        <w:t>financially viable is Project C</w:t>
      </w:r>
      <w:r w:rsidRPr="009F2CA9">
        <w:rPr>
          <w:lang w:val="en-GB"/>
        </w:rPr>
        <w:t xml:space="preserve">. It yields the best NPV, the sole PI above one, the best IRR, and the smallest discounted payback period, hence producing positive shareholder </w:t>
      </w:r>
      <w:r w:rsidRPr="009F2CA9">
        <w:rPr>
          <w:lang w:val="en-GB"/>
        </w:rPr>
        <w:lastRenderedPageBreak/>
        <w:t>value. On the contrary, Projects A and B do not meet the basic investment appraisal requirements and are to be rejected. In the capital budget constraint of Hilton, which is 100 million pounds, the most economically viable option will be to invest in a single Project C, and the rest should be invested in future money-generating opportunities and strengthening the financial position of the company in the long run.</w:t>
      </w:r>
    </w:p>
    <w:p w14:paraId="051B4794" w14:textId="77777777" w:rsidR="001F0E4B" w:rsidRPr="009F2CA9" w:rsidRDefault="001F0E4B" w:rsidP="001F0E4B">
      <w:pPr>
        <w:pStyle w:val="Heading1"/>
        <w:rPr>
          <w:lang w:val="en-GB"/>
        </w:rPr>
      </w:pPr>
      <w:bookmarkStart w:id="28" w:name="_Toc235897058"/>
      <w:r w:rsidRPr="009F2CA9">
        <w:rPr>
          <w:lang w:val="en-GB"/>
        </w:rPr>
        <w:t xml:space="preserve">5. </w:t>
      </w:r>
      <w:r w:rsidRPr="00BD0AF4">
        <w:t>Critical Reflection on AI Usage</w:t>
      </w:r>
      <w:bookmarkEnd w:id="28"/>
    </w:p>
    <w:p w14:paraId="0295A8A6" w14:textId="77777777" w:rsidR="001F0E4B" w:rsidRPr="009F2CA9" w:rsidRDefault="001F0E4B" w:rsidP="001F0E4B">
      <w:pPr>
        <w:pStyle w:val="Heading2"/>
        <w:rPr>
          <w:lang w:val="en-GB"/>
        </w:rPr>
      </w:pPr>
      <w:bookmarkStart w:id="29" w:name="_Toc235897059"/>
      <w:r>
        <w:rPr>
          <w:lang w:val="en-GB"/>
        </w:rPr>
        <w:t xml:space="preserve">5.1 </w:t>
      </w:r>
      <w:r w:rsidRPr="00BD0AF4">
        <w:t>Tool Disclosure</w:t>
      </w:r>
      <w:bookmarkEnd w:id="29"/>
    </w:p>
    <w:p w14:paraId="42739E67" w14:textId="77777777" w:rsidR="001F0E4B" w:rsidRPr="009F2CA9" w:rsidRDefault="001F0E4B" w:rsidP="001F0E4B">
      <w:pPr>
        <w:rPr>
          <w:lang w:val="en-GB"/>
        </w:rPr>
      </w:pPr>
      <w:r w:rsidRPr="009F2CA9">
        <w:rPr>
          <w:lang w:val="en-GB"/>
        </w:rPr>
        <w:t>This report was prepared using Artificial Intelligence (AI) tools in a very limited capacity and assertively. In line with the AI Use Acknowledgement that accompanies this, ChatGPT was applied to clarify the concepts of financial ratio and investment appraisal, help structure report sections, and enhance the clarity and scholarly appearance of written materials. Preliminary background research about Hilton Worldwide Holdings Inc., its business model, post-pandemic recovery, strategic endeavours, and overall financial performance was also done using Google Gemini. The two AI tools have not been utilised as the primary source of financial information. Rather, all financial data was obtained directly via Hilton's Annual Reports (Hilton, 2026) and Yahoo Finance (2026), whereas the academic data was found on its own through peer-reviewed literature.</w:t>
      </w:r>
    </w:p>
    <w:p w14:paraId="6890B4CD" w14:textId="77777777" w:rsidR="001F0E4B" w:rsidRPr="009F2CA9" w:rsidRDefault="001F0E4B" w:rsidP="001F0E4B">
      <w:pPr>
        <w:pStyle w:val="Heading2"/>
        <w:rPr>
          <w:lang w:val="en-GB"/>
        </w:rPr>
      </w:pPr>
      <w:bookmarkStart w:id="30" w:name="_Toc235897060"/>
      <w:r>
        <w:rPr>
          <w:lang w:val="en-GB"/>
        </w:rPr>
        <w:t xml:space="preserve">5.2 </w:t>
      </w:r>
      <w:r w:rsidRPr="009F2CA9">
        <w:t>Critical Evaluation of AI Output</w:t>
      </w:r>
      <w:bookmarkEnd w:id="30"/>
    </w:p>
    <w:p w14:paraId="12751616" w14:textId="77777777" w:rsidR="001F0E4B" w:rsidRPr="009F2CA9" w:rsidRDefault="001F0E4B" w:rsidP="001F0E4B">
      <w:pPr>
        <w:rPr>
          <w:lang w:val="en-GB"/>
        </w:rPr>
      </w:pPr>
      <w:r w:rsidRPr="009F2CA9">
        <w:rPr>
          <w:lang w:val="en-GB"/>
        </w:rPr>
        <w:t xml:space="preserve">Although this initial advice provided by AI tools could be useful, its conclusions were to be substantiated and only then included in the report. ChatGPT and Gemini generated financial interpretations, which were compared to the published Hilton financial statements, as well as ratio calculations and scholarly sources. Any AI-generated explanations that were not close to the published financial data or did not provide enough supporting evidence were excluded or amended. In the analysis, there were instances where AI was coming up with general interpretations that were not reflective of the asset-light operating model and unique capital structure of Hilton. As an example, </w:t>
      </w:r>
      <w:r w:rsidRPr="009F2CA9">
        <w:rPr>
          <w:lang w:val="en-GB"/>
        </w:rPr>
        <w:lastRenderedPageBreak/>
        <w:t>the overall explanations, which were related to leverage and profitability, had to change because Hilton had negative shareholders' equity during the period of evaluation. Similarly, all the financial ratios, computations of cash operating cycles, investment appraisal and capital rationing results were also determined and checked out separately, rather than with the AI-produced figures. This screening procedure minimised the chances of adding inaccuracies of fact, logical errors or AI delusions into the final report.</w:t>
      </w:r>
    </w:p>
    <w:p w14:paraId="30DCF5E7" w14:textId="77777777" w:rsidR="001F0E4B" w:rsidRPr="009F2CA9" w:rsidRDefault="001F0E4B" w:rsidP="001F0E4B">
      <w:pPr>
        <w:pStyle w:val="Heading2"/>
        <w:rPr>
          <w:lang w:val="en-GB"/>
        </w:rPr>
      </w:pPr>
      <w:bookmarkStart w:id="31" w:name="_Toc235897061"/>
      <w:r>
        <w:rPr>
          <w:lang w:val="en-GB"/>
        </w:rPr>
        <w:t>5.3</w:t>
      </w:r>
      <w:r w:rsidRPr="009F2CA9">
        <w:rPr>
          <w:lang w:val="en-GB"/>
        </w:rPr>
        <w:t xml:space="preserve"> Contribution Analysis</w:t>
      </w:r>
      <w:bookmarkEnd w:id="31"/>
    </w:p>
    <w:p w14:paraId="27D26354" w14:textId="77777777" w:rsidR="001F0E4B" w:rsidRPr="009F2CA9" w:rsidRDefault="001F0E4B" w:rsidP="001F0E4B">
      <w:pPr>
        <w:rPr>
          <w:lang w:val="en-GB"/>
        </w:rPr>
      </w:pPr>
      <w:r w:rsidRPr="009F2CA9">
        <w:rPr>
          <w:lang w:val="en-GB"/>
        </w:rPr>
        <w:t>The core contribution of AI was to help to sort the ideas, explaining financial terms and providing some initial background information about Hilton. However, the scholarly work was carried out on its own. The gathering of financial information, calculation of financial ratios, construction of tables and figures, analysis of financial performance, assessment of working capital efficiency, creation of the financial restructuring plan, analysis of investment appraisal and ultimate strategic recommendations are the personal work of the author. In the same way, the choice of academic literature, its critical analysis and synthesis were performed individually to be sure that the discussion is founded on the needs of the assignment and not on the summaries made by AI. AI was thus more of a support tool for learning and drafting than the source of analytical content of the report.</w:t>
      </w:r>
    </w:p>
    <w:p w14:paraId="4D396123" w14:textId="77777777" w:rsidR="001F0E4B" w:rsidRPr="009F2CA9" w:rsidRDefault="001F0E4B" w:rsidP="001F0E4B">
      <w:pPr>
        <w:pStyle w:val="Heading2"/>
        <w:rPr>
          <w:lang w:val="en-GB"/>
        </w:rPr>
      </w:pPr>
      <w:bookmarkStart w:id="32" w:name="_Toc235897062"/>
      <w:r>
        <w:rPr>
          <w:lang w:val="en-GB"/>
        </w:rPr>
        <w:t>5.4</w:t>
      </w:r>
      <w:r w:rsidRPr="009F2CA9">
        <w:rPr>
          <w:lang w:val="en-GB"/>
        </w:rPr>
        <w:t xml:space="preserve"> </w:t>
      </w:r>
      <w:r w:rsidRPr="009F2CA9">
        <w:t>Ethical &amp; Professional Reflection</w:t>
      </w:r>
      <w:bookmarkEnd w:id="32"/>
    </w:p>
    <w:p w14:paraId="2D504A77" w14:textId="77777777" w:rsidR="001F0E4B" w:rsidRPr="00E60153" w:rsidRDefault="001F0E4B" w:rsidP="001F0E4B">
      <w:pPr>
        <w:rPr>
          <w:lang w:val="en-GB"/>
        </w:rPr>
      </w:pPr>
      <w:r w:rsidRPr="009F2CA9">
        <w:rPr>
          <w:lang w:val="en-GB"/>
        </w:rPr>
        <w:t xml:space="preserve">The growing use of AI in the financial field presents important possibilities to enhance the effectiveness of research and decision support, yet it also poses some important ethical and professional issues. It is also the task of financial professionals to make sure that there is transparency when it comes to the use of AI, especially in cases where the AI is a part of the analysis or reporting. It is also essential to ensure the safety of confidential financial data and not expose sensitive organisational data to the general public using AI services. The overdependence on AI is also a significant threat, as the financial decisions of the executive level are based on professional judgement, critical thinking and accountability that cannot be assigned to automated systems. The AI </w:t>
      </w:r>
      <w:r w:rsidRPr="009F2CA9">
        <w:rPr>
          <w:lang w:val="en-GB"/>
        </w:rPr>
        <w:lastRenderedPageBreak/>
        <w:t>suggestions may overlook the situations that are unique to the company or provide reasonable but false results. Thus, AI is not to replace but supplement professional knowledge. This principle is illustrated in this report where AI was applied only to improve efficiency and conceptual knowledge and to make sure that all financial analysis, calculations, validation, critical analysis and strategic conclusions were left in the hands of the author.</w:t>
      </w:r>
    </w:p>
    <w:p w14:paraId="7C458D65" w14:textId="77777777" w:rsidR="001F0E4B" w:rsidRPr="00E60153" w:rsidRDefault="001F0E4B" w:rsidP="001F0E4B">
      <w:pPr>
        <w:pStyle w:val="Heading1"/>
        <w:rPr>
          <w:lang w:val="en-GB"/>
        </w:rPr>
      </w:pPr>
      <w:bookmarkStart w:id="33" w:name="_Toc235897063"/>
      <w:r w:rsidRPr="00E60153">
        <w:rPr>
          <w:lang w:val="en-GB"/>
        </w:rPr>
        <w:t>Conclusion</w:t>
      </w:r>
      <w:bookmarkEnd w:id="33"/>
      <w:r w:rsidRPr="00E60153">
        <w:rPr>
          <w:lang w:val="en-GB"/>
        </w:rPr>
        <w:t xml:space="preserve"> </w:t>
      </w:r>
    </w:p>
    <w:p w14:paraId="134E578D" w14:textId="77777777" w:rsidR="001F0E4B" w:rsidRPr="008A00D2" w:rsidRDefault="001F0E4B" w:rsidP="001F0E4B">
      <w:pPr>
        <w:rPr>
          <w:rFonts w:eastAsiaTheme="majorEastAsia" w:cstheme="majorBidi"/>
          <w:b/>
          <w:sz w:val="28"/>
          <w:szCs w:val="40"/>
          <w:lang w:val="en-GB"/>
        </w:rPr>
      </w:pPr>
      <w:r w:rsidRPr="00E60153">
        <w:rPr>
          <w:lang w:val="en-GB"/>
        </w:rPr>
        <w:t>Based on the analysis, Hilton is financially stable with a growth in profitability, robust operating cash flows and market confidence. However, the declining liquidity, increasing leverage, and the increasing cash operating cycle refer to the spheres that ought to be strategically tackled. The proposed restructuring plan will be aimed at optimisation of debts, disciplined allocation and maintenance of financial flexibility and the review of the investments made shows that only one investment-Project C is value-creating. All these suggestions will improve the capacity of Hilton to achieve sustainable growth and shareholder value in long-term.</w:t>
      </w:r>
    </w:p>
    <w:p w14:paraId="3F817970" w14:textId="77777777" w:rsidR="001F0E4B" w:rsidRPr="008A00D2" w:rsidRDefault="001F0E4B" w:rsidP="001F0E4B">
      <w:pPr>
        <w:pStyle w:val="Heading1"/>
        <w:rPr>
          <w:lang w:val="en-GB"/>
        </w:rPr>
      </w:pPr>
      <w:bookmarkStart w:id="34" w:name="_Toc235897064"/>
      <w:r w:rsidRPr="008A00D2">
        <w:rPr>
          <w:lang w:val="en-GB"/>
        </w:rPr>
        <w:t>Reference List</w:t>
      </w:r>
      <w:bookmarkEnd w:id="34"/>
    </w:p>
    <w:p w14:paraId="651CA6E3" w14:textId="77777777" w:rsidR="001F0E4B" w:rsidRDefault="001F0E4B" w:rsidP="001F0E4B">
      <w:r w:rsidRPr="00CF4614">
        <w:t xml:space="preserve">Ahmad, A. A., Karimah, H., </w:t>
      </w:r>
      <w:r>
        <w:t>and</w:t>
      </w:r>
      <w:r w:rsidRPr="00CF4614">
        <w:t xml:space="preserve"> Akbar, M. A. A. (2026). Profitability Stability and Liquidity Risk Mitigation: An Empirical Analysis of Indonesian Guarantee Institutions. </w:t>
      </w:r>
      <w:proofErr w:type="spellStart"/>
      <w:r w:rsidRPr="00FD4A56">
        <w:rPr>
          <w:i/>
          <w:iCs/>
        </w:rPr>
        <w:t>Warmadewa</w:t>
      </w:r>
      <w:proofErr w:type="spellEnd"/>
      <w:r w:rsidRPr="00FD4A56">
        <w:rPr>
          <w:i/>
          <w:iCs/>
        </w:rPr>
        <w:t xml:space="preserve"> Management and Business Journal (WMBJ)</w:t>
      </w:r>
      <w:r w:rsidRPr="00CF4614">
        <w:t>, </w:t>
      </w:r>
      <w:r w:rsidRPr="00FD4A56">
        <w:rPr>
          <w:i/>
          <w:iCs/>
        </w:rPr>
        <w:t>8</w:t>
      </w:r>
      <w:r w:rsidRPr="00CF4614">
        <w:t>(1), 42-51.</w:t>
      </w:r>
      <w:r>
        <w:t xml:space="preserve"> </w:t>
      </w:r>
      <w:hyperlink r:id="rId22" w:history="1">
        <w:r w:rsidRPr="00121349">
          <w:rPr>
            <w:rStyle w:val="Hyperlink"/>
          </w:rPr>
          <w:t>https://ejournal.warmadewa.ac.id/index.php/wmbj/article/view/14517/7274</w:t>
        </w:r>
      </w:hyperlink>
    </w:p>
    <w:p w14:paraId="173B2D35" w14:textId="77777777" w:rsidR="001F0E4B" w:rsidRDefault="001F0E4B" w:rsidP="001F0E4B">
      <w:r w:rsidRPr="00877729">
        <w:t>Al Amosh, H. (2025). Exchange rate volatility and ESG performance: an international empirical analysis. </w:t>
      </w:r>
      <w:r w:rsidRPr="00FD4A56">
        <w:rPr>
          <w:i/>
          <w:iCs/>
        </w:rPr>
        <w:t>Journal of Corporate Accounting &amp; Finance</w:t>
      </w:r>
      <w:r w:rsidRPr="00877729">
        <w:t>, </w:t>
      </w:r>
      <w:r w:rsidRPr="00FD4A56">
        <w:rPr>
          <w:i/>
          <w:iCs/>
        </w:rPr>
        <w:t>36</w:t>
      </w:r>
      <w:r w:rsidRPr="00877729">
        <w:t>(3), 14-28.</w:t>
      </w:r>
      <w:r>
        <w:t xml:space="preserve"> </w:t>
      </w:r>
      <w:hyperlink r:id="rId23" w:history="1">
        <w:r w:rsidRPr="00121349">
          <w:rPr>
            <w:rStyle w:val="Hyperlink"/>
          </w:rPr>
          <w:t>https://onlinelibrary.wiley.com/doi/pdf/10.1002/jcaf.22774</w:t>
        </w:r>
      </w:hyperlink>
    </w:p>
    <w:p w14:paraId="5441FC74" w14:textId="77777777" w:rsidR="001F0E4B" w:rsidRDefault="001F0E4B" w:rsidP="001F0E4B">
      <w:r w:rsidRPr="00AB31B2">
        <w:t>Cardoso, L. E. (2022). Hilton worldwide holdings in travel &amp; tourism industry.</w:t>
      </w:r>
      <w:r>
        <w:t xml:space="preserve"> </w:t>
      </w:r>
      <w:hyperlink r:id="rId24" w:history="1">
        <w:r w:rsidRPr="00121349">
          <w:rPr>
            <w:rStyle w:val="Hyperlink"/>
          </w:rPr>
          <w:t>https://run.unl.pt/bitstreams/c0aa08eb-38e4-41c5-b109-f3374b911217/download</w:t>
        </w:r>
      </w:hyperlink>
    </w:p>
    <w:p w14:paraId="027EE2CF" w14:textId="77777777" w:rsidR="001F0E4B" w:rsidRDefault="001F0E4B" w:rsidP="001F0E4B">
      <w:r w:rsidRPr="00CF4614">
        <w:lastRenderedPageBreak/>
        <w:t>Danish, J. (2025). Working Capital Management: A Study of Finnish Manufacturing SMEs’ Working Capital Management.</w:t>
      </w:r>
      <w:r>
        <w:t xml:space="preserve"> </w:t>
      </w:r>
      <w:hyperlink r:id="rId25" w:history="1">
        <w:r w:rsidRPr="00121349">
          <w:rPr>
            <w:rStyle w:val="Hyperlink"/>
          </w:rPr>
          <w:t>https://www.theseus.fi/bitstream/handle/10024/900470/Danish_Jawid.pdf?sequence=2</w:t>
        </w:r>
      </w:hyperlink>
    </w:p>
    <w:p w14:paraId="58CFCB8E" w14:textId="77777777" w:rsidR="001F0E4B" w:rsidRDefault="001F0E4B" w:rsidP="001F0E4B">
      <w:proofErr w:type="spellStart"/>
      <w:r w:rsidRPr="00AB31B2">
        <w:t>Derowitsch</w:t>
      </w:r>
      <w:proofErr w:type="spellEnd"/>
      <w:r w:rsidRPr="00AB31B2">
        <w:t xml:space="preserve">, J., Ngo, T., Katt, T., Henning, M., </w:t>
      </w:r>
      <w:r>
        <w:t>and</w:t>
      </w:r>
      <w:r w:rsidRPr="00AB31B2">
        <w:t xml:space="preserve"> Soukup, L. (2025). Strategic Audit: Hilton Worldwide Holdings, Inc.</w:t>
      </w:r>
      <w:r>
        <w:t xml:space="preserve"> </w:t>
      </w:r>
      <w:hyperlink r:id="rId26" w:history="1">
        <w:r w:rsidRPr="00121349">
          <w:rPr>
            <w:rStyle w:val="Hyperlink"/>
          </w:rPr>
          <w:t>https://digitalcommons.unl.edu/cgi/viewcontent.cgi?article=1819&amp;context=honorstheses</w:t>
        </w:r>
      </w:hyperlink>
    </w:p>
    <w:p w14:paraId="36C0F4CF" w14:textId="77777777" w:rsidR="001F0E4B" w:rsidRDefault="001F0E4B" w:rsidP="001F0E4B">
      <w:proofErr w:type="spellStart"/>
      <w:r w:rsidRPr="00877729">
        <w:t>Eferakeya</w:t>
      </w:r>
      <w:proofErr w:type="spellEnd"/>
      <w:r w:rsidRPr="00877729">
        <w:t xml:space="preserve">, I., </w:t>
      </w:r>
      <w:proofErr w:type="spellStart"/>
      <w:r w:rsidRPr="00877729">
        <w:t>Enakirerhi</w:t>
      </w:r>
      <w:proofErr w:type="spellEnd"/>
      <w:r w:rsidRPr="00877729">
        <w:t xml:space="preserve">, L. I., </w:t>
      </w:r>
      <w:r>
        <w:t>and</w:t>
      </w:r>
      <w:r w:rsidRPr="00877729">
        <w:t xml:space="preserve"> </w:t>
      </w:r>
      <w:proofErr w:type="spellStart"/>
      <w:r w:rsidRPr="00877729">
        <w:t>Erhijakpor</w:t>
      </w:r>
      <w:proofErr w:type="spellEnd"/>
      <w:r w:rsidRPr="00877729">
        <w:t>, A. E. (2022). Do SMEs Engage in Capital Budgeting Practices and Risk Analysis Techniques in Nigeria? Exploring the Evidence.</w:t>
      </w:r>
      <w:r>
        <w:t xml:space="preserve"> </w:t>
      </w:r>
      <w:hyperlink r:id="rId27" w:history="1">
        <w:r w:rsidRPr="00121349">
          <w:rPr>
            <w:rStyle w:val="Hyperlink"/>
          </w:rPr>
          <w: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w:t>
        </w:r>
      </w:hyperlink>
    </w:p>
    <w:p w14:paraId="237C7B19" w14:textId="77777777" w:rsidR="001F0E4B" w:rsidRDefault="001F0E4B" w:rsidP="001F0E4B">
      <w:proofErr w:type="spellStart"/>
      <w:r w:rsidRPr="00CF4614">
        <w:t>Fowowe</w:t>
      </w:r>
      <w:proofErr w:type="spellEnd"/>
      <w:r w:rsidRPr="00CF4614">
        <w:t>, O. O. (2025). Business Performance Analysis Techniques: A Case Study of Marriott. </w:t>
      </w:r>
      <w:r w:rsidRPr="00FD4A56">
        <w:rPr>
          <w:i/>
          <w:iCs/>
        </w:rPr>
        <w:t>Available at SSRN 5340588</w:t>
      </w:r>
      <w:r w:rsidRPr="00CF4614">
        <w:t>.</w:t>
      </w:r>
      <w:r>
        <w:t xml:space="preserve"> </w:t>
      </w:r>
      <w:hyperlink r:id="rId28" w:history="1">
        <w:r w:rsidRPr="00121349">
          <w:rPr>
            <w:rStyle w:val="Hyperlink"/>
          </w:rPr>
          <w:t>https://papers.ssrn.com/sol3/Delivery.cfm?abstractid=5340588</w:t>
        </w:r>
      </w:hyperlink>
    </w:p>
    <w:p w14:paraId="798B3603" w14:textId="77777777" w:rsidR="001F0E4B" w:rsidRDefault="001F0E4B" w:rsidP="001F0E4B">
      <w:r>
        <w:t xml:space="preserve">Hilton (2026). Hilton – Investor Relations [Annual Reports]. Available at: </w:t>
      </w:r>
      <w:hyperlink r:id="rId29" w:history="1">
        <w:r w:rsidRPr="009834A1">
          <w:rPr>
            <w:rStyle w:val="Hyperlink"/>
          </w:rPr>
          <w:t>https://ir.hilton.com/financial-reporting/annual-reports</w:t>
        </w:r>
      </w:hyperlink>
    </w:p>
    <w:p w14:paraId="6CA3F950" w14:textId="77777777" w:rsidR="001F0E4B" w:rsidRDefault="001F0E4B" w:rsidP="001F0E4B">
      <w:r w:rsidRPr="00CF4614">
        <w:t xml:space="preserve">Huynh, T. X. T., Nguyen, T. T. H., </w:t>
      </w:r>
      <w:r>
        <w:t>and</w:t>
      </w:r>
      <w:r w:rsidRPr="00CF4614">
        <w:t xml:space="preserve"> Nguyen, C. V. (2025). The impact of working capital management on the financial performance of listed enterprises: </w:t>
      </w:r>
      <w:proofErr w:type="gramStart"/>
      <w:r w:rsidRPr="00CF4614">
        <w:t>an empirical evidence</w:t>
      </w:r>
      <w:proofErr w:type="gramEnd"/>
      <w:r w:rsidRPr="00CF4614">
        <w:t xml:space="preserve"> from Vietnam. </w:t>
      </w:r>
      <w:r w:rsidRPr="00FD4A56">
        <w:rPr>
          <w:i/>
          <w:iCs/>
        </w:rPr>
        <w:t>Cogent Business &amp; Management</w:t>
      </w:r>
      <w:r w:rsidRPr="00CF4614">
        <w:t>, </w:t>
      </w:r>
      <w:r w:rsidRPr="00FD4A56">
        <w:rPr>
          <w:i/>
          <w:iCs/>
        </w:rPr>
        <w:t>12</w:t>
      </w:r>
      <w:r w:rsidRPr="00CF4614">
        <w:t>(1), 2473033.</w:t>
      </w:r>
      <w:r>
        <w:t xml:space="preserve"> </w:t>
      </w:r>
      <w:hyperlink r:id="rId30" w:history="1">
        <w:r w:rsidRPr="00121349">
          <w:rPr>
            <w:rStyle w:val="Hyperlink"/>
          </w:rPr>
          <w:t>https://www.tandfonline.com/doi/pdf/10.1080/23311975.2025.2473033</w:t>
        </w:r>
      </w:hyperlink>
    </w:p>
    <w:p w14:paraId="69A06560" w14:textId="77777777" w:rsidR="001F0E4B" w:rsidRDefault="001F0E4B" w:rsidP="001F0E4B">
      <w:proofErr w:type="spellStart"/>
      <w:r w:rsidRPr="00CF4614">
        <w:t>Ikwuo</w:t>
      </w:r>
      <w:proofErr w:type="spellEnd"/>
      <w:r w:rsidRPr="00CF4614">
        <w:t xml:space="preserve">, A. K., </w:t>
      </w:r>
      <w:proofErr w:type="spellStart"/>
      <w:r w:rsidRPr="00CF4614">
        <w:t>Nwite</w:t>
      </w:r>
      <w:proofErr w:type="spellEnd"/>
      <w:r w:rsidRPr="00CF4614">
        <w:t xml:space="preserve">, I. M., Nworie, G. O., </w:t>
      </w:r>
      <w:r>
        <w:t>and</w:t>
      </w:r>
      <w:r w:rsidRPr="00CF4614">
        <w:t xml:space="preserve"> Nworie, F. N. (2025). Shareholder value diminution through long-term debts: Evidence from the Nigerian oil industry. </w:t>
      </w:r>
      <w:r w:rsidRPr="00FD4A56">
        <w:rPr>
          <w:i/>
          <w:iCs/>
        </w:rPr>
        <w:t>Annals of Management and Organization Research</w:t>
      </w:r>
      <w:r w:rsidRPr="00CF4614">
        <w:t>, </w:t>
      </w:r>
      <w:r w:rsidRPr="00FD4A56">
        <w:rPr>
          <w:i/>
          <w:iCs/>
        </w:rPr>
        <w:t>6</w:t>
      </w:r>
      <w:r w:rsidRPr="00CF4614">
        <w:t>(3), 271-285.</w:t>
      </w:r>
      <w:r>
        <w:t xml:space="preserve"> </w:t>
      </w:r>
      <w:hyperlink r:id="rId31" w:history="1">
        <w:r w:rsidRPr="00121349">
          <w:rPr>
            <w:rStyle w:val="Hyperlink"/>
          </w:rPr>
          <w:t>https://www.researchgate.net/profile/Gilbert-Nworie-2/publication/389211249_Shareholder_value_diminution_through_long-_term_debts_Evidence_from_the_Nigerian_oil_industry/links/67b8eeb5207c0c20fa911a</w:t>
        </w:r>
        <w:r w:rsidRPr="00121349">
          <w:rPr>
            <w:rStyle w:val="Hyperlink"/>
          </w:rPr>
          <w:lastRenderedPageBreak/>
          <w:t>99/Shareholder-value-diminution-through-long-term-debts-Evidence-from-the-Nigerian-oil-industry.pdf</w:t>
        </w:r>
      </w:hyperlink>
    </w:p>
    <w:p w14:paraId="495E02B2" w14:textId="77777777" w:rsidR="001F0E4B" w:rsidRDefault="001F0E4B" w:rsidP="001F0E4B">
      <w:r w:rsidRPr="00877729">
        <w:t xml:space="preserve">Kadam, M., </w:t>
      </w:r>
      <w:r>
        <w:t>and</w:t>
      </w:r>
      <w:r w:rsidRPr="00877729">
        <w:t xml:space="preserve"> Singh, N. (2025). A Study of Identification of Capital Budgeting Tools Applied in Investment Decision. </w:t>
      </w:r>
      <w:r w:rsidRPr="00FD4A56">
        <w:rPr>
          <w:i/>
          <w:iCs/>
        </w:rPr>
        <w:t>Bioscan</w:t>
      </w:r>
      <w:r w:rsidRPr="00877729">
        <w:t>, </w:t>
      </w:r>
      <w:r w:rsidRPr="00FD4A56">
        <w:rPr>
          <w:i/>
          <w:iCs/>
        </w:rPr>
        <w:t>20</w:t>
      </w:r>
      <w:r w:rsidRPr="00877729">
        <w:t>, 671-676.</w:t>
      </w:r>
      <w:r>
        <w:t xml:space="preserve"> </w:t>
      </w:r>
      <w:hyperlink r:id="rId32" w:history="1">
        <w:r w:rsidRPr="00121349">
          <w:rPr>
            <w:rStyle w:val="Hyperlink"/>
          </w:rPr>
          <w:t>https://www.researchgate.net/profile/Madhuri-Kadam-2/publication/390561020_A_Study_of_Identification_of_Capital_Budgeting_Tools_applied_in_Investment_Decision/links/68621f87e4632b045dc87e5d/A-Study-of-Identification-of-Capital-Budgeting-Tools-applied-in-Investment-Decision.pdf</w:t>
        </w:r>
      </w:hyperlink>
    </w:p>
    <w:p w14:paraId="369A32F1" w14:textId="77777777" w:rsidR="001F0E4B" w:rsidRDefault="001F0E4B" w:rsidP="001F0E4B">
      <w:r w:rsidRPr="00AB31B2">
        <w:t xml:space="preserve">Koroma, S., </w:t>
      </w:r>
      <w:r>
        <w:t>and</w:t>
      </w:r>
      <w:r w:rsidRPr="00AB31B2">
        <w:t xml:space="preserve"> Bein, M. (2024). The moderating effect of economic policy uncertainty on the relationship between working capital management and profitability: evidence from UK non-financial firms. </w:t>
      </w:r>
      <w:r w:rsidRPr="00FD4A56">
        <w:rPr>
          <w:i/>
          <w:iCs/>
        </w:rPr>
        <w:t>Sage Open</w:t>
      </w:r>
      <w:r w:rsidRPr="00AB31B2">
        <w:t>, </w:t>
      </w:r>
      <w:r w:rsidRPr="00FD4A56">
        <w:rPr>
          <w:i/>
          <w:iCs/>
        </w:rPr>
        <w:t>14</w:t>
      </w:r>
      <w:r w:rsidRPr="00AB31B2">
        <w:t>(2), 21582440241242552.</w:t>
      </w:r>
      <w:r>
        <w:t xml:space="preserve"> </w:t>
      </w:r>
      <w:hyperlink r:id="rId33" w:history="1">
        <w:r w:rsidRPr="00121349">
          <w:rPr>
            <w:rStyle w:val="Hyperlink"/>
          </w:rPr>
          <w:t>https://scholar.google.com/scholar?output=instlink&amp;q=info:BwnnmZEcxwIJ:scholar.google.com/&amp;hl=en&amp;as_sdt=0,5&amp;as_ylo=2022&amp;scillfp=4680705444181354169&amp;oi=lle</w:t>
        </w:r>
      </w:hyperlink>
    </w:p>
    <w:p w14:paraId="54A11DF1" w14:textId="77777777" w:rsidR="001F0E4B" w:rsidRDefault="001F0E4B" w:rsidP="001F0E4B">
      <w:r w:rsidRPr="00877729">
        <w:t xml:space="preserve">Lagodiyenko, O., </w:t>
      </w:r>
      <w:proofErr w:type="spellStart"/>
      <w:r w:rsidRPr="00877729">
        <w:t>Uzhva</w:t>
      </w:r>
      <w:proofErr w:type="spellEnd"/>
      <w:r w:rsidRPr="00877729">
        <w:t xml:space="preserve">, A., </w:t>
      </w:r>
      <w:r>
        <w:t>and</w:t>
      </w:r>
      <w:r w:rsidRPr="00877729">
        <w:t xml:space="preserve"> </w:t>
      </w:r>
      <w:proofErr w:type="spellStart"/>
      <w:r w:rsidRPr="00877729">
        <w:t>Khakhaliev</w:t>
      </w:r>
      <w:proofErr w:type="spellEnd"/>
      <w:r w:rsidRPr="00877729">
        <w:t>, D. (2024). Fiscal aspects of ESG business development concepts.</w:t>
      </w:r>
      <w:r>
        <w:t xml:space="preserve"> </w:t>
      </w:r>
      <w:hyperlink r:id="rId34" w:history="1">
        <w:r w:rsidRPr="00121349">
          <w:rPr>
            <w:rStyle w:val="Hyperlink"/>
          </w:rPr>
          <w:t>https://dspace.chmnu.edu.ua/jspui/bitstream/123456789/2591/1/Lagodiyenko%2C%20O.%2C%20Uzhva%2C%20A.%2C%20%26%20Khakhaliev%2C%20D..pdf</w:t>
        </w:r>
      </w:hyperlink>
    </w:p>
    <w:p w14:paraId="440690F3" w14:textId="77777777" w:rsidR="001F0E4B" w:rsidRDefault="001F0E4B" w:rsidP="001F0E4B">
      <w:r w:rsidRPr="00877729">
        <w:t xml:space="preserve">Malek, A. A. (2022). Economic assessment of </w:t>
      </w:r>
      <w:proofErr w:type="gramStart"/>
      <w:r w:rsidRPr="00877729">
        <w:t>biomass based</w:t>
      </w:r>
      <w:proofErr w:type="gramEnd"/>
      <w:r w:rsidRPr="00877729">
        <w:t xml:space="preserve"> power generation. In </w:t>
      </w:r>
      <w:r w:rsidRPr="00FD4A56">
        <w:rPr>
          <w:i/>
          <w:iCs/>
        </w:rPr>
        <w:t>Biomass, Biorefineries and Bioeconomy</w:t>
      </w:r>
      <w:r w:rsidRPr="00877729">
        <w:t xml:space="preserve">. </w:t>
      </w:r>
      <w:proofErr w:type="spellStart"/>
      <w:r w:rsidRPr="00877729">
        <w:t>IntechOpen</w:t>
      </w:r>
      <w:proofErr w:type="spellEnd"/>
      <w:r w:rsidRPr="00877729">
        <w:t>.</w:t>
      </w:r>
      <w:r>
        <w:t xml:space="preserve"> </w:t>
      </w:r>
      <w:hyperlink r:id="rId35" w:history="1">
        <w:r w:rsidRPr="00121349">
          <w:rPr>
            <w:rStyle w:val="Hyperlink"/>
          </w:rPr>
          <w:t>https://www.intechopen.com/chapters/81162</w:t>
        </w:r>
      </w:hyperlink>
    </w:p>
    <w:p w14:paraId="4AF3916B" w14:textId="77777777" w:rsidR="001F0E4B" w:rsidRDefault="001F0E4B" w:rsidP="001F0E4B">
      <w:r w:rsidRPr="00CF4614">
        <w:t xml:space="preserve">Nazeer, R., Saleem, F., </w:t>
      </w:r>
      <w:r>
        <w:t>and</w:t>
      </w:r>
      <w:r w:rsidRPr="00CF4614">
        <w:t xml:space="preserve"> Amin, M. Y. (2025). Financial Leverage Dynamics: The Roles of Liquidity and Profitability in Shaping Firms’ Financial Health. </w:t>
      </w:r>
      <w:r w:rsidRPr="00FD4A56">
        <w:rPr>
          <w:i/>
          <w:iCs/>
        </w:rPr>
        <w:t>Audit and Accounting Review</w:t>
      </w:r>
      <w:r w:rsidRPr="00CF4614">
        <w:t>, </w:t>
      </w:r>
      <w:r w:rsidRPr="00FD4A56">
        <w:rPr>
          <w:i/>
          <w:iCs/>
        </w:rPr>
        <w:t>5</w:t>
      </w:r>
      <w:r w:rsidRPr="00CF4614">
        <w:t>(1), 79-102.</w:t>
      </w:r>
      <w:r>
        <w:t xml:space="preserve"> </w:t>
      </w:r>
      <w:hyperlink r:id="rId36" w:history="1">
        <w:r w:rsidRPr="00121349">
          <w:rPr>
            <w:rStyle w:val="Hyperlink"/>
          </w:rPr>
          <w:t>https://journals.umt.edu.pk/index.php/aar/article/download/6928/3156</w:t>
        </w:r>
      </w:hyperlink>
    </w:p>
    <w:p w14:paraId="7D1E9939" w14:textId="77777777" w:rsidR="001F0E4B" w:rsidRDefault="001F0E4B" w:rsidP="001F0E4B">
      <w:r w:rsidRPr="00CF4614">
        <w:t xml:space="preserve">Ngo, D. N. P., </w:t>
      </w:r>
      <w:r>
        <w:t>and</w:t>
      </w:r>
      <w:r w:rsidRPr="00CF4614">
        <w:t xml:space="preserve"> Van Nguyen, C. (2022). Effect Of Working Capital Management </w:t>
      </w:r>
      <w:proofErr w:type="gramStart"/>
      <w:r w:rsidRPr="00CF4614">
        <w:t>On</w:t>
      </w:r>
      <w:proofErr w:type="gramEnd"/>
      <w:r w:rsidRPr="00CF4614">
        <w:t xml:space="preserve"> </w:t>
      </w:r>
      <w:proofErr w:type="gramStart"/>
      <w:r w:rsidRPr="00CF4614">
        <w:t>The</w:t>
      </w:r>
      <w:proofErr w:type="gramEnd"/>
      <w:r w:rsidRPr="00CF4614">
        <w:t xml:space="preserve"> Performance </w:t>
      </w:r>
      <w:proofErr w:type="gramStart"/>
      <w:r w:rsidRPr="00CF4614">
        <w:t>Of</w:t>
      </w:r>
      <w:proofErr w:type="gramEnd"/>
      <w:r w:rsidRPr="00CF4614">
        <w:t xml:space="preserve"> Listed Firms </w:t>
      </w:r>
      <w:proofErr w:type="gramStart"/>
      <w:r w:rsidRPr="00CF4614">
        <w:t>In</w:t>
      </w:r>
      <w:proofErr w:type="gramEnd"/>
      <w:r w:rsidRPr="00CF4614">
        <w:t xml:space="preserve"> Emerging Markets: Evidence </w:t>
      </w:r>
      <w:proofErr w:type="gramStart"/>
      <w:r w:rsidRPr="00CF4614">
        <w:t>In</w:t>
      </w:r>
      <w:proofErr w:type="gramEnd"/>
      <w:r w:rsidRPr="00CF4614">
        <w:t xml:space="preserve"> Vietnam. </w:t>
      </w:r>
      <w:proofErr w:type="spellStart"/>
      <w:r w:rsidRPr="00FD4A56">
        <w:rPr>
          <w:i/>
          <w:iCs/>
        </w:rPr>
        <w:t>Webology</w:t>
      </w:r>
      <w:proofErr w:type="spellEnd"/>
      <w:r w:rsidRPr="00CF4614">
        <w:t>, </w:t>
      </w:r>
      <w:r w:rsidRPr="00FD4A56">
        <w:rPr>
          <w:i/>
          <w:iCs/>
        </w:rPr>
        <w:t>19</w:t>
      </w:r>
      <w:r w:rsidRPr="00CF4614">
        <w:t>(2).</w:t>
      </w:r>
      <w:r>
        <w:t xml:space="preserve"> </w:t>
      </w:r>
      <w:hyperlink r:id="rId37" w:history="1">
        <w:r w:rsidRPr="00121349">
          <w:rPr>
            <w:rStyle w:val="Hyperlink"/>
          </w:rPr>
          <w:t>https://www.researchgate.net/profile/Cong-Nguyen-10/publication/360439510_Effect_Of_Working_Capital_Management_On_The_Perform</w:t>
        </w:r>
        <w:r w:rsidRPr="00121349">
          <w:rPr>
            <w:rStyle w:val="Hyperlink"/>
          </w:rPr>
          <w:lastRenderedPageBreak/>
          <w:t>ance_Of_Listed_Firms_In_Emerging_Markets_Evidence_In_Vietnam/links/62fee2bbeb7b135a0e461100/Effect-Of-Working-Capital-Management-On-The-Performance-Of-Listed-Firms-In-Emerging-Markets-Evidence-In-Vietnam.pdf</w:t>
        </w:r>
      </w:hyperlink>
    </w:p>
    <w:p w14:paraId="19E91A5E" w14:textId="77777777" w:rsidR="001F0E4B" w:rsidRDefault="001F0E4B" w:rsidP="001F0E4B">
      <w:r w:rsidRPr="00AB31B2">
        <w:t xml:space="preserve">Olulu-Briggs, O. V., </w:t>
      </w:r>
      <w:r>
        <w:t>and</w:t>
      </w:r>
      <w:r w:rsidRPr="00AB31B2">
        <w:t xml:space="preserve"> Wobo, H. O. (2023). Cash flow, liquidity and capital structure on profitability of quoted manufacturing firms in Nigeria. </w:t>
      </w:r>
      <w:r w:rsidRPr="00FD4A56">
        <w:rPr>
          <w:i/>
          <w:iCs/>
        </w:rPr>
        <w:t xml:space="preserve">ICAN, </w:t>
      </w:r>
      <w:proofErr w:type="spellStart"/>
      <w:r w:rsidRPr="00FD4A56">
        <w:rPr>
          <w:i/>
          <w:iCs/>
        </w:rPr>
        <w:t>nd</w:t>
      </w:r>
      <w:proofErr w:type="spellEnd"/>
      <w:r w:rsidRPr="00AB31B2">
        <w:t>.</w:t>
      </w:r>
      <w:r>
        <w:t xml:space="preserve"> </w:t>
      </w:r>
      <w:hyperlink r:id="rId38" w:history="1">
        <w:r w:rsidRPr="00121349">
          <w:rPr>
            <w:rStyle w:val="Hyperlink"/>
          </w:rPr>
          <w:t>https://icanig.org/documents/23_CASH_FLOW_LIQUIDITY_AND_CAPITAL_STRUCTURE.pdf</w:t>
        </w:r>
      </w:hyperlink>
    </w:p>
    <w:p w14:paraId="1EA548F7" w14:textId="77777777" w:rsidR="001F0E4B" w:rsidRDefault="001F0E4B" w:rsidP="001F0E4B">
      <w:proofErr w:type="spellStart"/>
      <w:r w:rsidRPr="00CF4614">
        <w:t>Palacín</w:t>
      </w:r>
      <w:proofErr w:type="spellEnd"/>
      <w:r w:rsidRPr="00CF4614">
        <w:t xml:space="preserve">-Sánchez, M. J., Alencar-García, A., </w:t>
      </w:r>
      <w:r>
        <w:t>and</w:t>
      </w:r>
      <w:r w:rsidRPr="00CF4614">
        <w:t xml:space="preserve"> Canto-Cuevas, F. J. (2023). Financial distress and corporate restructuring: a case study. </w:t>
      </w:r>
      <w:proofErr w:type="spellStart"/>
      <w:r w:rsidRPr="00FD4A56">
        <w:rPr>
          <w:i/>
          <w:iCs/>
        </w:rPr>
        <w:t>Cuadernos</w:t>
      </w:r>
      <w:proofErr w:type="spellEnd"/>
      <w:r w:rsidRPr="00FD4A56">
        <w:rPr>
          <w:i/>
          <w:iCs/>
        </w:rPr>
        <w:t xml:space="preserve"> de </w:t>
      </w:r>
      <w:proofErr w:type="spellStart"/>
      <w:r w:rsidRPr="00FD4A56">
        <w:rPr>
          <w:i/>
          <w:iCs/>
        </w:rPr>
        <w:t>Gestión</w:t>
      </w:r>
      <w:proofErr w:type="spellEnd"/>
      <w:r w:rsidRPr="00CF4614">
        <w:t>, </w:t>
      </w:r>
      <w:r w:rsidRPr="00FD4A56">
        <w:rPr>
          <w:i/>
          <w:iCs/>
        </w:rPr>
        <w:t>23</w:t>
      </w:r>
      <w:r w:rsidRPr="00CF4614">
        <w:t>(2), 81-91.</w:t>
      </w:r>
      <w:r>
        <w:t xml:space="preserve"> </w:t>
      </w:r>
      <w:hyperlink r:id="rId39" w:history="1">
        <w:r w:rsidRPr="00121349">
          <w:rPr>
            <w:rStyle w:val="Hyperlink"/>
          </w:rPr>
          <w:t>https://ojs.ehu.eus/index.php/CG/article/download/24871/22255</w:t>
        </w:r>
      </w:hyperlink>
    </w:p>
    <w:p w14:paraId="45ECE3C7" w14:textId="77777777" w:rsidR="001F0E4B" w:rsidRDefault="001F0E4B" w:rsidP="001F0E4B">
      <w:proofErr w:type="spellStart"/>
      <w:r w:rsidRPr="00CF4614">
        <w:t>Potharla</w:t>
      </w:r>
      <w:proofErr w:type="spellEnd"/>
      <w:r w:rsidRPr="00CF4614">
        <w:t>, S. (2025). From Debt to Divestiture: How Indian and Global Firms Reshaped through Corporate Restructuring. </w:t>
      </w:r>
      <w:r w:rsidRPr="00FD4A56">
        <w:rPr>
          <w:i/>
          <w:iCs/>
        </w:rPr>
        <w:t>Available at SSRN 5348941</w:t>
      </w:r>
      <w:r w:rsidRPr="00CF4614">
        <w:t>.</w:t>
      </w:r>
      <w:r>
        <w:t xml:space="preserve"> </w:t>
      </w:r>
      <w:hyperlink r:id="rId40" w:history="1">
        <w:r w:rsidRPr="00121349">
          <w:rPr>
            <w:rStyle w:val="Hyperlink"/>
          </w:rPr>
          <w:t>https://papers.ssrn.com/sol3/Delivery.cfm?abstractid=5348941</w:t>
        </w:r>
      </w:hyperlink>
    </w:p>
    <w:p w14:paraId="2BEB1E0A" w14:textId="77777777" w:rsidR="001F0E4B" w:rsidRDefault="001F0E4B" w:rsidP="001F0E4B">
      <w:r w:rsidRPr="00AB31B2">
        <w:t xml:space="preserve">Radivojević, V., Dimovski, J., </w:t>
      </w:r>
      <w:r>
        <w:t>and</w:t>
      </w:r>
      <w:r w:rsidRPr="00AB31B2">
        <w:t xml:space="preserve"> </w:t>
      </w:r>
      <w:proofErr w:type="spellStart"/>
      <w:r w:rsidRPr="00AB31B2">
        <w:t>Mitić</w:t>
      </w:r>
      <w:proofErr w:type="spellEnd"/>
      <w:r w:rsidRPr="00AB31B2">
        <w:t>, G. (2023). Quantifying the financial impact of COVID-19 on the largest global companies in the hotel industry. </w:t>
      </w:r>
      <w:proofErr w:type="spellStart"/>
      <w:r w:rsidRPr="00FD4A56">
        <w:rPr>
          <w:i/>
          <w:iCs/>
        </w:rPr>
        <w:t>Менаџмент</w:t>
      </w:r>
      <w:proofErr w:type="spellEnd"/>
      <w:r w:rsidRPr="00FD4A56">
        <w:rPr>
          <w:i/>
          <w:iCs/>
        </w:rPr>
        <w:t xml:space="preserve"> у </w:t>
      </w:r>
      <w:proofErr w:type="spellStart"/>
      <w:r w:rsidRPr="00FD4A56">
        <w:rPr>
          <w:i/>
          <w:iCs/>
        </w:rPr>
        <w:t>хотелијерству</w:t>
      </w:r>
      <w:proofErr w:type="spellEnd"/>
      <w:r w:rsidRPr="00FD4A56">
        <w:rPr>
          <w:i/>
          <w:iCs/>
        </w:rPr>
        <w:t xml:space="preserve"> и </w:t>
      </w:r>
      <w:proofErr w:type="spellStart"/>
      <w:r w:rsidRPr="00FD4A56">
        <w:rPr>
          <w:i/>
          <w:iCs/>
        </w:rPr>
        <w:t>туризму</w:t>
      </w:r>
      <w:proofErr w:type="spellEnd"/>
      <w:r w:rsidRPr="00AB31B2">
        <w:t>, </w:t>
      </w:r>
      <w:r w:rsidRPr="00FD4A56">
        <w:rPr>
          <w:i/>
          <w:iCs/>
        </w:rPr>
        <w:t>11</w:t>
      </w:r>
      <w:r w:rsidRPr="00AB31B2">
        <w:t>(1), 165-176.</w:t>
      </w:r>
      <w:r>
        <w:t xml:space="preserve"> </w:t>
      </w:r>
      <w:hyperlink r:id="rId41" w:history="1">
        <w:r w:rsidRPr="00121349">
          <w:rPr>
            <w:rStyle w:val="Hyperlink"/>
          </w:rPr>
          <w:t>https://cyberleninka.ru/article/n/quantifying-the-financial-impact-of-covid-19-on-the-largest-global-companies-in-the-hotel-industry</w:t>
        </w:r>
      </w:hyperlink>
    </w:p>
    <w:p w14:paraId="75EC29D1" w14:textId="77777777" w:rsidR="001F0E4B" w:rsidRDefault="001F0E4B" w:rsidP="001F0E4B">
      <w:proofErr w:type="spellStart"/>
      <w:r w:rsidRPr="00CF4614">
        <w:t>Rrudhani</w:t>
      </w:r>
      <w:proofErr w:type="spellEnd"/>
      <w:r w:rsidRPr="00CF4614">
        <w:t>, F. (2026). Working Capital Optimization: A Literature Review. </w:t>
      </w:r>
      <w:r w:rsidRPr="00FD4A56">
        <w:rPr>
          <w:i/>
          <w:iCs/>
        </w:rPr>
        <w:t>Available at SSRN 6732438</w:t>
      </w:r>
      <w:r w:rsidRPr="00CF4614">
        <w:t>.</w:t>
      </w:r>
      <w:r>
        <w:t xml:space="preserve"> </w:t>
      </w:r>
      <w:hyperlink r:id="rId42" w:history="1">
        <w:r w:rsidRPr="00121349">
          <w:rPr>
            <w:rStyle w:val="Hyperlink"/>
          </w:rPr>
          <w:t>https://papers.ssrn.com/sol3/Delivery.cfm?abstractid=6732438</w:t>
        </w:r>
      </w:hyperlink>
    </w:p>
    <w:p w14:paraId="000D1C02" w14:textId="77777777" w:rsidR="001F0E4B" w:rsidRDefault="001F0E4B" w:rsidP="001F0E4B">
      <w:r w:rsidRPr="00CF4614">
        <w:t>Santos, F. A. P. (2024). Hilton´ s path to post-pandemic prosperity: the value creation of Hilton corporation.</w:t>
      </w:r>
      <w:r>
        <w:t xml:space="preserve"> </w:t>
      </w:r>
      <w:hyperlink r:id="rId43" w:history="1">
        <w:r w:rsidRPr="00121349">
          <w:rPr>
            <w:rStyle w:val="Hyperlink"/>
          </w:rPr>
          <w:t>https://run.unl.pt/bitstreams/5d54509b-1d7e-453f-bf25-62f79e94b4ea/download</w:t>
        </w:r>
      </w:hyperlink>
    </w:p>
    <w:p w14:paraId="11F82D8E" w14:textId="77777777" w:rsidR="001F0E4B" w:rsidRDefault="001F0E4B" w:rsidP="001F0E4B">
      <w:r w:rsidRPr="00877729">
        <w:t xml:space="preserve">Sekhar, S. C. (2025). Reassessing The Role </w:t>
      </w:r>
      <w:proofErr w:type="gramStart"/>
      <w:r w:rsidRPr="00877729">
        <w:t>Of</w:t>
      </w:r>
      <w:proofErr w:type="gramEnd"/>
      <w:r w:rsidRPr="00877729">
        <w:t xml:space="preserve"> Net Present Value </w:t>
      </w:r>
      <w:proofErr w:type="gramStart"/>
      <w:r w:rsidRPr="00877729">
        <w:t>In</w:t>
      </w:r>
      <w:proofErr w:type="gramEnd"/>
      <w:r w:rsidRPr="00877729">
        <w:t xml:space="preserve"> Capital Budgeting Decisions. </w:t>
      </w:r>
      <w:r w:rsidRPr="00FD4A56">
        <w:rPr>
          <w:i/>
          <w:iCs/>
        </w:rPr>
        <w:t>International Journal of Research and Analytical Reviews</w:t>
      </w:r>
      <w:r w:rsidRPr="00877729">
        <w:t>.</w:t>
      </w:r>
      <w:r>
        <w:t xml:space="preserve"> </w:t>
      </w:r>
      <w:hyperlink r:id="rId44" w:history="1">
        <w:r w:rsidRPr="00121349">
          <w:rPr>
            <w:rStyle w:val="Hyperlink"/>
          </w:rPr>
          <w:t>https://www.academia.edu/download/124979573/28_2025_IJRAR.pdf</w:t>
        </w:r>
      </w:hyperlink>
    </w:p>
    <w:p w14:paraId="78F8563C" w14:textId="77777777" w:rsidR="001F0E4B" w:rsidRDefault="001F0E4B" w:rsidP="001F0E4B">
      <w:r w:rsidRPr="00877729">
        <w:t xml:space="preserve">Sinaga, A. S., Sari, M. M., </w:t>
      </w:r>
      <w:proofErr w:type="spellStart"/>
      <w:r w:rsidRPr="00877729">
        <w:t>Hutasuhut</w:t>
      </w:r>
      <w:proofErr w:type="spellEnd"/>
      <w:r w:rsidRPr="00877729">
        <w:t xml:space="preserve">, A. A., Zahara, S. T., Amanda, A., Fitri, A., </w:t>
      </w:r>
      <w:r>
        <w:t>and</w:t>
      </w:r>
      <w:r w:rsidRPr="00877729">
        <w:t xml:space="preserve"> Caesario, M. A. (2023). Comparison of capital budgeting methods: NPV, IRR, PAYBACK </w:t>
      </w:r>
      <w:r w:rsidRPr="00877729">
        <w:lastRenderedPageBreak/>
        <w:t>PERIOD. </w:t>
      </w:r>
      <w:r w:rsidRPr="00FD4A56">
        <w:rPr>
          <w:i/>
          <w:iCs/>
        </w:rPr>
        <w:t>World Journal of Advanced Research and Reviews</w:t>
      </w:r>
      <w:r w:rsidRPr="00877729">
        <w:t>, </w:t>
      </w:r>
      <w:r w:rsidRPr="00FD4A56">
        <w:rPr>
          <w:i/>
          <w:iCs/>
        </w:rPr>
        <w:t>19</w:t>
      </w:r>
      <w:r w:rsidRPr="00877729">
        <w:t>(2), 1078-1081.</w:t>
      </w:r>
      <w:r>
        <w:t xml:space="preserve"> </w:t>
      </w:r>
      <w:hyperlink r:id="rId45" w:history="1">
        <w:r w:rsidRPr="00121349">
          <w:rPr>
            <w:rStyle w:val="Hyperlink"/>
          </w:rPr>
          <w:t>https://pdfs.semanticscholar.org/35f5/923a958b071288b38d4e960e8268477ec19a.pdf</w:t>
        </w:r>
      </w:hyperlink>
    </w:p>
    <w:p w14:paraId="6A112563" w14:textId="77777777" w:rsidR="001F0E4B" w:rsidRDefault="001F0E4B" w:rsidP="001F0E4B">
      <w:r w:rsidRPr="00AB31B2">
        <w:t>Temelkov, Z. (2022). Financial performance of selected hotel groups and resorts during COVID-19 pandemic: 2019/2020 comparison. </w:t>
      </w:r>
      <w:proofErr w:type="spellStart"/>
      <w:r w:rsidRPr="00FD4A56">
        <w:rPr>
          <w:i/>
          <w:iCs/>
        </w:rPr>
        <w:t>Менаџмент</w:t>
      </w:r>
      <w:proofErr w:type="spellEnd"/>
      <w:r w:rsidRPr="00FD4A56">
        <w:rPr>
          <w:i/>
          <w:iCs/>
        </w:rPr>
        <w:t xml:space="preserve"> у </w:t>
      </w:r>
      <w:proofErr w:type="spellStart"/>
      <w:r w:rsidRPr="00FD4A56">
        <w:rPr>
          <w:i/>
          <w:iCs/>
        </w:rPr>
        <w:t>хотелијерству</w:t>
      </w:r>
      <w:proofErr w:type="spellEnd"/>
      <w:r w:rsidRPr="00FD4A56">
        <w:rPr>
          <w:i/>
          <w:iCs/>
        </w:rPr>
        <w:t xml:space="preserve"> и </w:t>
      </w:r>
      <w:proofErr w:type="spellStart"/>
      <w:r w:rsidRPr="00FD4A56">
        <w:rPr>
          <w:i/>
          <w:iCs/>
        </w:rPr>
        <w:t>туризму</w:t>
      </w:r>
      <w:proofErr w:type="spellEnd"/>
      <w:r w:rsidRPr="00AB31B2">
        <w:t>, </w:t>
      </w:r>
      <w:r w:rsidRPr="00FD4A56">
        <w:rPr>
          <w:i/>
          <w:iCs/>
        </w:rPr>
        <w:t>10</w:t>
      </w:r>
      <w:r w:rsidRPr="00AB31B2">
        <w:t>(1), 41-51.</w:t>
      </w:r>
      <w:r>
        <w:t xml:space="preserve"> </w:t>
      </w:r>
      <w:hyperlink r:id="rId46" w:history="1">
        <w:r w:rsidRPr="00121349">
          <w:rPr>
            <w:rStyle w:val="Hyperlink"/>
          </w:rPr>
          <w:t>https://cyberleninka.ru/article/n/financial-performance-of-selected-hotel-groups-and-resorts-during-covid-19-pandemic-2019-2020-comparison</w:t>
        </w:r>
      </w:hyperlink>
    </w:p>
    <w:p w14:paraId="2ED43CD4" w14:textId="77777777" w:rsidR="001F0E4B" w:rsidRDefault="001F0E4B" w:rsidP="001F0E4B">
      <w:r w:rsidRPr="00AB31B2">
        <w:t xml:space="preserve">Upreti, D. R., </w:t>
      </w:r>
      <w:r>
        <w:t>and</w:t>
      </w:r>
      <w:r w:rsidRPr="00AB31B2">
        <w:t xml:space="preserve"> Kulshrestha, S. (2022). A theoretical review on factors of working capital management. </w:t>
      </w:r>
      <w:r w:rsidRPr="00FD4A56">
        <w:rPr>
          <w:i/>
          <w:iCs/>
        </w:rPr>
        <w:t>Nepal journal of multidisciplinary research</w:t>
      </w:r>
      <w:r w:rsidRPr="00AB31B2">
        <w:t>, </w:t>
      </w:r>
      <w:r w:rsidRPr="00FD4A56">
        <w:rPr>
          <w:i/>
          <w:iCs/>
        </w:rPr>
        <w:t>5</w:t>
      </w:r>
      <w:r w:rsidRPr="00AB31B2">
        <w:t>(3), 47-60.</w:t>
      </w:r>
      <w:r>
        <w:t xml:space="preserve"> </w:t>
      </w:r>
      <w:hyperlink r:id="rId47" w:history="1">
        <w:r w:rsidRPr="00121349">
          <w:rPr>
            <w:rStyle w:val="Hyperlink"/>
          </w:rPr>
          <w:t>https://nepjol.info/index.php/njmr/article/download/47359/35450</w:t>
        </w:r>
      </w:hyperlink>
    </w:p>
    <w:p w14:paraId="1F2E6024" w14:textId="77777777" w:rsidR="001F0E4B" w:rsidRDefault="001F0E4B" w:rsidP="001F0E4B">
      <w:proofErr w:type="spellStart"/>
      <w:r w:rsidRPr="00877729">
        <w:t>Usodan</w:t>
      </w:r>
      <w:proofErr w:type="spellEnd"/>
      <w:r w:rsidRPr="00877729">
        <w:t xml:space="preserve">, A. K. M., Jalal, F. D. H., Bandera, A. D., </w:t>
      </w:r>
      <w:r>
        <w:t>and</w:t>
      </w:r>
      <w:r w:rsidRPr="00877729">
        <w:t xml:space="preserve"> Usman-Macadaag, O. M. (2025). Making the Right Choice: A Literature-Based Analysis on Investment Appraisal. </w:t>
      </w:r>
      <w:r w:rsidRPr="00FD4A56">
        <w:rPr>
          <w:i/>
          <w:iCs/>
        </w:rPr>
        <w:t>International Research Journal of Economics and Management Studies IRJEMS</w:t>
      </w:r>
      <w:r w:rsidRPr="00877729">
        <w:t>, </w:t>
      </w:r>
      <w:r w:rsidRPr="00FD4A56">
        <w:rPr>
          <w:i/>
          <w:iCs/>
        </w:rPr>
        <w:t>4</w:t>
      </w:r>
      <w:r w:rsidRPr="00877729">
        <w:t>(11).</w:t>
      </w:r>
      <w:r>
        <w:t xml:space="preserve"> </w:t>
      </w:r>
      <w:hyperlink r:id="rId48" w:history="1">
        <w:r w:rsidRPr="00121349">
          <w:rPr>
            <w:rStyle w:val="Hyperlink"/>
          </w:rPr>
          <w:t>https://irjems.org/Volume-4-Issue-11/IRJEMS-V4I11P113.pdf</w:t>
        </w:r>
      </w:hyperlink>
    </w:p>
    <w:p w14:paraId="512B17B9" w14:textId="77777777" w:rsidR="001F0E4B" w:rsidRDefault="001F0E4B" w:rsidP="001F0E4B">
      <w:r w:rsidRPr="00877729">
        <w:t>Wahab, N. O. (2025). </w:t>
      </w:r>
      <w:r w:rsidRPr="00FD4A56">
        <w:rPr>
          <w:i/>
          <w:iCs/>
        </w:rPr>
        <w:t>The Impact of ESG on Hotel Corporate Reputation: The Moderating Role of Casino Operation</w:t>
      </w:r>
      <w:r w:rsidRPr="00877729">
        <w:t>. University of Delaware.</w:t>
      </w:r>
      <w:r>
        <w:t xml:space="preserve"> </w:t>
      </w:r>
      <w:hyperlink r:id="rId49" w:history="1">
        <w:r w:rsidRPr="00121349">
          <w:rPr>
            <w:rStyle w:val="Hyperlink"/>
          </w:rPr>
          <w:t>https://udspace.udel.edu/bitstreams/f7b79827-8609-4c7a-bdbb-394fce54a949/download</w:t>
        </w:r>
      </w:hyperlink>
    </w:p>
    <w:p w14:paraId="7D39FB74" w14:textId="77777777" w:rsidR="001F0E4B" w:rsidRDefault="001F0E4B" w:rsidP="001F0E4B">
      <w:r>
        <w:t xml:space="preserve">Yahoo Finance (2026). </w:t>
      </w:r>
      <w:r w:rsidRPr="00AB31B2">
        <w:t>HLT Hilton Worldwide Holdings Inc</w:t>
      </w:r>
      <w:r>
        <w:t xml:space="preserve"> [Financials]</w:t>
      </w:r>
      <w:r w:rsidRPr="00AB31B2">
        <w:t>.</w:t>
      </w:r>
      <w:r>
        <w:t xml:space="preserve"> Available at: </w:t>
      </w:r>
      <w:hyperlink r:id="rId50" w:history="1">
        <w:r w:rsidRPr="009834A1">
          <w:rPr>
            <w:rStyle w:val="Hyperlink"/>
          </w:rPr>
          <w:t>https://finance.yahoo.com/quote/HLT/</w:t>
        </w:r>
      </w:hyperlink>
    </w:p>
    <w:p w14:paraId="34709CE2" w14:textId="77777777" w:rsidR="001F0E4B" w:rsidRDefault="001F0E4B" w:rsidP="001F0E4B">
      <w:r w:rsidRPr="00CF4614">
        <w:t xml:space="preserve">Yanti, Y., Sastra, E., </w:t>
      </w:r>
      <w:r>
        <w:t>and</w:t>
      </w:r>
      <w:r w:rsidRPr="00CF4614">
        <w:t xml:space="preserve"> Kurniawan, T. B. (2022, May). The Impact of Financial Flexibility and Business Risk on Capital Structure with Firm Size as a Moderating Variable. In </w:t>
      </w:r>
      <w:r w:rsidRPr="00FD4A56">
        <w:rPr>
          <w:i/>
          <w:iCs/>
        </w:rPr>
        <w:t>Tenth International Conference on Entrepreneurship and Business Management 2021 (ICEBM 2021)</w:t>
      </w:r>
      <w:r w:rsidRPr="00CF4614">
        <w:t> (pp. 314-322). Atlantis Press.</w:t>
      </w:r>
      <w:r>
        <w:t xml:space="preserve"> </w:t>
      </w:r>
      <w:hyperlink r:id="rId51" w:history="1">
        <w:r w:rsidRPr="00121349">
          <w:rPr>
            <w:rStyle w:val="Hyperlink"/>
          </w:rPr>
          <w:t>https://www.atlantis-press.com/article/125974136.pdf</w:t>
        </w:r>
      </w:hyperlink>
    </w:p>
    <w:p w14:paraId="5F3F5ACC" w14:textId="77777777" w:rsidR="001F0E4B" w:rsidRPr="00FD4A56" w:rsidRDefault="001F0E4B" w:rsidP="001F0E4B">
      <w:proofErr w:type="spellStart"/>
      <w:r w:rsidRPr="00CF4614">
        <w:t>Zaramella</w:t>
      </w:r>
      <w:proofErr w:type="spellEnd"/>
      <w:r w:rsidRPr="00CF4614">
        <w:t>, G. (2023). Financial Restructuring: analysis and applications.</w:t>
      </w:r>
      <w:r>
        <w:t xml:space="preserve"> </w:t>
      </w:r>
      <w:hyperlink r:id="rId52" w:history="1">
        <w:r w:rsidRPr="00121349">
          <w:rPr>
            <w:rStyle w:val="Hyperlink"/>
          </w:rPr>
          <w:t>https://unitesi.unive.it/bitstream/20.500.14247/4284/1/872666-1280209.pdf</w:t>
        </w:r>
      </w:hyperlink>
      <w:r w:rsidRPr="00FD4A56">
        <w:rPr>
          <w:lang w:val="en-GB"/>
        </w:rPr>
        <w:br w:type="page"/>
      </w:r>
    </w:p>
    <w:p w14:paraId="1C8B3601" w14:textId="77777777" w:rsidR="001F0E4B" w:rsidRPr="008A00D2" w:rsidRDefault="001F0E4B" w:rsidP="001F0E4B">
      <w:pPr>
        <w:pStyle w:val="Heading1"/>
        <w:rPr>
          <w:lang w:val="en-GB"/>
        </w:rPr>
      </w:pPr>
      <w:bookmarkStart w:id="35" w:name="_Toc235897065"/>
      <w:r w:rsidRPr="008A00D2">
        <w:rPr>
          <w:lang w:val="en-GB"/>
        </w:rPr>
        <w:lastRenderedPageBreak/>
        <w:t>Appendices</w:t>
      </w:r>
      <w:bookmarkEnd w:id="35"/>
    </w:p>
    <w:p w14:paraId="23A37B70" w14:textId="77777777" w:rsidR="001F0E4B" w:rsidRDefault="001F0E4B" w:rsidP="001F0E4B">
      <w:pPr>
        <w:pStyle w:val="Heading2"/>
        <w:rPr>
          <w:lang w:val="en-GB"/>
        </w:rPr>
      </w:pPr>
      <w:bookmarkStart w:id="36" w:name="_Toc235897066"/>
      <w:r w:rsidRPr="008A00D2">
        <w:rPr>
          <w:lang w:val="en-GB"/>
        </w:rPr>
        <w:t xml:space="preserve">Appendix </w:t>
      </w:r>
      <w:r>
        <w:rPr>
          <w:lang w:val="en-GB"/>
        </w:rPr>
        <w:t>A</w:t>
      </w:r>
      <w:r w:rsidRPr="008A00D2">
        <w:rPr>
          <w:lang w:val="en-GB"/>
        </w:rPr>
        <w:t>: Ratio Analysis</w:t>
      </w:r>
      <w:bookmarkEnd w:id="36"/>
    </w:p>
    <w:tbl>
      <w:tblPr>
        <w:tblW w:w="7300" w:type="dxa"/>
        <w:tblLook w:val="04A0" w:firstRow="1" w:lastRow="0" w:firstColumn="1" w:lastColumn="0" w:noHBand="0" w:noVBand="1"/>
      </w:tblPr>
      <w:tblGrid>
        <w:gridCol w:w="2500"/>
        <w:gridCol w:w="960"/>
        <w:gridCol w:w="960"/>
        <w:gridCol w:w="960"/>
        <w:gridCol w:w="960"/>
        <w:gridCol w:w="960"/>
      </w:tblGrid>
      <w:tr w:rsidR="001F0E4B" w:rsidRPr="00EF774C" w14:paraId="25C4C75A" w14:textId="77777777" w:rsidTr="00016C37">
        <w:trPr>
          <w:trHeight w:val="288"/>
        </w:trPr>
        <w:tc>
          <w:tcPr>
            <w:tcW w:w="2500" w:type="dxa"/>
            <w:tcBorders>
              <w:top w:val="single" w:sz="4" w:space="0" w:color="auto"/>
              <w:left w:val="single" w:sz="4" w:space="0" w:color="auto"/>
              <w:bottom w:val="single" w:sz="4" w:space="0" w:color="auto"/>
              <w:right w:val="single" w:sz="4" w:space="0" w:color="auto"/>
            </w:tcBorders>
            <w:noWrap/>
            <w:vAlign w:val="bottom"/>
            <w:hideMark/>
          </w:tcPr>
          <w:p w14:paraId="51C33E92"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Financials</w:t>
            </w:r>
          </w:p>
        </w:tc>
        <w:tc>
          <w:tcPr>
            <w:tcW w:w="960" w:type="dxa"/>
            <w:tcBorders>
              <w:top w:val="single" w:sz="4" w:space="0" w:color="auto"/>
              <w:left w:val="nil"/>
              <w:bottom w:val="single" w:sz="4" w:space="0" w:color="auto"/>
              <w:right w:val="single" w:sz="4" w:space="0" w:color="auto"/>
            </w:tcBorders>
            <w:noWrap/>
            <w:vAlign w:val="bottom"/>
            <w:hideMark/>
          </w:tcPr>
          <w:p w14:paraId="4A443A6F"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2021</w:t>
            </w:r>
          </w:p>
        </w:tc>
        <w:tc>
          <w:tcPr>
            <w:tcW w:w="960" w:type="dxa"/>
            <w:tcBorders>
              <w:top w:val="single" w:sz="4" w:space="0" w:color="auto"/>
              <w:left w:val="nil"/>
              <w:bottom w:val="single" w:sz="4" w:space="0" w:color="auto"/>
              <w:right w:val="single" w:sz="4" w:space="0" w:color="auto"/>
            </w:tcBorders>
            <w:noWrap/>
            <w:vAlign w:val="bottom"/>
            <w:hideMark/>
          </w:tcPr>
          <w:p w14:paraId="36829488"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2022</w:t>
            </w:r>
          </w:p>
        </w:tc>
        <w:tc>
          <w:tcPr>
            <w:tcW w:w="960" w:type="dxa"/>
            <w:tcBorders>
              <w:top w:val="single" w:sz="4" w:space="0" w:color="auto"/>
              <w:left w:val="nil"/>
              <w:bottom w:val="single" w:sz="4" w:space="0" w:color="auto"/>
              <w:right w:val="single" w:sz="4" w:space="0" w:color="auto"/>
            </w:tcBorders>
            <w:noWrap/>
            <w:vAlign w:val="bottom"/>
            <w:hideMark/>
          </w:tcPr>
          <w:p w14:paraId="4A8907F0"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2023</w:t>
            </w:r>
          </w:p>
        </w:tc>
        <w:tc>
          <w:tcPr>
            <w:tcW w:w="960" w:type="dxa"/>
            <w:tcBorders>
              <w:top w:val="single" w:sz="4" w:space="0" w:color="auto"/>
              <w:left w:val="nil"/>
              <w:bottom w:val="single" w:sz="4" w:space="0" w:color="auto"/>
              <w:right w:val="single" w:sz="4" w:space="0" w:color="auto"/>
            </w:tcBorders>
            <w:noWrap/>
            <w:vAlign w:val="bottom"/>
            <w:hideMark/>
          </w:tcPr>
          <w:p w14:paraId="06025690"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2024</w:t>
            </w:r>
          </w:p>
        </w:tc>
        <w:tc>
          <w:tcPr>
            <w:tcW w:w="960" w:type="dxa"/>
            <w:tcBorders>
              <w:top w:val="single" w:sz="4" w:space="0" w:color="auto"/>
              <w:left w:val="nil"/>
              <w:bottom w:val="single" w:sz="4" w:space="0" w:color="auto"/>
              <w:right w:val="single" w:sz="4" w:space="0" w:color="auto"/>
            </w:tcBorders>
            <w:noWrap/>
            <w:vAlign w:val="bottom"/>
            <w:hideMark/>
          </w:tcPr>
          <w:p w14:paraId="22BF73A8"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2025</w:t>
            </w:r>
          </w:p>
        </w:tc>
      </w:tr>
      <w:tr w:rsidR="001F0E4B" w:rsidRPr="00EF774C" w14:paraId="52CBFD42"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0920A0F0"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Revenue (£m)</w:t>
            </w:r>
          </w:p>
        </w:tc>
        <w:tc>
          <w:tcPr>
            <w:tcW w:w="960" w:type="dxa"/>
            <w:tcBorders>
              <w:top w:val="nil"/>
              <w:left w:val="nil"/>
              <w:bottom w:val="single" w:sz="4" w:space="0" w:color="auto"/>
              <w:right w:val="single" w:sz="4" w:space="0" w:color="auto"/>
            </w:tcBorders>
            <w:noWrap/>
            <w:vAlign w:val="bottom"/>
            <w:hideMark/>
          </w:tcPr>
          <w:p w14:paraId="43CAD77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5150</w:t>
            </w:r>
          </w:p>
        </w:tc>
        <w:tc>
          <w:tcPr>
            <w:tcW w:w="960" w:type="dxa"/>
            <w:tcBorders>
              <w:top w:val="nil"/>
              <w:left w:val="nil"/>
              <w:bottom w:val="single" w:sz="4" w:space="0" w:color="auto"/>
              <w:right w:val="single" w:sz="4" w:space="0" w:color="auto"/>
            </w:tcBorders>
            <w:noWrap/>
            <w:vAlign w:val="bottom"/>
            <w:hideMark/>
          </w:tcPr>
          <w:p w14:paraId="57B9375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7260</w:t>
            </w:r>
          </w:p>
        </w:tc>
        <w:tc>
          <w:tcPr>
            <w:tcW w:w="960" w:type="dxa"/>
            <w:tcBorders>
              <w:top w:val="nil"/>
              <w:left w:val="nil"/>
              <w:bottom w:val="single" w:sz="4" w:space="0" w:color="auto"/>
              <w:right w:val="single" w:sz="4" w:space="0" w:color="auto"/>
            </w:tcBorders>
            <w:noWrap/>
            <w:vAlign w:val="bottom"/>
            <w:hideMark/>
          </w:tcPr>
          <w:p w14:paraId="778BE9A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8950</w:t>
            </w:r>
          </w:p>
        </w:tc>
        <w:tc>
          <w:tcPr>
            <w:tcW w:w="960" w:type="dxa"/>
            <w:tcBorders>
              <w:top w:val="nil"/>
              <w:left w:val="nil"/>
              <w:bottom w:val="single" w:sz="4" w:space="0" w:color="auto"/>
              <w:right w:val="single" w:sz="4" w:space="0" w:color="auto"/>
            </w:tcBorders>
            <w:noWrap/>
            <w:vAlign w:val="bottom"/>
            <w:hideMark/>
          </w:tcPr>
          <w:p w14:paraId="4D8F939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8800</w:t>
            </w:r>
          </w:p>
        </w:tc>
        <w:tc>
          <w:tcPr>
            <w:tcW w:w="960" w:type="dxa"/>
            <w:tcBorders>
              <w:top w:val="nil"/>
              <w:left w:val="nil"/>
              <w:bottom w:val="single" w:sz="4" w:space="0" w:color="auto"/>
              <w:right w:val="single" w:sz="4" w:space="0" w:color="auto"/>
            </w:tcBorders>
            <w:noWrap/>
            <w:vAlign w:val="bottom"/>
            <w:hideMark/>
          </w:tcPr>
          <w:p w14:paraId="181E05A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9450</w:t>
            </w:r>
          </w:p>
        </w:tc>
      </w:tr>
      <w:tr w:rsidR="001F0E4B" w:rsidRPr="00EF774C" w14:paraId="0257A434"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6BFB72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Cost of Sales (£m)</w:t>
            </w:r>
          </w:p>
        </w:tc>
        <w:tc>
          <w:tcPr>
            <w:tcW w:w="960" w:type="dxa"/>
            <w:tcBorders>
              <w:top w:val="nil"/>
              <w:left w:val="nil"/>
              <w:bottom w:val="single" w:sz="4" w:space="0" w:color="auto"/>
              <w:right w:val="single" w:sz="4" w:space="0" w:color="auto"/>
            </w:tcBorders>
            <w:noWrap/>
            <w:vAlign w:val="bottom"/>
            <w:hideMark/>
          </w:tcPr>
          <w:p w14:paraId="33E2156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4480</w:t>
            </w:r>
          </w:p>
        </w:tc>
        <w:tc>
          <w:tcPr>
            <w:tcW w:w="960" w:type="dxa"/>
            <w:tcBorders>
              <w:top w:val="nil"/>
              <w:left w:val="nil"/>
              <w:bottom w:val="single" w:sz="4" w:space="0" w:color="auto"/>
              <w:right w:val="single" w:sz="4" w:space="0" w:color="auto"/>
            </w:tcBorders>
            <w:noWrap/>
            <w:vAlign w:val="bottom"/>
            <w:hideMark/>
          </w:tcPr>
          <w:p w14:paraId="035C002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6050</w:t>
            </w:r>
          </w:p>
        </w:tc>
        <w:tc>
          <w:tcPr>
            <w:tcW w:w="960" w:type="dxa"/>
            <w:tcBorders>
              <w:top w:val="nil"/>
              <w:left w:val="nil"/>
              <w:bottom w:val="single" w:sz="4" w:space="0" w:color="auto"/>
              <w:right w:val="single" w:sz="4" w:space="0" w:color="auto"/>
            </w:tcBorders>
            <w:noWrap/>
            <w:vAlign w:val="bottom"/>
            <w:hideMark/>
          </w:tcPr>
          <w:p w14:paraId="7B7E11E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6490</w:t>
            </w:r>
          </w:p>
        </w:tc>
        <w:tc>
          <w:tcPr>
            <w:tcW w:w="960" w:type="dxa"/>
            <w:tcBorders>
              <w:top w:val="nil"/>
              <w:left w:val="nil"/>
              <w:bottom w:val="single" w:sz="4" w:space="0" w:color="auto"/>
              <w:right w:val="single" w:sz="4" w:space="0" w:color="auto"/>
            </w:tcBorders>
            <w:noWrap/>
            <w:vAlign w:val="bottom"/>
            <w:hideMark/>
          </w:tcPr>
          <w:p w14:paraId="2E80FCC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6820</w:t>
            </w:r>
          </w:p>
        </w:tc>
        <w:tc>
          <w:tcPr>
            <w:tcW w:w="960" w:type="dxa"/>
            <w:tcBorders>
              <w:top w:val="nil"/>
              <w:left w:val="nil"/>
              <w:bottom w:val="single" w:sz="4" w:space="0" w:color="auto"/>
              <w:right w:val="single" w:sz="4" w:space="0" w:color="auto"/>
            </w:tcBorders>
            <w:noWrap/>
            <w:vAlign w:val="bottom"/>
            <w:hideMark/>
          </w:tcPr>
          <w:p w14:paraId="256DDA2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6850</w:t>
            </w:r>
          </w:p>
        </w:tc>
      </w:tr>
      <w:tr w:rsidR="001F0E4B" w:rsidRPr="00EF774C" w14:paraId="3C0038FB"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74306AD"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Profit (£m)</w:t>
            </w:r>
          </w:p>
        </w:tc>
        <w:tc>
          <w:tcPr>
            <w:tcW w:w="960" w:type="dxa"/>
            <w:tcBorders>
              <w:top w:val="nil"/>
              <w:left w:val="nil"/>
              <w:bottom w:val="single" w:sz="4" w:space="0" w:color="auto"/>
              <w:right w:val="single" w:sz="4" w:space="0" w:color="auto"/>
            </w:tcBorders>
            <w:noWrap/>
            <w:vAlign w:val="bottom"/>
            <w:hideMark/>
          </w:tcPr>
          <w:p w14:paraId="616405F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590</w:t>
            </w:r>
          </w:p>
        </w:tc>
        <w:tc>
          <w:tcPr>
            <w:tcW w:w="960" w:type="dxa"/>
            <w:tcBorders>
              <w:top w:val="nil"/>
              <w:left w:val="nil"/>
              <w:bottom w:val="single" w:sz="4" w:space="0" w:color="auto"/>
              <w:right w:val="single" w:sz="4" w:space="0" w:color="auto"/>
            </w:tcBorders>
            <w:noWrap/>
            <w:vAlign w:val="bottom"/>
            <w:hideMark/>
          </w:tcPr>
          <w:p w14:paraId="5546EED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945</w:t>
            </w:r>
          </w:p>
        </w:tc>
        <w:tc>
          <w:tcPr>
            <w:tcW w:w="960" w:type="dxa"/>
            <w:tcBorders>
              <w:top w:val="nil"/>
              <w:left w:val="nil"/>
              <w:bottom w:val="single" w:sz="4" w:space="0" w:color="auto"/>
              <w:right w:val="single" w:sz="4" w:space="0" w:color="auto"/>
            </w:tcBorders>
            <w:noWrap/>
            <w:vAlign w:val="bottom"/>
            <w:hideMark/>
          </w:tcPr>
          <w:p w14:paraId="1D447FF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915</w:t>
            </w:r>
          </w:p>
        </w:tc>
        <w:tc>
          <w:tcPr>
            <w:tcW w:w="960" w:type="dxa"/>
            <w:tcBorders>
              <w:top w:val="nil"/>
              <w:left w:val="nil"/>
              <w:bottom w:val="single" w:sz="4" w:space="0" w:color="auto"/>
              <w:right w:val="single" w:sz="4" w:space="0" w:color="auto"/>
            </w:tcBorders>
            <w:noWrap/>
            <w:vAlign w:val="bottom"/>
            <w:hideMark/>
          </w:tcPr>
          <w:p w14:paraId="67EE483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1210</w:t>
            </w:r>
          </w:p>
        </w:tc>
        <w:tc>
          <w:tcPr>
            <w:tcW w:w="960" w:type="dxa"/>
            <w:tcBorders>
              <w:top w:val="nil"/>
              <w:left w:val="nil"/>
              <w:bottom w:val="single" w:sz="4" w:space="0" w:color="auto"/>
              <w:right w:val="single" w:sz="4" w:space="0" w:color="auto"/>
            </w:tcBorders>
            <w:noWrap/>
            <w:vAlign w:val="bottom"/>
            <w:hideMark/>
          </w:tcPr>
          <w:p w14:paraId="3B54B71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1145</w:t>
            </w:r>
          </w:p>
        </w:tc>
      </w:tr>
      <w:tr w:rsidR="001F0E4B" w:rsidRPr="00EF774C" w14:paraId="22E499B3"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F96D04B"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Current assets (£m)</w:t>
            </w:r>
          </w:p>
        </w:tc>
        <w:tc>
          <w:tcPr>
            <w:tcW w:w="960" w:type="dxa"/>
            <w:tcBorders>
              <w:top w:val="nil"/>
              <w:left w:val="nil"/>
              <w:bottom w:val="single" w:sz="4" w:space="0" w:color="auto"/>
              <w:right w:val="single" w:sz="4" w:space="0" w:color="auto"/>
            </w:tcBorders>
            <w:noWrap/>
            <w:vAlign w:val="bottom"/>
            <w:hideMark/>
          </w:tcPr>
          <w:p w14:paraId="07C1C8A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2210</w:t>
            </w:r>
          </w:p>
        </w:tc>
        <w:tc>
          <w:tcPr>
            <w:tcW w:w="960" w:type="dxa"/>
            <w:tcBorders>
              <w:top w:val="nil"/>
              <w:left w:val="nil"/>
              <w:bottom w:val="single" w:sz="4" w:space="0" w:color="auto"/>
              <w:right w:val="single" w:sz="4" w:space="0" w:color="auto"/>
            </w:tcBorders>
            <w:noWrap/>
            <w:vAlign w:val="bottom"/>
            <w:hideMark/>
          </w:tcPr>
          <w:p w14:paraId="303B8EC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2290</w:t>
            </w:r>
          </w:p>
        </w:tc>
        <w:tc>
          <w:tcPr>
            <w:tcW w:w="960" w:type="dxa"/>
            <w:tcBorders>
              <w:top w:val="nil"/>
              <w:left w:val="nil"/>
              <w:bottom w:val="single" w:sz="4" w:space="0" w:color="auto"/>
              <w:right w:val="single" w:sz="4" w:space="0" w:color="auto"/>
            </w:tcBorders>
            <w:noWrap/>
            <w:vAlign w:val="bottom"/>
            <w:hideMark/>
          </w:tcPr>
          <w:p w14:paraId="77E22A0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2110</w:t>
            </w:r>
          </w:p>
        </w:tc>
        <w:tc>
          <w:tcPr>
            <w:tcW w:w="960" w:type="dxa"/>
            <w:tcBorders>
              <w:top w:val="nil"/>
              <w:left w:val="nil"/>
              <w:bottom w:val="single" w:sz="4" w:space="0" w:color="auto"/>
              <w:right w:val="single" w:sz="4" w:space="0" w:color="auto"/>
            </w:tcBorders>
            <w:noWrap/>
            <w:vAlign w:val="bottom"/>
            <w:hideMark/>
          </w:tcPr>
          <w:p w14:paraId="3A7373C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2560</w:t>
            </w:r>
          </w:p>
        </w:tc>
        <w:tc>
          <w:tcPr>
            <w:tcW w:w="960" w:type="dxa"/>
            <w:tcBorders>
              <w:top w:val="nil"/>
              <w:left w:val="nil"/>
              <w:bottom w:val="single" w:sz="4" w:space="0" w:color="auto"/>
              <w:right w:val="single" w:sz="4" w:space="0" w:color="auto"/>
            </w:tcBorders>
            <w:noWrap/>
            <w:vAlign w:val="bottom"/>
            <w:hideMark/>
          </w:tcPr>
          <w:p w14:paraId="7A2CC73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2400</w:t>
            </w:r>
          </w:p>
        </w:tc>
      </w:tr>
      <w:tr w:rsidR="001F0E4B" w:rsidRPr="00EF774C" w14:paraId="72268875"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6E92B64"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Current liabilities (£m)</w:t>
            </w:r>
          </w:p>
        </w:tc>
        <w:tc>
          <w:tcPr>
            <w:tcW w:w="960" w:type="dxa"/>
            <w:tcBorders>
              <w:top w:val="nil"/>
              <w:left w:val="nil"/>
              <w:bottom w:val="single" w:sz="4" w:space="0" w:color="auto"/>
              <w:right w:val="single" w:sz="4" w:space="0" w:color="auto"/>
            </w:tcBorders>
            <w:noWrap/>
            <w:vAlign w:val="bottom"/>
            <w:hideMark/>
          </w:tcPr>
          <w:p w14:paraId="2A325A1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2580</w:t>
            </w:r>
          </w:p>
        </w:tc>
        <w:tc>
          <w:tcPr>
            <w:tcW w:w="960" w:type="dxa"/>
            <w:tcBorders>
              <w:top w:val="nil"/>
              <w:left w:val="nil"/>
              <w:bottom w:val="single" w:sz="4" w:space="0" w:color="auto"/>
              <w:right w:val="single" w:sz="4" w:space="0" w:color="auto"/>
            </w:tcBorders>
            <w:noWrap/>
            <w:vAlign w:val="bottom"/>
            <w:hideMark/>
          </w:tcPr>
          <w:p w14:paraId="68B812F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2830</w:t>
            </w:r>
          </w:p>
        </w:tc>
        <w:tc>
          <w:tcPr>
            <w:tcW w:w="960" w:type="dxa"/>
            <w:tcBorders>
              <w:top w:val="nil"/>
              <w:left w:val="nil"/>
              <w:bottom w:val="single" w:sz="4" w:space="0" w:color="auto"/>
              <w:right w:val="single" w:sz="4" w:space="0" w:color="auto"/>
            </w:tcBorders>
            <w:noWrap/>
            <w:vAlign w:val="bottom"/>
            <w:hideMark/>
          </w:tcPr>
          <w:p w14:paraId="78BCF81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3000</w:t>
            </w:r>
          </w:p>
        </w:tc>
        <w:tc>
          <w:tcPr>
            <w:tcW w:w="960" w:type="dxa"/>
            <w:tcBorders>
              <w:top w:val="nil"/>
              <w:left w:val="nil"/>
              <w:bottom w:val="single" w:sz="4" w:space="0" w:color="auto"/>
              <w:right w:val="single" w:sz="4" w:space="0" w:color="auto"/>
            </w:tcBorders>
            <w:noWrap/>
            <w:vAlign w:val="bottom"/>
            <w:hideMark/>
          </w:tcPr>
          <w:p w14:paraId="0487043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3670</w:t>
            </w:r>
          </w:p>
        </w:tc>
        <w:tc>
          <w:tcPr>
            <w:tcW w:w="960" w:type="dxa"/>
            <w:tcBorders>
              <w:top w:val="nil"/>
              <w:left w:val="nil"/>
              <w:bottom w:val="single" w:sz="4" w:space="0" w:color="auto"/>
              <w:right w:val="single" w:sz="4" w:space="0" w:color="auto"/>
            </w:tcBorders>
            <w:noWrap/>
            <w:vAlign w:val="bottom"/>
            <w:hideMark/>
          </w:tcPr>
          <w:p w14:paraId="4ABA8FA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3610</w:t>
            </w:r>
          </w:p>
        </w:tc>
      </w:tr>
      <w:tr w:rsidR="001F0E4B" w:rsidRPr="00EF774C" w14:paraId="57963145"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4B4DDB93"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Trade payables (£m)</w:t>
            </w:r>
          </w:p>
        </w:tc>
        <w:tc>
          <w:tcPr>
            <w:tcW w:w="960" w:type="dxa"/>
            <w:tcBorders>
              <w:top w:val="nil"/>
              <w:left w:val="nil"/>
              <w:bottom w:val="single" w:sz="4" w:space="0" w:color="auto"/>
              <w:right w:val="single" w:sz="4" w:space="0" w:color="auto"/>
            </w:tcBorders>
            <w:noWrap/>
            <w:vAlign w:val="bottom"/>
            <w:hideMark/>
          </w:tcPr>
          <w:p w14:paraId="04ED85F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300</w:t>
            </w:r>
          </w:p>
        </w:tc>
        <w:tc>
          <w:tcPr>
            <w:tcW w:w="960" w:type="dxa"/>
            <w:tcBorders>
              <w:top w:val="nil"/>
              <w:left w:val="nil"/>
              <w:bottom w:val="single" w:sz="4" w:space="0" w:color="auto"/>
              <w:right w:val="single" w:sz="4" w:space="0" w:color="auto"/>
            </w:tcBorders>
            <w:noWrap/>
            <w:vAlign w:val="bottom"/>
            <w:hideMark/>
          </w:tcPr>
          <w:p w14:paraId="273966B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340</w:t>
            </w:r>
          </w:p>
        </w:tc>
        <w:tc>
          <w:tcPr>
            <w:tcW w:w="960" w:type="dxa"/>
            <w:tcBorders>
              <w:top w:val="nil"/>
              <w:left w:val="nil"/>
              <w:bottom w:val="single" w:sz="4" w:space="0" w:color="auto"/>
              <w:right w:val="single" w:sz="4" w:space="0" w:color="auto"/>
            </w:tcBorders>
            <w:noWrap/>
            <w:vAlign w:val="bottom"/>
            <w:hideMark/>
          </w:tcPr>
          <w:p w14:paraId="602567D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370</w:t>
            </w:r>
          </w:p>
        </w:tc>
        <w:tc>
          <w:tcPr>
            <w:tcW w:w="960" w:type="dxa"/>
            <w:tcBorders>
              <w:top w:val="nil"/>
              <w:left w:val="nil"/>
              <w:bottom w:val="single" w:sz="4" w:space="0" w:color="auto"/>
              <w:right w:val="single" w:sz="4" w:space="0" w:color="auto"/>
            </w:tcBorders>
            <w:noWrap/>
            <w:vAlign w:val="bottom"/>
            <w:hideMark/>
          </w:tcPr>
          <w:p w14:paraId="160DB79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320</w:t>
            </w:r>
          </w:p>
        </w:tc>
        <w:tc>
          <w:tcPr>
            <w:tcW w:w="960" w:type="dxa"/>
            <w:tcBorders>
              <w:top w:val="nil"/>
              <w:left w:val="nil"/>
              <w:bottom w:val="single" w:sz="4" w:space="0" w:color="auto"/>
              <w:right w:val="single" w:sz="4" w:space="0" w:color="auto"/>
            </w:tcBorders>
            <w:noWrap/>
            <w:vAlign w:val="bottom"/>
            <w:hideMark/>
          </w:tcPr>
          <w:p w14:paraId="2749DC5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300</w:t>
            </w:r>
          </w:p>
        </w:tc>
      </w:tr>
      <w:tr w:rsidR="001F0E4B" w:rsidRPr="00EF774C" w14:paraId="18134EF6"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7ED0B18"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Trade receivables (£m)</w:t>
            </w:r>
          </w:p>
        </w:tc>
        <w:tc>
          <w:tcPr>
            <w:tcW w:w="960" w:type="dxa"/>
            <w:tcBorders>
              <w:top w:val="nil"/>
              <w:left w:val="nil"/>
              <w:bottom w:val="single" w:sz="4" w:space="0" w:color="auto"/>
              <w:right w:val="single" w:sz="4" w:space="0" w:color="auto"/>
            </w:tcBorders>
            <w:noWrap/>
            <w:vAlign w:val="bottom"/>
            <w:hideMark/>
          </w:tcPr>
          <w:p w14:paraId="1BCF683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820</w:t>
            </w:r>
          </w:p>
        </w:tc>
        <w:tc>
          <w:tcPr>
            <w:tcW w:w="960" w:type="dxa"/>
            <w:tcBorders>
              <w:top w:val="nil"/>
              <w:left w:val="nil"/>
              <w:bottom w:val="single" w:sz="4" w:space="0" w:color="auto"/>
              <w:right w:val="single" w:sz="4" w:space="0" w:color="auto"/>
            </w:tcBorders>
            <w:noWrap/>
            <w:vAlign w:val="bottom"/>
            <w:hideMark/>
          </w:tcPr>
          <w:p w14:paraId="7EDCFCC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1070</w:t>
            </w:r>
          </w:p>
        </w:tc>
        <w:tc>
          <w:tcPr>
            <w:tcW w:w="960" w:type="dxa"/>
            <w:tcBorders>
              <w:top w:val="nil"/>
              <w:left w:val="nil"/>
              <w:bottom w:val="single" w:sz="4" w:space="0" w:color="auto"/>
              <w:right w:val="single" w:sz="4" w:space="0" w:color="auto"/>
            </w:tcBorders>
            <w:noWrap/>
            <w:vAlign w:val="bottom"/>
            <w:hideMark/>
          </w:tcPr>
          <w:p w14:paraId="7EDA94D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1170</w:t>
            </w:r>
          </w:p>
        </w:tc>
        <w:tc>
          <w:tcPr>
            <w:tcW w:w="960" w:type="dxa"/>
            <w:tcBorders>
              <w:top w:val="nil"/>
              <w:left w:val="nil"/>
              <w:bottom w:val="single" w:sz="4" w:space="0" w:color="auto"/>
              <w:right w:val="single" w:sz="4" w:space="0" w:color="auto"/>
            </w:tcBorders>
            <w:noWrap/>
            <w:vAlign w:val="bottom"/>
            <w:hideMark/>
          </w:tcPr>
          <w:p w14:paraId="228C020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1240</w:t>
            </w:r>
          </w:p>
        </w:tc>
        <w:tc>
          <w:tcPr>
            <w:tcW w:w="960" w:type="dxa"/>
            <w:tcBorders>
              <w:top w:val="nil"/>
              <w:left w:val="nil"/>
              <w:bottom w:val="single" w:sz="4" w:space="0" w:color="auto"/>
              <w:right w:val="single" w:sz="4" w:space="0" w:color="auto"/>
            </w:tcBorders>
            <w:noWrap/>
            <w:vAlign w:val="bottom"/>
            <w:hideMark/>
          </w:tcPr>
          <w:p w14:paraId="7037646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1320</w:t>
            </w:r>
          </w:p>
        </w:tc>
      </w:tr>
      <w:tr w:rsidR="001F0E4B" w:rsidRPr="00EF774C" w14:paraId="2340117D"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7C8E5F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Inventories (£m)</w:t>
            </w:r>
          </w:p>
        </w:tc>
        <w:tc>
          <w:tcPr>
            <w:tcW w:w="960" w:type="dxa"/>
            <w:tcBorders>
              <w:top w:val="nil"/>
              <w:left w:val="nil"/>
              <w:bottom w:val="single" w:sz="4" w:space="0" w:color="auto"/>
              <w:right w:val="single" w:sz="4" w:space="0" w:color="auto"/>
            </w:tcBorders>
            <w:noWrap/>
            <w:vAlign w:val="bottom"/>
            <w:hideMark/>
          </w:tcPr>
          <w:p w14:paraId="312A3FB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3CDA4DC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1DE6BB6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37AF949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65E5281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r>
      <w:tr w:rsidR="001F0E4B" w:rsidRPr="00EF774C" w14:paraId="6A5F65F9"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BEBAA0C"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Total assets (£m)</w:t>
            </w:r>
          </w:p>
        </w:tc>
        <w:tc>
          <w:tcPr>
            <w:tcW w:w="960" w:type="dxa"/>
            <w:tcBorders>
              <w:top w:val="nil"/>
              <w:left w:val="nil"/>
              <w:bottom w:val="single" w:sz="4" w:space="0" w:color="auto"/>
              <w:right w:val="single" w:sz="4" w:space="0" w:color="auto"/>
            </w:tcBorders>
            <w:noWrap/>
            <w:vAlign w:val="bottom"/>
            <w:hideMark/>
          </w:tcPr>
          <w:p w14:paraId="4AE76CB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11880</w:t>
            </w:r>
          </w:p>
        </w:tc>
        <w:tc>
          <w:tcPr>
            <w:tcW w:w="960" w:type="dxa"/>
            <w:tcBorders>
              <w:top w:val="nil"/>
              <w:left w:val="nil"/>
              <w:bottom w:val="single" w:sz="4" w:space="0" w:color="auto"/>
              <w:right w:val="single" w:sz="4" w:space="0" w:color="auto"/>
            </w:tcBorders>
            <w:noWrap/>
            <w:vAlign w:val="bottom"/>
            <w:hideMark/>
          </w:tcPr>
          <w:p w14:paraId="2B41B68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12510</w:t>
            </w:r>
          </w:p>
        </w:tc>
        <w:tc>
          <w:tcPr>
            <w:tcW w:w="960" w:type="dxa"/>
            <w:tcBorders>
              <w:top w:val="nil"/>
              <w:left w:val="nil"/>
              <w:bottom w:val="single" w:sz="4" w:space="0" w:color="auto"/>
              <w:right w:val="single" w:sz="4" w:space="0" w:color="auto"/>
            </w:tcBorders>
            <w:noWrap/>
            <w:vAlign w:val="bottom"/>
            <w:hideMark/>
          </w:tcPr>
          <w:p w14:paraId="1303B53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12420</w:t>
            </w:r>
          </w:p>
        </w:tc>
        <w:tc>
          <w:tcPr>
            <w:tcW w:w="960" w:type="dxa"/>
            <w:tcBorders>
              <w:top w:val="nil"/>
              <w:left w:val="nil"/>
              <w:bottom w:val="single" w:sz="4" w:space="0" w:color="auto"/>
              <w:right w:val="single" w:sz="4" w:space="0" w:color="auto"/>
            </w:tcBorders>
            <w:noWrap/>
            <w:vAlign w:val="bottom"/>
            <w:hideMark/>
          </w:tcPr>
          <w:p w14:paraId="104C52A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12910</w:t>
            </w:r>
          </w:p>
        </w:tc>
        <w:tc>
          <w:tcPr>
            <w:tcW w:w="960" w:type="dxa"/>
            <w:tcBorders>
              <w:top w:val="nil"/>
              <w:left w:val="nil"/>
              <w:bottom w:val="single" w:sz="4" w:space="0" w:color="auto"/>
              <w:right w:val="single" w:sz="4" w:space="0" w:color="auto"/>
            </w:tcBorders>
            <w:noWrap/>
            <w:vAlign w:val="bottom"/>
            <w:hideMark/>
          </w:tcPr>
          <w:p w14:paraId="5B0BAFA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13420</w:t>
            </w:r>
          </w:p>
        </w:tc>
      </w:tr>
      <w:tr w:rsidR="001F0E4B" w:rsidRPr="00EF774C" w14:paraId="1E7AA03C"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8D7F16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Total debt (£m)</w:t>
            </w:r>
          </w:p>
        </w:tc>
        <w:tc>
          <w:tcPr>
            <w:tcW w:w="960" w:type="dxa"/>
            <w:tcBorders>
              <w:top w:val="nil"/>
              <w:left w:val="nil"/>
              <w:bottom w:val="single" w:sz="4" w:space="0" w:color="auto"/>
              <w:right w:val="single" w:sz="4" w:space="0" w:color="auto"/>
            </w:tcBorders>
            <w:noWrap/>
            <w:vAlign w:val="bottom"/>
            <w:hideMark/>
          </w:tcPr>
          <w:p w14:paraId="3F54BE2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6850</w:t>
            </w:r>
          </w:p>
        </w:tc>
        <w:tc>
          <w:tcPr>
            <w:tcW w:w="960" w:type="dxa"/>
            <w:tcBorders>
              <w:top w:val="nil"/>
              <w:left w:val="nil"/>
              <w:bottom w:val="single" w:sz="4" w:space="0" w:color="auto"/>
              <w:right w:val="single" w:sz="4" w:space="0" w:color="auto"/>
            </w:tcBorders>
            <w:noWrap/>
            <w:vAlign w:val="bottom"/>
            <w:hideMark/>
          </w:tcPr>
          <w:p w14:paraId="310EDD4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7660</w:t>
            </w:r>
          </w:p>
        </w:tc>
        <w:tc>
          <w:tcPr>
            <w:tcW w:w="960" w:type="dxa"/>
            <w:tcBorders>
              <w:top w:val="nil"/>
              <w:left w:val="nil"/>
              <w:bottom w:val="single" w:sz="4" w:space="0" w:color="auto"/>
              <w:right w:val="single" w:sz="4" w:space="0" w:color="auto"/>
            </w:tcBorders>
            <w:noWrap/>
            <w:vAlign w:val="bottom"/>
            <w:hideMark/>
          </w:tcPr>
          <w:p w14:paraId="224C4FE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8160</w:t>
            </w:r>
          </w:p>
        </w:tc>
        <w:tc>
          <w:tcPr>
            <w:tcW w:w="960" w:type="dxa"/>
            <w:tcBorders>
              <w:top w:val="nil"/>
              <w:left w:val="nil"/>
              <w:bottom w:val="single" w:sz="4" w:space="0" w:color="auto"/>
              <w:right w:val="single" w:sz="4" w:space="0" w:color="auto"/>
            </w:tcBorders>
            <w:noWrap/>
            <w:vAlign w:val="bottom"/>
            <w:hideMark/>
          </w:tcPr>
          <w:p w14:paraId="64A2199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9290</w:t>
            </w:r>
          </w:p>
        </w:tc>
        <w:tc>
          <w:tcPr>
            <w:tcW w:w="960" w:type="dxa"/>
            <w:tcBorders>
              <w:top w:val="nil"/>
              <w:left w:val="nil"/>
              <w:bottom w:val="single" w:sz="4" w:space="0" w:color="auto"/>
              <w:right w:val="single" w:sz="4" w:space="0" w:color="auto"/>
            </w:tcBorders>
            <w:noWrap/>
            <w:vAlign w:val="bottom"/>
            <w:hideMark/>
          </w:tcPr>
          <w:p w14:paraId="39BCE3C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10470</w:t>
            </w:r>
          </w:p>
        </w:tc>
      </w:tr>
      <w:tr w:rsidR="001F0E4B" w:rsidRPr="00EF774C" w14:paraId="5F5F38C8"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161E2F4"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Total equity (£m)</w:t>
            </w:r>
          </w:p>
        </w:tc>
        <w:tc>
          <w:tcPr>
            <w:tcW w:w="960" w:type="dxa"/>
            <w:tcBorders>
              <w:top w:val="nil"/>
              <w:left w:val="nil"/>
              <w:bottom w:val="single" w:sz="4" w:space="0" w:color="auto"/>
              <w:right w:val="single" w:sz="4" w:space="0" w:color="auto"/>
            </w:tcBorders>
            <w:noWrap/>
            <w:vAlign w:val="bottom"/>
            <w:hideMark/>
          </w:tcPr>
          <w:p w14:paraId="034C9D9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-630</w:t>
            </w:r>
          </w:p>
        </w:tc>
        <w:tc>
          <w:tcPr>
            <w:tcW w:w="960" w:type="dxa"/>
            <w:tcBorders>
              <w:top w:val="nil"/>
              <w:left w:val="nil"/>
              <w:bottom w:val="single" w:sz="4" w:space="0" w:color="auto"/>
              <w:right w:val="single" w:sz="4" w:space="0" w:color="auto"/>
            </w:tcBorders>
            <w:noWrap/>
            <w:vAlign w:val="bottom"/>
            <w:hideMark/>
          </w:tcPr>
          <w:p w14:paraId="2D46290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-1300</w:t>
            </w:r>
          </w:p>
        </w:tc>
        <w:tc>
          <w:tcPr>
            <w:tcW w:w="960" w:type="dxa"/>
            <w:tcBorders>
              <w:top w:val="nil"/>
              <w:left w:val="nil"/>
              <w:bottom w:val="single" w:sz="4" w:space="0" w:color="auto"/>
              <w:right w:val="single" w:sz="4" w:space="0" w:color="auto"/>
            </w:tcBorders>
            <w:noWrap/>
            <w:vAlign w:val="bottom"/>
            <w:hideMark/>
          </w:tcPr>
          <w:p w14:paraId="77A0F1D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-1890</w:t>
            </w:r>
          </w:p>
        </w:tc>
        <w:tc>
          <w:tcPr>
            <w:tcW w:w="960" w:type="dxa"/>
            <w:tcBorders>
              <w:top w:val="nil"/>
              <w:left w:val="nil"/>
              <w:bottom w:val="single" w:sz="4" w:space="0" w:color="auto"/>
              <w:right w:val="single" w:sz="4" w:space="0" w:color="auto"/>
            </w:tcBorders>
            <w:noWrap/>
            <w:vAlign w:val="bottom"/>
            <w:hideMark/>
          </w:tcPr>
          <w:p w14:paraId="7469F4E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-2880</w:t>
            </w:r>
          </w:p>
        </w:tc>
        <w:tc>
          <w:tcPr>
            <w:tcW w:w="960" w:type="dxa"/>
            <w:tcBorders>
              <w:top w:val="nil"/>
              <w:left w:val="nil"/>
              <w:bottom w:val="single" w:sz="4" w:space="0" w:color="auto"/>
              <w:right w:val="single" w:sz="4" w:space="0" w:color="auto"/>
            </w:tcBorders>
            <w:noWrap/>
            <w:vAlign w:val="bottom"/>
            <w:hideMark/>
          </w:tcPr>
          <w:p w14:paraId="1FE6412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-4280</w:t>
            </w:r>
          </w:p>
        </w:tc>
      </w:tr>
      <w:tr w:rsidR="001F0E4B" w:rsidRPr="00EF774C" w14:paraId="6919C6BA"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3123DE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Operating Cash Flow (£m)</w:t>
            </w:r>
          </w:p>
        </w:tc>
        <w:tc>
          <w:tcPr>
            <w:tcW w:w="960" w:type="dxa"/>
            <w:tcBorders>
              <w:top w:val="nil"/>
              <w:left w:val="nil"/>
              <w:bottom w:val="single" w:sz="4" w:space="0" w:color="auto"/>
              <w:right w:val="single" w:sz="4" w:space="0" w:color="auto"/>
            </w:tcBorders>
            <w:noWrap/>
            <w:vAlign w:val="bottom"/>
            <w:hideMark/>
          </w:tcPr>
          <w:p w14:paraId="4DDD9A5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79</w:t>
            </w:r>
          </w:p>
        </w:tc>
        <w:tc>
          <w:tcPr>
            <w:tcW w:w="960" w:type="dxa"/>
            <w:tcBorders>
              <w:top w:val="nil"/>
              <w:left w:val="nil"/>
              <w:bottom w:val="single" w:sz="4" w:space="0" w:color="auto"/>
              <w:right w:val="single" w:sz="4" w:space="0" w:color="auto"/>
            </w:tcBorders>
            <w:noWrap/>
            <w:vAlign w:val="bottom"/>
            <w:hideMark/>
          </w:tcPr>
          <w:p w14:paraId="4975CF4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1360</w:t>
            </w:r>
          </w:p>
        </w:tc>
        <w:tc>
          <w:tcPr>
            <w:tcW w:w="960" w:type="dxa"/>
            <w:tcBorders>
              <w:top w:val="nil"/>
              <w:left w:val="nil"/>
              <w:bottom w:val="single" w:sz="4" w:space="0" w:color="auto"/>
              <w:right w:val="single" w:sz="4" w:space="0" w:color="auto"/>
            </w:tcBorders>
            <w:noWrap/>
            <w:vAlign w:val="bottom"/>
            <w:hideMark/>
          </w:tcPr>
          <w:p w14:paraId="479D6C9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1560</w:t>
            </w:r>
          </w:p>
        </w:tc>
        <w:tc>
          <w:tcPr>
            <w:tcW w:w="960" w:type="dxa"/>
            <w:tcBorders>
              <w:top w:val="nil"/>
              <w:left w:val="nil"/>
              <w:bottom w:val="single" w:sz="4" w:space="0" w:color="auto"/>
              <w:right w:val="single" w:sz="4" w:space="0" w:color="auto"/>
            </w:tcBorders>
            <w:noWrap/>
            <w:vAlign w:val="bottom"/>
            <w:hideMark/>
          </w:tcPr>
          <w:p w14:paraId="7D5BFDF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1575</w:t>
            </w:r>
          </w:p>
        </w:tc>
        <w:tc>
          <w:tcPr>
            <w:tcW w:w="960" w:type="dxa"/>
            <w:tcBorders>
              <w:top w:val="nil"/>
              <w:left w:val="nil"/>
              <w:bottom w:val="single" w:sz="4" w:space="0" w:color="auto"/>
              <w:right w:val="single" w:sz="4" w:space="0" w:color="auto"/>
            </w:tcBorders>
            <w:noWrap/>
            <w:vAlign w:val="bottom"/>
            <w:hideMark/>
          </w:tcPr>
          <w:p w14:paraId="4D2A415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1665</w:t>
            </w:r>
          </w:p>
        </w:tc>
      </w:tr>
      <w:tr w:rsidR="001F0E4B" w:rsidRPr="00EF774C" w14:paraId="5A1A7EA1"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1CE9ADC8"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Free Cash Flow (£m)</w:t>
            </w:r>
          </w:p>
        </w:tc>
        <w:tc>
          <w:tcPr>
            <w:tcW w:w="960" w:type="dxa"/>
            <w:tcBorders>
              <w:top w:val="nil"/>
              <w:left w:val="nil"/>
              <w:bottom w:val="single" w:sz="4" w:space="0" w:color="auto"/>
              <w:right w:val="single" w:sz="4" w:space="0" w:color="auto"/>
            </w:tcBorders>
            <w:noWrap/>
            <w:vAlign w:val="bottom"/>
            <w:hideMark/>
          </w:tcPr>
          <w:p w14:paraId="4BBC8DD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22</w:t>
            </w:r>
          </w:p>
        </w:tc>
        <w:tc>
          <w:tcPr>
            <w:tcW w:w="960" w:type="dxa"/>
            <w:tcBorders>
              <w:top w:val="nil"/>
              <w:left w:val="nil"/>
              <w:bottom w:val="single" w:sz="4" w:space="0" w:color="auto"/>
              <w:right w:val="single" w:sz="4" w:space="0" w:color="auto"/>
            </w:tcBorders>
            <w:noWrap/>
            <w:vAlign w:val="bottom"/>
            <w:hideMark/>
          </w:tcPr>
          <w:p w14:paraId="1B99AC0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1275</w:t>
            </w:r>
          </w:p>
        </w:tc>
        <w:tc>
          <w:tcPr>
            <w:tcW w:w="960" w:type="dxa"/>
            <w:tcBorders>
              <w:top w:val="nil"/>
              <w:left w:val="nil"/>
              <w:bottom w:val="single" w:sz="4" w:space="0" w:color="auto"/>
              <w:right w:val="single" w:sz="4" w:space="0" w:color="auto"/>
            </w:tcBorders>
            <w:noWrap/>
            <w:vAlign w:val="bottom"/>
            <w:hideMark/>
          </w:tcPr>
          <w:p w14:paraId="716929E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1365</w:t>
            </w:r>
          </w:p>
        </w:tc>
        <w:tc>
          <w:tcPr>
            <w:tcW w:w="960" w:type="dxa"/>
            <w:tcBorders>
              <w:top w:val="nil"/>
              <w:left w:val="nil"/>
              <w:bottom w:val="single" w:sz="4" w:space="0" w:color="auto"/>
              <w:right w:val="single" w:sz="4" w:space="0" w:color="auto"/>
            </w:tcBorders>
            <w:noWrap/>
            <w:vAlign w:val="bottom"/>
            <w:hideMark/>
          </w:tcPr>
          <w:p w14:paraId="6A78BCC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1425</w:t>
            </w:r>
          </w:p>
        </w:tc>
        <w:tc>
          <w:tcPr>
            <w:tcW w:w="960" w:type="dxa"/>
            <w:tcBorders>
              <w:top w:val="nil"/>
              <w:left w:val="nil"/>
              <w:bottom w:val="single" w:sz="4" w:space="0" w:color="auto"/>
              <w:right w:val="single" w:sz="4" w:space="0" w:color="auto"/>
            </w:tcBorders>
            <w:noWrap/>
            <w:vAlign w:val="bottom"/>
            <w:hideMark/>
          </w:tcPr>
          <w:p w14:paraId="34EF444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1520</w:t>
            </w:r>
          </w:p>
        </w:tc>
      </w:tr>
      <w:tr w:rsidR="001F0E4B" w:rsidRPr="00EF774C" w14:paraId="6C366458"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4578BA7C"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Share price (£)</w:t>
            </w:r>
          </w:p>
        </w:tc>
        <w:tc>
          <w:tcPr>
            <w:tcW w:w="960" w:type="dxa"/>
            <w:tcBorders>
              <w:top w:val="nil"/>
              <w:left w:val="nil"/>
              <w:bottom w:val="single" w:sz="4" w:space="0" w:color="auto"/>
              <w:right w:val="single" w:sz="4" w:space="0" w:color="auto"/>
            </w:tcBorders>
            <w:noWrap/>
            <w:vAlign w:val="bottom"/>
            <w:hideMark/>
          </w:tcPr>
          <w:p w14:paraId="4396F24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113</w:t>
            </w:r>
          </w:p>
        </w:tc>
        <w:tc>
          <w:tcPr>
            <w:tcW w:w="960" w:type="dxa"/>
            <w:tcBorders>
              <w:top w:val="nil"/>
              <w:left w:val="nil"/>
              <w:bottom w:val="single" w:sz="4" w:space="0" w:color="auto"/>
              <w:right w:val="single" w:sz="4" w:space="0" w:color="auto"/>
            </w:tcBorders>
            <w:noWrap/>
            <w:vAlign w:val="bottom"/>
            <w:hideMark/>
          </w:tcPr>
          <w:p w14:paraId="10D94F5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101.9</w:t>
            </w:r>
          </w:p>
        </w:tc>
        <w:tc>
          <w:tcPr>
            <w:tcW w:w="960" w:type="dxa"/>
            <w:tcBorders>
              <w:top w:val="nil"/>
              <w:left w:val="nil"/>
              <w:bottom w:val="single" w:sz="4" w:space="0" w:color="auto"/>
              <w:right w:val="single" w:sz="4" w:space="0" w:color="auto"/>
            </w:tcBorders>
            <w:noWrap/>
            <w:vAlign w:val="bottom"/>
            <w:hideMark/>
          </w:tcPr>
          <w:p w14:paraId="7BC62D6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145.6</w:t>
            </w:r>
          </w:p>
        </w:tc>
        <w:tc>
          <w:tcPr>
            <w:tcW w:w="960" w:type="dxa"/>
            <w:tcBorders>
              <w:top w:val="nil"/>
              <w:left w:val="nil"/>
              <w:bottom w:val="single" w:sz="4" w:space="0" w:color="auto"/>
              <w:right w:val="single" w:sz="4" w:space="0" w:color="auto"/>
            </w:tcBorders>
            <w:noWrap/>
            <w:vAlign w:val="bottom"/>
            <w:hideMark/>
          </w:tcPr>
          <w:p w14:paraId="7CC9807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193</w:t>
            </w:r>
          </w:p>
        </w:tc>
        <w:tc>
          <w:tcPr>
            <w:tcW w:w="960" w:type="dxa"/>
            <w:tcBorders>
              <w:top w:val="nil"/>
              <w:left w:val="nil"/>
              <w:bottom w:val="single" w:sz="4" w:space="0" w:color="auto"/>
              <w:right w:val="single" w:sz="4" w:space="0" w:color="auto"/>
            </w:tcBorders>
            <w:noWrap/>
            <w:vAlign w:val="bottom"/>
            <w:hideMark/>
          </w:tcPr>
          <w:p w14:paraId="5953502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217.6</w:t>
            </w:r>
          </w:p>
        </w:tc>
      </w:tr>
      <w:tr w:rsidR="001F0E4B" w:rsidRPr="00EF774C" w14:paraId="7763330F"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DB47A0D"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Earnings per share (EPS) (£)</w:t>
            </w:r>
          </w:p>
        </w:tc>
        <w:tc>
          <w:tcPr>
            <w:tcW w:w="960" w:type="dxa"/>
            <w:tcBorders>
              <w:top w:val="nil"/>
              <w:left w:val="nil"/>
              <w:bottom w:val="single" w:sz="4" w:space="0" w:color="auto"/>
              <w:right w:val="single" w:sz="4" w:space="0" w:color="auto"/>
            </w:tcBorders>
            <w:noWrap/>
            <w:vAlign w:val="bottom"/>
            <w:hideMark/>
          </w:tcPr>
          <w:p w14:paraId="0FBB4F1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w:t>
            </w:r>
          </w:p>
        </w:tc>
        <w:tc>
          <w:tcPr>
            <w:tcW w:w="960" w:type="dxa"/>
            <w:tcBorders>
              <w:top w:val="nil"/>
              <w:left w:val="nil"/>
              <w:bottom w:val="single" w:sz="4" w:space="0" w:color="auto"/>
              <w:right w:val="single" w:sz="4" w:space="0" w:color="auto"/>
            </w:tcBorders>
            <w:noWrap/>
            <w:vAlign w:val="bottom"/>
            <w:hideMark/>
          </w:tcPr>
          <w:p w14:paraId="1FD6F84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3.6</w:t>
            </w:r>
          </w:p>
        </w:tc>
        <w:tc>
          <w:tcPr>
            <w:tcW w:w="960" w:type="dxa"/>
            <w:tcBorders>
              <w:top w:val="nil"/>
              <w:left w:val="nil"/>
              <w:bottom w:val="single" w:sz="4" w:space="0" w:color="auto"/>
              <w:right w:val="single" w:sz="4" w:space="0" w:color="auto"/>
            </w:tcBorders>
            <w:noWrap/>
            <w:vAlign w:val="bottom"/>
            <w:hideMark/>
          </w:tcPr>
          <w:p w14:paraId="14FEC4F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3.4</w:t>
            </w:r>
          </w:p>
        </w:tc>
        <w:tc>
          <w:tcPr>
            <w:tcW w:w="960" w:type="dxa"/>
            <w:tcBorders>
              <w:top w:val="nil"/>
              <w:left w:val="nil"/>
              <w:bottom w:val="single" w:sz="4" w:space="0" w:color="auto"/>
              <w:right w:val="single" w:sz="4" w:space="0" w:color="auto"/>
            </w:tcBorders>
            <w:noWrap/>
            <w:vAlign w:val="bottom"/>
            <w:hideMark/>
          </w:tcPr>
          <w:p w14:paraId="0CD6C1B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4.8</w:t>
            </w:r>
          </w:p>
        </w:tc>
        <w:tc>
          <w:tcPr>
            <w:tcW w:w="960" w:type="dxa"/>
            <w:tcBorders>
              <w:top w:val="nil"/>
              <w:left w:val="nil"/>
              <w:bottom w:val="single" w:sz="4" w:space="0" w:color="auto"/>
              <w:right w:val="single" w:sz="4" w:space="0" w:color="auto"/>
            </w:tcBorders>
            <w:noWrap/>
            <w:vAlign w:val="bottom"/>
            <w:hideMark/>
          </w:tcPr>
          <w:p w14:paraId="25D1A99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4.6</w:t>
            </w:r>
          </w:p>
        </w:tc>
      </w:tr>
    </w:tbl>
    <w:p w14:paraId="33AAAB4E" w14:textId="77777777" w:rsidR="001F0E4B" w:rsidRDefault="001F0E4B" w:rsidP="001F0E4B">
      <w:pPr>
        <w:rPr>
          <w:lang w:val="en-GB"/>
        </w:rPr>
      </w:pPr>
    </w:p>
    <w:tbl>
      <w:tblPr>
        <w:tblW w:w="9356" w:type="dxa"/>
        <w:tblLayout w:type="fixed"/>
        <w:tblLook w:val="04A0" w:firstRow="1" w:lastRow="0" w:firstColumn="1" w:lastColumn="0" w:noHBand="0" w:noVBand="1"/>
      </w:tblPr>
      <w:tblGrid>
        <w:gridCol w:w="1357"/>
        <w:gridCol w:w="1879"/>
        <w:gridCol w:w="1695"/>
        <w:gridCol w:w="851"/>
        <w:gridCol w:w="851"/>
        <w:gridCol w:w="851"/>
        <w:gridCol w:w="936"/>
        <w:gridCol w:w="936"/>
      </w:tblGrid>
      <w:tr w:rsidR="001F0E4B" w:rsidRPr="00EF774C" w14:paraId="26C95118" w14:textId="77777777" w:rsidTr="00016C37">
        <w:trPr>
          <w:trHeight w:val="287"/>
          <w:tblHeader/>
        </w:trPr>
        <w:tc>
          <w:tcPr>
            <w:tcW w:w="3236" w:type="dxa"/>
            <w:gridSpan w:val="2"/>
            <w:tcBorders>
              <w:top w:val="single" w:sz="4" w:space="0" w:color="auto"/>
              <w:left w:val="single" w:sz="4" w:space="0" w:color="auto"/>
              <w:bottom w:val="single" w:sz="4" w:space="0" w:color="auto"/>
              <w:right w:val="single" w:sz="4" w:space="0" w:color="000000"/>
            </w:tcBorders>
            <w:noWrap/>
            <w:vAlign w:val="bottom"/>
            <w:hideMark/>
          </w:tcPr>
          <w:p w14:paraId="357A95B2"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Ratio</w:t>
            </w:r>
          </w:p>
        </w:tc>
        <w:tc>
          <w:tcPr>
            <w:tcW w:w="1695" w:type="dxa"/>
            <w:tcBorders>
              <w:top w:val="single" w:sz="4" w:space="0" w:color="auto"/>
              <w:left w:val="nil"/>
              <w:bottom w:val="single" w:sz="4" w:space="0" w:color="auto"/>
              <w:right w:val="single" w:sz="4" w:space="0" w:color="auto"/>
            </w:tcBorders>
            <w:noWrap/>
            <w:vAlign w:val="bottom"/>
            <w:hideMark/>
          </w:tcPr>
          <w:p w14:paraId="3ACD96A5"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Formula</w:t>
            </w:r>
          </w:p>
        </w:tc>
        <w:tc>
          <w:tcPr>
            <w:tcW w:w="851" w:type="dxa"/>
            <w:tcBorders>
              <w:top w:val="single" w:sz="4" w:space="0" w:color="auto"/>
              <w:left w:val="nil"/>
              <w:bottom w:val="single" w:sz="4" w:space="0" w:color="auto"/>
              <w:right w:val="single" w:sz="4" w:space="0" w:color="auto"/>
            </w:tcBorders>
            <w:noWrap/>
            <w:vAlign w:val="bottom"/>
            <w:hideMark/>
          </w:tcPr>
          <w:p w14:paraId="7C190EA1"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2021</w:t>
            </w:r>
          </w:p>
        </w:tc>
        <w:tc>
          <w:tcPr>
            <w:tcW w:w="851" w:type="dxa"/>
            <w:tcBorders>
              <w:top w:val="single" w:sz="4" w:space="0" w:color="auto"/>
              <w:left w:val="nil"/>
              <w:bottom w:val="single" w:sz="4" w:space="0" w:color="auto"/>
              <w:right w:val="single" w:sz="4" w:space="0" w:color="auto"/>
            </w:tcBorders>
            <w:noWrap/>
            <w:vAlign w:val="bottom"/>
            <w:hideMark/>
          </w:tcPr>
          <w:p w14:paraId="68533CC2"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2022</w:t>
            </w:r>
          </w:p>
        </w:tc>
        <w:tc>
          <w:tcPr>
            <w:tcW w:w="851" w:type="dxa"/>
            <w:tcBorders>
              <w:top w:val="single" w:sz="4" w:space="0" w:color="auto"/>
              <w:left w:val="nil"/>
              <w:bottom w:val="single" w:sz="4" w:space="0" w:color="auto"/>
              <w:right w:val="single" w:sz="4" w:space="0" w:color="auto"/>
            </w:tcBorders>
            <w:noWrap/>
            <w:vAlign w:val="bottom"/>
            <w:hideMark/>
          </w:tcPr>
          <w:p w14:paraId="5C4ECB7F"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2023</w:t>
            </w:r>
          </w:p>
        </w:tc>
        <w:tc>
          <w:tcPr>
            <w:tcW w:w="936" w:type="dxa"/>
            <w:tcBorders>
              <w:top w:val="single" w:sz="4" w:space="0" w:color="auto"/>
              <w:left w:val="nil"/>
              <w:bottom w:val="single" w:sz="4" w:space="0" w:color="auto"/>
              <w:right w:val="single" w:sz="4" w:space="0" w:color="auto"/>
            </w:tcBorders>
            <w:noWrap/>
            <w:vAlign w:val="bottom"/>
            <w:hideMark/>
          </w:tcPr>
          <w:p w14:paraId="55E1ABFD"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2024</w:t>
            </w:r>
          </w:p>
        </w:tc>
        <w:tc>
          <w:tcPr>
            <w:tcW w:w="936" w:type="dxa"/>
            <w:tcBorders>
              <w:top w:val="single" w:sz="4" w:space="0" w:color="auto"/>
              <w:left w:val="nil"/>
              <w:bottom w:val="single" w:sz="4" w:space="0" w:color="auto"/>
              <w:right w:val="single" w:sz="4" w:space="0" w:color="auto"/>
            </w:tcBorders>
            <w:noWrap/>
            <w:vAlign w:val="bottom"/>
            <w:hideMark/>
          </w:tcPr>
          <w:p w14:paraId="4D8FF57B" w14:textId="77777777" w:rsidR="001F0E4B" w:rsidRPr="00EF774C" w:rsidRDefault="001F0E4B" w:rsidP="00016C37">
            <w:pPr>
              <w:spacing w:before="0" w:after="0" w:line="240" w:lineRule="auto"/>
              <w:jc w:val="right"/>
              <w:rPr>
                <w:rFonts w:eastAsia="Times New Roman" w:cs="Arial"/>
                <w:b/>
                <w:bCs/>
                <w:color w:val="000000"/>
                <w:kern w:val="0"/>
              </w:rPr>
            </w:pPr>
            <w:r w:rsidRPr="00EF774C">
              <w:rPr>
                <w:rFonts w:eastAsia="Times New Roman" w:cs="Arial"/>
                <w:b/>
                <w:bCs/>
                <w:color w:val="000000"/>
                <w:kern w:val="0"/>
                <w:sz w:val="22"/>
                <w:szCs w:val="22"/>
              </w:rPr>
              <w:t>2025</w:t>
            </w:r>
          </w:p>
        </w:tc>
      </w:tr>
      <w:tr w:rsidR="001F0E4B" w:rsidRPr="00EF774C" w14:paraId="6B08771F" w14:textId="77777777" w:rsidTr="00016C37">
        <w:trPr>
          <w:trHeight w:val="287"/>
        </w:trPr>
        <w:tc>
          <w:tcPr>
            <w:tcW w:w="1357" w:type="dxa"/>
            <w:vMerge w:val="restart"/>
            <w:tcBorders>
              <w:top w:val="nil"/>
              <w:left w:val="single" w:sz="4" w:space="0" w:color="auto"/>
              <w:bottom w:val="single" w:sz="4" w:space="0" w:color="000000"/>
              <w:right w:val="single" w:sz="4" w:space="0" w:color="auto"/>
            </w:tcBorders>
            <w:noWrap/>
            <w:hideMark/>
          </w:tcPr>
          <w:p w14:paraId="1438BE4B"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Profitability</w:t>
            </w:r>
          </w:p>
        </w:tc>
        <w:tc>
          <w:tcPr>
            <w:tcW w:w="1879" w:type="dxa"/>
            <w:tcBorders>
              <w:top w:val="nil"/>
              <w:left w:val="nil"/>
              <w:bottom w:val="single" w:sz="4" w:space="0" w:color="auto"/>
              <w:right w:val="single" w:sz="4" w:space="0" w:color="auto"/>
            </w:tcBorders>
            <w:noWrap/>
            <w:vAlign w:val="bottom"/>
            <w:hideMark/>
          </w:tcPr>
          <w:p w14:paraId="5FE8FC0A"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Profit Margin (NPM)</w:t>
            </w:r>
          </w:p>
        </w:tc>
        <w:tc>
          <w:tcPr>
            <w:tcW w:w="1695" w:type="dxa"/>
            <w:tcBorders>
              <w:top w:val="nil"/>
              <w:left w:val="nil"/>
              <w:bottom w:val="single" w:sz="4" w:space="0" w:color="auto"/>
              <w:right w:val="single" w:sz="4" w:space="0" w:color="auto"/>
            </w:tcBorders>
            <w:noWrap/>
            <w:vAlign w:val="bottom"/>
            <w:hideMark/>
          </w:tcPr>
          <w:p w14:paraId="0819FFB3"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Profit/Revenue) × 100</w:t>
            </w:r>
          </w:p>
        </w:tc>
        <w:tc>
          <w:tcPr>
            <w:tcW w:w="851" w:type="dxa"/>
            <w:tcBorders>
              <w:top w:val="nil"/>
              <w:left w:val="nil"/>
              <w:bottom w:val="single" w:sz="4" w:space="0" w:color="auto"/>
              <w:right w:val="single" w:sz="4" w:space="0" w:color="auto"/>
            </w:tcBorders>
            <w:noWrap/>
            <w:vAlign w:val="bottom"/>
            <w:hideMark/>
          </w:tcPr>
          <w:p w14:paraId="6873375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11.46%</w:t>
            </w:r>
          </w:p>
        </w:tc>
        <w:tc>
          <w:tcPr>
            <w:tcW w:w="851" w:type="dxa"/>
            <w:tcBorders>
              <w:top w:val="nil"/>
              <w:left w:val="nil"/>
              <w:bottom w:val="single" w:sz="4" w:space="0" w:color="auto"/>
              <w:right w:val="single" w:sz="4" w:space="0" w:color="auto"/>
            </w:tcBorders>
            <w:noWrap/>
            <w:vAlign w:val="bottom"/>
            <w:hideMark/>
          </w:tcPr>
          <w:p w14:paraId="271FD39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13.02%</w:t>
            </w:r>
          </w:p>
        </w:tc>
        <w:tc>
          <w:tcPr>
            <w:tcW w:w="851" w:type="dxa"/>
            <w:tcBorders>
              <w:top w:val="nil"/>
              <w:left w:val="nil"/>
              <w:bottom w:val="single" w:sz="4" w:space="0" w:color="auto"/>
              <w:right w:val="single" w:sz="4" w:space="0" w:color="auto"/>
            </w:tcBorders>
            <w:noWrap/>
            <w:vAlign w:val="bottom"/>
            <w:hideMark/>
          </w:tcPr>
          <w:p w14:paraId="0B05E5E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10.22%</w:t>
            </w:r>
          </w:p>
        </w:tc>
        <w:tc>
          <w:tcPr>
            <w:tcW w:w="936" w:type="dxa"/>
            <w:tcBorders>
              <w:top w:val="nil"/>
              <w:left w:val="nil"/>
              <w:bottom w:val="single" w:sz="4" w:space="0" w:color="auto"/>
              <w:right w:val="single" w:sz="4" w:space="0" w:color="auto"/>
            </w:tcBorders>
            <w:noWrap/>
            <w:vAlign w:val="bottom"/>
            <w:hideMark/>
          </w:tcPr>
          <w:p w14:paraId="7C52C8A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13.75%</w:t>
            </w:r>
          </w:p>
        </w:tc>
        <w:tc>
          <w:tcPr>
            <w:tcW w:w="936" w:type="dxa"/>
            <w:tcBorders>
              <w:top w:val="nil"/>
              <w:left w:val="nil"/>
              <w:bottom w:val="single" w:sz="4" w:space="0" w:color="auto"/>
              <w:right w:val="single" w:sz="4" w:space="0" w:color="auto"/>
            </w:tcBorders>
            <w:noWrap/>
            <w:vAlign w:val="bottom"/>
            <w:hideMark/>
          </w:tcPr>
          <w:p w14:paraId="0EE7BB4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12.12%</w:t>
            </w:r>
          </w:p>
        </w:tc>
      </w:tr>
      <w:tr w:rsidR="001F0E4B" w:rsidRPr="00EF774C" w14:paraId="6471E3C0"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3ECEC26B" w14:textId="77777777" w:rsidR="001F0E4B" w:rsidRPr="00EF774C" w:rsidRDefault="001F0E4B" w:rsidP="00016C37">
            <w:pPr>
              <w:spacing w:before="0" w:after="0" w:line="240" w:lineRule="auto"/>
              <w:jc w:val="left"/>
              <w:rPr>
                <w:rFonts w:eastAsia="Times New Roman" w:cs="Arial"/>
                <w:color w:val="000000"/>
                <w:kern w:val="0"/>
              </w:rPr>
            </w:pPr>
          </w:p>
        </w:tc>
        <w:tc>
          <w:tcPr>
            <w:tcW w:w="1879" w:type="dxa"/>
            <w:tcBorders>
              <w:top w:val="nil"/>
              <w:left w:val="nil"/>
              <w:bottom w:val="single" w:sz="4" w:space="0" w:color="auto"/>
              <w:right w:val="single" w:sz="4" w:space="0" w:color="auto"/>
            </w:tcBorders>
            <w:noWrap/>
            <w:vAlign w:val="bottom"/>
            <w:hideMark/>
          </w:tcPr>
          <w:p w14:paraId="1D055AEA"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Return on Assets (ROA)</w:t>
            </w:r>
          </w:p>
        </w:tc>
        <w:tc>
          <w:tcPr>
            <w:tcW w:w="1695" w:type="dxa"/>
            <w:tcBorders>
              <w:top w:val="nil"/>
              <w:left w:val="nil"/>
              <w:bottom w:val="single" w:sz="4" w:space="0" w:color="auto"/>
              <w:right w:val="single" w:sz="4" w:space="0" w:color="auto"/>
            </w:tcBorders>
            <w:noWrap/>
            <w:vAlign w:val="bottom"/>
            <w:hideMark/>
          </w:tcPr>
          <w:p w14:paraId="717D86E4"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Profit/Total Assets) × 100</w:t>
            </w:r>
          </w:p>
        </w:tc>
        <w:tc>
          <w:tcPr>
            <w:tcW w:w="851" w:type="dxa"/>
            <w:tcBorders>
              <w:top w:val="nil"/>
              <w:left w:val="nil"/>
              <w:bottom w:val="single" w:sz="4" w:space="0" w:color="auto"/>
              <w:right w:val="single" w:sz="4" w:space="0" w:color="auto"/>
            </w:tcBorders>
            <w:noWrap/>
            <w:vAlign w:val="bottom"/>
            <w:hideMark/>
          </w:tcPr>
          <w:p w14:paraId="77ACC86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4.97%</w:t>
            </w:r>
          </w:p>
        </w:tc>
        <w:tc>
          <w:tcPr>
            <w:tcW w:w="851" w:type="dxa"/>
            <w:tcBorders>
              <w:top w:val="nil"/>
              <w:left w:val="nil"/>
              <w:bottom w:val="single" w:sz="4" w:space="0" w:color="auto"/>
              <w:right w:val="single" w:sz="4" w:space="0" w:color="auto"/>
            </w:tcBorders>
            <w:noWrap/>
            <w:vAlign w:val="bottom"/>
            <w:hideMark/>
          </w:tcPr>
          <w:p w14:paraId="3A90B65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7.55%</w:t>
            </w:r>
          </w:p>
        </w:tc>
        <w:tc>
          <w:tcPr>
            <w:tcW w:w="851" w:type="dxa"/>
            <w:tcBorders>
              <w:top w:val="nil"/>
              <w:left w:val="nil"/>
              <w:bottom w:val="single" w:sz="4" w:space="0" w:color="auto"/>
              <w:right w:val="single" w:sz="4" w:space="0" w:color="auto"/>
            </w:tcBorders>
            <w:noWrap/>
            <w:vAlign w:val="bottom"/>
            <w:hideMark/>
          </w:tcPr>
          <w:p w14:paraId="5CB0E85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7.37%</w:t>
            </w:r>
          </w:p>
        </w:tc>
        <w:tc>
          <w:tcPr>
            <w:tcW w:w="936" w:type="dxa"/>
            <w:tcBorders>
              <w:top w:val="nil"/>
              <w:left w:val="nil"/>
              <w:bottom w:val="single" w:sz="4" w:space="0" w:color="auto"/>
              <w:right w:val="single" w:sz="4" w:space="0" w:color="auto"/>
            </w:tcBorders>
            <w:noWrap/>
            <w:vAlign w:val="bottom"/>
            <w:hideMark/>
          </w:tcPr>
          <w:p w14:paraId="09CF758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9.37%</w:t>
            </w:r>
          </w:p>
        </w:tc>
        <w:tc>
          <w:tcPr>
            <w:tcW w:w="936" w:type="dxa"/>
            <w:tcBorders>
              <w:top w:val="nil"/>
              <w:left w:val="nil"/>
              <w:bottom w:val="single" w:sz="4" w:space="0" w:color="auto"/>
              <w:right w:val="single" w:sz="4" w:space="0" w:color="auto"/>
            </w:tcBorders>
            <w:noWrap/>
            <w:vAlign w:val="bottom"/>
            <w:hideMark/>
          </w:tcPr>
          <w:p w14:paraId="76DBAC6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8.53%</w:t>
            </w:r>
          </w:p>
        </w:tc>
      </w:tr>
      <w:tr w:rsidR="001F0E4B" w:rsidRPr="00EF774C" w14:paraId="36524F81"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003B322B" w14:textId="77777777" w:rsidR="001F0E4B" w:rsidRPr="00EF774C" w:rsidRDefault="001F0E4B" w:rsidP="00016C37">
            <w:pPr>
              <w:spacing w:before="0" w:after="0" w:line="240" w:lineRule="auto"/>
              <w:jc w:val="left"/>
              <w:rPr>
                <w:rFonts w:eastAsia="Times New Roman" w:cs="Arial"/>
                <w:color w:val="000000"/>
                <w:kern w:val="0"/>
              </w:rPr>
            </w:pPr>
          </w:p>
        </w:tc>
        <w:tc>
          <w:tcPr>
            <w:tcW w:w="1879" w:type="dxa"/>
            <w:tcBorders>
              <w:top w:val="nil"/>
              <w:left w:val="nil"/>
              <w:bottom w:val="single" w:sz="4" w:space="0" w:color="auto"/>
              <w:right w:val="single" w:sz="4" w:space="0" w:color="auto"/>
            </w:tcBorders>
            <w:noWrap/>
            <w:vAlign w:val="bottom"/>
            <w:hideMark/>
          </w:tcPr>
          <w:p w14:paraId="7A0040E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Return on Equity (ROE)</w:t>
            </w:r>
          </w:p>
        </w:tc>
        <w:tc>
          <w:tcPr>
            <w:tcW w:w="1695" w:type="dxa"/>
            <w:tcBorders>
              <w:top w:val="nil"/>
              <w:left w:val="nil"/>
              <w:bottom w:val="single" w:sz="4" w:space="0" w:color="auto"/>
              <w:right w:val="single" w:sz="4" w:space="0" w:color="auto"/>
            </w:tcBorders>
            <w:noWrap/>
            <w:vAlign w:val="bottom"/>
            <w:hideMark/>
          </w:tcPr>
          <w:p w14:paraId="76C7FC3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Profit/Total Equity) × 100</w:t>
            </w:r>
          </w:p>
        </w:tc>
        <w:tc>
          <w:tcPr>
            <w:tcW w:w="851" w:type="dxa"/>
            <w:tcBorders>
              <w:top w:val="nil"/>
              <w:left w:val="nil"/>
              <w:bottom w:val="single" w:sz="4" w:space="0" w:color="auto"/>
              <w:right w:val="single" w:sz="4" w:space="0" w:color="auto"/>
            </w:tcBorders>
            <w:noWrap/>
            <w:vAlign w:val="bottom"/>
            <w:hideMark/>
          </w:tcPr>
          <w:p w14:paraId="7122FDA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8.61%</w:t>
            </w:r>
          </w:p>
        </w:tc>
        <w:tc>
          <w:tcPr>
            <w:tcW w:w="851" w:type="dxa"/>
            <w:tcBorders>
              <w:top w:val="nil"/>
              <w:left w:val="nil"/>
              <w:bottom w:val="single" w:sz="4" w:space="0" w:color="auto"/>
              <w:right w:val="single" w:sz="4" w:space="0" w:color="auto"/>
            </w:tcBorders>
            <w:noWrap/>
            <w:vAlign w:val="bottom"/>
            <w:hideMark/>
          </w:tcPr>
          <w:p w14:paraId="6668DFE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12.34%</w:t>
            </w:r>
          </w:p>
        </w:tc>
        <w:tc>
          <w:tcPr>
            <w:tcW w:w="851" w:type="dxa"/>
            <w:tcBorders>
              <w:top w:val="nil"/>
              <w:left w:val="nil"/>
              <w:bottom w:val="single" w:sz="4" w:space="0" w:color="auto"/>
              <w:right w:val="single" w:sz="4" w:space="0" w:color="auto"/>
            </w:tcBorders>
            <w:noWrap/>
            <w:vAlign w:val="bottom"/>
            <w:hideMark/>
          </w:tcPr>
          <w:p w14:paraId="6061A53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11.21%</w:t>
            </w:r>
          </w:p>
        </w:tc>
        <w:tc>
          <w:tcPr>
            <w:tcW w:w="936" w:type="dxa"/>
            <w:tcBorders>
              <w:top w:val="nil"/>
              <w:left w:val="nil"/>
              <w:bottom w:val="single" w:sz="4" w:space="0" w:color="auto"/>
              <w:right w:val="single" w:sz="4" w:space="0" w:color="auto"/>
            </w:tcBorders>
            <w:noWrap/>
            <w:vAlign w:val="bottom"/>
            <w:hideMark/>
          </w:tcPr>
          <w:p w14:paraId="1D0BE6B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13.02%</w:t>
            </w:r>
          </w:p>
        </w:tc>
        <w:tc>
          <w:tcPr>
            <w:tcW w:w="936" w:type="dxa"/>
            <w:tcBorders>
              <w:top w:val="nil"/>
              <w:left w:val="nil"/>
              <w:bottom w:val="single" w:sz="4" w:space="0" w:color="auto"/>
              <w:right w:val="single" w:sz="4" w:space="0" w:color="auto"/>
            </w:tcBorders>
            <w:noWrap/>
            <w:vAlign w:val="bottom"/>
            <w:hideMark/>
          </w:tcPr>
          <w:p w14:paraId="6C9F4CC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10.94%</w:t>
            </w:r>
          </w:p>
        </w:tc>
      </w:tr>
      <w:tr w:rsidR="001F0E4B" w:rsidRPr="00EF774C" w14:paraId="4A8F6438" w14:textId="77777777" w:rsidTr="00016C37">
        <w:trPr>
          <w:trHeight w:val="287"/>
        </w:trPr>
        <w:tc>
          <w:tcPr>
            <w:tcW w:w="1357" w:type="dxa"/>
            <w:tcBorders>
              <w:top w:val="nil"/>
              <w:left w:val="single" w:sz="4" w:space="0" w:color="auto"/>
              <w:bottom w:val="nil"/>
              <w:right w:val="single" w:sz="4" w:space="0" w:color="auto"/>
            </w:tcBorders>
            <w:noWrap/>
            <w:hideMark/>
          </w:tcPr>
          <w:p w14:paraId="0EC0EB99"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Liquidity</w:t>
            </w:r>
          </w:p>
        </w:tc>
        <w:tc>
          <w:tcPr>
            <w:tcW w:w="1879" w:type="dxa"/>
            <w:tcBorders>
              <w:top w:val="nil"/>
              <w:left w:val="nil"/>
              <w:bottom w:val="single" w:sz="4" w:space="0" w:color="auto"/>
              <w:right w:val="single" w:sz="4" w:space="0" w:color="auto"/>
            </w:tcBorders>
            <w:noWrap/>
            <w:vAlign w:val="bottom"/>
            <w:hideMark/>
          </w:tcPr>
          <w:p w14:paraId="1A1AF6FE"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Current Ratio (CR)</w:t>
            </w:r>
          </w:p>
        </w:tc>
        <w:tc>
          <w:tcPr>
            <w:tcW w:w="1695" w:type="dxa"/>
            <w:tcBorders>
              <w:top w:val="nil"/>
              <w:left w:val="nil"/>
              <w:bottom w:val="single" w:sz="4" w:space="0" w:color="auto"/>
              <w:right w:val="single" w:sz="4" w:space="0" w:color="auto"/>
            </w:tcBorders>
            <w:noWrap/>
            <w:vAlign w:val="bottom"/>
            <w:hideMark/>
          </w:tcPr>
          <w:p w14:paraId="178240C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Current Assets/Current Liabilities</w:t>
            </w:r>
          </w:p>
        </w:tc>
        <w:tc>
          <w:tcPr>
            <w:tcW w:w="851" w:type="dxa"/>
            <w:tcBorders>
              <w:top w:val="nil"/>
              <w:left w:val="nil"/>
              <w:bottom w:val="single" w:sz="4" w:space="0" w:color="auto"/>
              <w:right w:val="single" w:sz="4" w:space="0" w:color="auto"/>
            </w:tcBorders>
            <w:noWrap/>
            <w:vAlign w:val="bottom"/>
            <w:hideMark/>
          </w:tcPr>
          <w:p w14:paraId="7AFB9EE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w:t>
            </w:r>
          </w:p>
        </w:tc>
        <w:tc>
          <w:tcPr>
            <w:tcW w:w="851" w:type="dxa"/>
            <w:tcBorders>
              <w:top w:val="nil"/>
              <w:left w:val="nil"/>
              <w:bottom w:val="single" w:sz="4" w:space="0" w:color="auto"/>
              <w:right w:val="single" w:sz="4" w:space="0" w:color="auto"/>
            </w:tcBorders>
            <w:noWrap/>
            <w:vAlign w:val="bottom"/>
            <w:hideMark/>
          </w:tcPr>
          <w:p w14:paraId="220B0B5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0.81</w:t>
            </w:r>
          </w:p>
        </w:tc>
        <w:tc>
          <w:tcPr>
            <w:tcW w:w="851" w:type="dxa"/>
            <w:tcBorders>
              <w:top w:val="nil"/>
              <w:left w:val="nil"/>
              <w:bottom w:val="single" w:sz="4" w:space="0" w:color="auto"/>
              <w:right w:val="single" w:sz="4" w:space="0" w:color="auto"/>
            </w:tcBorders>
            <w:noWrap/>
            <w:vAlign w:val="bottom"/>
            <w:hideMark/>
          </w:tcPr>
          <w:p w14:paraId="1CBF985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0.70</w:t>
            </w:r>
          </w:p>
        </w:tc>
        <w:tc>
          <w:tcPr>
            <w:tcW w:w="936" w:type="dxa"/>
            <w:tcBorders>
              <w:top w:val="nil"/>
              <w:left w:val="nil"/>
              <w:bottom w:val="single" w:sz="4" w:space="0" w:color="auto"/>
              <w:right w:val="single" w:sz="4" w:space="0" w:color="auto"/>
            </w:tcBorders>
            <w:noWrap/>
            <w:vAlign w:val="bottom"/>
            <w:hideMark/>
          </w:tcPr>
          <w:p w14:paraId="7D45471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0.70</w:t>
            </w:r>
          </w:p>
        </w:tc>
        <w:tc>
          <w:tcPr>
            <w:tcW w:w="936" w:type="dxa"/>
            <w:tcBorders>
              <w:top w:val="nil"/>
              <w:left w:val="nil"/>
              <w:bottom w:val="single" w:sz="4" w:space="0" w:color="auto"/>
              <w:right w:val="single" w:sz="4" w:space="0" w:color="auto"/>
            </w:tcBorders>
            <w:noWrap/>
            <w:vAlign w:val="bottom"/>
            <w:hideMark/>
          </w:tcPr>
          <w:p w14:paraId="65C4D0E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0.66</w:t>
            </w:r>
          </w:p>
        </w:tc>
      </w:tr>
      <w:tr w:rsidR="001F0E4B" w:rsidRPr="00EF774C" w14:paraId="3D3C5FF4" w14:textId="77777777" w:rsidTr="00016C37">
        <w:trPr>
          <w:trHeight w:val="287"/>
        </w:trPr>
        <w:tc>
          <w:tcPr>
            <w:tcW w:w="1357" w:type="dxa"/>
            <w:vMerge w:val="restart"/>
            <w:tcBorders>
              <w:top w:val="single" w:sz="4" w:space="0" w:color="auto"/>
              <w:left w:val="single" w:sz="4" w:space="0" w:color="auto"/>
              <w:bottom w:val="single" w:sz="4" w:space="0" w:color="000000"/>
              <w:right w:val="single" w:sz="4" w:space="0" w:color="auto"/>
            </w:tcBorders>
            <w:noWrap/>
            <w:hideMark/>
          </w:tcPr>
          <w:p w14:paraId="7A048F8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Efficiency</w:t>
            </w:r>
          </w:p>
        </w:tc>
        <w:tc>
          <w:tcPr>
            <w:tcW w:w="1879" w:type="dxa"/>
            <w:tcBorders>
              <w:top w:val="nil"/>
              <w:left w:val="nil"/>
              <w:bottom w:val="single" w:sz="4" w:space="0" w:color="auto"/>
              <w:right w:val="single" w:sz="4" w:space="0" w:color="auto"/>
            </w:tcBorders>
            <w:noWrap/>
            <w:vAlign w:val="bottom"/>
            <w:hideMark/>
          </w:tcPr>
          <w:p w14:paraId="1C044B4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Days Inventory Outstanding (DIO)</w:t>
            </w:r>
          </w:p>
        </w:tc>
        <w:tc>
          <w:tcPr>
            <w:tcW w:w="1695" w:type="dxa"/>
            <w:tcBorders>
              <w:top w:val="nil"/>
              <w:left w:val="nil"/>
              <w:bottom w:val="single" w:sz="4" w:space="0" w:color="auto"/>
              <w:right w:val="single" w:sz="4" w:space="0" w:color="auto"/>
            </w:tcBorders>
            <w:noWrap/>
            <w:vAlign w:val="bottom"/>
            <w:hideMark/>
          </w:tcPr>
          <w:p w14:paraId="6BC88CAD"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(Inventories/Cost of Sales) × 365</w:t>
            </w:r>
          </w:p>
        </w:tc>
        <w:tc>
          <w:tcPr>
            <w:tcW w:w="851" w:type="dxa"/>
            <w:tcBorders>
              <w:top w:val="nil"/>
              <w:left w:val="nil"/>
              <w:bottom w:val="single" w:sz="4" w:space="0" w:color="auto"/>
              <w:right w:val="single" w:sz="4" w:space="0" w:color="auto"/>
            </w:tcBorders>
            <w:noWrap/>
            <w:vAlign w:val="bottom"/>
            <w:hideMark/>
          </w:tcPr>
          <w:p w14:paraId="07C9B74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0.00</w:t>
            </w:r>
          </w:p>
        </w:tc>
        <w:tc>
          <w:tcPr>
            <w:tcW w:w="851" w:type="dxa"/>
            <w:tcBorders>
              <w:top w:val="nil"/>
              <w:left w:val="nil"/>
              <w:bottom w:val="single" w:sz="4" w:space="0" w:color="auto"/>
              <w:right w:val="single" w:sz="4" w:space="0" w:color="auto"/>
            </w:tcBorders>
            <w:noWrap/>
            <w:vAlign w:val="bottom"/>
            <w:hideMark/>
          </w:tcPr>
          <w:p w14:paraId="6089883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0.00</w:t>
            </w:r>
          </w:p>
        </w:tc>
        <w:tc>
          <w:tcPr>
            <w:tcW w:w="851" w:type="dxa"/>
            <w:tcBorders>
              <w:top w:val="nil"/>
              <w:left w:val="nil"/>
              <w:bottom w:val="single" w:sz="4" w:space="0" w:color="auto"/>
              <w:right w:val="single" w:sz="4" w:space="0" w:color="auto"/>
            </w:tcBorders>
            <w:noWrap/>
            <w:vAlign w:val="bottom"/>
            <w:hideMark/>
          </w:tcPr>
          <w:p w14:paraId="173AB8B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0.00</w:t>
            </w:r>
          </w:p>
        </w:tc>
        <w:tc>
          <w:tcPr>
            <w:tcW w:w="936" w:type="dxa"/>
            <w:tcBorders>
              <w:top w:val="nil"/>
              <w:left w:val="nil"/>
              <w:bottom w:val="single" w:sz="4" w:space="0" w:color="auto"/>
              <w:right w:val="single" w:sz="4" w:space="0" w:color="auto"/>
            </w:tcBorders>
            <w:noWrap/>
            <w:vAlign w:val="bottom"/>
            <w:hideMark/>
          </w:tcPr>
          <w:p w14:paraId="42CDE49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0.00</w:t>
            </w:r>
          </w:p>
        </w:tc>
        <w:tc>
          <w:tcPr>
            <w:tcW w:w="936" w:type="dxa"/>
            <w:tcBorders>
              <w:top w:val="nil"/>
              <w:left w:val="nil"/>
              <w:bottom w:val="single" w:sz="4" w:space="0" w:color="auto"/>
              <w:right w:val="single" w:sz="4" w:space="0" w:color="auto"/>
            </w:tcBorders>
            <w:noWrap/>
            <w:vAlign w:val="bottom"/>
            <w:hideMark/>
          </w:tcPr>
          <w:p w14:paraId="6FC6EB4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0.00</w:t>
            </w:r>
          </w:p>
        </w:tc>
      </w:tr>
      <w:tr w:rsidR="001F0E4B" w:rsidRPr="00EF774C" w14:paraId="41F80E7E" w14:textId="77777777" w:rsidTr="00016C37">
        <w:trPr>
          <w:trHeight w:val="287"/>
        </w:trPr>
        <w:tc>
          <w:tcPr>
            <w:tcW w:w="1357" w:type="dxa"/>
            <w:vMerge/>
            <w:tcBorders>
              <w:top w:val="single" w:sz="4" w:space="0" w:color="auto"/>
              <w:left w:val="single" w:sz="4" w:space="0" w:color="auto"/>
              <w:bottom w:val="single" w:sz="4" w:space="0" w:color="000000"/>
              <w:right w:val="single" w:sz="4" w:space="0" w:color="auto"/>
            </w:tcBorders>
            <w:vAlign w:val="center"/>
            <w:hideMark/>
          </w:tcPr>
          <w:p w14:paraId="5039DBCC" w14:textId="77777777" w:rsidR="001F0E4B" w:rsidRPr="00EF774C" w:rsidRDefault="001F0E4B" w:rsidP="00016C37">
            <w:pPr>
              <w:spacing w:before="0" w:after="0" w:line="240" w:lineRule="auto"/>
              <w:jc w:val="left"/>
              <w:rPr>
                <w:rFonts w:eastAsia="Times New Roman" w:cs="Arial"/>
                <w:color w:val="000000"/>
                <w:kern w:val="0"/>
              </w:rPr>
            </w:pPr>
          </w:p>
        </w:tc>
        <w:tc>
          <w:tcPr>
            <w:tcW w:w="1879" w:type="dxa"/>
            <w:tcBorders>
              <w:top w:val="nil"/>
              <w:left w:val="nil"/>
              <w:bottom w:val="single" w:sz="4" w:space="0" w:color="auto"/>
              <w:right w:val="single" w:sz="4" w:space="0" w:color="auto"/>
            </w:tcBorders>
            <w:noWrap/>
            <w:vAlign w:val="bottom"/>
            <w:hideMark/>
          </w:tcPr>
          <w:p w14:paraId="56B1F7E0"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Days Sales Outstanding (DSO)</w:t>
            </w:r>
          </w:p>
        </w:tc>
        <w:tc>
          <w:tcPr>
            <w:tcW w:w="1695" w:type="dxa"/>
            <w:tcBorders>
              <w:top w:val="nil"/>
              <w:left w:val="nil"/>
              <w:bottom w:val="single" w:sz="4" w:space="0" w:color="auto"/>
              <w:right w:val="single" w:sz="4" w:space="0" w:color="auto"/>
            </w:tcBorders>
            <w:noWrap/>
            <w:vAlign w:val="bottom"/>
            <w:hideMark/>
          </w:tcPr>
          <w:p w14:paraId="047F3341"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(Trade Receivables/Revenue) × 365</w:t>
            </w:r>
          </w:p>
        </w:tc>
        <w:tc>
          <w:tcPr>
            <w:tcW w:w="851" w:type="dxa"/>
            <w:tcBorders>
              <w:top w:val="nil"/>
              <w:left w:val="nil"/>
              <w:bottom w:val="single" w:sz="4" w:space="0" w:color="auto"/>
              <w:right w:val="single" w:sz="4" w:space="0" w:color="auto"/>
            </w:tcBorders>
            <w:noWrap/>
            <w:vAlign w:val="bottom"/>
            <w:hideMark/>
          </w:tcPr>
          <w:p w14:paraId="1EDE072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58.12</w:t>
            </w:r>
          </w:p>
        </w:tc>
        <w:tc>
          <w:tcPr>
            <w:tcW w:w="851" w:type="dxa"/>
            <w:tcBorders>
              <w:top w:val="nil"/>
              <w:left w:val="nil"/>
              <w:bottom w:val="single" w:sz="4" w:space="0" w:color="auto"/>
              <w:right w:val="single" w:sz="4" w:space="0" w:color="auto"/>
            </w:tcBorders>
            <w:noWrap/>
            <w:vAlign w:val="bottom"/>
            <w:hideMark/>
          </w:tcPr>
          <w:p w14:paraId="46C5220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53.79</w:t>
            </w:r>
          </w:p>
        </w:tc>
        <w:tc>
          <w:tcPr>
            <w:tcW w:w="851" w:type="dxa"/>
            <w:tcBorders>
              <w:top w:val="nil"/>
              <w:left w:val="nil"/>
              <w:bottom w:val="single" w:sz="4" w:space="0" w:color="auto"/>
              <w:right w:val="single" w:sz="4" w:space="0" w:color="auto"/>
            </w:tcBorders>
            <w:noWrap/>
            <w:vAlign w:val="bottom"/>
            <w:hideMark/>
          </w:tcPr>
          <w:p w14:paraId="13B775F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47.72</w:t>
            </w:r>
          </w:p>
        </w:tc>
        <w:tc>
          <w:tcPr>
            <w:tcW w:w="936" w:type="dxa"/>
            <w:tcBorders>
              <w:top w:val="nil"/>
              <w:left w:val="nil"/>
              <w:bottom w:val="single" w:sz="4" w:space="0" w:color="auto"/>
              <w:right w:val="single" w:sz="4" w:space="0" w:color="auto"/>
            </w:tcBorders>
            <w:noWrap/>
            <w:vAlign w:val="bottom"/>
            <w:hideMark/>
          </w:tcPr>
          <w:p w14:paraId="003504C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51.43</w:t>
            </w:r>
          </w:p>
        </w:tc>
        <w:tc>
          <w:tcPr>
            <w:tcW w:w="936" w:type="dxa"/>
            <w:tcBorders>
              <w:top w:val="nil"/>
              <w:left w:val="nil"/>
              <w:bottom w:val="single" w:sz="4" w:space="0" w:color="auto"/>
              <w:right w:val="single" w:sz="4" w:space="0" w:color="auto"/>
            </w:tcBorders>
            <w:noWrap/>
            <w:vAlign w:val="bottom"/>
            <w:hideMark/>
          </w:tcPr>
          <w:p w14:paraId="0D0633A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50.98</w:t>
            </w:r>
          </w:p>
        </w:tc>
      </w:tr>
      <w:tr w:rsidR="001F0E4B" w:rsidRPr="00EF774C" w14:paraId="3D0EDD59" w14:textId="77777777" w:rsidTr="00016C37">
        <w:trPr>
          <w:trHeight w:val="287"/>
        </w:trPr>
        <w:tc>
          <w:tcPr>
            <w:tcW w:w="1357" w:type="dxa"/>
            <w:vMerge/>
            <w:tcBorders>
              <w:top w:val="single" w:sz="4" w:space="0" w:color="auto"/>
              <w:left w:val="single" w:sz="4" w:space="0" w:color="auto"/>
              <w:bottom w:val="single" w:sz="4" w:space="0" w:color="000000"/>
              <w:right w:val="single" w:sz="4" w:space="0" w:color="auto"/>
            </w:tcBorders>
            <w:vAlign w:val="center"/>
            <w:hideMark/>
          </w:tcPr>
          <w:p w14:paraId="6450DFEA" w14:textId="77777777" w:rsidR="001F0E4B" w:rsidRPr="00EF774C" w:rsidRDefault="001F0E4B" w:rsidP="00016C37">
            <w:pPr>
              <w:spacing w:before="0" w:after="0" w:line="240" w:lineRule="auto"/>
              <w:jc w:val="left"/>
              <w:rPr>
                <w:rFonts w:eastAsia="Times New Roman" w:cs="Arial"/>
                <w:color w:val="000000"/>
                <w:kern w:val="0"/>
              </w:rPr>
            </w:pPr>
          </w:p>
        </w:tc>
        <w:tc>
          <w:tcPr>
            <w:tcW w:w="1879" w:type="dxa"/>
            <w:tcBorders>
              <w:top w:val="nil"/>
              <w:left w:val="nil"/>
              <w:bottom w:val="single" w:sz="4" w:space="0" w:color="auto"/>
              <w:right w:val="single" w:sz="4" w:space="0" w:color="auto"/>
            </w:tcBorders>
            <w:noWrap/>
            <w:vAlign w:val="bottom"/>
            <w:hideMark/>
          </w:tcPr>
          <w:p w14:paraId="0DAAF0F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 xml:space="preserve">Days Payable </w:t>
            </w:r>
            <w:r w:rsidRPr="00EF774C">
              <w:rPr>
                <w:rFonts w:eastAsia="Times New Roman" w:cs="Arial"/>
                <w:color w:val="000000"/>
                <w:kern w:val="0"/>
                <w:sz w:val="22"/>
                <w:szCs w:val="22"/>
              </w:rPr>
              <w:lastRenderedPageBreak/>
              <w:t>Outstanding (DPO)</w:t>
            </w:r>
          </w:p>
        </w:tc>
        <w:tc>
          <w:tcPr>
            <w:tcW w:w="1695" w:type="dxa"/>
            <w:tcBorders>
              <w:top w:val="nil"/>
              <w:left w:val="nil"/>
              <w:bottom w:val="single" w:sz="4" w:space="0" w:color="auto"/>
              <w:right w:val="single" w:sz="4" w:space="0" w:color="auto"/>
            </w:tcBorders>
            <w:noWrap/>
            <w:vAlign w:val="bottom"/>
            <w:hideMark/>
          </w:tcPr>
          <w:p w14:paraId="71EC2A1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lastRenderedPageBreak/>
              <w:t xml:space="preserve">(Trade </w:t>
            </w:r>
            <w:r w:rsidRPr="00EF774C">
              <w:rPr>
                <w:rFonts w:eastAsia="Times New Roman" w:cs="Arial"/>
                <w:color w:val="000000"/>
                <w:kern w:val="0"/>
                <w:sz w:val="22"/>
                <w:szCs w:val="22"/>
              </w:rPr>
              <w:lastRenderedPageBreak/>
              <w:t>Payables/Cost of Sales) × 365</w:t>
            </w:r>
          </w:p>
        </w:tc>
        <w:tc>
          <w:tcPr>
            <w:tcW w:w="851" w:type="dxa"/>
            <w:tcBorders>
              <w:top w:val="nil"/>
              <w:left w:val="nil"/>
              <w:bottom w:val="single" w:sz="4" w:space="0" w:color="auto"/>
              <w:right w:val="single" w:sz="4" w:space="0" w:color="auto"/>
            </w:tcBorders>
            <w:noWrap/>
            <w:vAlign w:val="bottom"/>
            <w:hideMark/>
          </w:tcPr>
          <w:p w14:paraId="0C16E0A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lastRenderedPageBreak/>
              <w:t>24.44</w:t>
            </w:r>
          </w:p>
        </w:tc>
        <w:tc>
          <w:tcPr>
            <w:tcW w:w="851" w:type="dxa"/>
            <w:tcBorders>
              <w:top w:val="nil"/>
              <w:left w:val="nil"/>
              <w:bottom w:val="single" w:sz="4" w:space="0" w:color="auto"/>
              <w:right w:val="single" w:sz="4" w:space="0" w:color="auto"/>
            </w:tcBorders>
            <w:noWrap/>
            <w:vAlign w:val="bottom"/>
            <w:hideMark/>
          </w:tcPr>
          <w:p w14:paraId="64B5916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20.51</w:t>
            </w:r>
          </w:p>
        </w:tc>
        <w:tc>
          <w:tcPr>
            <w:tcW w:w="851" w:type="dxa"/>
            <w:tcBorders>
              <w:top w:val="nil"/>
              <w:left w:val="nil"/>
              <w:bottom w:val="single" w:sz="4" w:space="0" w:color="auto"/>
              <w:right w:val="single" w:sz="4" w:space="0" w:color="auto"/>
            </w:tcBorders>
            <w:noWrap/>
            <w:vAlign w:val="bottom"/>
            <w:hideMark/>
          </w:tcPr>
          <w:p w14:paraId="2499013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20.81</w:t>
            </w:r>
          </w:p>
        </w:tc>
        <w:tc>
          <w:tcPr>
            <w:tcW w:w="936" w:type="dxa"/>
            <w:tcBorders>
              <w:top w:val="nil"/>
              <w:left w:val="nil"/>
              <w:bottom w:val="single" w:sz="4" w:space="0" w:color="auto"/>
              <w:right w:val="single" w:sz="4" w:space="0" w:color="auto"/>
            </w:tcBorders>
            <w:noWrap/>
            <w:vAlign w:val="bottom"/>
            <w:hideMark/>
          </w:tcPr>
          <w:p w14:paraId="1CD0E6D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17.13</w:t>
            </w:r>
          </w:p>
        </w:tc>
        <w:tc>
          <w:tcPr>
            <w:tcW w:w="936" w:type="dxa"/>
            <w:tcBorders>
              <w:top w:val="nil"/>
              <w:left w:val="nil"/>
              <w:bottom w:val="single" w:sz="4" w:space="0" w:color="auto"/>
              <w:right w:val="single" w:sz="4" w:space="0" w:color="auto"/>
            </w:tcBorders>
            <w:noWrap/>
            <w:vAlign w:val="bottom"/>
            <w:hideMark/>
          </w:tcPr>
          <w:p w14:paraId="1535692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15.99</w:t>
            </w:r>
          </w:p>
        </w:tc>
      </w:tr>
      <w:tr w:rsidR="001F0E4B" w:rsidRPr="00EF774C" w14:paraId="195CE0BE" w14:textId="77777777" w:rsidTr="00016C37">
        <w:trPr>
          <w:trHeight w:val="287"/>
        </w:trPr>
        <w:tc>
          <w:tcPr>
            <w:tcW w:w="1357" w:type="dxa"/>
            <w:vMerge w:val="restart"/>
            <w:tcBorders>
              <w:top w:val="nil"/>
              <w:left w:val="single" w:sz="4" w:space="0" w:color="auto"/>
              <w:bottom w:val="single" w:sz="4" w:space="0" w:color="000000"/>
              <w:right w:val="single" w:sz="4" w:space="0" w:color="auto"/>
            </w:tcBorders>
            <w:noWrap/>
            <w:hideMark/>
          </w:tcPr>
          <w:p w14:paraId="7E4E684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Gearing</w:t>
            </w:r>
          </w:p>
        </w:tc>
        <w:tc>
          <w:tcPr>
            <w:tcW w:w="1879" w:type="dxa"/>
            <w:tcBorders>
              <w:top w:val="nil"/>
              <w:left w:val="nil"/>
              <w:bottom w:val="single" w:sz="4" w:space="0" w:color="auto"/>
              <w:right w:val="single" w:sz="4" w:space="0" w:color="auto"/>
            </w:tcBorders>
            <w:noWrap/>
            <w:vAlign w:val="bottom"/>
            <w:hideMark/>
          </w:tcPr>
          <w:p w14:paraId="21049BC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Debt-to-Equity (DTE) Ratio</w:t>
            </w:r>
          </w:p>
        </w:tc>
        <w:tc>
          <w:tcPr>
            <w:tcW w:w="1695" w:type="dxa"/>
            <w:tcBorders>
              <w:top w:val="nil"/>
              <w:left w:val="nil"/>
              <w:bottom w:val="single" w:sz="4" w:space="0" w:color="auto"/>
              <w:right w:val="single" w:sz="4" w:space="0" w:color="auto"/>
            </w:tcBorders>
            <w:noWrap/>
            <w:vAlign w:val="bottom"/>
            <w:hideMark/>
          </w:tcPr>
          <w:p w14:paraId="48D81B19"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Total Debt/Total Equity</w:t>
            </w:r>
          </w:p>
        </w:tc>
        <w:tc>
          <w:tcPr>
            <w:tcW w:w="851" w:type="dxa"/>
            <w:tcBorders>
              <w:top w:val="nil"/>
              <w:left w:val="nil"/>
              <w:bottom w:val="single" w:sz="4" w:space="0" w:color="auto"/>
              <w:right w:val="single" w:sz="4" w:space="0" w:color="auto"/>
            </w:tcBorders>
            <w:noWrap/>
            <w:vAlign w:val="bottom"/>
            <w:hideMark/>
          </w:tcPr>
          <w:p w14:paraId="25945BB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-10.87</w:t>
            </w:r>
          </w:p>
        </w:tc>
        <w:tc>
          <w:tcPr>
            <w:tcW w:w="851" w:type="dxa"/>
            <w:tcBorders>
              <w:top w:val="nil"/>
              <w:left w:val="nil"/>
              <w:bottom w:val="single" w:sz="4" w:space="0" w:color="auto"/>
              <w:right w:val="single" w:sz="4" w:space="0" w:color="auto"/>
            </w:tcBorders>
            <w:noWrap/>
            <w:vAlign w:val="bottom"/>
            <w:hideMark/>
          </w:tcPr>
          <w:p w14:paraId="478F0F7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-5.89</w:t>
            </w:r>
          </w:p>
        </w:tc>
        <w:tc>
          <w:tcPr>
            <w:tcW w:w="851" w:type="dxa"/>
            <w:tcBorders>
              <w:top w:val="nil"/>
              <w:left w:val="nil"/>
              <w:bottom w:val="single" w:sz="4" w:space="0" w:color="auto"/>
              <w:right w:val="single" w:sz="4" w:space="0" w:color="auto"/>
            </w:tcBorders>
            <w:noWrap/>
            <w:vAlign w:val="bottom"/>
            <w:hideMark/>
          </w:tcPr>
          <w:p w14:paraId="5651F4F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-4.32</w:t>
            </w:r>
          </w:p>
        </w:tc>
        <w:tc>
          <w:tcPr>
            <w:tcW w:w="936" w:type="dxa"/>
            <w:tcBorders>
              <w:top w:val="nil"/>
              <w:left w:val="nil"/>
              <w:bottom w:val="single" w:sz="4" w:space="0" w:color="auto"/>
              <w:right w:val="single" w:sz="4" w:space="0" w:color="auto"/>
            </w:tcBorders>
            <w:noWrap/>
            <w:vAlign w:val="bottom"/>
            <w:hideMark/>
          </w:tcPr>
          <w:p w14:paraId="2130922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-3.23</w:t>
            </w:r>
          </w:p>
        </w:tc>
        <w:tc>
          <w:tcPr>
            <w:tcW w:w="936" w:type="dxa"/>
            <w:tcBorders>
              <w:top w:val="nil"/>
              <w:left w:val="nil"/>
              <w:bottom w:val="single" w:sz="4" w:space="0" w:color="auto"/>
              <w:right w:val="single" w:sz="4" w:space="0" w:color="auto"/>
            </w:tcBorders>
            <w:noWrap/>
            <w:vAlign w:val="bottom"/>
            <w:hideMark/>
          </w:tcPr>
          <w:p w14:paraId="5F63F93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-2.45</w:t>
            </w:r>
          </w:p>
        </w:tc>
      </w:tr>
      <w:tr w:rsidR="001F0E4B" w:rsidRPr="00EF774C" w14:paraId="58B1330B"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1B26951E" w14:textId="77777777" w:rsidR="001F0E4B" w:rsidRPr="00EF774C" w:rsidRDefault="001F0E4B" w:rsidP="00016C37">
            <w:pPr>
              <w:spacing w:before="0" w:after="0" w:line="240" w:lineRule="auto"/>
              <w:jc w:val="left"/>
              <w:rPr>
                <w:rFonts w:eastAsia="Times New Roman" w:cs="Arial"/>
                <w:color w:val="000000"/>
                <w:kern w:val="0"/>
              </w:rPr>
            </w:pPr>
          </w:p>
        </w:tc>
        <w:tc>
          <w:tcPr>
            <w:tcW w:w="1879" w:type="dxa"/>
            <w:tcBorders>
              <w:top w:val="nil"/>
              <w:left w:val="nil"/>
              <w:bottom w:val="single" w:sz="4" w:space="0" w:color="auto"/>
              <w:right w:val="single" w:sz="4" w:space="0" w:color="auto"/>
            </w:tcBorders>
            <w:noWrap/>
            <w:vAlign w:val="bottom"/>
            <w:hideMark/>
          </w:tcPr>
          <w:p w14:paraId="32336D4D"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Debt-to-Assets (DTA) Ratio</w:t>
            </w:r>
          </w:p>
        </w:tc>
        <w:tc>
          <w:tcPr>
            <w:tcW w:w="1695" w:type="dxa"/>
            <w:tcBorders>
              <w:top w:val="nil"/>
              <w:left w:val="nil"/>
              <w:bottom w:val="single" w:sz="4" w:space="0" w:color="auto"/>
              <w:right w:val="single" w:sz="4" w:space="0" w:color="auto"/>
            </w:tcBorders>
            <w:noWrap/>
            <w:vAlign w:val="bottom"/>
            <w:hideMark/>
          </w:tcPr>
          <w:p w14:paraId="79F4EECC"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Total Debt/Total Assets</w:t>
            </w:r>
          </w:p>
        </w:tc>
        <w:tc>
          <w:tcPr>
            <w:tcW w:w="851" w:type="dxa"/>
            <w:tcBorders>
              <w:top w:val="nil"/>
              <w:left w:val="nil"/>
              <w:bottom w:val="single" w:sz="4" w:space="0" w:color="auto"/>
              <w:right w:val="single" w:sz="4" w:space="0" w:color="auto"/>
            </w:tcBorders>
            <w:noWrap/>
            <w:vAlign w:val="bottom"/>
            <w:hideMark/>
          </w:tcPr>
          <w:p w14:paraId="447A016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0.58</w:t>
            </w:r>
          </w:p>
        </w:tc>
        <w:tc>
          <w:tcPr>
            <w:tcW w:w="851" w:type="dxa"/>
            <w:tcBorders>
              <w:top w:val="nil"/>
              <w:left w:val="nil"/>
              <w:bottom w:val="single" w:sz="4" w:space="0" w:color="auto"/>
              <w:right w:val="single" w:sz="4" w:space="0" w:color="auto"/>
            </w:tcBorders>
            <w:noWrap/>
            <w:vAlign w:val="bottom"/>
            <w:hideMark/>
          </w:tcPr>
          <w:p w14:paraId="179542B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0.61</w:t>
            </w:r>
          </w:p>
        </w:tc>
        <w:tc>
          <w:tcPr>
            <w:tcW w:w="851" w:type="dxa"/>
            <w:tcBorders>
              <w:top w:val="nil"/>
              <w:left w:val="nil"/>
              <w:bottom w:val="single" w:sz="4" w:space="0" w:color="auto"/>
              <w:right w:val="single" w:sz="4" w:space="0" w:color="auto"/>
            </w:tcBorders>
            <w:noWrap/>
            <w:vAlign w:val="bottom"/>
            <w:hideMark/>
          </w:tcPr>
          <w:p w14:paraId="542CF59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0.66</w:t>
            </w:r>
          </w:p>
        </w:tc>
        <w:tc>
          <w:tcPr>
            <w:tcW w:w="936" w:type="dxa"/>
            <w:tcBorders>
              <w:top w:val="nil"/>
              <w:left w:val="nil"/>
              <w:bottom w:val="single" w:sz="4" w:space="0" w:color="auto"/>
              <w:right w:val="single" w:sz="4" w:space="0" w:color="auto"/>
            </w:tcBorders>
            <w:noWrap/>
            <w:vAlign w:val="bottom"/>
            <w:hideMark/>
          </w:tcPr>
          <w:p w14:paraId="5BD77C6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0.72</w:t>
            </w:r>
          </w:p>
        </w:tc>
        <w:tc>
          <w:tcPr>
            <w:tcW w:w="936" w:type="dxa"/>
            <w:tcBorders>
              <w:top w:val="nil"/>
              <w:left w:val="nil"/>
              <w:bottom w:val="single" w:sz="4" w:space="0" w:color="auto"/>
              <w:right w:val="single" w:sz="4" w:space="0" w:color="auto"/>
            </w:tcBorders>
            <w:noWrap/>
            <w:vAlign w:val="bottom"/>
            <w:hideMark/>
          </w:tcPr>
          <w:p w14:paraId="74CC324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0.78</w:t>
            </w:r>
          </w:p>
        </w:tc>
      </w:tr>
      <w:tr w:rsidR="001F0E4B" w:rsidRPr="00EF774C" w14:paraId="0DA6BCE9" w14:textId="77777777" w:rsidTr="00016C37">
        <w:trPr>
          <w:trHeight w:val="287"/>
        </w:trPr>
        <w:tc>
          <w:tcPr>
            <w:tcW w:w="1357" w:type="dxa"/>
            <w:tcBorders>
              <w:top w:val="nil"/>
              <w:left w:val="single" w:sz="4" w:space="0" w:color="auto"/>
              <w:bottom w:val="single" w:sz="4" w:space="0" w:color="auto"/>
              <w:right w:val="single" w:sz="4" w:space="0" w:color="auto"/>
            </w:tcBorders>
            <w:noWrap/>
            <w:vAlign w:val="bottom"/>
            <w:hideMark/>
          </w:tcPr>
          <w:p w14:paraId="21000CD5"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Investment</w:t>
            </w:r>
          </w:p>
        </w:tc>
        <w:tc>
          <w:tcPr>
            <w:tcW w:w="1879" w:type="dxa"/>
            <w:tcBorders>
              <w:top w:val="nil"/>
              <w:left w:val="nil"/>
              <w:bottom w:val="single" w:sz="4" w:space="0" w:color="auto"/>
              <w:right w:val="single" w:sz="4" w:space="0" w:color="auto"/>
            </w:tcBorders>
            <w:noWrap/>
            <w:vAlign w:val="bottom"/>
            <w:hideMark/>
          </w:tcPr>
          <w:p w14:paraId="19F9071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Price-to-Earnings (P/E) Ratio</w:t>
            </w:r>
          </w:p>
        </w:tc>
        <w:tc>
          <w:tcPr>
            <w:tcW w:w="1695" w:type="dxa"/>
            <w:tcBorders>
              <w:top w:val="nil"/>
              <w:left w:val="nil"/>
              <w:bottom w:val="single" w:sz="4" w:space="0" w:color="auto"/>
              <w:right w:val="single" w:sz="4" w:space="0" w:color="auto"/>
            </w:tcBorders>
            <w:noWrap/>
            <w:vAlign w:val="bottom"/>
            <w:hideMark/>
          </w:tcPr>
          <w:p w14:paraId="01910028"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Share Price/EPS</w:t>
            </w:r>
          </w:p>
        </w:tc>
        <w:tc>
          <w:tcPr>
            <w:tcW w:w="851" w:type="dxa"/>
            <w:tcBorders>
              <w:top w:val="nil"/>
              <w:left w:val="nil"/>
              <w:bottom w:val="single" w:sz="4" w:space="0" w:color="auto"/>
              <w:right w:val="single" w:sz="4" w:space="0" w:color="auto"/>
            </w:tcBorders>
            <w:noWrap/>
            <w:vAlign w:val="bottom"/>
            <w:hideMark/>
          </w:tcPr>
          <w:p w14:paraId="32BF9E0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113.00</w:t>
            </w:r>
          </w:p>
        </w:tc>
        <w:tc>
          <w:tcPr>
            <w:tcW w:w="851" w:type="dxa"/>
            <w:tcBorders>
              <w:top w:val="nil"/>
              <w:left w:val="nil"/>
              <w:bottom w:val="single" w:sz="4" w:space="0" w:color="auto"/>
              <w:right w:val="single" w:sz="4" w:space="0" w:color="auto"/>
            </w:tcBorders>
            <w:noWrap/>
            <w:vAlign w:val="bottom"/>
            <w:hideMark/>
          </w:tcPr>
          <w:p w14:paraId="7C1D4AE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28.31</w:t>
            </w:r>
          </w:p>
        </w:tc>
        <w:tc>
          <w:tcPr>
            <w:tcW w:w="851" w:type="dxa"/>
            <w:tcBorders>
              <w:top w:val="nil"/>
              <w:left w:val="nil"/>
              <w:bottom w:val="single" w:sz="4" w:space="0" w:color="auto"/>
              <w:right w:val="single" w:sz="4" w:space="0" w:color="auto"/>
            </w:tcBorders>
            <w:noWrap/>
            <w:vAlign w:val="bottom"/>
            <w:hideMark/>
          </w:tcPr>
          <w:p w14:paraId="0AD0652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42.82</w:t>
            </w:r>
          </w:p>
        </w:tc>
        <w:tc>
          <w:tcPr>
            <w:tcW w:w="936" w:type="dxa"/>
            <w:tcBorders>
              <w:top w:val="nil"/>
              <w:left w:val="nil"/>
              <w:bottom w:val="single" w:sz="4" w:space="0" w:color="auto"/>
              <w:right w:val="single" w:sz="4" w:space="0" w:color="auto"/>
            </w:tcBorders>
            <w:noWrap/>
            <w:vAlign w:val="bottom"/>
            <w:hideMark/>
          </w:tcPr>
          <w:p w14:paraId="77C4DBA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40.21</w:t>
            </w:r>
          </w:p>
        </w:tc>
        <w:tc>
          <w:tcPr>
            <w:tcW w:w="936" w:type="dxa"/>
            <w:tcBorders>
              <w:top w:val="nil"/>
              <w:left w:val="nil"/>
              <w:bottom w:val="single" w:sz="4" w:space="0" w:color="auto"/>
              <w:right w:val="single" w:sz="4" w:space="0" w:color="auto"/>
            </w:tcBorders>
            <w:noWrap/>
            <w:vAlign w:val="bottom"/>
            <w:hideMark/>
          </w:tcPr>
          <w:p w14:paraId="562CBEF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47.30</w:t>
            </w:r>
          </w:p>
        </w:tc>
      </w:tr>
      <w:tr w:rsidR="001F0E4B" w:rsidRPr="00EF774C" w14:paraId="26109E0F" w14:textId="77777777" w:rsidTr="00016C37">
        <w:trPr>
          <w:trHeight w:val="287"/>
        </w:trPr>
        <w:tc>
          <w:tcPr>
            <w:tcW w:w="1357" w:type="dxa"/>
            <w:tcBorders>
              <w:top w:val="nil"/>
              <w:left w:val="single" w:sz="4" w:space="0" w:color="auto"/>
              <w:bottom w:val="single" w:sz="4" w:space="0" w:color="auto"/>
              <w:right w:val="single" w:sz="4" w:space="0" w:color="auto"/>
            </w:tcBorders>
            <w:noWrap/>
            <w:hideMark/>
          </w:tcPr>
          <w:p w14:paraId="50A9EC71"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Cash Flow</w:t>
            </w:r>
          </w:p>
        </w:tc>
        <w:tc>
          <w:tcPr>
            <w:tcW w:w="1879" w:type="dxa"/>
            <w:tcBorders>
              <w:top w:val="nil"/>
              <w:left w:val="nil"/>
              <w:bottom w:val="single" w:sz="4" w:space="0" w:color="auto"/>
              <w:right w:val="single" w:sz="4" w:space="0" w:color="auto"/>
            </w:tcBorders>
            <w:noWrap/>
            <w:vAlign w:val="bottom"/>
            <w:hideMark/>
          </w:tcPr>
          <w:p w14:paraId="21E094ED"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Operating Cash Flow Margin (OCFM)</w:t>
            </w:r>
          </w:p>
        </w:tc>
        <w:tc>
          <w:tcPr>
            <w:tcW w:w="1695" w:type="dxa"/>
            <w:tcBorders>
              <w:top w:val="nil"/>
              <w:left w:val="nil"/>
              <w:bottom w:val="single" w:sz="4" w:space="0" w:color="auto"/>
              <w:right w:val="single" w:sz="4" w:space="0" w:color="auto"/>
            </w:tcBorders>
            <w:noWrap/>
            <w:vAlign w:val="bottom"/>
            <w:hideMark/>
          </w:tcPr>
          <w:p w14:paraId="3FBE14D3"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(Operating Cash Flow/Revenue) × 100</w:t>
            </w:r>
          </w:p>
        </w:tc>
        <w:tc>
          <w:tcPr>
            <w:tcW w:w="851" w:type="dxa"/>
            <w:tcBorders>
              <w:top w:val="nil"/>
              <w:left w:val="nil"/>
              <w:bottom w:val="single" w:sz="4" w:space="0" w:color="auto"/>
              <w:right w:val="single" w:sz="4" w:space="0" w:color="auto"/>
            </w:tcBorders>
            <w:noWrap/>
            <w:vAlign w:val="bottom"/>
            <w:hideMark/>
          </w:tcPr>
          <w:p w14:paraId="7A31BC7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1.53%</w:t>
            </w:r>
          </w:p>
        </w:tc>
        <w:tc>
          <w:tcPr>
            <w:tcW w:w="851" w:type="dxa"/>
            <w:tcBorders>
              <w:top w:val="nil"/>
              <w:left w:val="nil"/>
              <w:bottom w:val="single" w:sz="4" w:space="0" w:color="auto"/>
              <w:right w:val="single" w:sz="4" w:space="0" w:color="auto"/>
            </w:tcBorders>
            <w:noWrap/>
            <w:vAlign w:val="bottom"/>
            <w:hideMark/>
          </w:tcPr>
          <w:p w14:paraId="6118FF7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18.73%</w:t>
            </w:r>
          </w:p>
        </w:tc>
        <w:tc>
          <w:tcPr>
            <w:tcW w:w="851" w:type="dxa"/>
            <w:tcBorders>
              <w:top w:val="nil"/>
              <w:left w:val="nil"/>
              <w:bottom w:val="single" w:sz="4" w:space="0" w:color="auto"/>
              <w:right w:val="single" w:sz="4" w:space="0" w:color="auto"/>
            </w:tcBorders>
            <w:noWrap/>
            <w:vAlign w:val="bottom"/>
            <w:hideMark/>
          </w:tcPr>
          <w:p w14:paraId="170C91F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17.43%</w:t>
            </w:r>
          </w:p>
        </w:tc>
        <w:tc>
          <w:tcPr>
            <w:tcW w:w="936" w:type="dxa"/>
            <w:tcBorders>
              <w:top w:val="nil"/>
              <w:left w:val="nil"/>
              <w:bottom w:val="single" w:sz="4" w:space="0" w:color="auto"/>
              <w:right w:val="single" w:sz="4" w:space="0" w:color="auto"/>
            </w:tcBorders>
            <w:noWrap/>
            <w:vAlign w:val="bottom"/>
            <w:hideMark/>
          </w:tcPr>
          <w:p w14:paraId="584819C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17.90%</w:t>
            </w:r>
          </w:p>
        </w:tc>
        <w:tc>
          <w:tcPr>
            <w:tcW w:w="936" w:type="dxa"/>
            <w:tcBorders>
              <w:top w:val="nil"/>
              <w:left w:val="nil"/>
              <w:bottom w:val="single" w:sz="4" w:space="0" w:color="auto"/>
              <w:right w:val="single" w:sz="4" w:space="0" w:color="auto"/>
            </w:tcBorders>
            <w:noWrap/>
            <w:vAlign w:val="bottom"/>
            <w:hideMark/>
          </w:tcPr>
          <w:p w14:paraId="6112B75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17.62%</w:t>
            </w:r>
          </w:p>
        </w:tc>
      </w:tr>
    </w:tbl>
    <w:p w14:paraId="668C7F49" w14:textId="77777777" w:rsidR="001F0E4B" w:rsidRDefault="001F0E4B" w:rsidP="001F0E4B">
      <w:pPr>
        <w:rPr>
          <w:lang w:val="en-GB"/>
        </w:rPr>
      </w:pPr>
    </w:p>
    <w:tbl>
      <w:tblPr>
        <w:tblW w:w="0" w:type="auto"/>
        <w:jc w:val="center"/>
        <w:tblLook w:val="04A0" w:firstRow="1" w:lastRow="0" w:firstColumn="1" w:lastColumn="0" w:noHBand="0" w:noVBand="1"/>
      </w:tblPr>
      <w:tblGrid>
        <w:gridCol w:w="706"/>
        <w:gridCol w:w="1341"/>
        <w:gridCol w:w="1427"/>
        <w:gridCol w:w="1427"/>
        <w:gridCol w:w="3236"/>
      </w:tblGrid>
      <w:tr w:rsidR="001F0E4B" w:rsidRPr="00EF774C" w14:paraId="706C7657" w14:textId="77777777" w:rsidTr="00016C37">
        <w:trPr>
          <w:trHeight w:val="288"/>
          <w:jc w:val="center"/>
        </w:trPr>
        <w:tc>
          <w:tcPr>
            <w:tcW w:w="0" w:type="auto"/>
            <w:tcBorders>
              <w:top w:val="single" w:sz="4" w:space="0" w:color="auto"/>
              <w:left w:val="single" w:sz="4" w:space="0" w:color="auto"/>
              <w:bottom w:val="single" w:sz="4" w:space="0" w:color="auto"/>
              <w:right w:val="single" w:sz="4" w:space="0" w:color="auto"/>
            </w:tcBorders>
            <w:noWrap/>
            <w:vAlign w:val="bottom"/>
            <w:hideMark/>
          </w:tcPr>
          <w:p w14:paraId="36FC0B8E"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Year</w:t>
            </w:r>
          </w:p>
        </w:tc>
        <w:tc>
          <w:tcPr>
            <w:tcW w:w="0" w:type="auto"/>
            <w:tcBorders>
              <w:top w:val="single" w:sz="4" w:space="0" w:color="auto"/>
              <w:left w:val="nil"/>
              <w:bottom w:val="single" w:sz="4" w:space="0" w:color="auto"/>
              <w:right w:val="single" w:sz="4" w:space="0" w:color="auto"/>
            </w:tcBorders>
            <w:noWrap/>
            <w:vAlign w:val="bottom"/>
            <w:hideMark/>
          </w:tcPr>
          <w:p w14:paraId="7E541FF9"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DIO (Days)</w:t>
            </w:r>
          </w:p>
        </w:tc>
        <w:tc>
          <w:tcPr>
            <w:tcW w:w="0" w:type="auto"/>
            <w:tcBorders>
              <w:top w:val="single" w:sz="4" w:space="0" w:color="auto"/>
              <w:left w:val="nil"/>
              <w:bottom w:val="single" w:sz="4" w:space="0" w:color="auto"/>
              <w:right w:val="single" w:sz="4" w:space="0" w:color="auto"/>
            </w:tcBorders>
            <w:noWrap/>
            <w:vAlign w:val="bottom"/>
            <w:hideMark/>
          </w:tcPr>
          <w:p w14:paraId="7C5B880B"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DSO (Days)</w:t>
            </w:r>
          </w:p>
        </w:tc>
        <w:tc>
          <w:tcPr>
            <w:tcW w:w="0" w:type="auto"/>
            <w:tcBorders>
              <w:top w:val="single" w:sz="4" w:space="0" w:color="auto"/>
              <w:left w:val="nil"/>
              <w:bottom w:val="single" w:sz="4" w:space="0" w:color="auto"/>
              <w:right w:val="single" w:sz="4" w:space="0" w:color="auto"/>
            </w:tcBorders>
            <w:noWrap/>
            <w:vAlign w:val="bottom"/>
            <w:hideMark/>
          </w:tcPr>
          <w:p w14:paraId="5E7F001C"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DPO (Days)</w:t>
            </w:r>
          </w:p>
        </w:tc>
        <w:tc>
          <w:tcPr>
            <w:tcW w:w="0" w:type="auto"/>
            <w:tcBorders>
              <w:top w:val="single" w:sz="4" w:space="0" w:color="auto"/>
              <w:left w:val="nil"/>
              <w:bottom w:val="single" w:sz="4" w:space="0" w:color="auto"/>
              <w:right w:val="single" w:sz="4" w:space="0" w:color="auto"/>
            </w:tcBorders>
            <w:noWrap/>
            <w:vAlign w:val="bottom"/>
            <w:hideMark/>
          </w:tcPr>
          <w:p w14:paraId="49342496"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Cash Operating Cycle (Days)</w:t>
            </w:r>
          </w:p>
        </w:tc>
      </w:tr>
      <w:tr w:rsidR="001F0E4B" w:rsidRPr="00EF774C" w14:paraId="1A207CF4"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0C04DE5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2021</w:t>
            </w:r>
          </w:p>
        </w:tc>
        <w:tc>
          <w:tcPr>
            <w:tcW w:w="0" w:type="auto"/>
            <w:tcBorders>
              <w:top w:val="nil"/>
              <w:left w:val="nil"/>
              <w:bottom w:val="single" w:sz="4" w:space="0" w:color="auto"/>
              <w:right w:val="single" w:sz="4" w:space="0" w:color="auto"/>
            </w:tcBorders>
            <w:noWrap/>
            <w:vAlign w:val="bottom"/>
            <w:hideMark/>
          </w:tcPr>
          <w:p w14:paraId="31D3923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1C9E230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58.12</w:t>
            </w:r>
          </w:p>
        </w:tc>
        <w:tc>
          <w:tcPr>
            <w:tcW w:w="0" w:type="auto"/>
            <w:tcBorders>
              <w:top w:val="nil"/>
              <w:left w:val="nil"/>
              <w:bottom w:val="single" w:sz="4" w:space="0" w:color="auto"/>
              <w:right w:val="single" w:sz="4" w:space="0" w:color="auto"/>
            </w:tcBorders>
            <w:noWrap/>
            <w:vAlign w:val="bottom"/>
            <w:hideMark/>
          </w:tcPr>
          <w:p w14:paraId="79B36AF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24.44</w:t>
            </w:r>
          </w:p>
        </w:tc>
        <w:tc>
          <w:tcPr>
            <w:tcW w:w="0" w:type="auto"/>
            <w:tcBorders>
              <w:top w:val="nil"/>
              <w:left w:val="nil"/>
              <w:bottom w:val="single" w:sz="4" w:space="0" w:color="auto"/>
              <w:right w:val="single" w:sz="4" w:space="0" w:color="auto"/>
            </w:tcBorders>
            <w:noWrap/>
            <w:vAlign w:val="bottom"/>
            <w:hideMark/>
          </w:tcPr>
          <w:p w14:paraId="731C276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33.67</w:t>
            </w:r>
          </w:p>
        </w:tc>
      </w:tr>
      <w:tr w:rsidR="001F0E4B" w:rsidRPr="00EF774C" w14:paraId="2A23F7EC"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6B664AB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2022</w:t>
            </w:r>
          </w:p>
        </w:tc>
        <w:tc>
          <w:tcPr>
            <w:tcW w:w="0" w:type="auto"/>
            <w:tcBorders>
              <w:top w:val="nil"/>
              <w:left w:val="nil"/>
              <w:bottom w:val="single" w:sz="4" w:space="0" w:color="auto"/>
              <w:right w:val="single" w:sz="4" w:space="0" w:color="auto"/>
            </w:tcBorders>
            <w:noWrap/>
            <w:vAlign w:val="bottom"/>
            <w:hideMark/>
          </w:tcPr>
          <w:p w14:paraId="4E4D69E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0AE3D27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53.79</w:t>
            </w:r>
          </w:p>
        </w:tc>
        <w:tc>
          <w:tcPr>
            <w:tcW w:w="0" w:type="auto"/>
            <w:tcBorders>
              <w:top w:val="nil"/>
              <w:left w:val="nil"/>
              <w:bottom w:val="single" w:sz="4" w:space="0" w:color="auto"/>
              <w:right w:val="single" w:sz="4" w:space="0" w:color="auto"/>
            </w:tcBorders>
            <w:noWrap/>
            <w:vAlign w:val="bottom"/>
            <w:hideMark/>
          </w:tcPr>
          <w:p w14:paraId="610D6D5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20.51</w:t>
            </w:r>
          </w:p>
        </w:tc>
        <w:tc>
          <w:tcPr>
            <w:tcW w:w="0" w:type="auto"/>
            <w:tcBorders>
              <w:top w:val="nil"/>
              <w:left w:val="nil"/>
              <w:bottom w:val="single" w:sz="4" w:space="0" w:color="auto"/>
              <w:right w:val="single" w:sz="4" w:space="0" w:color="auto"/>
            </w:tcBorders>
            <w:noWrap/>
            <w:vAlign w:val="bottom"/>
            <w:hideMark/>
          </w:tcPr>
          <w:p w14:paraId="5B280A6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33.28</w:t>
            </w:r>
          </w:p>
        </w:tc>
      </w:tr>
      <w:tr w:rsidR="001F0E4B" w:rsidRPr="00EF774C" w14:paraId="0A777BCC"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40EADEC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2023</w:t>
            </w:r>
          </w:p>
        </w:tc>
        <w:tc>
          <w:tcPr>
            <w:tcW w:w="0" w:type="auto"/>
            <w:tcBorders>
              <w:top w:val="nil"/>
              <w:left w:val="nil"/>
              <w:bottom w:val="single" w:sz="4" w:space="0" w:color="auto"/>
              <w:right w:val="single" w:sz="4" w:space="0" w:color="auto"/>
            </w:tcBorders>
            <w:noWrap/>
            <w:vAlign w:val="bottom"/>
            <w:hideMark/>
          </w:tcPr>
          <w:p w14:paraId="0D71E53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6573562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47.72</w:t>
            </w:r>
          </w:p>
        </w:tc>
        <w:tc>
          <w:tcPr>
            <w:tcW w:w="0" w:type="auto"/>
            <w:tcBorders>
              <w:top w:val="nil"/>
              <w:left w:val="nil"/>
              <w:bottom w:val="single" w:sz="4" w:space="0" w:color="auto"/>
              <w:right w:val="single" w:sz="4" w:space="0" w:color="auto"/>
            </w:tcBorders>
            <w:noWrap/>
            <w:vAlign w:val="bottom"/>
            <w:hideMark/>
          </w:tcPr>
          <w:p w14:paraId="14BD1AF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20.81</w:t>
            </w:r>
          </w:p>
        </w:tc>
        <w:tc>
          <w:tcPr>
            <w:tcW w:w="0" w:type="auto"/>
            <w:tcBorders>
              <w:top w:val="nil"/>
              <w:left w:val="nil"/>
              <w:bottom w:val="single" w:sz="4" w:space="0" w:color="auto"/>
              <w:right w:val="single" w:sz="4" w:space="0" w:color="auto"/>
            </w:tcBorders>
            <w:noWrap/>
            <w:vAlign w:val="bottom"/>
            <w:hideMark/>
          </w:tcPr>
          <w:p w14:paraId="35BF644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26.91</w:t>
            </w:r>
          </w:p>
        </w:tc>
      </w:tr>
      <w:tr w:rsidR="001F0E4B" w:rsidRPr="00EF774C" w14:paraId="19FFCB74"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24D4FFD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2024</w:t>
            </w:r>
          </w:p>
        </w:tc>
        <w:tc>
          <w:tcPr>
            <w:tcW w:w="0" w:type="auto"/>
            <w:tcBorders>
              <w:top w:val="nil"/>
              <w:left w:val="nil"/>
              <w:bottom w:val="single" w:sz="4" w:space="0" w:color="auto"/>
              <w:right w:val="single" w:sz="4" w:space="0" w:color="auto"/>
            </w:tcBorders>
            <w:noWrap/>
            <w:vAlign w:val="bottom"/>
            <w:hideMark/>
          </w:tcPr>
          <w:p w14:paraId="1A671CC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00C7604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51.43</w:t>
            </w:r>
          </w:p>
        </w:tc>
        <w:tc>
          <w:tcPr>
            <w:tcW w:w="0" w:type="auto"/>
            <w:tcBorders>
              <w:top w:val="nil"/>
              <w:left w:val="nil"/>
              <w:bottom w:val="single" w:sz="4" w:space="0" w:color="auto"/>
              <w:right w:val="single" w:sz="4" w:space="0" w:color="auto"/>
            </w:tcBorders>
            <w:noWrap/>
            <w:vAlign w:val="bottom"/>
            <w:hideMark/>
          </w:tcPr>
          <w:p w14:paraId="7BC430F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17.13</w:t>
            </w:r>
          </w:p>
        </w:tc>
        <w:tc>
          <w:tcPr>
            <w:tcW w:w="0" w:type="auto"/>
            <w:tcBorders>
              <w:top w:val="nil"/>
              <w:left w:val="nil"/>
              <w:bottom w:val="single" w:sz="4" w:space="0" w:color="auto"/>
              <w:right w:val="single" w:sz="4" w:space="0" w:color="auto"/>
            </w:tcBorders>
            <w:noWrap/>
            <w:vAlign w:val="bottom"/>
            <w:hideMark/>
          </w:tcPr>
          <w:p w14:paraId="3096888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34.31</w:t>
            </w:r>
          </w:p>
        </w:tc>
      </w:tr>
      <w:tr w:rsidR="001F0E4B" w:rsidRPr="00EF774C" w14:paraId="14CF6CB7"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052CEE0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2025</w:t>
            </w:r>
          </w:p>
        </w:tc>
        <w:tc>
          <w:tcPr>
            <w:tcW w:w="0" w:type="auto"/>
            <w:tcBorders>
              <w:top w:val="nil"/>
              <w:left w:val="nil"/>
              <w:bottom w:val="single" w:sz="4" w:space="0" w:color="auto"/>
              <w:right w:val="single" w:sz="4" w:space="0" w:color="auto"/>
            </w:tcBorders>
            <w:noWrap/>
            <w:vAlign w:val="bottom"/>
            <w:hideMark/>
          </w:tcPr>
          <w:p w14:paraId="27B3F73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3E205BD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50.98</w:t>
            </w:r>
          </w:p>
        </w:tc>
        <w:tc>
          <w:tcPr>
            <w:tcW w:w="0" w:type="auto"/>
            <w:tcBorders>
              <w:top w:val="nil"/>
              <w:left w:val="nil"/>
              <w:bottom w:val="single" w:sz="4" w:space="0" w:color="auto"/>
              <w:right w:val="single" w:sz="4" w:space="0" w:color="auto"/>
            </w:tcBorders>
            <w:noWrap/>
            <w:vAlign w:val="bottom"/>
            <w:hideMark/>
          </w:tcPr>
          <w:p w14:paraId="7A71076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15.99</w:t>
            </w:r>
          </w:p>
        </w:tc>
        <w:tc>
          <w:tcPr>
            <w:tcW w:w="0" w:type="auto"/>
            <w:tcBorders>
              <w:top w:val="nil"/>
              <w:left w:val="nil"/>
              <w:bottom w:val="single" w:sz="4" w:space="0" w:color="auto"/>
              <w:right w:val="single" w:sz="4" w:space="0" w:color="auto"/>
            </w:tcBorders>
            <w:noWrap/>
            <w:vAlign w:val="bottom"/>
            <w:hideMark/>
          </w:tcPr>
          <w:p w14:paraId="5D36A7C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35.00</w:t>
            </w:r>
          </w:p>
        </w:tc>
      </w:tr>
    </w:tbl>
    <w:p w14:paraId="748A5FC6" w14:textId="77777777" w:rsidR="001F0E4B" w:rsidRDefault="001F0E4B" w:rsidP="001F0E4B">
      <w:pPr>
        <w:rPr>
          <w:lang w:val="en-GB"/>
        </w:rPr>
      </w:pPr>
    </w:p>
    <w:p w14:paraId="7B893114" w14:textId="77777777" w:rsidR="001F0E4B" w:rsidRDefault="001F0E4B" w:rsidP="001F0E4B">
      <w:pPr>
        <w:jc w:val="center"/>
        <w:rPr>
          <w:lang w:val="en-GB"/>
        </w:rPr>
      </w:pPr>
      <w:r>
        <w:rPr>
          <w:noProof/>
        </w:rPr>
        <w:drawing>
          <wp:inline distT="0" distB="0" distL="0" distR="0" wp14:anchorId="1DCD6A05" wp14:editId="6C690746">
            <wp:extent cx="4572000" cy="2743200"/>
            <wp:effectExtent l="0" t="0" r="0" b="0"/>
            <wp:docPr id="1318445910" name="Chart 1">
              <a:extLst xmlns:a="http://schemas.openxmlformats.org/drawingml/2006/main">
                <a:ext uri="{FF2B5EF4-FFF2-40B4-BE49-F238E27FC236}">
                  <a16:creationId xmlns:a16="http://schemas.microsoft.com/office/drawing/2014/main" id="{803BD214-4781-4402-A49B-280DA6E40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592CB9BC" w14:textId="77777777" w:rsidR="001F0E4B" w:rsidRDefault="001F0E4B" w:rsidP="001F0E4B">
      <w:pPr>
        <w:jc w:val="center"/>
        <w:rPr>
          <w:lang w:val="en-GB"/>
        </w:rPr>
      </w:pPr>
      <w:r>
        <w:rPr>
          <w:noProof/>
        </w:rPr>
        <w:lastRenderedPageBreak/>
        <w:drawing>
          <wp:inline distT="0" distB="0" distL="0" distR="0" wp14:anchorId="1448F0E2" wp14:editId="4D4DC9AB">
            <wp:extent cx="4572000" cy="2743200"/>
            <wp:effectExtent l="0" t="0" r="0" b="0"/>
            <wp:docPr id="208980536" name="Chart 1">
              <a:extLst xmlns:a="http://schemas.openxmlformats.org/drawingml/2006/main">
                <a:ext uri="{FF2B5EF4-FFF2-40B4-BE49-F238E27FC236}">
                  <a16:creationId xmlns:a16="http://schemas.microsoft.com/office/drawing/2014/main" id="{F22501A7-5395-40D6-8663-8F8F45C54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23DE49AD" w14:textId="77777777" w:rsidR="001F0E4B" w:rsidRDefault="001F0E4B" w:rsidP="001F0E4B">
      <w:pPr>
        <w:jc w:val="center"/>
        <w:rPr>
          <w:lang w:val="en-GB"/>
        </w:rPr>
      </w:pPr>
      <w:r>
        <w:rPr>
          <w:noProof/>
        </w:rPr>
        <w:drawing>
          <wp:inline distT="0" distB="0" distL="0" distR="0" wp14:anchorId="3C3E8E79" wp14:editId="46EC7A45">
            <wp:extent cx="4572000" cy="2743200"/>
            <wp:effectExtent l="0" t="0" r="0" b="0"/>
            <wp:docPr id="1809249337" name="Chart 1">
              <a:extLst xmlns:a="http://schemas.openxmlformats.org/drawingml/2006/main">
                <a:ext uri="{FF2B5EF4-FFF2-40B4-BE49-F238E27FC236}">
                  <a16:creationId xmlns:a16="http://schemas.microsoft.com/office/drawing/2014/main" id="{313FD73E-D024-40FF-AAFD-DE480D95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21BD264D" w14:textId="77777777" w:rsidR="001F0E4B" w:rsidRDefault="001F0E4B" w:rsidP="001F0E4B">
      <w:pPr>
        <w:jc w:val="center"/>
        <w:rPr>
          <w:lang w:val="en-GB"/>
        </w:rPr>
      </w:pPr>
      <w:r>
        <w:rPr>
          <w:noProof/>
        </w:rPr>
        <w:lastRenderedPageBreak/>
        <w:drawing>
          <wp:inline distT="0" distB="0" distL="0" distR="0" wp14:anchorId="791B7963" wp14:editId="2E0CC061">
            <wp:extent cx="4572000" cy="2743200"/>
            <wp:effectExtent l="0" t="0" r="0" b="0"/>
            <wp:docPr id="538918048" name="Chart 1">
              <a:extLst xmlns:a="http://schemas.openxmlformats.org/drawingml/2006/main">
                <a:ext uri="{FF2B5EF4-FFF2-40B4-BE49-F238E27FC236}">
                  <a16:creationId xmlns:a16="http://schemas.microsoft.com/office/drawing/2014/main" id="{31795ADE-6C75-4E16-A4BD-365118497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70731124" w14:textId="77777777" w:rsidR="001F0E4B" w:rsidRDefault="001F0E4B" w:rsidP="001F0E4B">
      <w:pPr>
        <w:jc w:val="center"/>
        <w:rPr>
          <w:lang w:val="en-GB"/>
        </w:rPr>
      </w:pPr>
      <w:r>
        <w:rPr>
          <w:noProof/>
        </w:rPr>
        <w:drawing>
          <wp:inline distT="0" distB="0" distL="0" distR="0" wp14:anchorId="3A3D14FE" wp14:editId="545B2040">
            <wp:extent cx="4572000" cy="2743200"/>
            <wp:effectExtent l="0" t="0" r="0" b="0"/>
            <wp:docPr id="898671903" name="Chart 1">
              <a:extLst xmlns:a="http://schemas.openxmlformats.org/drawingml/2006/main">
                <a:ext uri="{FF2B5EF4-FFF2-40B4-BE49-F238E27FC236}">
                  <a16:creationId xmlns:a16="http://schemas.microsoft.com/office/drawing/2014/main" id="{D53F0B8B-72CE-48B0-B237-DAA979D84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096582A0" w14:textId="77777777" w:rsidR="001F0E4B" w:rsidRDefault="001F0E4B" w:rsidP="001F0E4B">
      <w:pPr>
        <w:jc w:val="center"/>
        <w:rPr>
          <w:lang w:val="en-GB"/>
        </w:rPr>
      </w:pPr>
      <w:r>
        <w:rPr>
          <w:noProof/>
        </w:rPr>
        <w:lastRenderedPageBreak/>
        <w:drawing>
          <wp:inline distT="0" distB="0" distL="0" distR="0" wp14:anchorId="46F11822" wp14:editId="2A37A4DF">
            <wp:extent cx="4572000" cy="2743200"/>
            <wp:effectExtent l="0" t="0" r="0" b="0"/>
            <wp:docPr id="479072786" name="Chart 1">
              <a:extLst xmlns:a="http://schemas.openxmlformats.org/drawingml/2006/main">
                <a:ext uri="{FF2B5EF4-FFF2-40B4-BE49-F238E27FC236}">
                  <a16:creationId xmlns:a16="http://schemas.microsoft.com/office/drawing/2014/main" id="{74B36472-B704-4D0E-8EBD-9EA522ED1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1650E103" w14:textId="77777777" w:rsidR="001F0E4B" w:rsidRPr="007264BB" w:rsidRDefault="001F0E4B" w:rsidP="001F0E4B">
      <w:pPr>
        <w:jc w:val="center"/>
        <w:rPr>
          <w:lang w:val="en-GB"/>
        </w:rPr>
      </w:pPr>
      <w:r>
        <w:rPr>
          <w:noProof/>
        </w:rPr>
        <w:drawing>
          <wp:inline distT="0" distB="0" distL="0" distR="0" wp14:anchorId="33BCD4A8" wp14:editId="6E36FC1B">
            <wp:extent cx="5010150" cy="2000250"/>
            <wp:effectExtent l="0" t="0" r="0" b="0"/>
            <wp:docPr id="170041700" name="Chart 1">
              <a:extLst xmlns:a="http://schemas.openxmlformats.org/drawingml/2006/main">
                <a:ext uri="{FF2B5EF4-FFF2-40B4-BE49-F238E27FC236}">
                  <a16:creationId xmlns:a16="http://schemas.microsoft.com/office/drawing/2014/main" id="{75D6BBD0-0125-043E-4283-3884D5E26B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37D4DC00" w14:textId="77777777" w:rsidR="001F0E4B" w:rsidRPr="008A00D2" w:rsidRDefault="001F0E4B" w:rsidP="001F0E4B">
      <w:pPr>
        <w:jc w:val="center"/>
        <w:rPr>
          <w:lang w:val="en-GB"/>
        </w:rPr>
      </w:pPr>
    </w:p>
    <w:p w14:paraId="7C08B068" w14:textId="77777777" w:rsidR="001F0E4B" w:rsidRPr="008A00D2" w:rsidRDefault="001F0E4B" w:rsidP="001F0E4B">
      <w:pPr>
        <w:spacing w:before="0" w:after="160" w:line="278" w:lineRule="auto"/>
        <w:jc w:val="left"/>
        <w:rPr>
          <w:rFonts w:eastAsiaTheme="majorEastAsia" w:cstheme="majorBidi"/>
          <w:b/>
          <w:sz w:val="26"/>
          <w:szCs w:val="32"/>
          <w:lang w:val="en-GB"/>
        </w:rPr>
      </w:pPr>
      <w:r w:rsidRPr="008A00D2">
        <w:rPr>
          <w:lang w:val="en-GB"/>
        </w:rPr>
        <w:br w:type="page"/>
      </w:r>
    </w:p>
    <w:p w14:paraId="74647FC3" w14:textId="77777777" w:rsidR="001F0E4B" w:rsidRDefault="001F0E4B" w:rsidP="001F0E4B">
      <w:pPr>
        <w:pStyle w:val="Heading2"/>
        <w:rPr>
          <w:lang w:val="en-GB"/>
        </w:rPr>
      </w:pPr>
      <w:bookmarkStart w:id="37" w:name="_Toc235897067"/>
      <w:r w:rsidRPr="008A00D2">
        <w:rPr>
          <w:lang w:val="en-GB"/>
        </w:rPr>
        <w:lastRenderedPageBreak/>
        <w:t xml:space="preserve">Appendix </w:t>
      </w:r>
      <w:r>
        <w:rPr>
          <w:lang w:val="en-GB"/>
        </w:rPr>
        <w:t>B</w:t>
      </w:r>
      <w:r w:rsidRPr="008A00D2">
        <w:rPr>
          <w:lang w:val="en-GB"/>
        </w:rPr>
        <w:t>: Investment Appraisal</w:t>
      </w:r>
      <w:bookmarkEnd w:id="37"/>
      <w:r w:rsidRPr="008A00D2">
        <w:rPr>
          <w:lang w:val="en-GB"/>
        </w:rPr>
        <w:t xml:space="preserve"> </w:t>
      </w:r>
    </w:p>
    <w:p w14:paraId="4FBF6696" w14:textId="77777777" w:rsidR="00F83081" w:rsidRPr="00F83081" w:rsidRDefault="00F83081" w:rsidP="00F83081">
      <w:pPr>
        <w:rPr>
          <w:lang w:val="en-GB"/>
        </w:rPr>
      </w:pPr>
    </w:p>
    <w:tbl>
      <w:tblPr>
        <w:tblW w:w="9397" w:type="dxa"/>
        <w:tblLook w:val="04A0" w:firstRow="1" w:lastRow="0" w:firstColumn="1" w:lastColumn="0" w:noHBand="0" w:noVBand="1"/>
      </w:tblPr>
      <w:tblGrid>
        <w:gridCol w:w="1539"/>
        <w:gridCol w:w="1740"/>
        <w:gridCol w:w="1361"/>
        <w:gridCol w:w="738"/>
        <w:gridCol w:w="1361"/>
        <w:gridCol w:w="738"/>
        <w:gridCol w:w="1361"/>
        <w:gridCol w:w="738"/>
      </w:tblGrid>
      <w:tr w:rsidR="001F0E4B" w:rsidRPr="00EF774C" w14:paraId="41536867" w14:textId="77777777" w:rsidTr="00016C37">
        <w:trPr>
          <w:trHeight w:val="260"/>
        </w:trPr>
        <w:tc>
          <w:tcPr>
            <w:tcW w:w="1613" w:type="dxa"/>
            <w:vMerge w:val="restart"/>
            <w:tcBorders>
              <w:top w:val="single" w:sz="4" w:space="0" w:color="auto"/>
              <w:left w:val="single" w:sz="4" w:space="0" w:color="auto"/>
              <w:bottom w:val="single" w:sz="4" w:space="0" w:color="000000"/>
              <w:right w:val="single" w:sz="4" w:space="0" w:color="auto"/>
            </w:tcBorders>
            <w:shd w:val="clear" w:color="000000" w:fill="D9D9D9"/>
            <w:noWrap/>
            <w:vAlign w:val="center"/>
            <w:hideMark/>
          </w:tcPr>
          <w:p w14:paraId="4E8650F4"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Year</w:t>
            </w:r>
          </w:p>
        </w:tc>
        <w:tc>
          <w:tcPr>
            <w:tcW w:w="1826" w:type="dxa"/>
            <w:vMerge w:val="restart"/>
            <w:tcBorders>
              <w:top w:val="single" w:sz="4" w:space="0" w:color="auto"/>
              <w:left w:val="single" w:sz="4" w:space="0" w:color="auto"/>
              <w:bottom w:val="single" w:sz="4" w:space="0" w:color="000000"/>
              <w:right w:val="single" w:sz="4" w:space="0" w:color="auto"/>
            </w:tcBorders>
            <w:shd w:val="clear" w:color="000000" w:fill="D9D9D9"/>
            <w:noWrap/>
            <w:vAlign w:val="center"/>
            <w:hideMark/>
          </w:tcPr>
          <w:p w14:paraId="11DC76E3"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DF (cost rate = 8%)</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51C99890"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Project A</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3DEEABB2"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Project B</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083DAE46"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Project C</w:t>
            </w:r>
          </w:p>
        </w:tc>
      </w:tr>
      <w:tr w:rsidR="001F0E4B" w:rsidRPr="00EF774C" w14:paraId="44BB97FE" w14:textId="77777777" w:rsidTr="00016C37">
        <w:trPr>
          <w:trHeight w:val="260"/>
        </w:trPr>
        <w:tc>
          <w:tcPr>
            <w:tcW w:w="1613" w:type="dxa"/>
            <w:vMerge/>
            <w:tcBorders>
              <w:top w:val="single" w:sz="4" w:space="0" w:color="auto"/>
              <w:left w:val="single" w:sz="4" w:space="0" w:color="auto"/>
              <w:bottom w:val="single" w:sz="4" w:space="0" w:color="000000"/>
              <w:right w:val="single" w:sz="4" w:space="0" w:color="auto"/>
            </w:tcBorders>
            <w:vAlign w:val="center"/>
            <w:hideMark/>
          </w:tcPr>
          <w:p w14:paraId="37D9215E" w14:textId="77777777" w:rsidR="001F0E4B" w:rsidRPr="00EF774C" w:rsidRDefault="001F0E4B" w:rsidP="00016C37">
            <w:pPr>
              <w:spacing w:before="0" w:after="0" w:line="240" w:lineRule="auto"/>
              <w:jc w:val="left"/>
              <w:rPr>
                <w:rFonts w:eastAsia="Times New Roman" w:cs="Arial"/>
                <w:b/>
                <w:bCs/>
                <w:color w:val="000000"/>
                <w:kern w:val="0"/>
              </w:rPr>
            </w:pPr>
          </w:p>
        </w:tc>
        <w:tc>
          <w:tcPr>
            <w:tcW w:w="1826" w:type="dxa"/>
            <w:vMerge/>
            <w:tcBorders>
              <w:top w:val="single" w:sz="4" w:space="0" w:color="auto"/>
              <w:left w:val="single" w:sz="4" w:space="0" w:color="auto"/>
              <w:bottom w:val="single" w:sz="4" w:space="0" w:color="000000"/>
              <w:right w:val="single" w:sz="4" w:space="0" w:color="auto"/>
            </w:tcBorders>
            <w:vAlign w:val="center"/>
            <w:hideMark/>
          </w:tcPr>
          <w:p w14:paraId="1FE1E6D8" w14:textId="77777777" w:rsidR="001F0E4B" w:rsidRPr="00EF774C" w:rsidRDefault="001F0E4B" w:rsidP="00016C37">
            <w:pPr>
              <w:spacing w:before="0" w:after="0" w:line="240" w:lineRule="auto"/>
              <w:jc w:val="left"/>
              <w:rPr>
                <w:rFonts w:eastAsia="Times New Roman" w:cs="Arial"/>
                <w:b/>
                <w:bCs/>
                <w:color w:val="000000"/>
                <w:kern w:val="0"/>
              </w:rPr>
            </w:pP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3861C230"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Cash Flow (£m)</w:t>
            </w: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19637D7D"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Cash Flow (£m)</w:t>
            </w: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18D1D3EB" w14:textId="77777777" w:rsidR="001F0E4B" w:rsidRPr="00EF774C" w:rsidRDefault="001F0E4B" w:rsidP="00016C37">
            <w:pPr>
              <w:spacing w:before="0" w:after="0" w:line="240" w:lineRule="auto"/>
              <w:jc w:val="center"/>
              <w:rPr>
                <w:rFonts w:eastAsia="Times New Roman" w:cs="Arial"/>
                <w:b/>
                <w:bCs/>
                <w:color w:val="000000"/>
                <w:kern w:val="0"/>
              </w:rPr>
            </w:pPr>
            <w:r w:rsidRPr="00EF774C">
              <w:rPr>
                <w:rFonts w:eastAsia="Times New Roman" w:cs="Arial"/>
                <w:b/>
                <w:bCs/>
                <w:color w:val="000000"/>
                <w:kern w:val="0"/>
                <w:sz w:val="22"/>
                <w:szCs w:val="22"/>
              </w:rPr>
              <w:t>Cash Flow (£m)</w:t>
            </w:r>
          </w:p>
        </w:tc>
      </w:tr>
      <w:tr w:rsidR="001F0E4B" w:rsidRPr="00EF774C" w14:paraId="0BDCA2C6" w14:textId="77777777" w:rsidTr="00016C37">
        <w:trPr>
          <w:trHeight w:val="260"/>
        </w:trPr>
        <w:tc>
          <w:tcPr>
            <w:tcW w:w="1613" w:type="dxa"/>
            <w:vMerge/>
            <w:tcBorders>
              <w:top w:val="single" w:sz="4" w:space="0" w:color="auto"/>
              <w:left w:val="single" w:sz="4" w:space="0" w:color="auto"/>
              <w:bottom w:val="single" w:sz="4" w:space="0" w:color="000000"/>
              <w:right w:val="single" w:sz="4" w:space="0" w:color="auto"/>
            </w:tcBorders>
            <w:vAlign w:val="center"/>
            <w:hideMark/>
          </w:tcPr>
          <w:p w14:paraId="6BC2B8E6" w14:textId="77777777" w:rsidR="001F0E4B" w:rsidRPr="00EF774C" w:rsidRDefault="001F0E4B" w:rsidP="00016C37">
            <w:pPr>
              <w:spacing w:before="0" w:after="0" w:line="240" w:lineRule="auto"/>
              <w:jc w:val="left"/>
              <w:rPr>
                <w:rFonts w:eastAsia="Times New Roman" w:cs="Arial"/>
                <w:b/>
                <w:bCs/>
                <w:color w:val="000000"/>
                <w:kern w:val="0"/>
              </w:rPr>
            </w:pPr>
          </w:p>
        </w:tc>
        <w:tc>
          <w:tcPr>
            <w:tcW w:w="1826" w:type="dxa"/>
            <w:vMerge/>
            <w:tcBorders>
              <w:top w:val="single" w:sz="4" w:space="0" w:color="auto"/>
              <w:left w:val="single" w:sz="4" w:space="0" w:color="auto"/>
              <w:bottom w:val="single" w:sz="4" w:space="0" w:color="000000"/>
              <w:right w:val="single" w:sz="4" w:space="0" w:color="auto"/>
            </w:tcBorders>
            <w:vAlign w:val="center"/>
            <w:hideMark/>
          </w:tcPr>
          <w:p w14:paraId="283C304A" w14:textId="77777777" w:rsidR="001F0E4B" w:rsidRPr="00EF774C" w:rsidRDefault="001F0E4B" w:rsidP="00016C37">
            <w:pPr>
              <w:spacing w:before="0" w:after="0" w:line="240" w:lineRule="auto"/>
              <w:jc w:val="left"/>
              <w:rPr>
                <w:rFonts w:eastAsia="Times New Roman" w:cs="Arial"/>
                <w:b/>
                <w:bCs/>
                <w:color w:val="000000"/>
                <w:kern w:val="0"/>
              </w:rPr>
            </w:pPr>
          </w:p>
        </w:tc>
        <w:tc>
          <w:tcPr>
            <w:tcW w:w="1320" w:type="dxa"/>
            <w:tcBorders>
              <w:top w:val="nil"/>
              <w:left w:val="nil"/>
              <w:bottom w:val="single" w:sz="4" w:space="0" w:color="auto"/>
              <w:right w:val="single" w:sz="4" w:space="0" w:color="auto"/>
            </w:tcBorders>
            <w:shd w:val="clear" w:color="000000" w:fill="D9D9D9"/>
            <w:noWrap/>
            <w:vAlign w:val="bottom"/>
            <w:hideMark/>
          </w:tcPr>
          <w:p w14:paraId="28154D8B"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544C8BFC"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PV</w:t>
            </w:r>
          </w:p>
        </w:tc>
        <w:tc>
          <w:tcPr>
            <w:tcW w:w="1320" w:type="dxa"/>
            <w:tcBorders>
              <w:top w:val="nil"/>
              <w:left w:val="nil"/>
              <w:bottom w:val="single" w:sz="4" w:space="0" w:color="auto"/>
              <w:right w:val="single" w:sz="4" w:space="0" w:color="auto"/>
            </w:tcBorders>
            <w:shd w:val="clear" w:color="000000" w:fill="D9D9D9"/>
            <w:noWrap/>
            <w:vAlign w:val="bottom"/>
            <w:hideMark/>
          </w:tcPr>
          <w:p w14:paraId="17A32F1F"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6A53734E"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PV</w:t>
            </w:r>
          </w:p>
        </w:tc>
        <w:tc>
          <w:tcPr>
            <w:tcW w:w="1320" w:type="dxa"/>
            <w:tcBorders>
              <w:top w:val="nil"/>
              <w:left w:val="nil"/>
              <w:bottom w:val="single" w:sz="4" w:space="0" w:color="auto"/>
              <w:right w:val="single" w:sz="4" w:space="0" w:color="auto"/>
            </w:tcBorders>
            <w:shd w:val="clear" w:color="000000" w:fill="D9D9D9"/>
            <w:noWrap/>
            <w:vAlign w:val="bottom"/>
            <w:hideMark/>
          </w:tcPr>
          <w:p w14:paraId="1E7B5646"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7CA97439"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PV</w:t>
            </w:r>
          </w:p>
        </w:tc>
      </w:tr>
      <w:tr w:rsidR="001F0E4B" w:rsidRPr="00EF774C" w14:paraId="7BC29539"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2A5D4758"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0</w:t>
            </w:r>
          </w:p>
        </w:tc>
        <w:tc>
          <w:tcPr>
            <w:tcW w:w="1826" w:type="dxa"/>
            <w:tcBorders>
              <w:top w:val="nil"/>
              <w:left w:val="nil"/>
              <w:bottom w:val="single" w:sz="4" w:space="0" w:color="auto"/>
              <w:right w:val="single" w:sz="4" w:space="0" w:color="auto"/>
            </w:tcBorders>
            <w:noWrap/>
            <w:vAlign w:val="bottom"/>
            <w:hideMark/>
          </w:tcPr>
          <w:p w14:paraId="5786C46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1.0000</w:t>
            </w:r>
          </w:p>
        </w:tc>
        <w:tc>
          <w:tcPr>
            <w:tcW w:w="1320" w:type="dxa"/>
            <w:tcBorders>
              <w:top w:val="nil"/>
              <w:left w:val="nil"/>
              <w:bottom w:val="single" w:sz="4" w:space="0" w:color="auto"/>
              <w:right w:val="single" w:sz="4" w:space="0" w:color="auto"/>
            </w:tcBorders>
            <w:noWrap/>
            <w:vAlign w:val="bottom"/>
            <w:hideMark/>
          </w:tcPr>
          <w:p w14:paraId="6829573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1502E05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1320" w:type="dxa"/>
            <w:tcBorders>
              <w:top w:val="nil"/>
              <w:left w:val="nil"/>
              <w:bottom w:val="single" w:sz="4" w:space="0" w:color="auto"/>
              <w:right w:val="single" w:sz="4" w:space="0" w:color="auto"/>
            </w:tcBorders>
            <w:noWrap/>
            <w:vAlign w:val="bottom"/>
            <w:hideMark/>
          </w:tcPr>
          <w:p w14:paraId="2A657F3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12CF16E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1320" w:type="dxa"/>
            <w:tcBorders>
              <w:top w:val="nil"/>
              <w:left w:val="nil"/>
              <w:bottom w:val="single" w:sz="4" w:space="0" w:color="auto"/>
              <w:right w:val="single" w:sz="4" w:space="0" w:color="auto"/>
            </w:tcBorders>
            <w:noWrap/>
            <w:vAlign w:val="bottom"/>
            <w:hideMark/>
          </w:tcPr>
          <w:p w14:paraId="2DADC02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7DB09EA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r>
      <w:tr w:rsidR="001F0E4B" w:rsidRPr="00EF774C" w14:paraId="5E835813"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72E3ACF5"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1</w:t>
            </w:r>
          </w:p>
        </w:tc>
        <w:tc>
          <w:tcPr>
            <w:tcW w:w="1826" w:type="dxa"/>
            <w:tcBorders>
              <w:top w:val="nil"/>
              <w:left w:val="nil"/>
              <w:bottom w:val="single" w:sz="4" w:space="0" w:color="auto"/>
              <w:right w:val="single" w:sz="4" w:space="0" w:color="auto"/>
            </w:tcBorders>
            <w:noWrap/>
            <w:vAlign w:val="bottom"/>
            <w:hideMark/>
          </w:tcPr>
          <w:p w14:paraId="236F199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0.9259</w:t>
            </w:r>
          </w:p>
        </w:tc>
        <w:tc>
          <w:tcPr>
            <w:tcW w:w="1320" w:type="dxa"/>
            <w:tcBorders>
              <w:top w:val="nil"/>
              <w:left w:val="nil"/>
              <w:bottom w:val="single" w:sz="4" w:space="0" w:color="auto"/>
              <w:right w:val="single" w:sz="4" w:space="0" w:color="auto"/>
            </w:tcBorders>
            <w:noWrap/>
            <w:vAlign w:val="bottom"/>
            <w:hideMark/>
          </w:tcPr>
          <w:p w14:paraId="7835363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2C6E4BC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9.26</w:t>
            </w:r>
          </w:p>
        </w:tc>
        <w:tc>
          <w:tcPr>
            <w:tcW w:w="1320" w:type="dxa"/>
            <w:tcBorders>
              <w:top w:val="nil"/>
              <w:left w:val="nil"/>
              <w:bottom w:val="single" w:sz="4" w:space="0" w:color="auto"/>
              <w:right w:val="single" w:sz="4" w:space="0" w:color="auto"/>
            </w:tcBorders>
            <w:noWrap/>
            <w:vAlign w:val="bottom"/>
            <w:hideMark/>
          </w:tcPr>
          <w:p w14:paraId="1E5CE82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6D4407F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10.19</w:t>
            </w:r>
          </w:p>
        </w:tc>
        <w:tc>
          <w:tcPr>
            <w:tcW w:w="1320" w:type="dxa"/>
            <w:tcBorders>
              <w:top w:val="nil"/>
              <w:left w:val="nil"/>
              <w:bottom w:val="single" w:sz="4" w:space="0" w:color="auto"/>
              <w:right w:val="single" w:sz="4" w:space="0" w:color="auto"/>
            </w:tcBorders>
            <w:noWrap/>
            <w:vAlign w:val="bottom"/>
            <w:hideMark/>
          </w:tcPr>
          <w:p w14:paraId="65F2BE6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noWrap/>
            <w:vAlign w:val="bottom"/>
            <w:hideMark/>
          </w:tcPr>
          <w:p w14:paraId="2C80A69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4.63</w:t>
            </w:r>
          </w:p>
        </w:tc>
      </w:tr>
      <w:tr w:rsidR="001F0E4B" w:rsidRPr="00EF774C" w14:paraId="497DE54D"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FD6C8B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2</w:t>
            </w:r>
          </w:p>
        </w:tc>
        <w:tc>
          <w:tcPr>
            <w:tcW w:w="1826" w:type="dxa"/>
            <w:tcBorders>
              <w:top w:val="nil"/>
              <w:left w:val="nil"/>
              <w:bottom w:val="single" w:sz="4" w:space="0" w:color="auto"/>
              <w:right w:val="single" w:sz="4" w:space="0" w:color="auto"/>
            </w:tcBorders>
            <w:noWrap/>
            <w:vAlign w:val="bottom"/>
            <w:hideMark/>
          </w:tcPr>
          <w:p w14:paraId="1DDED8F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0.8573</w:t>
            </w:r>
          </w:p>
        </w:tc>
        <w:tc>
          <w:tcPr>
            <w:tcW w:w="1320" w:type="dxa"/>
            <w:tcBorders>
              <w:top w:val="nil"/>
              <w:left w:val="nil"/>
              <w:bottom w:val="single" w:sz="4" w:space="0" w:color="auto"/>
              <w:right w:val="single" w:sz="4" w:space="0" w:color="auto"/>
            </w:tcBorders>
            <w:noWrap/>
            <w:vAlign w:val="bottom"/>
            <w:hideMark/>
          </w:tcPr>
          <w:p w14:paraId="0936567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w:t>
            </w:r>
          </w:p>
        </w:tc>
        <w:tc>
          <w:tcPr>
            <w:tcW w:w="665" w:type="dxa"/>
            <w:tcBorders>
              <w:top w:val="nil"/>
              <w:left w:val="nil"/>
              <w:bottom w:val="single" w:sz="4" w:space="0" w:color="auto"/>
              <w:right w:val="single" w:sz="4" w:space="0" w:color="auto"/>
            </w:tcBorders>
            <w:noWrap/>
            <w:vAlign w:val="bottom"/>
            <w:hideMark/>
          </w:tcPr>
          <w:p w14:paraId="04A0122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10.29</w:t>
            </w:r>
          </w:p>
        </w:tc>
        <w:tc>
          <w:tcPr>
            <w:tcW w:w="1320" w:type="dxa"/>
            <w:tcBorders>
              <w:top w:val="nil"/>
              <w:left w:val="nil"/>
              <w:bottom w:val="single" w:sz="4" w:space="0" w:color="auto"/>
              <w:right w:val="single" w:sz="4" w:space="0" w:color="auto"/>
            </w:tcBorders>
            <w:noWrap/>
            <w:vAlign w:val="bottom"/>
            <w:hideMark/>
          </w:tcPr>
          <w:p w14:paraId="0BE57D3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7E00B9E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9.43</w:t>
            </w:r>
          </w:p>
        </w:tc>
        <w:tc>
          <w:tcPr>
            <w:tcW w:w="1320" w:type="dxa"/>
            <w:tcBorders>
              <w:top w:val="nil"/>
              <w:left w:val="nil"/>
              <w:bottom w:val="single" w:sz="4" w:space="0" w:color="auto"/>
              <w:right w:val="single" w:sz="4" w:space="0" w:color="auto"/>
            </w:tcBorders>
            <w:noWrap/>
            <w:vAlign w:val="bottom"/>
            <w:hideMark/>
          </w:tcPr>
          <w:p w14:paraId="7CE8015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6B87881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8.57</w:t>
            </w:r>
          </w:p>
        </w:tc>
      </w:tr>
      <w:tr w:rsidR="001F0E4B" w:rsidRPr="00EF774C" w14:paraId="1C9A85CF"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7DD2A54B"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3</w:t>
            </w:r>
          </w:p>
        </w:tc>
        <w:tc>
          <w:tcPr>
            <w:tcW w:w="1826" w:type="dxa"/>
            <w:tcBorders>
              <w:top w:val="nil"/>
              <w:left w:val="nil"/>
              <w:bottom w:val="single" w:sz="4" w:space="0" w:color="auto"/>
              <w:right w:val="single" w:sz="4" w:space="0" w:color="auto"/>
            </w:tcBorders>
            <w:noWrap/>
            <w:vAlign w:val="bottom"/>
            <w:hideMark/>
          </w:tcPr>
          <w:p w14:paraId="151C24C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0.7938</w:t>
            </w:r>
          </w:p>
        </w:tc>
        <w:tc>
          <w:tcPr>
            <w:tcW w:w="1320" w:type="dxa"/>
            <w:tcBorders>
              <w:top w:val="nil"/>
              <w:left w:val="nil"/>
              <w:bottom w:val="single" w:sz="4" w:space="0" w:color="auto"/>
              <w:right w:val="single" w:sz="4" w:space="0" w:color="auto"/>
            </w:tcBorders>
            <w:noWrap/>
            <w:vAlign w:val="bottom"/>
            <w:hideMark/>
          </w:tcPr>
          <w:p w14:paraId="73BBF44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14</w:t>
            </w:r>
          </w:p>
        </w:tc>
        <w:tc>
          <w:tcPr>
            <w:tcW w:w="665" w:type="dxa"/>
            <w:tcBorders>
              <w:top w:val="nil"/>
              <w:left w:val="nil"/>
              <w:bottom w:val="single" w:sz="4" w:space="0" w:color="auto"/>
              <w:right w:val="single" w:sz="4" w:space="0" w:color="auto"/>
            </w:tcBorders>
            <w:noWrap/>
            <w:vAlign w:val="bottom"/>
            <w:hideMark/>
          </w:tcPr>
          <w:p w14:paraId="0C97500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11.11</w:t>
            </w:r>
          </w:p>
        </w:tc>
        <w:tc>
          <w:tcPr>
            <w:tcW w:w="1320" w:type="dxa"/>
            <w:tcBorders>
              <w:top w:val="nil"/>
              <w:left w:val="nil"/>
              <w:bottom w:val="single" w:sz="4" w:space="0" w:color="auto"/>
              <w:right w:val="single" w:sz="4" w:space="0" w:color="auto"/>
            </w:tcBorders>
            <w:noWrap/>
            <w:vAlign w:val="bottom"/>
            <w:hideMark/>
          </w:tcPr>
          <w:p w14:paraId="23E5659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3278592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8.73</w:t>
            </w:r>
          </w:p>
        </w:tc>
        <w:tc>
          <w:tcPr>
            <w:tcW w:w="1320" w:type="dxa"/>
            <w:tcBorders>
              <w:top w:val="nil"/>
              <w:left w:val="nil"/>
              <w:bottom w:val="single" w:sz="4" w:space="0" w:color="auto"/>
              <w:right w:val="single" w:sz="4" w:space="0" w:color="auto"/>
            </w:tcBorders>
            <w:noWrap/>
            <w:vAlign w:val="bottom"/>
            <w:hideMark/>
          </w:tcPr>
          <w:p w14:paraId="4E00350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w:t>
            </w:r>
          </w:p>
        </w:tc>
        <w:tc>
          <w:tcPr>
            <w:tcW w:w="665" w:type="dxa"/>
            <w:tcBorders>
              <w:top w:val="nil"/>
              <w:left w:val="nil"/>
              <w:bottom w:val="single" w:sz="4" w:space="0" w:color="auto"/>
              <w:right w:val="single" w:sz="4" w:space="0" w:color="auto"/>
            </w:tcBorders>
            <w:noWrap/>
            <w:vAlign w:val="bottom"/>
            <w:hideMark/>
          </w:tcPr>
          <w:p w14:paraId="790053C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15.88</w:t>
            </w:r>
          </w:p>
        </w:tc>
      </w:tr>
      <w:tr w:rsidR="001F0E4B" w:rsidRPr="00EF774C" w14:paraId="117FB7EA"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F0C168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4</w:t>
            </w:r>
          </w:p>
        </w:tc>
        <w:tc>
          <w:tcPr>
            <w:tcW w:w="1826" w:type="dxa"/>
            <w:tcBorders>
              <w:top w:val="nil"/>
              <w:left w:val="nil"/>
              <w:bottom w:val="single" w:sz="4" w:space="0" w:color="auto"/>
              <w:right w:val="single" w:sz="4" w:space="0" w:color="auto"/>
            </w:tcBorders>
            <w:noWrap/>
            <w:vAlign w:val="bottom"/>
            <w:hideMark/>
          </w:tcPr>
          <w:p w14:paraId="3DCA6D4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0.7350</w:t>
            </w:r>
          </w:p>
        </w:tc>
        <w:tc>
          <w:tcPr>
            <w:tcW w:w="1320" w:type="dxa"/>
            <w:tcBorders>
              <w:top w:val="nil"/>
              <w:left w:val="nil"/>
              <w:bottom w:val="single" w:sz="4" w:space="0" w:color="auto"/>
              <w:right w:val="single" w:sz="4" w:space="0" w:color="auto"/>
            </w:tcBorders>
            <w:noWrap/>
            <w:vAlign w:val="bottom"/>
            <w:hideMark/>
          </w:tcPr>
          <w:p w14:paraId="19CF040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35DB369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7.35</w:t>
            </w:r>
          </w:p>
        </w:tc>
        <w:tc>
          <w:tcPr>
            <w:tcW w:w="1320" w:type="dxa"/>
            <w:tcBorders>
              <w:top w:val="nil"/>
              <w:left w:val="nil"/>
              <w:bottom w:val="single" w:sz="4" w:space="0" w:color="auto"/>
              <w:right w:val="single" w:sz="4" w:space="0" w:color="auto"/>
            </w:tcBorders>
            <w:noWrap/>
            <w:vAlign w:val="bottom"/>
            <w:hideMark/>
          </w:tcPr>
          <w:p w14:paraId="35CA573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2E7F8A7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8.09</w:t>
            </w:r>
          </w:p>
        </w:tc>
        <w:tc>
          <w:tcPr>
            <w:tcW w:w="1320" w:type="dxa"/>
            <w:tcBorders>
              <w:top w:val="nil"/>
              <w:left w:val="nil"/>
              <w:bottom w:val="single" w:sz="4" w:space="0" w:color="auto"/>
              <w:right w:val="single" w:sz="4" w:space="0" w:color="auto"/>
            </w:tcBorders>
            <w:noWrap/>
            <w:vAlign w:val="bottom"/>
            <w:hideMark/>
          </w:tcPr>
          <w:p w14:paraId="6DF0537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25</w:t>
            </w:r>
          </w:p>
        </w:tc>
        <w:tc>
          <w:tcPr>
            <w:tcW w:w="665" w:type="dxa"/>
            <w:tcBorders>
              <w:top w:val="nil"/>
              <w:left w:val="nil"/>
              <w:bottom w:val="single" w:sz="4" w:space="0" w:color="auto"/>
              <w:right w:val="single" w:sz="4" w:space="0" w:color="auto"/>
            </w:tcBorders>
            <w:noWrap/>
            <w:vAlign w:val="bottom"/>
            <w:hideMark/>
          </w:tcPr>
          <w:p w14:paraId="37BE102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18.38</w:t>
            </w:r>
          </w:p>
        </w:tc>
      </w:tr>
      <w:tr w:rsidR="001F0E4B" w:rsidRPr="00EF774C" w14:paraId="0E6C21E4"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BBF4181"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5</w:t>
            </w:r>
          </w:p>
        </w:tc>
        <w:tc>
          <w:tcPr>
            <w:tcW w:w="1826" w:type="dxa"/>
            <w:tcBorders>
              <w:top w:val="nil"/>
              <w:left w:val="nil"/>
              <w:bottom w:val="single" w:sz="4" w:space="0" w:color="auto"/>
              <w:right w:val="single" w:sz="4" w:space="0" w:color="auto"/>
            </w:tcBorders>
            <w:noWrap/>
            <w:vAlign w:val="bottom"/>
            <w:hideMark/>
          </w:tcPr>
          <w:p w14:paraId="2340E63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0.6806</w:t>
            </w:r>
          </w:p>
        </w:tc>
        <w:tc>
          <w:tcPr>
            <w:tcW w:w="1320" w:type="dxa"/>
            <w:tcBorders>
              <w:top w:val="nil"/>
              <w:left w:val="nil"/>
              <w:bottom w:val="single" w:sz="4" w:space="0" w:color="auto"/>
              <w:right w:val="single" w:sz="4" w:space="0" w:color="auto"/>
            </w:tcBorders>
            <w:noWrap/>
            <w:vAlign w:val="bottom"/>
            <w:hideMark/>
          </w:tcPr>
          <w:p w14:paraId="0BCD1C5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w:t>
            </w:r>
          </w:p>
        </w:tc>
        <w:tc>
          <w:tcPr>
            <w:tcW w:w="665" w:type="dxa"/>
            <w:tcBorders>
              <w:top w:val="nil"/>
              <w:left w:val="nil"/>
              <w:bottom w:val="single" w:sz="4" w:space="0" w:color="auto"/>
              <w:right w:val="single" w:sz="4" w:space="0" w:color="auto"/>
            </w:tcBorders>
            <w:noWrap/>
            <w:vAlign w:val="bottom"/>
            <w:hideMark/>
          </w:tcPr>
          <w:p w14:paraId="56C5AE5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5.44</w:t>
            </w:r>
          </w:p>
        </w:tc>
        <w:tc>
          <w:tcPr>
            <w:tcW w:w="1320" w:type="dxa"/>
            <w:tcBorders>
              <w:top w:val="nil"/>
              <w:left w:val="nil"/>
              <w:bottom w:val="single" w:sz="4" w:space="0" w:color="auto"/>
              <w:right w:val="single" w:sz="4" w:space="0" w:color="auto"/>
            </w:tcBorders>
            <w:noWrap/>
            <w:vAlign w:val="bottom"/>
            <w:hideMark/>
          </w:tcPr>
          <w:p w14:paraId="78BF27C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5866297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7.49</w:t>
            </w:r>
          </w:p>
        </w:tc>
        <w:tc>
          <w:tcPr>
            <w:tcW w:w="1320" w:type="dxa"/>
            <w:tcBorders>
              <w:top w:val="nil"/>
              <w:left w:val="nil"/>
              <w:bottom w:val="single" w:sz="4" w:space="0" w:color="auto"/>
              <w:right w:val="single" w:sz="4" w:space="0" w:color="auto"/>
            </w:tcBorders>
            <w:noWrap/>
            <w:vAlign w:val="bottom"/>
            <w:hideMark/>
          </w:tcPr>
          <w:p w14:paraId="6252170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noWrap/>
            <w:vAlign w:val="bottom"/>
            <w:hideMark/>
          </w:tcPr>
          <w:p w14:paraId="024AE62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3.4</w:t>
            </w:r>
          </w:p>
        </w:tc>
      </w:tr>
      <w:tr w:rsidR="001F0E4B" w:rsidRPr="00EF774C" w14:paraId="58C8C806" w14:textId="77777777" w:rsidTr="00016C37">
        <w:trPr>
          <w:trHeight w:val="260"/>
        </w:trPr>
        <w:tc>
          <w:tcPr>
            <w:tcW w:w="1613" w:type="dxa"/>
            <w:tcBorders>
              <w:top w:val="nil"/>
              <w:left w:val="single" w:sz="4" w:space="0" w:color="auto"/>
              <w:bottom w:val="single" w:sz="4" w:space="0" w:color="auto"/>
              <w:right w:val="single" w:sz="4" w:space="0" w:color="auto"/>
            </w:tcBorders>
            <w:shd w:val="clear" w:color="000000" w:fill="D9D9D9"/>
            <w:noWrap/>
            <w:vAlign w:val="bottom"/>
            <w:hideMark/>
          </w:tcPr>
          <w:p w14:paraId="655CD263"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Net inflows</w:t>
            </w:r>
          </w:p>
        </w:tc>
        <w:tc>
          <w:tcPr>
            <w:tcW w:w="1826" w:type="dxa"/>
            <w:tcBorders>
              <w:top w:val="nil"/>
              <w:left w:val="nil"/>
              <w:bottom w:val="single" w:sz="4" w:space="0" w:color="auto"/>
              <w:right w:val="single" w:sz="4" w:space="0" w:color="auto"/>
            </w:tcBorders>
            <w:shd w:val="clear" w:color="000000" w:fill="D9D9D9"/>
            <w:noWrap/>
            <w:vAlign w:val="bottom"/>
            <w:hideMark/>
          </w:tcPr>
          <w:p w14:paraId="35001767"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 </w:t>
            </w:r>
          </w:p>
        </w:tc>
        <w:tc>
          <w:tcPr>
            <w:tcW w:w="1320" w:type="dxa"/>
            <w:tcBorders>
              <w:top w:val="nil"/>
              <w:left w:val="nil"/>
              <w:bottom w:val="single" w:sz="4" w:space="0" w:color="auto"/>
              <w:right w:val="single" w:sz="4" w:space="0" w:color="auto"/>
            </w:tcBorders>
            <w:shd w:val="clear" w:color="000000" w:fill="D9D9D9"/>
            <w:noWrap/>
            <w:vAlign w:val="bottom"/>
            <w:hideMark/>
          </w:tcPr>
          <w:p w14:paraId="5F8E926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54</w:t>
            </w:r>
          </w:p>
        </w:tc>
        <w:tc>
          <w:tcPr>
            <w:tcW w:w="665" w:type="dxa"/>
            <w:tcBorders>
              <w:top w:val="nil"/>
              <w:left w:val="nil"/>
              <w:bottom w:val="single" w:sz="4" w:space="0" w:color="auto"/>
              <w:right w:val="single" w:sz="4" w:space="0" w:color="auto"/>
            </w:tcBorders>
            <w:shd w:val="clear" w:color="000000" w:fill="D9D9D9"/>
            <w:noWrap/>
            <w:vAlign w:val="bottom"/>
            <w:hideMark/>
          </w:tcPr>
          <w:p w14:paraId="7B94286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43.45</w:t>
            </w:r>
          </w:p>
        </w:tc>
        <w:tc>
          <w:tcPr>
            <w:tcW w:w="1320" w:type="dxa"/>
            <w:tcBorders>
              <w:top w:val="nil"/>
              <w:left w:val="nil"/>
              <w:bottom w:val="single" w:sz="4" w:space="0" w:color="auto"/>
              <w:right w:val="single" w:sz="4" w:space="0" w:color="auto"/>
            </w:tcBorders>
            <w:shd w:val="clear" w:color="000000" w:fill="D9D9D9"/>
            <w:noWrap/>
            <w:vAlign w:val="bottom"/>
            <w:hideMark/>
          </w:tcPr>
          <w:p w14:paraId="7DDFCCB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55</w:t>
            </w:r>
          </w:p>
        </w:tc>
        <w:tc>
          <w:tcPr>
            <w:tcW w:w="665" w:type="dxa"/>
            <w:tcBorders>
              <w:top w:val="nil"/>
              <w:left w:val="nil"/>
              <w:bottom w:val="single" w:sz="4" w:space="0" w:color="auto"/>
              <w:right w:val="single" w:sz="4" w:space="0" w:color="auto"/>
            </w:tcBorders>
            <w:shd w:val="clear" w:color="000000" w:fill="D9D9D9"/>
            <w:noWrap/>
            <w:vAlign w:val="bottom"/>
            <w:hideMark/>
          </w:tcPr>
          <w:p w14:paraId="0DBD70B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43.93</w:t>
            </w:r>
          </w:p>
        </w:tc>
        <w:tc>
          <w:tcPr>
            <w:tcW w:w="1320" w:type="dxa"/>
            <w:tcBorders>
              <w:top w:val="nil"/>
              <w:left w:val="nil"/>
              <w:bottom w:val="single" w:sz="4" w:space="0" w:color="auto"/>
              <w:right w:val="single" w:sz="4" w:space="0" w:color="auto"/>
            </w:tcBorders>
            <w:shd w:val="clear" w:color="000000" w:fill="D9D9D9"/>
            <w:noWrap/>
            <w:vAlign w:val="bottom"/>
            <w:hideMark/>
          </w:tcPr>
          <w:p w14:paraId="37999CB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65</w:t>
            </w:r>
          </w:p>
        </w:tc>
        <w:tc>
          <w:tcPr>
            <w:tcW w:w="665" w:type="dxa"/>
            <w:tcBorders>
              <w:top w:val="nil"/>
              <w:left w:val="nil"/>
              <w:bottom w:val="single" w:sz="4" w:space="0" w:color="auto"/>
              <w:right w:val="single" w:sz="4" w:space="0" w:color="auto"/>
            </w:tcBorders>
            <w:shd w:val="clear" w:color="000000" w:fill="D9D9D9"/>
            <w:noWrap/>
            <w:vAlign w:val="bottom"/>
            <w:hideMark/>
          </w:tcPr>
          <w:p w14:paraId="1B1D942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50.86</w:t>
            </w:r>
          </w:p>
        </w:tc>
      </w:tr>
      <w:tr w:rsidR="001F0E4B" w:rsidRPr="00EF774C" w14:paraId="6C7F7BBF" w14:textId="77777777" w:rsidTr="00016C37">
        <w:trPr>
          <w:trHeight w:val="260"/>
        </w:trPr>
        <w:tc>
          <w:tcPr>
            <w:tcW w:w="1613" w:type="dxa"/>
            <w:tcBorders>
              <w:top w:val="nil"/>
              <w:left w:val="single" w:sz="4" w:space="0" w:color="auto"/>
              <w:bottom w:val="single" w:sz="4" w:space="0" w:color="auto"/>
              <w:right w:val="single" w:sz="4" w:space="0" w:color="auto"/>
            </w:tcBorders>
            <w:shd w:val="clear" w:color="000000" w:fill="D9D9D9"/>
            <w:noWrap/>
            <w:vAlign w:val="bottom"/>
            <w:hideMark/>
          </w:tcPr>
          <w:p w14:paraId="29AE68B2"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Net Profit</w:t>
            </w:r>
          </w:p>
        </w:tc>
        <w:tc>
          <w:tcPr>
            <w:tcW w:w="1826" w:type="dxa"/>
            <w:tcBorders>
              <w:top w:val="nil"/>
              <w:left w:val="nil"/>
              <w:bottom w:val="single" w:sz="4" w:space="0" w:color="auto"/>
              <w:right w:val="single" w:sz="4" w:space="0" w:color="auto"/>
            </w:tcBorders>
            <w:shd w:val="clear" w:color="000000" w:fill="D9D9D9"/>
            <w:noWrap/>
            <w:vAlign w:val="bottom"/>
            <w:hideMark/>
          </w:tcPr>
          <w:p w14:paraId="22F33854"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 </w:t>
            </w:r>
          </w:p>
        </w:tc>
        <w:tc>
          <w:tcPr>
            <w:tcW w:w="1320" w:type="dxa"/>
            <w:tcBorders>
              <w:top w:val="nil"/>
              <w:left w:val="nil"/>
              <w:bottom w:val="single" w:sz="4" w:space="0" w:color="auto"/>
              <w:right w:val="single" w:sz="4" w:space="0" w:color="auto"/>
            </w:tcBorders>
            <w:shd w:val="clear" w:color="000000" w:fill="D9D9D9"/>
            <w:noWrap/>
            <w:vAlign w:val="bottom"/>
            <w:hideMark/>
          </w:tcPr>
          <w:p w14:paraId="67C4A2D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w:t>
            </w:r>
          </w:p>
        </w:tc>
        <w:tc>
          <w:tcPr>
            <w:tcW w:w="665" w:type="dxa"/>
            <w:tcBorders>
              <w:top w:val="nil"/>
              <w:left w:val="nil"/>
              <w:bottom w:val="single" w:sz="4" w:space="0" w:color="auto"/>
              <w:right w:val="single" w:sz="4" w:space="0" w:color="auto"/>
            </w:tcBorders>
            <w:shd w:val="clear" w:color="000000" w:fill="D9D9D9"/>
            <w:noWrap/>
            <w:vAlign w:val="bottom"/>
            <w:hideMark/>
          </w:tcPr>
          <w:p w14:paraId="7DA6FD8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-6.55</w:t>
            </w:r>
          </w:p>
        </w:tc>
        <w:tc>
          <w:tcPr>
            <w:tcW w:w="1320" w:type="dxa"/>
            <w:tcBorders>
              <w:top w:val="nil"/>
              <w:left w:val="nil"/>
              <w:bottom w:val="single" w:sz="4" w:space="0" w:color="auto"/>
              <w:right w:val="single" w:sz="4" w:space="0" w:color="auto"/>
            </w:tcBorders>
            <w:shd w:val="clear" w:color="000000" w:fill="D9D9D9"/>
            <w:noWrap/>
            <w:vAlign w:val="bottom"/>
            <w:hideMark/>
          </w:tcPr>
          <w:p w14:paraId="0A58D01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shd w:val="clear" w:color="000000" w:fill="D9D9D9"/>
            <w:noWrap/>
            <w:vAlign w:val="bottom"/>
            <w:hideMark/>
          </w:tcPr>
          <w:p w14:paraId="0C3447C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-6.07</w:t>
            </w:r>
          </w:p>
        </w:tc>
        <w:tc>
          <w:tcPr>
            <w:tcW w:w="1320" w:type="dxa"/>
            <w:tcBorders>
              <w:top w:val="nil"/>
              <w:left w:val="nil"/>
              <w:bottom w:val="single" w:sz="4" w:space="0" w:color="auto"/>
              <w:right w:val="single" w:sz="4" w:space="0" w:color="auto"/>
            </w:tcBorders>
            <w:shd w:val="clear" w:color="000000" w:fill="D9D9D9"/>
            <w:noWrap/>
            <w:vAlign w:val="bottom"/>
            <w:hideMark/>
          </w:tcPr>
          <w:p w14:paraId="4CB3022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15</w:t>
            </w:r>
          </w:p>
        </w:tc>
        <w:tc>
          <w:tcPr>
            <w:tcW w:w="665" w:type="dxa"/>
            <w:tcBorders>
              <w:top w:val="nil"/>
              <w:left w:val="nil"/>
              <w:bottom w:val="single" w:sz="4" w:space="0" w:color="auto"/>
              <w:right w:val="single" w:sz="4" w:space="0" w:color="auto"/>
            </w:tcBorders>
            <w:shd w:val="clear" w:color="000000" w:fill="D9D9D9"/>
            <w:noWrap/>
            <w:vAlign w:val="bottom"/>
            <w:hideMark/>
          </w:tcPr>
          <w:p w14:paraId="0A65552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w:t>
            </w:r>
          </w:p>
        </w:tc>
      </w:tr>
    </w:tbl>
    <w:p w14:paraId="71BB4765" w14:textId="77777777" w:rsidR="001F0E4B" w:rsidRDefault="001F0E4B" w:rsidP="001F0E4B">
      <w:pPr>
        <w:rPr>
          <w:lang w:val="en-GB"/>
        </w:rPr>
      </w:pPr>
    </w:p>
    <w:p w14:paraId="790B90FE" w14:textId="77777777" w:rsidR="00F83081" w:rsidRDefault="00F83081" w:rsidP="001F0E4B">
      <w:pPr>
        <w:rPr>
          <w:lang w:val="en-GB"/>
        </w:rPr>
      </w:pPr>
    </w:p>
    <w:p w14:paraId="132848D0" w14:textId="77777777" w:rsidR="00F83081" w:rsidRDefault="00F83081" w:rsidP="001F0E4B">
      <w:pPr>
        <w:rPr>
          <w:lang w:val="en-GB"/>
        </w:rPr>
      </w:pPr>
    </w:p>
    <w:tbl>
      <w:tblPr>
        <w:tblW w:w="0" w:type="auto"/>
        <w:tblLook w:val="04A0" w:firstRow="1" w:lastRow="0" w:firstColumn="1" w:lastColumn="0" w:noHBand="0" w:noVBand="1"/>
      </w:tblPr>
      <w:tblGrid>
        <w:gridCol w:w="4093"/>
        <w:gridCol w:w="1182"/>
        <w:gridCol w:w="1182"/>
        <w:gridCol w:w="1182"/>
      </w:tblGrid>
      <w:tr w:rsidR="001F0E4B" w:rsidRPr="00EF774C" w14:paraId="5AB0AB6D" w14:textId="77777777" w:rsidTr="00016C37">
        <w:trPr>
          <w:trHeight w:val="288"/>
        </w:trPr>
        <w:tc>
          <w:tcPr>
            <w:tcW w:w="0" w:type="auto"/>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8AED505"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Metrics</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262EE6E0"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Project A</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705BF2D8"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Project B</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12802FA6"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Project C</w:t>
            </w:r>
          </w:p>
        </w:tc>
      </w:tr>
      <w:tr w:rsidR="001F0E4B" w:rsidRPr="00EF774C" w14:paraId="3A15875D"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6AD504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Investment (£m)</w:t>
            </w:r>
          </w:p>
        </w:tc>
        <w:tc>
          <w:tcPr>
            <w:tcW w:w="0" w:type="auto"/>
            <w:tcBorders>
              <w:top w:val="nil"/>
              <w:left w:val="nil"/>
              <w:bottom w:val="single" w:sz="4" w:space="0" w:color="auto"/>
              <w:right w:val="single" w:sz="4" w:space="0" w:color="auto"/>
            </w:tcBorders>
            <w:noWrap/>
            <w:vAlign w:val="bottom"/>
            <w:hideMark/>
          </w:tcPr>
          <w:p w14:paraId="01EECD2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41402A1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559B18D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r>
      <w:tr w:rsidR="001F0E4B" w:rsidRPr="00EF774C" w14:paraId="0D395588"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6F6D3A6"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Cash inflows (£m)</w:t>
            </w:r>
          </w:p>
        </w:tc>
        <w:tc>
          <w:tcPr>
            <w:tcW w:w="0" w:type="auto"/>
            <w:tcBorders>
              <w:top w:val="nil"/>
              <w:left w:val="nil"/>
              <w:bottom w:val="single" w:sz="4" w:space="0" w:color="auto"/>
              <w:right w:val="single" w:sz="4" w:space="0" w:color="auto"/>
            </w:tcBorders>
            <w:noWrap/>
            <w:vAlign w:val="bottom"/>
            <w:hideMark/>
          </w:tcPr>
          <w:p w14:paraId="2622717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54</w:t>
            </w:r>
          </w:p>
        </w:tc>
        <w:tc>
          <w:tcPr>
            <w:tcW w:w="0" w:type="auto"/>
            <w:tcBorders>
              <w:top w:val="nil"/>
              <w:left w:val="nil"/>
              <w:bottom w:val="single" w:sz="4" w:space="0" w:color="auto"/>
              <w:right w:val="single" w:sz="4" w:space="0" w:color="auto"/>
            </w:tcBorders>
            <w:noWrap/>
            <w:vAlign w:val="bottom"/>
            <w:hideMark/>
          </w:tcPr>
          <w:p w14:paraId="12683DE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55</w:t>
            </w:r>
          </w:p>
        </w:tc>
        <w:tc>
          <w:tcPr>
            <w:tcW w:w="0" w:type="auto"/>
            <w:tcBorders>
              <w:top w:val="nil"/>
              <w:left w:val="nil"/>
              <w:bottom w:val="single" w:sz="4" w:space="0" w:color="auto"/>
              <w:right w:val="single" w:sz="4" w:space="0" w:color="auto"/>
            </w:tcBorders>
            <w:noWrap/>
            <w:vAlign w:val="bottom"/>
            <w:hideMark/>
          </w:tcPr>
          <w:p w14:paraId="441C501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65</w:t>
            </w:r>
          </w:p>
        </w:tc>
      </w:tr>
      <w:tr w:rsidR="001F0E4B" w:rsidRPr="00EF774C" w14:paraId="6B9CA47D"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B92E758"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Annual depreciation (£m)</w:t>
            </w:r>
          </w:p>
        </w:tc>
        <w:tc>
          <w:tcPr>
            <w:tcW w:w="0" w:type="auto"/>
            <w:tcBorders>
              <w:top w:val="nil"/>
              <w:left w:val="nil"/>
              <w:bottom w:val="single" w:sz="4" w:space="0" w:color="auto"/>
              <w:right w:val="single" w:sz="4" w:space="0" w:color="auto"/>
            </w:tcBorders>
            <w:noWrap/>
            <w:vAlign w:val="bottom"/>
            <w:hideMark/>
          </w:tcPr>
          <w:p w14:paraId="7DC209D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c>
          <w:tcPr>
            <w:tcW w:w="0" w:type="auto"/>
            <w:tcBorders>
              <w:top w:val="nil"/>
              <w:left w:val="nil"/>
              <w:bottom w:val="single" w:sz="4" w:space="0" w:color="auto"/>
              <w:right w:val="single" w:sz="4" w:space="0" w:color="auto"/>
            </w:tcBorders>
            <w:noWrap/>
            <w:vAlign w:val="bottom"/>
            <w:hideMark/>
          </w:tcPr>
          <w:p w14:paraId="1801368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c>
          <w:tcPr>
            <w:tcW w:w="0" w:type="auto"/>
            <w:tcBorders>
              <w:top w:val="nil"/>
              <w:left w:val="nil"/>
              <w:bottom w:val="single" w:sz="4" w:space="0" w:color="auto"/>
              <w:right w:val="single" w:sz="4" w:space="0" w:color="auto"/>
            </w:tcBorders>
            <w:noWrap/>
            <w:vAlign w:val="bottom"/>
            <w:hideMark/>
          </w:tcPr>
          <w:p w14:paraId="0195D1C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w:t>
            </w:r>
          </w:p>
        </w:tc>
      </w:tr>
      <w:tr w:rsidR="001F0E4B" w:rsidRPr="00EF774C" w14:paraId="7F135945"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35F4545"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Average cash inflow (£m) per year</w:t>
            </w:r>
          </w:p>
        </w:tc>
        <w:tc>
          <w:tcPr>
            <w:tcW w:w="0" w:type="auto"/>
            <w:tcBorders>
              <w:top w:val="nil"/>
              <w:left w:val="nil"/>
              <w:bottom w:val="single" w:sz="4" w:space="0" w:color="auto"/>
              <w:right w:val="single" w:sz="4" w:space="0" w:color="auto"/>
            </w:tcBorders>
            <w:noWrap/>
            <w:vAlign w:val="bottom"/>
            <w:hideMark/>
          </w:tcPr>
          <w:p w14:paraId="28F1692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10.8</w:t>
            </w:r>
          </w:p>
        </w:tc>
        <w:tc>
          <w:tcPr>
            <w:tcW w:w="0" w:type="auto"/>
            <w:tcBorders>
              <w:top w:val="nil"/>
              <w:left w:val="nil"/>
              <w:bottom w:val="single" w:sz="4" w:space="0" w:color="auto"/>
              <w:right w:val="single" w:sz="4" w:space="0" w:color="auto"/>
            </w:tcBorders>
            <w:noWrap/>
            <w:vAlign w:val="bottom"/>
            <w:hideMark/>
          </w:tcPr>
          <w:p w14:paraId="505C6F4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11</w:t>
            </w:r>
          </w:p>
        </w:tc>
        <w:tc>
          <w:tcPr>
            <w:tcW w:w="0" w:type="auto"/>
            <w:tcBorders>
              <w:top w:val="nil"/>
              <w:left w:val="nil"/>
              <w:bottom w:val="single" w:sz="4" w:space="0" w:color="auto"/>
              <w:right w:val="single" w:sz="4" w:space="0" w:color="auto"/>
            </w:tcBorders>
            <w:noWrap/>
            <w:vAlign w:val="bottom"/>
            <w:hideMark/>
          </w:tcPr>
          <w:p w14:paraId="0525329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13</w:t>
            </w:r>
          </w:p>
        </w:tc>
      </w:tr>
      <w:tr w:rsidR="001F0E4B" w:rsidRPr="00EF774C" w14:paraId="683F0250"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24549AAA"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Average accounting profit (£m) per year</w:t>
            </w:r>
          </w:p>
        </w:tc>
        <w:tc>
          <w:tcPr>
            <w:tcW w:w="0" w:type="auto"/>
            <w:tcBorders>
              <w:top w:val="nil"/>
              <w:left w:val="nil"/>
              <w:bottom w:val="single" w:sz="4" w:space="0" w:color="auto"/>
              <w:right w:val="single" w:sz="4" w:space="0" w:color="auto"/>
            </w:tcBorders>
            <w:noWrap/>
            <w:vAlign w:val="bottom"/>
            <w:hideMark/>
          </w:tcPr>
          <w:p w14:paraId="5CBE232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w:t>
            </w:r>
          </w:p>
        </w:tc>
        <w:tc>
          <w:tcPr>
            <w:tcW w:w="0" w:type="auto"/>
            <w:tcBorders>
              <w:top w:val="nil"/>
              <w:left w:val="nil"/>
              <w:bottom w:val="single" w:sz="4" w:space="0" w:color="auto"/>
              <w:right w:val="single" w:sz="4" w:space="0" w:color="auto"/>
            </w:tcBorders>
            <w:noWrap/>
            <w:vAlign w:val="bottom"/>
            <w:hideMark/>
          </w:tcPr>
          <w:p w14:paraId="05568BB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w:t>
            </w:r>
          </w:p>
        </w:tc>
        <w:tc>
          <w:tcPr>
            <w:tcW w:w="0" w:type="auto"/>
            <w:tcBorders>
              <w:top w:val="nil"/>
              <w:left w:val="nil"/>
              <w:bottom w:val="single" w:sz="4" w:space="0" w:color="auto"/>
              <w:right w:val="single" w:sz="4" w:space="0" w:color="auto"/>
            </w:tcBorders>
            <w:noWrap/>
            <w:vAlign w:val="bottom"/>
            <w:hideMark/>
          </w:tcPr>
          <w:p w14:paraId="643BE14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w:t>
            </w:r>
          </w:p>
        </w:tc>
      </w:tr>
      <w:tr w:rsidR="001F0E4B" w:rsidRPr="00EF774C" w14:paraId="3EB1B6A5"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448B1DE"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Payback Period (PBP) in years</w:t>
            </w:r>
          </w:p>
        </w:tc>
        <w:tc>
          <w:tcPr>
            <w:tcW w:w="0" w:type="auto"/>
            <w:tcBorders>
              <w:top w:val="nil"/>
              <w:left w:val="nil"/>
              <w:bottom w:val="single" w:sz="4" w:space="0" w:color="auto"/>
              <w:right w:val="single" w:sz="4" w:space="0" w:color="auto"/>
            </w:tcBorders>
            <w:noWrap/>
            <w:vAlign w:val="bottom"/>
            <w:hideMark/>
          </w:tcPr>
          <w:p w14:paraId="03DC86B1"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4.50</w:t>
            </w:r>
          </w:p>
        </w:tc>
        <w:tc>
          <w:tcPr>
            <w:tcW w:w="0" w:type="auto"/>
            <w:tcBorders>
              <w:top w:val="nil"/>
              <w:left w:val="nil"/>
              <w:bottom w:val="single" w:sz="4" w:space="0" w:color="auto"/>
              <w:right w:val="single" w:sz="4" w:space="0" w:color="auto"/>
            </w:tcBorders>
            <w:noWrap/>
            <w:vAlign w:val="bottom"/>
            <w:hideMark/>
          </w:tcPr>
          <w:p w14:paraId="3E27DD23"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4.55</w:t>
            </w:r>
          </w:p>
        </w:tc>
        <w:tc>
          <w:tcPr>
            <w:tcW w:w="0" w:type="auto"/>
            <w:tcBorders>
              <w:top w:val="nil"/>
              <w:left w:val="nil"/>
              <w:bottom w:val="single" w:sz="4" w:space="0" w:color="auto"/>
              <w:right w:val="single" w:sz="4" w:space="0" w:color="auto"/>
            </w:tcBorders>
            <w:noWrap/>
            <w:vAlign w:val="bottom"/>
            <w:hideMark/>
          </w:tcPr>
          <w:p w14:paraId="1A5B615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3.60</w:t>
            </w:r>
          </w:p>
        </w:tc>
      </w:tr>
      <w:tr w:rsidR="001F0E4B" w:rsidRPr="00EF774C" w14:paraId="638AAEA6"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2B8BDB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Accounting Rate of Return (ARR)</w:t>
            </w:r>
          </w:p>
        </w:tc>
        <w:tc>
          <w:tcPr>
            <w:tcW w:w="0" w:type="auto"/>
            <w:tcBorders>
              <w:top w:val="nil"/>
              <w:left w:val="nil"/>
              <w:bottom w:val="single" w:sz="4" w:space="0" w:color="auto"/>
              <w:right w:val="single" w:sz="4" w:space="0" w:color="auto"/>
            </w:tcBorders>
            <w:noWrap/>
            <w:vAlign w:val="bottom"/>
            <w:hideMark/>
          </w:tcPr>
          <w:p w14:paraId="445222C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1.60%</w:t>
            </w:r>
          </w:p>
        </w:tc>
        <w:tc>
          <w:tcPr>
            <w:tcW w:w="0" w:type="auto"/>
            <w:tcBorders>
              <w:top w:val="nil"/>
              <w:left w:val="nil"/>
              <w:bottom w:val="single" w:sz="4" w:space="0" w:color="auto"/>
              <w:right w:val="single" w:sz="4" w:space="0" w:color="auto"/>
            </w:tcBorders>
            <w:noWrap/>
            <w:vAlign w:val="bottom"/>
            <w:hideMark/>
          </w:tcPr>
          <w:p w14:paraId="1E0C8F8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2.00%</w:t>
            </w:r>
          </w:p>
        </w:tc>
        <w:tc>
          <w:tcPr>
            <w:tcW w:w="0" w:type="auto"/>
            <w:tcBorders>
              <w:top w:val="nil"/>
              <w:left w:val="nil"/>
              <w:bottom w:val="single" w:sz="4" w:space="0" w:color="auto"/>
              <w:right w:val="single" w:sz="4" w:space="0" w:color="auto"/>
            </w:tcBorders>
            <w:noWrap/>
            <w:vAlign w:val="bottom"/>
            <w:hideMark/>
          </w:tcPr>
          <w:p w14:paraId="62EAC4B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6.00%</w:t>
            </w:r>
          </w:p>
        </w:tc>
      </w:tr>
      <w:tr w:rsidR="001F0E4B" w:rsidRPr="00EF774C" w14:paraId="32FAC2CB"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A5AF949"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Net Present Value, NPV (£m)</w:t>
            </w:r>
          </w:p>
        </w:tc>
        <w:tc>
          <w:tcPr>
            <w:tcW w:w="0" w:type="auto"/>
            <w:tcBorders>
              <w:top w:val="nil"/>
              <w:left w:val="nil"/>
              <w:bottom w:val="single" w:sz="4" w:space="0" w:color="auto"/>
              <w:right w:val="single" w:sz="4" w:space="0" w:color="auto"/>
            </w:tcBorders>
            <w:noWrap/>
            <w:vAlign w:val="bottom"/>
            <w:hideMark/>
          </w:tcPr>
          <w:p w14:paraId="6F1A3D5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-6.55</w:t>
            </w:r>
          </w:p>
        </w:tc>
        <w:tc>
          <w:tcPr>
            <w:tcW w:w="0" w:type="auto"/>
            <w:tcBorders>
              <w:top w:val="nil"/>
              <w:left w:val="nil"/>
              <w:bottom w:val="single" w:sz="4" w:space="0" w:color="auto"/>
              <w:right w:val="single" w:sz="4" w:space="0" w:color="auto"/>
            </w:tcBorders>
            <w:noWrap/>
            <w:vAlign w:val="bottom"/>
            <w:hideMark/>
          </w:tcPr>
          <w:p w14:paraId="5CAFE196"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-6.07</w:t>
            </w:r>
          </w:p>
        </w:tc>
        <w:tc>
          <w:tcPr>
            <w:tcW w:w="0" w:type="auto"/>
            <w:tcBorders>
              <w:top w:val="nil"/>
              <w:left w:val="nil"/>
              <w:bottom w:val="single" w:sz="4" w:space="0" w:color="auto"/>
              <w:right w:val="single" w:sz="4" w:space="0" w:color="auto"/>
            </w:tcBorders>
            <w:noWrap/>
            <w:vAlign w:val="bottom"/>
            <w:hideMark/>
          </w:tcPr>
          <w:p w14:paraId="626E0D2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w:t>
            </w:r>
          </w:p>
        </w:tc>
      </w:tr>
      <w:tr w:rsidR="001F0E4B" w:rsidRPr="00EF774C" w14:paraId="0746C0E7"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90FBFBC"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Profitability Index (PI)</w:t>
            </w:r>
          </w:p>
        </w:tc>
        <w:tc>
          <w:tcPr>
            <w:tcW w:w="0" w:type="auto"/>
            <w:tcBorders>
              <w:top w:val="nil"/>
              <w:left w:val="nil"/>
              <w:bottom w:val="single" w:sz="4" w:space="0" w:color="auto"/>
              <w:right w:val="single" w:sz="4" w:space="0" w:color="auto"/>
            </w:tcBorders>
            <w:noWrap/>
            <w:vAlign w:val="bottom"/>
            <w:hideMark/>
          </w:tcPr>
          <w:p w14:paraId="4C3B6EE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0.869</w:t>
            </w:r>
          </w:p>
        </w:tc>
        <w:tc>
          <w:tcPr>
            <w:tcW w:w="0" w:type="auto"/>
            <w:tcBorders>
              <w:top w:val="nil"/>
              <w:left w:val="nil"/>
              <w:bottom w:val="single" w:sz="4" w:space="0" w:color="auto"/>
              <w:right w:val="single" w:sz="4" w:space="0" w:color="auto"/>
            </w:tcBorders>
            <w:noWrap/>
            <w:vAlign w:val="bottom"/>
            <w:hideMark/>
          </w:tcPr>
          <w:p w14:paraId="1F1A8B6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0.879</w:t>
            </w:r>
          </w:p>
        </w:tc>
        <w:tc>
          <w:tcPr>
            <w:tcW w:w="0" w:type="auto"/>
            <w:tcBorders>
              <w:top w:val="nil"/>
              <w:left w:val="nil"/>
              <w:bottom w:val="single" w:sz="4" w:space="0" w:color="auto"/>
              <w:right w:val="single" w:sz="4" w:space="0" w:color="auto"/>
            </w:tcBorders>
            <w:noWrap/>
            <w:vAlign w:val="bottom"/>
            <w:hideMark/>
          </w:tcPr>
          <w:p w14:paraId="5863C9E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1.017</w:t>
            </w:r>
          </w:p>
        </w:tc>
      </w:tr>
      <w:tr w:rsidR="001F0E4B" w:rsidRPr="00EF774C" w14:paraId="1E3989F2"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06300A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Internal Rate of Return (IRR)</w:t>
            </w:r>
          </w:p>
        </w:tc>
        <w:tc>
          <w:tcPr>
            <w:tcW w:w="0" w:type="auto"/>
            <w:tcBorders>
              <w:top w:val="nil"/>
              <w:left w:val="nil"/>
              <w:bottom w:val="single" w:sz="4" w:space="0" w:color="auto"/>
              <w:right w:val="single" w:sz="4" w:space="0" w:color="auto"/>
            </w:tcBorders>
            <w:noWrap/>
            <w:vAlign w:val="bottom"/>
            <w:hideMark/>
          </w:tcPr>
          <w:p w14:paraId="311E1E3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2.72%</w:t>
            </w:r>
          </w:p>
        </w:tc>
        <w:tc>
          <w:tcPr>
            <w:tcW w:w="0" w:type="auto"/>
            <w:tcBorders>
              <w:top w:val="nil"/>
              <w:left w:val="nil"/>
              <w:bottom w:val="single" w:sz="4" w:space="0" w:color="auto"/>
              <w:right w:val="single" w:sz="4" w:space="0" w:color="auto"/>
            </w:tcBorders>
            <w:noWrap/>
            <w:vAlign w:val="bottom"/>
            <w:hideMark/>
          </w:tcPr>
          <w:p w14:paraId="6B79888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3.26%</w:t>
            </w:r>
          </w:p>
        </w:tc>
        <w:tc>
          <w:tcPr>
            <w:tcW w:w="0" w:type="auto"/>
            <w:tcBorders>
              <w:top w:val="nil"/>
              <w:left w:val="nil"/>
              <w:bottom w:val="single" w:sz="4" w:space="0" w:color="auto"/>
              <w:right w:val="single" w:sz="4" w:space="0" w:color="auto"/>
            </w:tcBorders>
            <w:noWrap/>
            <w:vAlign w:val="bottom"/>
            <w:hideMark/>
          </w:tcPr>
          <w:p w14:paraId="30789D5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8.59%</w:t>
            </w:r>
          </w:p>
        </w:tc>
      </w:tr>
    </w:tbl>
    <w:p w14:paraId="206DD33F" w14:textId="77777777" w:rsidR="001F0E4B" w:rsidRDefault="001F0E4B" w:rsidP="001F0E4B">
      <w:pPr>
        <w:rPr>
          <w:lang w:val="en-GB"/>
        </w:rPr>
      </w:pPr>
    </w:p>
    <w:p w14:paraId="7F4520C1" w14:textId="77777777" w:rsidR="00F83081" w:rsidRDefault="00F83081" w:rsidP="001F0E4B">
      <w:pPr>
        <w:rPr>
          <w:lang w:val="en-GB"/>
        </w:rPr>
      </w:pPr>
    </w:p>
    <w:p w14:paraId="08DFEA23" w14:textId="77777777" w:rsidR="00F83081" w:rsidRDefault="00F83081" w:rsidP="001F0E4B">
      <w:pPr>
        <w:rPr>
          <w:lang w:val="en-GB"/>
        </w:rPr>
      </w:pPr>
    </w:p>
    <w:tbl>
      <w:tblPr>
        <w:tblW w:w="0" w:type="auto"/>
        <w:tblLook w:val="04A0" w:firstRow="1" w:lastRow="0" w:firstColumn="1" w:lastColumn="0" w:noHBand="0" w:noVBand="1"/>
      </w:tblPr>
      <w:tblGrid>
        <w:gridCol w:w="962"/>
        <w:gridCol w:w="1904"/>
        <w:gridCol w:w="1194"/>
        <w:gridCol w:w="767"/>
      </w:tblGrid>
      <w:tr w:rsidR="001F0E4B" w:rsidRPr="00EF774C" w14:paraId="2B1A840C" w14:textId="77777777" w:rsidTr="00016C37">
        <w:trPr>
          <w:trHeight w:val="288"/>
        </w:trPr>
        <w:tc>
          <w:tcPr>
            <w:tcW w:w="0" w:type="auto"/>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04DD28F"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Project</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3493740B"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Investment (£m)</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17D79766"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NPV (£m)</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44D7EFE2" w14:textId="77777777" w:rsidR="001F0E4B" w:rsidRPr="00EF774C" w:rsidRDefault="001F0E4B" w:rsidP="00016C37">
            <w:pPr>
              <w:spacing w:before="0" w:after="0" w:line="240" w:lineRule="auto"/>
              <w:jc w:val="left"/>
              <w:rPr>
                <w:rFonts w:eastAsia="Times New Roman" w:cs="Arial"/>
                <w:b/>
                <w:bCs/>
                <w:color w:val="000000"/>
                <w:kern w:val="0"/>
              </w:rPr>
            </w:pPr>
            <w:r w:rsidRPr="00EF774C">
              <w:rPr>
                <w:rFonts w:eastAsia="Times New Roman" w:cs="Arial"/>
                <w:b/>
                <w:bCs/>
                <w:color w:val="000000"/>
                <w:kern w:val="0"/>
                <w:sz w:val="22"/>
                <w:szCs w:val="22"/>
              </w:rPr>
              <w:t>PI</w:t>
            </w:r>
          </w:p>
        </w:tc>
      </w:tr>
      <w:tr w:rsidR="001F0E4B" w:rsidRPr="00EF774C" w14:paraId="5F0586B9"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33489D1F"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w:t>
            </w:r>
          </w:p>
        </w:tc>
        <w:tc>
          <w:tcPr>
            <w:tcW w:w="0" w:type="auto"/>
            <w:tcBorders>
              <w:top w:val="nil"/>
              <w:left w:val="nil"/>
              <w:bottom w:val="single" w:sz="4" w:space="0" w:color="auto"/>
              <w:right w:val="single" w:sz="4" w:space="0" w:color="auto"/>
            </w:tcBorders>
            <w:noWrap/>
            <w:vAlign w:val="bottom"/>
            <w:hideMark/>
          </w:tcPr>
          <w:p w14:paraId="03C08329"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0B7467A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-6.55</w:t>
            </w:r>
          </w:p>
        </w:tc>
        <w:tc>
          <w:tcPr>
            <w:tcW w:w="0" w:type="auto"/>
            <w:tcBorders>
              <w:top w:val="nil"/>
              <w:left w:val="nil"/>
              <w:bottom w:val="single" w:sz="4" w:space="0" w:color="auto"/>
              <w:right w:val="single" w:sz="4" w:space="0" w:color="auto"/>
            </w:tcBorders>
            <w:noWrap/>
            <w:vAlign w:val="bottom"/>
            <w:hideMark/>
          </w:tcPr>
          <w:p w14:paraId="0BB94E82"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0.869</w:t>
            </w:r>
          </w:p>
        </w:tc>
      </w:tr>
      <w:tr w:rsidR="001F0E4B" w:rsidRPr="00EF774C" w14:paraId="6C0D0E1E"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20E5B91"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B</w:t>
            </w:r>
          </w:p>
        </w:tc>
        <w:tc>
          <w:tcPr>
            <w:tcW w:w="0" w:type="auto"/>
            <w:tcBorders>
              <w:top w:val="nil"/>
              <w:left w:val="nil"/>
              <w:bottom w:val="single" w:sz="4" w:space="0" w:color="auto"/>
              <w:right w:val="single" w:sz="4" w:space="0" w:color="auto"/>
            </w:tcBorders>
            <w:noWrap/>
            <w:vAlign w:val="bottom"/>
            <w:hideMark/>
          </w:tcPr>
          <w:p w14:paraId="2BDBCD40"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2A5DE89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-6.07</w:t>
            </w:r>
          </w:p>
        </w:tc>
        <w:tc>
          <w:tcPr>
            <w:tcW w:w="0" w:type="auto"/>
            <w:tcBorders>
              <w:top w:val="nil"/>
              <w:left w:val="nil"/>
              <w:bottom w:val="single" w:sz="4" w:space="0" w:color="auto"/>
              <w:right w:val="single" w:sz="4" w:space="0" w:color="auto"/>
            </w:tcBorders>
            <w:noWrap/>
            <w:vAlign w:val="bottom"/>
            <w:hideMark/>
          </w:tcPr>
          <w:p w14:paraId="6FB0C89C"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0.879</w:t>
            </w:r>
          </w:p>
        </w:tc>
      </w:tr>
      <w:tr w:rsidR="001F0E4B" w:rsidRPr="00EF774C" w14:paraId="36151F67"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BE38212"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C</w:t>
            </w:r>
          </w:p>
        </w:tc>
        <w:tc>
          <w:tcPr>
            <w:tcW w:w="0" w:type="auto"/>
            <w:tcBorders>
              <w:top w:val="nil"/>
              <w:left w:val="nil"/>
              <w:bottom w:val="single" w:sz="4" w:space="0" w:color="auto"/>
              <w:right w:val="single" w:sz="4" w:space="0" w:color="auto"/>
            </w:tcBorders>
            <w:noWrap/>
            <w:vAlign w:val="bottom"/>
            <w:hideMark/>
          </w:tcPr>
          <w:p w14:paraId="7201B90A"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47249FE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0.86</w:t>
            </w:r>
          </w:p>
        </w:tc>
        <w:tc>
          <w:tcPr>
            <w:tcW w:w="0" w:type="auto"/>
            <w:tcBorders>
              <w:top w:val="nil"/>
              <w:left w:val="nil"/>
              <w:bottom w:val="single" w:sz="4" w:space="0" w:color="auto"/>
              <w:right w:val="single" w:sz="4" w:space="0" w:color="auto"/>
            </w:tcBorders>
            <w:noWrap/>
            <w:vAlign w:val="bottom"/>
            <w:hideMark/>
          </w:tcPr>
          <w:p w14:paraId="63184B7E"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1.017</w:t>
            </w:r>
          </w:p>
        </w:tc>
      </w:tr>
      <w:tr w:rsidR="001F0E4B" w:rsidRPr="00EF774C" w14:paraId="66AB976A"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3628B35"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 + B</w:t>
            </w:r>
          </w:p>
        </w:tc>
        <w:tc>
          <w:tcPr>
            <w:tcW w:w="0" w:type="auto"/>
            <w:tcBorders>
              <w:top w:val="nil"/>
              <w:left w:val="nil"/>
              <w:bottom w:val="single" w:sz="4" w:space="0" w:color="auto"/>
              <w:right w:val="single" w:sz="4" w:space="0" w:color="auto"/>
            </w:tcBorders>
            <w:noWrap/>
            <w:vAlign w:val="bottom"/>
            <w:hideMark/>
          </w:tcPr>
          <w:p w14:paraId="5683537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07259C3B"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-12.62</w:t>
            </w:r>
          </w:p>
        </w:tc>
        <w:tc>
          <w:tcPr>
            <w:tcW w:w="0" w:type="auto"/>
            <w:tcBorders>
              <w:top w:val="nil"/>
              <w:left w:val="nil"/>
              <w:bottom w:val="single" w:sz="4" w:space="0" w:color="auto"/>
              <w:right w:val="single" w:sz="4" w:space="0" w:color="auto"/>
            </w:tcBorders>
            <w:noWrap/>
            <w:vAlign w:val="bottom"/>
            <w:hideMark/>
          </w:tcPr>
          <w:p w14:paraId="48E7260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0.874</w:t>
            </w:r>
          </w:p>
        </w:tc>
      </w:tr>
      <w:tr w:rsidR="001F0E4B" w:rsidRPr="00EF774C" w14:paraId="2CD4D240"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FDC9D6A"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A + C</w:t>
            </w:r>
          </w:p>
        </w:tc>
        <w:tc>
          <w:tcPr>
            <w:tcW w:w="0" w:type="auto"/>
            <w:tcBorders>
              <w:top w:val="nil"/>
              <w:left w:val="nil"/>
              <w:bottom w:val="single" w:sz="4" w:space="0" w:color="auto"/>
              <w:right w:val="single" w:sz="4" w:space="0" w:color="auto"/>
            </w:tcBorders>
            <w:noWrap/>
            <w:vAlign w:val="bottom"/>
            <w:hideMark/>
          </w:tcPr>
          <w:p w14:paraId="2D8FD888"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027297E7"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-5.69</w:t>
            </w:r>
          </w:p>
        </w:tc>
        <w:tc>
          <w:tcPr>
            <w:tcW w:w="0" w:type="auto"/>
            <w:tcBorders>
              <w:top w:val="nil"/>
              <w:left w:val="nil"/>
              <w:bottom w:val="single" w:sz="4" w:space="0" w:color="auto"/>
              <w:right w:val="single" w:sz="4" w:space="0" w:color="auto"/>
            </w:tcBorders>
            <w:noWrap/>
            <w:vAlign w:val="bottom"/>
            <w:hideMark/>
          </w:tcPr>
          <w:p w14:paraId="013A18C4"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0.943</w:t>
            </w:r>
          </w:p>
        </w:tc>
      </w:tr>
      <w:tr w:rsidR="001F0E4B" w:rsidRPr="00EF774C" w14:paraId="2A8ACD3F"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B92B0D1" w14:textId="77777777" w:rsidR="001F0E4B" w:rsidRPr="00EF774C" w:rsidRDefault="001F0E4B" w:rsidP="00016C37">
            <w:pPr>
              <w:spacing w:before="0" w:after="0" w:line="240" w:lineRule="auto"/>
              <w:jc w:val="left"/>
              <w:rPr>
                <w:rFonts w:eastAsia="Times New Roman" w:cs="Arial"/>
                <w:color w:val="000000"/>
                <w:kern w:val="0"/>
              </w:rPr>
            </w:pPr>
            <w:r w:rsidRPr="00EF774C">
              <w:rPr>
                <w:rFonts w:eastAsia="Times New Roman" w:cs="Arial"/>
                <w:color w:val="000000"/>
                <w:kern w:val="0"/>
                <w:sz w:val="22"/>
                <w:szCs w:val="22"/>
              </w:rPr>
              <w:t>B + C</w:t>
            </w:r>
          </w:p>
        </w:tc>
        <w:tc>
          <w:tcPr>
            <w:tcW w:w="0" w:type="auto"/>
            <w:tcBorders>
              <w:top w:val="nil"/>
              <w:left w:val="nil"/>
              <w:bottom w:val="single" w:sz="4" w:space="0" w:color="auto"/>
              <w:right w:val="single" w:sz="4" w:space="0" w:color="auto"/>
            </w:tcBorders>
            <w:noWrap/>
            <w:vAlign w:val="bottom"/>
            <w:hideMark/>
          </w:tcPr>
          <w:p w14:paraId="45962B3D"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2D059535"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-5.21</w:t>
            </w:r>
          </w:p>
        </w:tc>
        <w:tc>
          <w:tcPr>
            <w:tcW w:w="0" w:type="auto"/>
            <w:tcBorders>
              <w:top w:val="nil"/>
              <w:left w:val="nil"/>
              <w:bottom w:val="single" w:sz="4" w:space="0" w:color="auto"/>
              <w:right w:val="single" w:sz="4" w:space="0" w:color="auto"/>
            </w:tcBorders>
            <w:noWrap/>
            <w:vAlign w:val="bottom"/>
            <w:hideMark/>
          </w:tcPr>
          <w:p w14:paraId="4A39E81F" w14:textId="77777777" w:rsidR="001F0E4B" w:rsidRPr="00EF774C" w:rsidRDefault="001F0E4B" w:rsidP="00016C37">
            <w:pPr>
              <w:spacing w:before="0" w:after="0" w:line="240" w:lineRule="auto"/>
              <w:jc w:val="right"/>
              <w:rPr>
                <w:rFonts w:eastAsia="Times New Roman" w:cs="Arial"/>
                <w:color w:val="000000"/>
                <w:kern w:val="0"/>
              </w:rPr>
            </w:pPr>
            <w:r w:rsidRPr="00EF774C">
              <w:rPr>
                <w:rFonts w:eastAsia="Times New Roman" w:cs="Arial"/>
                <w:color w:val="000000"/>
                <w:kern w:val="0"/>
                <w:sz w:val="22"/>
                <w:szCs w:val="22"/>
              </w:rPr>
              <w:t>0.948</w:t>
            </w:r>
          </w:p>
        </w:tc>
      </w:tr>
    </w:tbl>
    <w:p w14:paraId="29F0B784" w14:textId="77777777" w:rsidR="001F0E4B" w:rsidRDefault="001F0E4B" w:rsidP="001F0E4B">
      <w:pPr>
        <w:rPr>
          <w:lang w:val="en-GB"/>
        </w:rPr>
      </w:pPr>
    </w:p>
    <w:p w14:paraId="12BCFD53" w14:textId="77777777" w:rsidR="001F0E4B" w:rsidRPr="007264BB" w:rsidRDefault="001F0E4B" w:rsidP="001F0E4B">
      <w:pPr>
        <w:rPr>
          <w:lang w:val="en-GB"/>
        </w:rPr>
      </w:pPr>
    </w:p>
    <w:p w14:paraId="23A253D8" w14:textId="35A52148" w:rsidR="001630E7" w:rsidRPr="001F0E4B" w:rsidRDefault="001630E7" w:rsidP="001F0E4B"/>
    <w:sectPr w:rsidR="001630E7" w:rsidRPr="001F0E4B" w:rsidSect="001F0E4B">
      <w:footerReference w:type="default" r:id="rId6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5C047" w14:textId="77777777" w:rsidR="00100782" w:rsidRDefault="00100782" w:rsidP="00142FAC">
      <w:pPr>
        <w:spacing w:before="0" w:after="0" w:line="240" w:lineRule="auto"/>
      </w:pPr>
      <w:r>
        <w:separator/>
      </w:r>
    </w:p>
  </w:endnote>
  <w:endnote w:type="continuationSeparator" w:id="0">
    <w:p w14:paraId="6513BBE3" w14:textId="77777777" w:rsidR="00100782" w:rsidRDefault="00100782" w:rsidP="00142FA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575584"/>
      <w:docPartObj>
        <w:docPartGallery w:val="Page Numbers (Bottom of Page)"/>
        <w:docPartUnique/>
      </w:docPartObj>
    </w:sdtPr>
    <w:sdtEndPr>
      <w:rPr>
        <w:b/>
        <w:bCs/>
        <w:noProof/>
      </w:rPr>
    </w:sdtEndPr>
    <w:sdtContent>
      <w:p w14:paraId="4E729829" w14:textId="77777777" w:rsidR="001F0E4B" w:rsidRPr="00E327DB" w:rsidRDefault="001F0E4B">
        <w:pPr>
          <w:pStyle w:val="Footer"/>
          <w:jc w:val="center"/>
          <w:rPr>
            <w:b/>
            <w:bCs/>
          </w:rPr>
        </w:pPr>
        <w:r w:rsidRPr="00E327DB">
          <w:rPr>
            <w:b/>
            <w:bCs/>
          </w:rPr>
          <w:fldChar w:fldCharType="begin"/>
        </w:r>
        <w:r w:rsidRPr="00E327DB">
          <w:rPr>
            <w:b/>
            <w:bCs/>
          </w:rPr>
          <w:instrText xml:space="preserve"> PAGE   \* MERGEFORMAT </w:instrText>
        </w:r>
        <w:r w:rsidRPr="00E327DB">
          <w:rPr>
            <w:b/>
            <w:bCs/>
          </w:rPr>
          <w:fldChar w:fldCharType="separate"/>
        </w:r>
        <w:r w:rsidRPr="00E327DB">
          <w:rPr>
            <w:b/>
            <w:bCs/>
            <w:noProof/>
          </w:rPr>
          <w:t>2</w:t>
        </w:r>
        <w:r w:rsidRPr="00E327DB">
          <w:rPr>
            <w:b/>
            <w:bCs/>
            <w:noProof/>
          </w:rPr>
          <w:fldChar w:fldCharType="end"/>
        </w:r>
      </w:p>
    </w:sdtContent>
  </w:sdt>
  <w:p w14:paraId="1D443C95" w14:textId="77777777" w:rsidR="001F0E4B" w:rsidRDefault="001F0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7650B" w14:textId="77777777" w:rsidR="00100782" w:rsidRDefault="00100782" w:rsidP="00142FAC">
      <w:pPr>
        <w:spacing w:before="0" w:after="0" w:line="240" w:lineRule="auto"/>
      </w:pPr>
      <w:r>
        <w:separator/>
      </w:r>
    </w:p>
  </w:footnote>
  <w:footnote w:type="continuationSeparator" w:id="0">
    <w:p w14:paraId="6B86D1CE" w14:textId="77777777" w:rsidR="00100782" w:rsidRDefault="00100782" w:rsidP="00142FA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B4C0C"/>
    <w:multiLevelType w:val="hybridMultilevel"/>
    <w:tmpl w:val="541ADFA2"/>
    <w:lvl w:ilvl="0" w:tplc="54C44454">
      <w:start w:val="1"/>
      <w:numFmt w:val="decimal"/>
      <w:lvlText w:val="%1."/>
      <w:lvlJc w:val="left"/>
      <w:pPr>
        <w:ind w:left="720" w:hanging="360"/>
      </w:pPr>
    </w:lvl>
    <w:lvl w:ilvl="1" w:tplc="9A843130" w:tentative="1">
      <w:start w:val="1"/>
      <w:numFmt w:val="lowerLetter"/>
      <w:lvlText w:val="%2."/>
      <w:lvlJc w:val="left"/>
      <w:pPr>
        <w:ind w:left="1440" w:hanging="360"/>
      </w:pPr>
    </w:lvl>
    <w:lvl w:ilvl="2" w:tplc="58D67D16" w:tentative="1">
      <w:start w:val="1"/>
      <w:numFmt w:val="lowerRoman"/>
      <w:lvlText w:val="%3."/>
      <w:lvlJc w:val="right"/>
      <w:pPr>
        <w:ind w:left="2160" w:hanging="180"/>
      </w:pPr>
    </w:lvl>
    <w:lvl w:ilvl="3" w:tplc="38A47B22" w:tentative="1">
      <w:start w:val="1"/>
      <w:numFmt w:val="decimal"/>
      <w:lvlText w:val="%4."/>
      <w:lvlJc w:val="left"/>
      <w:pPr>
        <w:ind w:left="2880" w:hanging="360"/>
      </w:pPr>
    </w:lvl>
    <w:lvl w:ilvl="4" w:tplc="404620AA" w:tentative="1">
      <w:start w:val="1"/>
      <w:numFmt w:val="lowerLetter"/>
      <w:lvlText w:val="%5."/>
      <w:lvlJc w:val="left"/>
      <w:pPr>
        <w:ind w:left="3600" w:hanging="360"/>
      </w:pPr>
    </w:lvl>
    <w:lvl w:ilvl="5" w:tplc="6F48896A" w:tentative="1">
      <w:start w:val="1"/>
      <w:numFmt w:val="lowerRoman"/>
      <w:lvlText w:val="%6."/>
      <w:lvlJc w:val="right"/>
      <w:pPr>
        <w:ind w:left="4320" w:hanging="180"/>
      </w:pPr>
    </w:lvl>
    <w:lvl w:ilvl="6" w:tplc="4C2E0F1C" w:tentative="1">
      <w:start w:val="1"/>
      <w:numFmt w:val="decimal"/>
      <w:lvlText w:val="%7."/>
      <w:lvlJc w:val="left"/>
      <w:pPr>
        <w:ind w:left="5040" w:hanging="360"/>
      </w:pPr>
    </w:lvl>
    <w:lvl w:ilvl="7" w:tplc="F7422E02" w:tentative="1">
      <w:start w:val="1"/>
      <w:numFmt w:val="lowerLetter"/>
      <w:lvlText w:val="%8."/>
      <w:lvlJc w:val="left"/>
      <w:pPr>
        <w:ind w:left="5760" w:hanging="360"/>
      </w:pPr>
    </w:lvl>
    <w:lvl w:ilvl="8" w:tplc="66A2C0E8" w:tentative="1">
      <w:start w:val="1"/>
      <w:numFmt w:val="lowerRoman"/>
      <w:lvlText w:val="%9."/>
      <w:lvlJc w:val="right"/>
      <w:pPr>
        <w:ind w:left="6480" w:hanging="180"/>
      </w:pPr>
    </w:lvl>
  </w:abstractNum>
  <w:abstractNum w:abstractNumId="1" w15:restartNumberingAfterBreak="0">
    <w:nsid w:val="6F9B4FAC"/>
    <w:multiLevelType w:val="hybridMultilevel"/>
    <w:tmpl w:val="A0BAA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2056983">
    <w:abstractNumId w:val="0"/>
  </w:num>
  <w:num w:numId="2" w16cid:durableId="1892184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27282"/>
    <w:rsid w:val="000016AC"/>
    <w:rsid w:val="00034D71"/>
    <w:rsid w:val="00100782"/>
    <w:rsid w:val="00142FAC"/>
    <w:rsid w:val="001630E7"/>
    <w:rsid w:val="00181700"/>
    <w:rsid w:val="001C4F8A"/>
    <w:rsid w:val="001F0E4B"/>
    <w:rsid w:val="00264219"/>
    <w:rsid w:val="00344FCC"/>
    <w:rsid w:val="00354CF0"/>
    <w:rsid w:val="00466088"/>
    <w:rsid w:val="00546303"/>
    <w:rsid w:val="00605353"/>
    <w:rsid w:val="0061760A"/>
    <w:rsid w:val="00626C72"/>
    <w:rsid w:val="006706B4"/>
    <w:rsid w:val="00693C2E"/>
    <w:rsid w:val="006E6E5E"/>
    <w:rsid w:val="00804788"/>
    <w:rsid w:val="009472FC"/>
    <w:rsid w:val="009C709E"/>
    <w:rsid w:val="00A07486"/>
    <w:rsid w:val="00A26813"/>
    <w:rsid w:val="00A61C57"/>
    <w:rsid w:val="00AD5E8B"/>
    <w:rsid w:val="00C27282"/>
    <w:rsid w:val="00CB4A09"/>
    <w:rsid w:val="00CB7F0F"/>
    <w:rsid w:val="00D20A92"/>
    <w:rsid w:val="00D254D9"/>
    <w:rsid w:val="00D80020"/>
    <w:rsid w:val="00F17354"/>
    <w:rsid w:val="00F55760"/>
    <w:rsid w:val="00F83081"/>
    <w:rsid w:val="00FB50E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EC813"/>
  <w15:chartTrackingRefBased/>
  <w15:docId w15:val="{2E4AF732-E505-488B-91C1-514DACB9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6B4"/>
    <w:pPr>
      <w:spacing w:before="240" w:after="240" w:line="360" w:lineRule="auto"/>
      <w:jc w:val="both"/>
    </w:pPr>
    <w:rPr>
      <w:rFonts w:ascii="Arial" w:hAnsi="Arial"/>
      <w:kern w:val="2"/>
      <w:sz w:val="24"/>
      <w:szCs w:val="24"/>
      <w:lang w:bidi="ar-SA"/>
    </w:rPr>
  </w:style>
  <w:style w:type="paragraph" w:styleId="Heading1">
    <w:name w:val="heading 1"/>
    <w:basedOn w:val="Normal"/>
    <w:next w:val="Normal"/>
    <w:link w:val="Heading1Char"/>
    <w:uiPriority w:val="9"/>
    <w:qFormat/>
    <w:rsid w:val="00C2728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C2728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C2728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2728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2728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272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2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2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2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28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C2728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C2728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2728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2728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272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2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2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282"/>
    <w:rPr>
      <w:rFonts w:eastAsiaTheme="majorEastAsia" w:cstheme="majorBidi"/>
      <w:color w:val="272727" w:themeColor="text1" w:themeTint="D8"/>
    </w:rPr>
  </w:style>
  <w:style w:type="paragraph" w:styleId="Title">
    <w:name w:val="Title"/>
    <w:basedOn w:val="Normal"/>
    <w:next w:val="Normal"/>
    <w:link w:val="TitleChar"/>
    <w:uiPriority w:val="10"/>
    <w:qFormat/>
    <w:rsid w:val="00C272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2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2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2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2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7282"/>
    <w:rPr>
      <w:i/>
      <w:iCs/>
      <w:color w:val="404040" w:themeColor="text1" w:themeTint="BF"/>
    </w:rPr>
  </w:style>
  <w:style w:type="paragraph" w:styleId="ListParagraph">
    <w:name w:val="List Paragraph"/>
    <w:basedOn w:val="Normal"/>
    <w:uiPriority w:val="34"/>
    <w:qFormat/>
    <w:rsid w:val="00C27282"/>
    <w:pPr>
      <w:ind w:left="720"/>
      <w:contextualSpacing/>
    </w:pPr>
  </w:style>
  <w:style w:type="character" w:styleId="IntenseEmphasis">
    <w:name w:val="Intense Emphasis"/>
    <w:basedOn w:val="DefaultParagraphFont"/>
    <w:uiPriority w:val="21"/>
    <w:qFormat/>
    <w:rsid w:val="00C27282"/>
    <w:rPr>
      <w:i/>
      <w:iCs/>
      <w:color w:val="365F91" w:themeColor="accent1" w:themeShade="BF"/>
    </w:rPr>
  </w:style>
  <w:style w:type="paragraph" w:styleId="IntenseQuote">
    <w:name w:val="Intense Quote"/>
    <w:basedOn w:val="Normal"/>
    <w:next w:val="Normal"/>
    <w:link w:val="IntenseQuoteChar"/>
    <w:uiPriority w:val="30"/>
    <w:qFormat/>
    <w:rsid w:val="00C2728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27282"/>
    <w:rPr>
      <w:i/>
      <w:iCs/>
      <w:color w:val="365F91" w:themeColor="accent1" w:themeShade="BF"/>
    </w:rPr>
  </w:style>
  <w:style w:type="character" w:styleId="IntenseReference">
    <w:name w:val="Intense Reference"/>
    <w:basedOn w:val="DefaultParagraphFont"/>
    <w:uiPriority w:val="32"/>
    <w:qFormat/>
    <w:rsid w:val="00C27282"/>
    <w:rPr>
      <w:b/>
      <w:bCs/>
      <w:smallCaps/>
      <w:color w:val="365F91" w:themeColor="accent1" w:themeShade="BF"/>
      <w:spacing w:val="5"/>
    </w:rPr>
  </w:style>
  <w:style w:type="paragraph" w:styleId="Caption">
    <w:name w:val="caption"/>
    <w:basedOn w:val="Normal"/>
    <w:next w:val="Normal"/>
    <w:uiPriority w:val="35"/>
    <w:unhideWhenUsed/>
    <w:qFormat/>
    <w:rsid w:val="006706B4"/>
    <w:pPr>
      <w:spacing w:before="0" w:after="200" w:line="240" w:lineRule="auto"/>
    </w:pPr>
    <w:rPr>
      <w:i/>
      <w:iCs/>
      <w:color w:val="1F497D" w:themeColor="text2"/>
      <w:sz w:val="18"/>
      <w:szCs w:val="18"/>
    </w:rPr>
  </w:style>
  <w:style w:type="paragraph" w:styleId="Header">
    <w:name w:val="header"/>
    <w:basedOn w:val="Normal"/>
    <w:link w:val="HeaderChar"/>
    <w:uiPriority w:val="99"/>
    <w:unhideWhenUsed/>
    <w:rsid w:val="00D254D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254D9"/>
    <w:rPr>
      <w:rFonts w:ascii="Arial" w:hAnsi="Arial"/>
      <w:kern w:val="2"/>
      <w:sz w:val="24"/>
      <w:szCs w:val="24"/>
      <w:lang w:bidi="ar-SA"/>
    </w:rPr>
  </w:style>
  <w:style w:type="paragraph" w:styleId="Footer">
    <w:name w:val="footer"/>
    <w:basedOn w:val="Normal"/>
    <w:link w:val="FooterChar"/>
    <w:uiPriority w:val="99"/>
    <w:unhideWhenUsed/>
    <w:rsid w:val="00D254D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254D9"/>
    <w:rPr>
      <w:rFonts w:ascii="Arial" w:hAnsi="Arial"/>
      <w:kern w:val="2"/>
      <w:sz w:val="24"/>
      <w:szCs w:val="24"/>
      <w:lang w:bidi="ar-SA"/>
    </w:rPr>
  </w:style>
  <w:style w:type="character" w:styleId="Hyperlink">
    <w:name w:val="Hyperlink"/>
    <w:basedOn w:val="DefaultParagraphFont"/>
    <w:uiPriority w:val="99"/>
    <w:unhideWhenUsed/>
    <w:rsid w:val="00D80020"/>
    <w:rPr>
      <w:color w:val="0000FF" w:themeColor="hyperlink"/>
      <w:u w:val="single"/>
    </w:rPr>
  </w:style>
  <w:style w:type="paragraph" w:styleId="TOCHeading">
    <w:name w:val="TOC Heading"/>
    <w:basedOn w:val="Heading1"/>
    <w:next w:val="Normal"/>
    <w:uiPriority w:val="39"/>
    <w:unhideWhenUsed/>
    <w:rsid w:val="00D80020"/>
    <w:pPr>
      <w:spacing w:before="240" w:after="0" w:line="259" w:lineRule="auto"/>
      <w:jc w:val="left"/>
      <w:outlineLvl w:val="9"/>
    </w:pPr>
    <w:rPr>
      <w:kern w:val="0"/>
      <w:sz w:val="32"/>
      <w:szCs w:val="32"/>
    </w:rPr>
  </w:style>
  <w:style w:type="paragraph" w:styleId="TOC1">
    <w:name w:val="toc 1"/>
    <w:basedOn w:val="Normal"/>
    <w:next w:val="Normal"/>
    <w:autoRedefine/>
    <w:uiPriority w:val="39"/>
    <w:unhideWhenUsed/>
    <w:rsid w:val="00D80020"/>
    <w:pPr>
      <w:tabs>
        <w:tab w:val="right" w:leader="dot" w:pos="9350"/>
      </w:tabs>
      <w:spacing w:after="100"/>
    </w:pPr>
    <w:rPr>
      <w:b/>
      <w:bCs/>
      <w:noProof/>
    </w:rPr>
  </w:style>
  <w:style w:type="paragraph" w:styleId="TOC2">
    <w:name w:val="toc 2"/>
    <w:basedOn w:val="Normal"/>
    <w:next w:val="Normal"/>
    <w:autoRedefine/>
    <w:uiPriority w:val="39"/>
    <w:unhideWhenUsed/>
    <w:rsid w:val="00D80020"/>
    <w:pPr>
      <w:spacing w:after="100"/>
      <w:ind w:left="240"/>
    </w:pPr>
  </w:style>
  <w:style w:type="paragraph" w:styleId="NoSpacing">
    <w:name w:val="No Spacing"/>
    <w:uiPriority w:val="1"/>
    <w:qFormat/>
    <w:rsid w:val="00D80020"/>
    <w:pPr>
      <w:spacing w:before="240" w:after="240" w:line="360" w:lineRule="auto"/>
      <w:jc w:val="both"/>
    </w:pPr>
    <w:rPr>
      <w:rFonts w:ascii="Arial" w:hAnsi="Arial"/>
      <w:kern w:val="2"/>
      <w:sz w:val="24"/>
      <w:szCs w:val="24"/>
      <w:lang w:bidi="ar-SA"/>
    </w:rPr>
  </w:style>
  <w:style w:type="paragraph" w:styleId="TableofFigures">
    <w:name w:val="table of figures"/>
    <w:basedOn w:val="Normal"/>
    <w:next w:val="Normal"/>
    <w:uiPriority w:val="99"/>
    <w:unhideWhenUsed/>
    <w:rsid w:val="00D80020"/>
    <w:pPr>
      <w:spacing w:after="0"/>
    </w:pPr>
  </w:style>
  <w:style w:type="paragraph" w:styleId="TOC3">
    <w:name w:val="toc 3"/>
    <w:basedOn w:val="Normal"/>
    <w:next w:val="Normal"/>
    <w:autoRedefine/>
    <w:uiPriority w:val="39"/>
    <w:unhideWhenUsed/>
    <w:rsid w:val="00D800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7.xml"/><Relationship Id="rId26" Type="http://schemas.openxmlformats.org/officeDocument/2006/relationships/hyperlink" Target="https://digitalcommons.unl.edu/cgi/viewcontent.cgi?article=1819&amp;context=honorstheses" TargetMode="External"/><Relationship Id="rId39" Type="http://schemas.openxmlformats.org/officeDocument/2006/relationships/hyperlink" Target="https://ojs.ehu.eus/index.php/CG/article/download/24871/22255" TargetMode="External"/><Relationship Id="rId21" Type="http://schemas.openxmlformats.org/officeDocument/2006/relationships/image" Target="media/image7.emf"/><Relationship Id="rId34" Type="http://schemas.openxmlformats.org/officeDocument/2006/relationships/hyperlink" Target="https://dspace.chmnu.edu.ua/jspui/bitstream/123456789/2591/1/Lagodiyenko%2C%20O.%2C%20Uzhva%2C%20A.%2C%20%26%20Khakhaliev%2C%20D..pdf" TargetMode="External"/><Relationship Id="rId42" Type="http://schemas.openxmlformats.org/officeDocument/2006/relationships/hyperlink" Target="https://papers.ssrn.com/sol3/Delivery.cfm?abstractid=6732438" TargetMode="External"/><Relationship Id="rId47" Type="http://schemas.openxmlformats.org/officeDocument/2006/relationships/hyperlink" Target="https://nepjol.info/index.php/njmr/article/download/47359/35450" TargetMode="External"/><Relationship Id="rId50" Type="http://schemas.openxmlformats.org/officeDocument/2006/relationships/hyperlink" Target="https://finance.yahoo.com/quote/HLT/" TargetMode="External"/><Relationship Id="rId55" Type="http://schemas.openxmlformats.org/officeDocument/2006/relationships/chart" Target="charts/chart10.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hyperlink" Target="https://ir.hilton.com/financial-reporting/annual-reports" TargetMode="External"/><Relationship Id="rId11" Type="http://schemas.openxmlformats.org/officeDocument/2006/relationships/chart" Target="charts/chart2.xml"/><Relationship Id="rId24" Type="http://schemas.openxmlformats.org/officeDocument/2006/relationships/hyperlink" Target="https://run.unl.pt/bitstreams/c0aa08eb-38e4-41c5-b109-f3374b911217/download" TargetMode="External"/><Relationship Id="rId32" Type="http://schemas.openxmlformats.org/officeDocument/2006/relationships/hyperlink" Target="https://www.researchgate.net/profile/Madhuri-Kadam-2/publication/390561020_A_Study_of_Identification_of_Capital_Budgeting_Tools_applied_in_Investment_Decision/links/68621f87e4632b045dc87e5d/A-Study-of-Identification-of-Capital-Budgeting-Tools-applied-in-Investment-Decision.pdf" TargetMode="External"/><Relationship Id="rId37" Type="http://schemas.openxmlformats.org/officeDocument/2006/relationships/hyperlink" Target="https://www.researchgate.net/profile/Cong-Nguyen-10/publication/360439510_Effect_Of_Working_Capital_Management_On_The_Performance_Of_Listed_Firms_In_Emerging_Markets_Evidence_In_Vietnam/links/62fee2bbeb7b135a0e461100/Effect-Of-Working-Capital-Management-On-The-Performance-Of-Listed-Firms-In-Emerging-Markets-Evidence-In-Vietnam.pdf" TargetMode="External"/><Relationship Id="rId40" Type="http://schemas.openxmlformats.org/officeDocument/2006/relationships/hyperlink" Target="https://papers.ssrn.com/sol3/Delivery.cfm?abstractid=5348941" TargetMode="External"/><Relationship Id="rId45" Type="http://schemas.openxmlformats.org/officeDocument/2006/relationships/hyperlink" Target="https://pdfs.semanticscholar.org/35f5/923a958b071288b38d4e960e8268477ec19a.pdf" TargetMode="External"/><Relationship Id="rId53" Type="http://schemas.openxmlformats.org/officeDocument/2006/relationships/chart" Target="charts/chart8.xml"/><Relationship Id="rId58" Type="http://schemas.openxmlformats.org/officeDocument/2006/relationships/chart" Target="charts/chart13.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5.emf"/><Relationship Id="rId14" Type="http://schemas.openxmlformats.org/officeDocument/2006/relationships/chart" Target="charts/chart5.xml"/><Relationship Id="rId22" Type="http://schemas.openxmlformats.org/officeDocument/2006/relationships/hyperlink" Target="https://ejournal.warmadewa.ac.id/index.php/wmbj/article/view/14517/7274" TargetMode="External"/><Relationship Id="rId27" Type="http://schemas.openxmlformats.org/officeDocument/2006/relationships/hyperlink" Targe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 TargetMode="External"/><Relationship Id="rId30" Type="http://schemas.openxmlformats.org/officeDocument/2006/relationships/hyperlink" Target="https://www.tandfonline.com/doi/pdf/10.1080/23311975.2025.2473033" TargetMode="External"/><Relationship Id="rId35" Type="http://schemas.openxmlformats.org/officeDocument/2006/relationships/hyperlink" Target="https://www.intechopen.com/chapters/81162" TargetMode="External"/><Relationship Id="rId43" Type="http://schemas.openxmlformats.org/officeDocument/2006/relationships/hyperlink" Target="https://run.unl.pt/bitstreams/5d54509b-1d7e-453f-bf25-62f79e94b4ea/download" TargetMode="External"/><Relationship Id="rId48" Type="http://schemas.openxmlformats.org/officeDocument/2006/relationships/hyperlink" Target="https://irjems.org/Volume-4-Issue-11/IRJEMS-V4I11P113.pdf" TargetMode="External"/><Relationship Id="rId56" Type="http://schemas.openxmlformats.org/officeDocument/2006/relationships/chart" Target="charts/chart11.xml"/><Relationship Id="rId8" Type="http://schemas.openxmlformats.org/officeDocument/2006/relationships/image" Target="media/image1.png"/><Relationship Id="rId51" Type="http://schemas.openxmlformats.org/officeDocument/2006/relationships/hyperlink" Target="https://www.atlantis-press.com/article/125974136.pdf"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image" Target="media/image4.emf"/><Relationship Id="rId25" Type="http://schemas.openxmlformats.org/officeDocument/2006/relationships/hyperlink" Target="https://www.theseus.fi/bitstream/handle/10024/900470/Danish_Jawid.pdf?sequence=2" TargetMode="External"/><Relationship Id="rId33" Type="http://schemas.openxmlformats.org/officeDocument/2006/relationships/hyperlink" Target="https://scholar.google.com/scholar?output=instlink&amp;q=info:BwnnmZEcxwIJ:scholar.google.com/&amp;hl=en&amp;as_sdt=0,5&amp;as_ylo=2022&amp;scillfp=4680705444181354169&amp;oi=lle" TargetMode="External"/><Relationship Id="rId38" Type="http://schemas.openxmlformats.org/officeDocument/2006/relationships/hyperlink" Target="https://icanig.org/documents/23_CASH_FLOW_LIQUIDITY_AND_CAPITAL_STRUCTURE.pdf" TargetMode="External"/><Relationship Id="rId46" Type="http://schemas.openxmlformats.org/officeDocument/2006/relationships/hyperlink" Target="https://cyberleninka.ru/article/n/financial-performance-of-selected-hotel-groups-and-resorts-during-covid-19-pandemic-2019-2020-comparison" TargetMode="External"/><Relationship Id="rId59" Type="http://schemas.openxmlformats.org/officeDocument/2006/relationships/chart" Target="charts/chart14.xml"/><Relationship Id="rId20" Type="http://schemas.openxmlformats.org/officeDocument/2006/relationships/image" Target="media/image6.emf"/><Relationship Id="rId41" Type="http://schemas.openxmlformats.org/officeDocument/2006/relationships/hyperlink" Target="https://cyberleninka.ru/article/n/quantifying-the-financial-impact-of-covid-19-on-the-largest-global-companies-in-the-hotel-industry" TargetMode="External"/><Relationship Id="rId54" Type="http://schemas.openxmlformats.org/officeDocument/2006/relationships/chart" Target="charts/chart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onlinelibrary.wiley.com/doi/pdf/10.1002/jcaf.22774" TargetMode="External"/><Relationship Id="rId28" Type="http://schemas.openxmlformats.org/officeDocument/2006/relationships/hyperlink" Target="https://papers.ssrn.com/sol3/Delivery.cfm?abstractid=5340588" TargetMode="External"/><Relationship Id="rId36" Type="http://schemas.openxmlformats.org/officeDocument/2006/relationships/hyperlink" Target="https://journals.umt.edu.pk/index.php/aar/article/download/6928/3156" TargetMode="External"/><Relationship Id="rId49" Type="http://schemas.openxmlformats.org/officeDocument/2006/relationships/hyperlink" Target="https://udspace.udel.edu/bitstreams/f7b79827-8609-4c7a-bdbb-394fce54a949/download" TargetMode="External"/><Relationship Id="rId57" Type="http://schemas.openxmlformats.org/officeDocument/2006/relationships/chart" Target="charts/chart12.xml"/><Relationship Id="rId10" Type="http://schemas.openxmlformats.org/officeDocument/2006/relationships/chart" Target="charts/chart1.xml"/><Relationship Id="rId31" Type="http://schemas.openxmlformats.org/officeDocument/2006/relationships/hyperlink" Target="https://www.researchgate.net/profile/Gilbert-Nworie-2/publication/389211249_Shareholder_value_diminution_through_long-_term_debts_Evidence_from_the_Nigerian_oil_industry/links/67b8eeb5207c0c20fa911a99/Shareholder-value-diminution-through-long-term-debts-Evidence-from-the-Nigerian-oil-industry.pdf" TargetMode="External"/><Relationship Id="rId44" Type="http://schemas.openxmlformats.org/officeDocument/2006/relationships/hyperlink" Target="https://www.academia.edu/download/124979573/28_2025_IJRAR.pdf" TargetMode="External"/><Relationship Id="rId52" Type="http://schemas.openxmlformats.org/officeDocument/2006/relationships/hyperlink" Target="https://unitesi.unive.it/bitstream/20.500.14247/4284/1/872666-1280209.pdf"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Ratios!$I$2</c:f>
              <c:strCache>
                <c:ptCount val="1"/>
                <c:pt idx="0">
                  <c:v>Net Profit Margin (NPM)</c:v>
                </c:pt>
              </c:strCache>
            </c:strRef>
          </c:tx>
          <c:spPr>
            <a:solidFill>
              <a:schemeClr val="accent2"/>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Ratios!$K$2:$O$2</c:f>
              <c:numCache>
                <c:formatCode>0.00%</c:formatCode>
                <c:ptCount val="5"/>
                <c:pt idx="0">
                  <c:v>0.1145631067961165</c:v>
                </c:pt>
                <c:pt idx="1">
                  <c:v>0.13016528925619836</c:v>
                </c:pt>
                <c:pt idx="2">
                  <c:v>0.10223463687150838</c:v>
                </c:pt>
                <c:pt idx="3">
                  <c:v>0.13750000000000001</c:v>
                </c:pt>
                <c:pt idx="4">
                  <c:v>0.12116402116402117</c:v>
                </c:pt>
              </c:numCache>
            </c:numRef>
          </c:val>
          <c:extLst>
            <c:ext xmlns:c16="http://schemas.microsoft.com/office/drawing/2014/chart" uri="{C3380CC4-5D6E-409C-BE32-E72D297353CC}">
              <c16:uniqueId val="{00000000-D232-4A3E-AA51-1547BDE8A9AC}"/>
            </c:ext>
          </c:extLst>
        </c:ser>
        <c:ser>
          <c:idx val="2"/>
          <c:order val="1"/>
          <c:tx>
            <c:strRef>
              <c:f>Ratios!$I$3</c:f>
              <c:strCache>
                <c:ptCount val="1"/>
                <c:pt idx="0">
                  <c:v>Return on Assets (ROA)</c:v>
                </c:pt>
              </c:strCache>
            </c:strRef>
          </c:tx>
          <c:spPr>
            <a:solidFill>
              <a:schemeClr val="accent3"/>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Ratios!$K$3:$O$3</c:f>
              <c:numCache>
                <c:formatCode>0.00%</c:formatCode>
                <c:ptCount val="5"/>
                <c:pt idx="0">
                  <c:v>4.9663299663299666E-2</c:v>
                </c:pt>
                <c:pt idx="1">
                  <c:v>7.5539568345323743E-2</c:v>
                </c:pt>
                <c:pt idx="2">
                  <c:v>7.3671497584541057E-2</c:v>
                </c:pt>
                <c:pt idx="3">
                  <c:v>9.372579395817196E-2</c:v>
                </c:pt>
                <c:pt idx="4">
                  <c:v>8.5320417287630401E-2</c:v>
                </c:pt>
              </c:numCache>
            </c:numRef>
          </c:val>
          <c:extLst>
            <c:ext xmlns:c16="http://schemas.microsoft.com/office/drawing/2014/chart" uri="{C3380CC4-5D6E-409C-BE32-E72D297353CC}">
              <c16:uniqueId val="{00000001-D232-4A3E-AA51-1547BDE8A9AC}"/>
            </c:ext>
          </c:extLst>
        </c:ser>
        <c:dLbls>
          <c:showLegendKey val="0"/>
          <c:showVal val="0"/>
          <c:showCatName val="0"/>
          <c:showSerName val="0"/>
          <c:showPercent val="0"/>
          <c:showBubbleSize val="0"/>
        </c:dLbls>
        <c:gapWidth val="219"/>
        <c:overlap val="-27"/>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Ratios!$I$4</c:f>
              <c:strCache>
                <c:ptCount val="1"/>
                <c:pt idx="0">
                  <c:v>Current Ratio (CR)</c:v>
                </c:pt>
              </c:strCache>
            </c:strRef>
          </c:tx>
          <c:spPr>
            <a:noFill/>
            <a:ln w="25400">
              <a:solidFill>
                <a:schemeClr val="accent1"/>
              </a:solidFill>
              <a:miter lim="800000"/>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Ratios!$K$4:$O$4</c:f>
              <c:numCache>
                <c:formatCode>0.00</c:formatCode>
                <c:ptCount val="5"/>
                <c:pt idx="0">
                  <c:v>0.85658914728682167</c:v>
                </c:pt>
                <c:pt idx="1">
                  <c:v>0.80918727915194344</c:v>
                </c:pt>
                <c:pt idx="2">
                  <c:v>0.70333333333333337</c:v>
                </c:pt>
                <c:pt idx="3">
                  <c:v>0.6975476839237057</c:v>
                </c:pt>
                <c:pt idx="4">
                  <c:v>0.66481994459833793</c:v>
                </c:pt>
              </c:numCache>
            </c:numRef>
          </c:val>
          <c:extLst>
            <c:ext xmlns:c16="http://schemas.microsoft.com/office/drawing/2014/chart" uri="{C3380CC4-5D6E-409C-BE32-E72D297353CC}">
              <c16:uniqueId val="{00000000-DF31-4F53-A0D8-B21F393F934B}"/>
            </c:ext>
          </c:extLst>
        </c:ser>
        <c:dLbls>
          <c:dLblPos val="outEnd"/>
          <c:showLegendKey val="0"/>
          <c:showVal val="1"/>
          <c:showCatName val="0"/>
          <c:showSerName val="0"/>
          <c:showPercent val="0"/>
          <c:showBubbleSize val="0"/>
        </c:dLbls>
        <c:gapWidth val="164"/>
        <c:overlap val="-35"/>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Ratios!$I$6</c:f>
              <c:strCache>
                <c:ptCount val="1"/>
                <c:pt idx="0">
                  <c:v>Days Sales Outstanding (DSO)</c:v>
                </c:pt>
              </c:strCache>
            </c:strRef>
          </c:tx>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Ratios!$K$6:$O$6</c:f>
              <c:numCache>
                <c:formatCode>0.00</c:formatCode>
                <c:ptCount val="5"/>
                <c:pt idx="0">
                  <c:v>58.116504854368934</c:v>
                </c:pt>
                <c:pt idx="1">
                  <c:v>53.794765840220379</c:v>
                </c:pt>
                <c:pt idx="2">
                  <c:v>47.715083798882681</c:v>
                </c:pt>
                <c:pt idx="3">
                  <c:v>51.43181818181818</c:v>
                </c:pt>
                <c:pt idx="4">
                  <c:v>50.984126984126988</c:v>
                </c:pt>
              </c:numCache>
            </c:numRef>
          </c:val>
          <c:extLst>
            <c:ext xmlns:c16="http://schemas.microsoft.com/office/drawing/2014/chart" uri="{C3380CC4-5D6E-409C-BE32-E72D297353CC}">
              <c16:uniqueId val="{00000000-DF05-4272-9ABA-F96CBD220DC0}"/>
            </c:ext>
          </c:extLst>
        </c:ser>
        <c:ser>
          <c:idx val="2"/>
          <c:order val="1"/>
          <c:tx>
            <c:strRef>
              <c:f>Ratios!$I$7</c:f>
              <c:strCache>
                <c:ptCount val="1"/>
                <c:pt idx="0">
                  <c:v>Days Payable Outstanding (DPO)</c:v>
                </c:pt>
              </c:strCache>
            </c:strRef>
          </c:tx>
          <c:spPr>
            <a:gradFill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Ratios!$K$7:$O$7</c:f>
              <c:numCache>
                <c:formatCode>0.00</c:formatCode>
                <c:ptCount val="5"/>
                <c:pt idx="0">
                  <c:v>24.441964285714285</c:v>
                </c:pt>
                <c:pt idx="1">
                  <c:v>20.512396694214878</c:v>
                </c:pt>
                <c:pt idx="2">
                  <c:v>20.808936825885979</c:v>
                </c:pt>
                <c:pt idx="3">
                  <c:v>17.126099706744867</c:v>
                </c:pt>
                <c:pt idx="4">
                  <c:v>15.985401459854016</c:v>
                </c:pt>
              </c:numCache>
            </c:numRef>
          </c:val>
          <c:extLst>
            <c:ext xmlns:c16="http://schemas.microsoft.com/office/drawing/2014/chart" uri="{C3380CC4-5D6E-409C-BE32-E72D297353CC}">
              <c16:uniqueId val="{00000001-DF05-4272-9ABA-F96CBD220DC0}"/>
            </c:ext>
          </c:extLst>
        </c:ser>
        <c:dLbls>
          <c:showLegendKey val="0"/>
          <c:showVal val="0"/>
          <c:showCatName val="0"/>
          <c:showSerName val="0"/>
          <c:showPercent val="0"/>
          <c:showBubbleSize val="0"/>
        </c:dLbls>
        <c:gapWidth val="355"/>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DSO &amp; DPO</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r>
              <a:rPr lang="en-US"/>
              <a:t>Investment</a:t>
            </a:r>
          </a:p>
        </c:rich>
      </c:tx>
      <c:overlay val="0"/>
      <c:spPr>
        <a:noFill/>
        <a:ln>
          <a:noFill/>
        </a:ln>
        <a:effectLst/>
      </c:spPr>
      <c:txPr>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Ratios!$I$10</c:f>
              <c:strCache>
                <c:ptCount val="1"/>
                <c:pt idx="0">
                  <c:v>Price-to-Earnings (P/E) Ratio</c:v>
                </c:pt>
              </c:strCache>
            </c:strRef>
          </c:tx>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Ratios!$K$10:$O$10</c:f>
              <c:numCache>
                <c:formatCode>0.00</c:formatCode>
                <c:ptCount val="5"/>
                <c:pt idx="0">
                  <c:v>113</c:v>
                </c:pt>
                <c:pt idx="1">
                  <c:v>28.305555555555557</c:v>
                </c:pt>
                <c:pt idx="2">
                  <c:v>42.823529411764703</c:v>
                </c:pt>
                <c:pt idx="3">
                  <c:v>40.208333333333336</c:v>
                </c:pt>
                <c:pt idx="4">
                  <c:v>47.304347826086961</c:v>
                </c:pt>
              </c:numCache>
            </c:numRef>
          </c:val>
          <c:extLst>
            <c:ext xmlns:c16="http://schemas.microsoft.com/office/drawing/2014/chart" uri="{C3380CC4-5D6E-409C-BE32-E72D297353CC}">
              <c16:uniqueId val="{00000000-9404-4B08-BAD9-9D5999ECFB42}"/>
            </c:ext>
          </c:extLst>
        </c:ser>
        <c:dLbls>
          <c:dLblPos val="inEnd"/>
          <c:showLegendKey val="0"/>
          <c:showVal val="1"/>
          <c:showCatName val="0"/>
          <c:showSerName val="0"/>
          <c:showPercent val="0"/>
          <c:showBubbleSize val="0"/>
        </c:dLbls>
        <c:gapWidth val="41"/>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65000"/>
                    <a:lumOff val="35000"/>
                  </a:schemeClr>
                </a:solidFill>
                <a:effectLst/>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Ratios!$I$8</c:f>
              <c:strCache>
                <c:ptCount val="1"/>
                <c:pt idx="0">
                  <c:v>Debt-to-Equity (DTE)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Ratios!$K$8:$O$8</c:f>
              <c:numCache>
                <c:formatCode>0.00</c:formatCode>
                <c:ptCount val="5"/>
                <c:pt idx="0">
                  <c:v>-10.873015873015873</c:v>
                </c:pt>
                <c:pt idx="1">
                  <c:v>-5.8923076923076927</c:v>
                </c:pt>
                <c:pt idx="2">
                  <c:v>-4.3174603174603172</c:v>
                </c:pt>
                <c:pt idx="3">
                  <c:v>-3.2256944444444446</c:v>
                </c:pt>
                <c:pt idx="4">
                  <c:v>-2.4462616822429908</c:v>
                </c:pt>
              </c:numCache>
            </c:numRef>
          </c:val>
          <c:extLst>
            <c:ext xmlns:c16="http://schemas.microsoft.com/office/drawing/2014/chart" uri="{C3380CC4-5D6E-409C-BE32-E72D297353CC}">
              <c16:uniqueId val="{00000000-1CC2-4CF4-BA33-CF650B998D3C}"/>
            </c:ext>
          </c:extLst>
        </c:ser>
        <c:ser>
          <c:idx val="1"/>
          <c:order val="1"/>
          <c:tx>
            <c:strRef>
              <c:f>Ratios!$I$9</c:f>
              <c:strCache>
                <c:ptCount val="1"/>
                <c:pt idx="0">
                  <c:v>Debt-to-Assets (DTA) Ratio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Ratios!$K$9:$O$9</c:f>
              <c:numCache>
                <c:formatCode>0.00</c:formatCode>
                <c:ptCount val="5"/>
                <c:pt idx="0">
                  <c:v>0.57659932659932656</c:v>
                </c:pt>
                <c:pt idx="1">
                  <c:v>0.61231015187849724</c:v>
                </c:pt>
                <c:pt idx="2">
                  <c:v>0.65700483091787443</c:v>
                </c:pt>
                <c:pt idx="3">
                  <c:v>0.71959721146398137</c:v>
                </c:pt>
                <c:pt idx="4">
                  <c:v>0.78017883755588668</c:v>
                </c:pt>
              </c:numCache>
            </c:numRef>
          </c:val>
          <c:extLst>
            <c:ext xmlns:c16="http://schemas.microsoft.com/office/drawing/2014/chart" uri="{C3380CC4-5D6E-409C-BE32-E72D297353CC}">
              <c16:uniqueId val="{00000001-1CC2-4CF4-BA33-CF650B998D3C}"/>
            </c:ext>
          </c:extLst>
        </c:ser>
        <c:dLbls>
          <c:dLblPos val="outEnd"/>
          <c:showLegendKey val="0"/>
          <c:showVal val="1"/>
          <c:showCatName val="0"/>
          <c:showSerName val="0"/>
          <c:showPercent val="0"/>
          <c:showBubbleSize val="0"/>
        </c:dLbls>
        <c:gapWidth val="444"/>
        <c:overlap val="-90"/>
        <c:axId val="1463246720"/>
        <c:axId val="1254361872"/>
      </c:barChart>
      <c:catAx>
        <c:axId val="146324672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1" i="0" u="none" strike="noStrike" kern="1200" cap="all" spc="120" normalizeH="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r>
              <a:rPr lang="en-US"/>
              <a:t>Cash Flow</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Ratios!$I$11</c:f>
              <c:strCache>
                <c:ptCount val="1"/>
                <c:pt idx="0">
                  <c:v>Operating Cash Flow Margin (OCFM)</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Ratios!$K$11:$O$11</c:f>
              <c:numCache>
                <c:formatCode>0.00%</c:formatCode>
                <c:ptCount val="5"/>
                <c:pt idx="0">
                  <c:v>1.5339805825242718E-2</c:v>
                </c:pt>
                <c:pt idx="1">
                  <c:v>0.18732782369146006</c:v>
                </c:pt>
                <c:pt idx="2">
                  <c:v>0.17430167597765364</c:v>
                </c:pt>
                <c:pt idx="3">
                  <c:v>0.17897727272727273</c:v>
                </c:pt>
                <c:pt idx="4">
                  <c:v>0.1761904761904762</c:v>
                </c:pt>
              </c:numCache>
            </c:numRef>
          </c:val>
          <c:extLst>
            <c:ext xmlns:c16="http://schemas.microsoft.com/office/drawing/2014/chart" uri="{C3380CC4-5D6E-409C-BE32-E72D297353CC}">
              <c16:uniqueId val="{00000000-1AA4-41A7-B6B6-BFD144AD85D5}"/>
            </c:ext>
          </c:extLst>
        </c:ser>
        <c:dLbls>
          <c:dLblPos val="outEnd"/>
          <c:showLegendKey val="0"/>
          <c:showVal val="1"/>
          <c:showCatName val="0"/>
          <c:showSerName val="0"/>
          <c:showPercent val="0"/>
          <c:showBubbleSize val="0"/>
        </c:dLbls>
        <c:gapWidth val="100"/>
        <c:overlap val="-24"/>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1"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Ratios!$V$1</c:f>
              <c:strCache>
                <c:ptCount val="1"/>
                <c:pt idx="0">
                  <c:v>Cash Operating Cycle (Days)</c:v>
                </c:pt>
              </c:strCache>
            </c:strRef>
          </c:tx>
          <c:spPr>
            <a:ln w="19050" cap="rnd">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Ratios!$R$2:$R$6</c:f>
              <c:numCache>
                <c:formatCode>0</c:formatCode>
                <c:ptCount val="5"/>
                <c:pt idx="0">
                  <c:v>2021</c:v>
                </c:pt>
                <c:pt idx="1">
                  <c:v>2022</c:v>
                </c:pt>
                <c:pt idx="2">
                  <c:v>2023</c:v>
                </c:pt>
                <c:pt idx="3">
                  <c:v>2024</c:v>
                </c:pt>
                <c:pt idx="4">
                  <c:v>2025</c:v>
                </c:pt>
              </c:numCache>
            </c:numRef>
          </c:cat>
          <c:val>
            <c:numRef>
              <c:f>Ratios!$V$2:$V$6</c:f>
              <c:numCache>
                <c:formatCode>0.00</c:formatCode>
                <c:ptCount val="5"/>
                <c:pt idx="0">
                  <c:v>33.674540568654649</c:v>
                </c:pt>
                <c:pt idx="1">
                  <c:v>33.2823691460055</c:v>
                </c:pt>
                <c:pt idx="2">
                  <c:v>26.906146972996702</c:v>
                </c:pt>
                <c:pt idx="3">
                  <c:v>34.305718475073313</c:v>
                </c:pt>
                <c:pt idx="4">
                  <c:v>34.99872552427297</c:v>
                </c:pt>
              </c:numCache>
            </c:numRef>
          </c:val>
          <c:smooth val="0"/>
          <c:extLst>
            <c:ext xmlns:c16="http://schemas.microsoft.com/office/drawing/2014/chart" uri="{C3380CC4-5D6E-409C-BE32-E72D297353CC}">
              <c16:uniqueId val="{00000000-EAA3-44BF-9D51-C57436E1DF10}"/>
            </c:ext>
          </c:extLst>
        </c:ser>
        <c:dLbls>
          <c:dLblPos val="ctr"/>
          <c:showLegendKey val="0"/>
          <c:showVal val="1"/>
          <c:showCatName val="0"/>
          <c:showSerName val="0"/>
          <c:showPercent val="0"/>
          <c:showBubbleSize val="0"/>
        </c:dLbls>
        <c:marker val="1"/>
        <c:smooth val="0"/>
        <c:axId val="1459292816"/>
        <c:axId val="1517185488"/>
      </c:lineChart>
      <c:catAx>
        <c:axId val="1459292816"/>
        <c:scaling>
          <c:orientation val="minMax"/>
        </c:scaling>
        <c:delete val="0"/>
        <c:axPos val="b"/>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dk1">
                    <a:lumMod val="65000"/>
                    <a:lumOff val="35000"/>
                  </a:schemeClr>
                </a:solidFill>
                <a:latin typeface="+mn-lt"/>
                <a:ea typeface="+mn-ea"/>
                <a:cs typeface="+mn-cs"/>
              </a:defRPr>
            </a:pPr>
            <a:endParaRPr lang="en-US"/>
          </a:p>
        </c:txPr>
        <c:crossAx val="1517185488"/>
        <c:crosses val="autoZero"/>
        <c:auto val="1"/>
        <c:lblAlgn val="ctr"/>
        <c:lblOffset val="100"/>
        <c:noMultiLvlLbl val="0"/>
      </c:catAx>
      <c:valAx>
        <c:axId val="1517185488"/>
        <c:scaling>
          <c:orientation val="minMax"/>
        </c:scaling>
        <c:delete val="1"/>
        <c:axPos val="l"/>
        <c:numFmt formatCode="0.00" sourceLinked="1"/>
        <c:majorTickMark val="none"/>
        <c:minorTickMark val="none"/>
        <c:tickLblPos val="nextTo"/>
        <c:crossAx val="1459292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Ratios!$I$2</c:f>
              <c:strCache>
                <c:ptCount val="1"/>
                <c:pt idx="0">
                  <c:v>Net Profit Margin (NPM)</c:v>
                </c:pt>
              </c:strCache>
            </c:strRef>
          </c:tx>
          <c:spPr>
            <a:solidFill>
              <a:schemeClr val="accent2"/>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Ratios!$K$2:$O$2</c:f>
              <c:numCache>
                <c:formatCode>0.00%</c:formatCode>
                <c:ptCount val="5"/>
                <c:pt idx="0">
                  <c:v>0.1145631067961165</c:v>
                </c:pt>
                <c:pt idx="1">
                  <c:v>0.13016528925619836</c:v>
                </c:pt>
                <c:pt idx="2">
                  <c:v>0.10223463687150838</c:v>
                </c:pt>
                <c:pt idx="3">
                  <c:v>0.13750000000000001</c:v>
                </c:pt>
                <c:pt idx="4">
                  <c:v>0.12116402116402117</c:v>
                </c:pt>
              </c:numCache>
            </c:numRef>
          </c:val>
          <c:extLst>
            <c:ext xmlns:c16="http://schemas.microsoft.com/office/drawing/2014/chart" uri="{C3380CC4-5D6E-409C-BE32-E72D297353CC}">
              <c16:uniqueId val="{00000000-B294-41C9-BB53-62B89CDEA290}"/>
            </c:ext>
          </c:extLst>
        </c:ser>
        <c:ser>
          <c:idx val="2"/>
          <c:order val="1"/>
          <c:tx>
            <c:strRef>
              <c:f>Ratios!$I$3</c:f>
              <c:strCache>
                <c:ptCount val="1"/>
                <c:pt idx="0">
                  <c:v>Return on Assets (ROA)</c:v>
                </c:pt>
              </c:strCache>
            </c:strRef>
          </c:tx>
          <c:spPr>
            <a:solidFill>
              <a:schemeClr val="accent3"/>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Ratios!$K$3:$O$3</c:f>
              <c:numCache>
                <c:formatCode>0.00%</c:formatCode>
                <c:ptCount val="5"/>
                <c:pt idx="0">
                  <c:v>4.9663299663299666E-2</c:v>
                </c:pt>
                <c:pt idx="1">
                  <c:v>7.5539568345323743E-2</c:v>
                </c:pt>
                <c:pt idx="2">
                  <c:v>7.3671497584541057E-2</c:v>
                </c:pt>
                <c:pt idx="3">
                  <c:v>9.372579395817196E-2</c:v>
                </c:pt>
                <c:pt idx="4">
                  <c:v>8.5320417287630401E-2</c:v>
                </c:pt>
              </c:numCache>
            </c:numRef>
          </c:val>
          <c:extLst>
            <c:ext xmlns:c16="http://schemas.microsoft.com/office/drawing/2014/chart" uri="{C3380CC4-5D6E-409C-BE32-E72D297353CC}">
              <c16:uniqueId val="{00000001-B294-41C9-BB53-62B89CDEA290}"/>
            </c:ext>
          </c:extLst>
        </c:ser>
        <c:ser>
          <c:idx val="3"/>
          <c:order val="2"/>
          <c:tx>
            <c:strRef>
              <c:f>Ratios!#REF!</c:f>
              <c:strCache>
                <c:ptCount val="1"/>
                <c:pt idx="0">
                  <c:v>#REF!</c:v>
                </c:pt>
              </c:strCache>
            </c:strRef>
          </c:tx>
          <c:spPr>
            <a:solidFill>
              <a:schemeClr val="accent4"/>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Ratios!#REF!</c:f>
              <c:numCache>
                <c:formatCode>General</c:formatCode>
                <c:ptCount val="1"/>
                <c:pt idx="0">
                  <c:v>1</c:v>
                </c:pt>
              </c:numCache>
            </c:numRef>
          </c:val>
          <c:extLst>
            <c:ext xmlns:c16="http://schemas.microsoft.com/office/drawing/2014/chart" uri="{C3380CC4-5D6E-409C-BE32-E72D297353CC}">
              <c16:uniqueId val="{00000002-B294-41C9-BB53-62B89CDEA290}"/>
            </c:ext>
          </c:extLst>
        </c:ser>
        <c:dLbls>
          <c:showLegendKey val="0"/>
          <c:showVal val="0"/>
          <c:showCatName val="0"/>
          <c:showSerName val="0"/>
          <c:showPercent val="0"/>
          <c:showBubbleSize val="0"/>
        </c:dLbls>
        <c:gapWidth val="219"/>
        <c:overlap val="-27"/>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Ratios!$I$6</c:f>
              <c:strCache>
                <c:ptCount val="1"/>
                <c:pt idx="0">
                  <c:v>Days Sales Outstanding (DSO)</c:v>
                </c:pt>
              </c:strCache>
            </c:strRef>
          </c:tx>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Ratios!$K$6:$O$6</c:f>
              <c:numCache>
                <c:formatCode>0.00</c:formatCode>
                <c:ptCount val="5"/>
                <c:pt idx="0">
                  <c:v>58.116504854368934</c:v>
                </c:pt>
                <c:pt idx="1">
                  <c:v>53.794765840220379</c:v>
                </c:pt>
                <c:pt idx="2">
                  <c:v>47.715083798882681</c:v>
                </c:pt>
                <c:pt idx="3">
                  <c:v>51.43181818181818</c:v>
                </c:pt>
                <c:pt idx="4">
                  <c:v>50.984126984126988</c:v>
                </c:pt>
              </c:numCache>
            </c:numRef>
          </c:val>
          <c:extLst>
            <c:ext xmlns:c16="http://schemas.microsoft.com/office/drawing/2014/chart" uri="{C3380CC4-5D6E-409C-BE32-E72D297353CC}">
              <c16:uniqueId val="{00000000-0D19-4CBE-9EA7-48DBC4252A66}"/>
            </c:ext>
          </c:extLst>
        </c:ser>
        <c:ser>
          <c:idx val="2"/>
          <c:order val="1"/>
          <c:tx>
            <c:strRef>
              <c:f>Ratios!$I$7</c:f>
              <c:strCache>
                <c:ptCount val="1"/>
                <c:pt idx="0">
                  <c:v>Days Payable Outstanding (DPO)</c:v>
                </c:pt>
              </c:strCache>
            </c:strRef>
          </c:tx>
          <c:spPr>
            <a:gradFill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Ratios!$K$7:$O$7</c:f>
              <c:numCache>
                <c:formatCode>0.00</c:formatCode>
                <c:ptCount val="5"/>
                <c:pt idx="0">
                  <c:v>24.441964285714285</c:v>
                </c:pt>
                <c:pt idx="1">
                  <c:v>20.512396694214878</c:v>
                </c:pt>
                <c:pt idx="2">
                  <c:v>20.808936825885979</c:v>
                </c:pt>
                <c:pt idx="3">
                  <c:v>17.126099706744867</c:v>
                </c:pt>
                <c:pt idx="4">
                  <c:v>15.985401459854016</c:v>
                </c:pt>
              </c:numCache>
            </c:numRef>
          </c:val>
          <c:extLst>
            <c:ext xmlns:c16="http://schemas.microsoft.com/office/drawing/2014/chart" uri="{C3380CC4-5D6E-409C-BE32-E72D297353CC}">
              <c16:uniqueId val="{00000001-0D19-4CBE-9EA7-48DBC4252A66}"/>
            </c:ext>
          </c:extLst>
        </c:ser>
        <c:dLbls>
          <c:showLegendKey val="0"/>
          <c:showVal val="0"/>
          <c:showCatName val="0"/>
          <c:showSerName val="0"/>
          <c:showPercent val="0"/>
          <c:showBubbleSize val="0"/>
        </c:dLbls>
        <c:gapWidth val="355"/>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DSO &amp; DPO</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Ratios!$I$4</c:f>
              <c:strCache>
                <c:ptCount val="1"/>
                <c:pt idx="0">
                  <c:v>Current Ratio (CR)</c:v>
                </c:pt>
              </c:strCache>
            </c:strRef>
          </c:tx>
          <c:spPr>
            <a:noFill/>
            <a:ln w="25400">
              <a:solidFill>
                <a:schemeClr val="accent1"/>
              </a:solidFill>
              <a:miter lim="800000"/>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Ratios!$K$4:$O$4</c:f>
              <c:numCache>
                <c:formatCode>0.00</c:formatCode>
                <c:ptCount val="5"/>
                <c:pt idx="0">
                  <c:v>0.85658914728682167</c:v>
                </c:pt>
                <c:pt idx="1">
                  <c:v>0.80918727915194344</c:v>
                </c:pt>
                <c:pt idx="2">
                  <c:v>0.70333333333333337</c:v>
                </c:pt>
                <c:pt idx="3">
                  <c:v>0.6975476839237057</c:v>
                </c:pt>
                <c:pt idx="4">
                  <c:v>0.66481994459833793</c:v>
                </c:pt>
              </c:numCache>
            </c:numRef>
          </c:val>
          <c:extLst>
            <c:ext xmlns:c16="http://schemas.microsoft.com/office/drawing/2014/chart" uri="{C3380CC4-5D6E-409C-BE32-E72D297353CC}">
              <c16:uniqueId val="{00000000-CE65-4656-9652-353DE7B85A05}"/>
            </c:ext>
          </c:extLst>
        </c:ser>
        <c:dLbls>
          <c:dLblPos val="outEnd"/>
          <c:showLegendKey val="0"/>
          <c:showVal val="1"/>
          <c:showCatName val="0"/>
          <c:showSerName val="0"/>
          <c:showPercent val="0"/>
          <c:showBubbleSize val="0"/>
        </c:dLbls>
        <c:gapWidth val="164"/>
        <c:overlap val="-35"/>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r>
              <a:rPr lang="en-US"/>
              <a:t>Investment</a:t>
            </a:r>
          </a:p>
        </c:rich>
      </c:tx>
      <c:overlay val="0"/>
      <c:spPr>
        <a:noFill/>
        <a:ln>
          <a:noFill/>
        </a:ln>
        <a:effectLst/>
      </c:spPr>
      <c:txPr>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Ratios!$I$10</c:f>
              <c:strCache>
                <c:ptCount val="1"/>
                <c:pt idx="0">
                  <c:v>Price-to-Earnings (P/E) Ratio</c:v>
                </c:pt>
              </c:strCache>
            </c:strRef>
          </c:tx>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Ratios!$K$10:$O$10</c:f>
              <c:numCache>
                <c:formatCode>0.00</c:formatCode>
                <c:ptCount val="5"/>
                <c:pt idx="0">
                  <c:v>113</c:v>
                </c:pt>
                <c:pt idx="1">
                  <c:v>28.305555555555557</c:v>
                </c:pt>
                <c:pt idx="2">
                  <c:v>42.823529411764703</c:v>
                </c:pt>
                <c:pt idx="3">
                  <c:v>40.208333333333336</c:v>
                </c:pt>
                <c:pt idx="4">
                  <c:v>47.304347826086961</c:v>
                </c:pt>
              </c:numCache>
            </c:numRef>
          </c:val>
          <c:extLst>
            <c:ext xmlns:c16="http://schemas.microsoft.com/office/drawing/2014/chart" uri="{C3380CC4-5D6E-409C-BE32-E72D297353CC}">
              <c16:uniqueId val="{00000000-4601-494E-9937-8C0EACE1EDF9}"/>
            </c:ext>
          </c:extLst>
        </c:ser>
        <c:dLbls>
          <c:dLblPos val="inEnd"/>
          <c:showLegendKey val="0"/>
          <c:showVal val="1"/>
          <c:showCatName val="0"/>
          <c:showSerName val="0"/>
          <c:showPercent val="0"/>
          <c:showBubbleSize val="0"/>
        </c:dLbls>
        <c:gapWidth val="41"/>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65000"/>
                    <a:lumOff val="35000"/>
                  </a:schemeClr>
                </a:solidFill>
                <a:effectLst/>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Ratios!$I$8</c:f>
              <c:strCache>
                <c:ptCount val="1"/>
                <c:pt idx="0">
                  <c:v>Debt-to-Equity (DTE)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Ratios!$K$8:$O$8</c:f>
              <c:numCache>
                <c:formatCode>0.00</c:formatCode>
                <c:ptCount val="5"/>
                <c:pt idx="0">
                  <c:v>-10.873015873015873</c:v>
                </c:pt>
                <c:pt idx="1">
                  <c:v>-5.8923076923076927</c:v>
                </c:pt>
                <c:pt idx="2">
                  <c:v>-4.3174603174603172</c:v>
                </c:pt>
                <c:pt idx="3">
                  <c:v>-3.2256944444444446</c:v>
                </c:pt>
                <c:pt idx="4">
                  <c:v>-2.4462616822429908</c:v>
                </c:pt>
              </c:numCache>
            </c:numRef>
          </c:val>
          <c:extLst>
            <c:ext xmlns:c16="http://schemas.microsoft.com/office/drawing/2014/chart" uri="{C3380CC4-5D6E-409C-BE32-E72D297353CC}">
              <c16:uniqueId val="{00000000-4CF1-4DE0-959D-6BEB1197B77C}"/>
            </c:ext>
          </c:extLst>
        </c:ser>
        <c:ser>
          <c:idx val="1"/>
          <c:order val="1"/>
          <c:tx>
            <c:strRef>
              <c:f>Ratios!$I$9</c:f>
              <c:strCache>
                <c:ptCount val="1"/>
                <c:pt idx="0">
                  <c:v>Debt-to-Assets (DTA) Ratio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Ratios!$K$9:$O$9</c:f>
              <c:numCache>
                <c:formatCode>0.00</c:formatCode>
                <c:ptCount val="5"/>
                <c:pt idx="0">
                  <c:v>0.57659932659932656</c:v>
                </c:pt>
                <c:pt idx="1">
                  <c:v>0.61231015187849724</c:v>
                </c:pt>
                <c:pt idx="2">
                  <c:v>0.65700483091787443</c:v>
                </c:pt>
                <c:pt idx="3">
                  <c:v>0.71959721146398137</c:v>
                </c:pt>
                <c:pt idx="4">
                  <c:v>0.78017883755588668</c:v>
                </c:pt>
              </c:numCache>
            </c:numRef>
          </c:val>
          <c:extLst>
            <c:ext xmlns:c16="http://schemas.microsoft.com/office/drawing/2014/chart" uri="{C3380CC4-5D6E-409C-BE32-E72D297353CC}">
              <c16:uniqueId val="{00000001-4CF1-4DE0-959D-6BEB1197B77C}"/>
            </c:ext>
          </c:extLst>
        </c:ser>
        <c:dLbls>
          <c:dLblPos val="outEnd"/>
          <c:showLegendKey val="0"/>
          <c:showVal val="1"/>
          <c:showCatName val="0"/>
          <c:showSerName val="0"/>
          <c:showPercent val="0"/>
          <c:showBubbleSize val="0"/>
        </c:dLbls>
        <c:gapWidth val="444"/>
        <c:overlap val="-90"/>
        <c:axId val="1463246720"/>
        <c:axId val="1254361872"/>
      </c:barChart>
      <c:catAx>
        <c:axId val="146324672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1" i="0" u="none" strike="noStrike" kern="1200" cap="all" spc="120" normalizeH="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r>
              <a:rPr lang="en-US"/>
              <a:t>Cash Flow</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Ratios!$I$11</c:f>
              <c:strCache>
                <c:ptCount val="1"/>
                <c:pt idx="0">
                  <c:v>Operating Cash Flow Margin (OCFM)</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Ratios!$K$11:$O$11</c:f>
              <c:numCache>
                <c:formatCode>0.00%</c:formatCode>
                <c:ptCount val="5"/>
                <c:pt idx="0">
                  <c:v>1.5339805825242718E-2</c:v>
                </c:pt>
                <c:pt idx="1">
                  <c:v>0.18732782369146006</c:v>
                </c:pt>
                <c:pt idx="2">
                  <c:v>0.17430167597765364</c:v>
                </c:pt>
                <c:pt idx="3">
                  <c:v>0.17897727272727273</c:v>
                </c:pt>
                <c:pt idx="4">
                  <c:v>0.1761904761904762</c:v>
                </c:pt>
              </c:numCache>
            </c:numRef>
          </c:val>
          <c:extLst>
            <c:ext xmlns:c16="http://schemas.microsoft.com/office/drawing/2014/chart" uri="{C3380CC4-5D6E-409C-BE32-E72D297353CC}">
              <c16:uniqueId val="{00000000-43D7-4EB5-8E43-77D8BD3F8383}"/>
            </c:ext>
          </c:extLst>
        </c:ser>
        <c:dLbls>
          <c:dLblPos val="outEnd"/>
          <c:showLegendKey val="0"/>
          <c:showVal val="1"/>
          <c:showCatName val="0"/>
          <c:showSerName val="0"/>
          <c:showPercent val="0"/>
          <c:showBubbleSize val="0"/>
        </c:dLbls>
        <c:gapWidth val="100"/>
        <c:overlap val="-24"/>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1"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Ratios!$V$1</c:f>
              <c:strCache>
                <c:ptCount val="1"/>
                <c:pt idx="0">
                  <c:v>Cash Operating Cycle (Days)</c:v>
                </c:pt>
              </c:strCache>
            </c:strRef>
          </c:tx>
          <c:spPr>
            <a:ln w="19050" cap="rnd">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Ratios!$R$2:$R$6</c:f>
              <c:numCache>
                <c:formatCode>0</c:formatCode>
                <c:ptCount val="5"/>
                <c:pt idx="0">
                  <c:v>2021</c:v>
                </c:pt>
                <c:pt idx="1">
                  <c:v>2022</c:v>
                </c:pt>
                <c:pt idx="2">
                  <c:v>2023</c:v>
                </c:pt>
                <c:pt idx="3">
                  <c:v>2024</c:v>
                </c:pt>
                <c:pt idx="4">
                  <c:v>2025</c:v>
                </c:pt>
              </c:numCache>
            </c:numRef>
          </c:cat>
          <c:val>
            <c:numRef>
              <c:f>Ratios!$V$2:$V$6</c:f>
              <c:numCache>
                <c:formatCode>0.00</c:formatCode>
                <c:ptCount val="5"/>
                <c:pt idx="0">
                  <c:v>33.674540568654649</c:v>
                </c:pt>
                <c:pt idx="1">
                  <c:v>33.2823691460055</c:v>
                </c:pt>
                <c:pt idx="2">
                  <c:v>26.906146972996702</c:v>
                </c:pt>
                <c:pt idx="3">
                  <c:v>34.305718475073313</c:v>
                </c:pt>
                <c:pt idx="4">
                  <c:v>34.99872552427297</c:v>
                </c:pt>
              </c:numCache>
            </c:numRef>
          </c:val>
          <c:smooth val="0"/>
          <c:extLst>
            <c:ext xmlns:c16="http://schemas.microsoft.com/office/drawing/2014/chart" uri="{C3380CC4-5D6E-409C-BE32-E72D297353CC}">
              <c16:uniqueId val="{00000000-9551-48AB-8D96-FB6BC73EFB60}"/>
            </c:ext>
          </c:extLst>
        </c:ser>
        <c:dLbls>
          <c:dLblPos val="ctr"/>
          <c:showLegendKey val="0"/>
          <c:showVal val="1"/>
          <c:showCatName val="0"/>
          <c:showSerName val="0"/>
          <c:showPercent val="0"/>
          <c:showBubbleSize val="0"/>
        </c:dLbls>
        <c:marker val="1"/>
        <c:smooth val="0"/>
        <c:axId val="1459292816"/>
        <c:axId val="1517185488"/>
      </c:lineChart>
      <c:catAx>
        <c:axId val="1459292816"/>
        <c:scaling>
          <c:orientation val="minMax"/>
        </c:scaling>
        <c:delete val="0"/>
        <c:axPos val="b"/>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dk1">
                    <a:lumMod val="65000"/>
                    <a:lumOff val="35000"/>
                  </a:schemeClr>
                </a:solidFill>
                <a:latin typeface="+mn-lt"/>
                <a:ea typeface="+mn-ea"/>
                <a:cs typeface="+mn-cs"/>
              </a:defRPr>
            </a:pPr>
            <a:endParaRPr lang="en-US"/>
          </a:p>
        </c:txPr>
        <c:crossAx val="1517185488"/>
        <c:crosses val="autoZero"/>
        <c:auto val="1"/>
        <c:lblAlgn val="ctr"/>
        <c:lblOffset val="100"/>
        <c:noMultiLvlLbl val="0"/>
      </c:catAx>
      <c:valAx>
        <c:axId val="1517185488"/>
        <c:scaling>
          <c:orientation val="minMax"/>
        </c:scaling>
        <c:delete val="1"/>
        <c:axPos val="l"/>
        <c:numFmt formatCode="0.00" sourceLinked="1"/>
        <c:majorTickMark val="none"/>
        <c:minorTickMark val="none"/>
        <c:tickLblPos val="nextTo"/>
        <c:crossAx val="1459292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a:solidFill>
          <a:schemeClr val="phClr"/>
        </a:solidFill>
        <a:miter lim="800000"/>
      </a:ln>
    </cs:spPr>
  </cs:dataPoint>
  <cs:dataPoint3D>
    <cs:lnRef idx="0">
      <cs:styleClr val="auto"/>
    </cs:lnRef>
    <cs:fillRef idx="0">
      <cs:styleClr val="auto"/>
    </cs:fillRef>
    <cs:effectRef idx="0"/>
    <cs:fontRef idx="minor">
      <a:schemeClr val="dk1"/>
    </cs:fontRef>
    <cs:spPr>
      <a:ln w="19050">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rotWithShape="1">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a:solidFill>
          <a:schemeClr val="phClr"/>
        </a:solidFill>
        <a:miter lim="800000"/>
      </a:ln>
    </cs:spPr>
  </cs:dataPoint>
  <cs:dataPoint3D>
    <cs:lnRef idx="0">
      <cs:styleClr val="auto"/>
    </cs:lnRef>
    <cs:fillRef idx="0">
      <cs:styleClr val="auto"/>
    </cs:fillRef>
    <cs:effectRef idx="0"/>
    <cs:fontRef idx="minor">
      <a:schemeClr val="dk1"/>
    </cs:fontRef>
    <cs:spPr>
      <a:ln w="19050">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rotWithShape="1">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C73D3-29B4-4099-A809-6A36BBDBF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36</Pages>
  <Words>7982</Words>
  <Characters>45504</Characters>
  <Application>Microsoft Office Word</Application>
  <DocSecurity>0</DocSecurity>
  <Lines>379</Lines>
  <Paragraphs>106</Paragraphs>
  <ScaleCrop>false</ScaleCrop>
  <Company/>
  <LinksUpToDate>false</LinksUpToDate>
  <CharactersWithSpaces>53380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yovan jetani</dc:creator>
  <cp:keywords/>
  <dc:description/>
  <cp:lastModifiedBy>yovan jetani</cp:lastModifiedBy>
  <cp:revision>29</cp:revision>
  <dcterms:created xsi:type="dcterms:W3CDTF">2026-07-17T10:23:00Z</dcterms:created>
  <dcterms:modified xsi:type="dcterms:W3CDTF">2026-08-13T01:50:00Z</dcterms:modified>
</cp:coreProperties>
</file>