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B1AD0" w14:textId="77777777" w:rsidR="00175C8F" w:rsidRDefault="00000000">
      <w:pPr>
        <w:pBdr>
          <w:top w:val="nil"/>
          <w:left w:val="nil"/>
          <w:bottom w:val="nil"/>
          <w:right w:val="nil"/>
          <w:between w:val="nil"/>
        </w:pBdr>
        <w:spacing w:line="240" w:lineRule="auto"/>
        <w:ind w:left="0" w:right="-334" w:hanging="2"/>
        <w:rPr>
          <w:color w:val="000000"/>
          <w:sz w:val="21"/>
          <w:szCs w:val="21"/>
        </w:rPr>
      </w:pPr>
      <w:r>
        <w:rPr>
          <w:noProof/>
          <w:color w:val="000000"/>
          <w:sz w:val="21"/>
          <w:szCs w:val="21"/>
        </w:rPr>
        <w:drawing>
          <wp:inline distT="0" distB="0" distL="114300" distR="114300" wp14:anchorId="5E8A4F8A" wp14:editId="7B1A405D">
            <wp:extent cx="1908175" cy="63563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08175" cy="635635"/>
                    </a:xfrm>
                    <a:prstGeom prst="rect">
                      <a:avLst/>
                    </a:prstGeom>
                    <a:ln/>
                  </pic:spPr>
                </pic:pic>
              </a:graphicData>
            </a:graphic>
          </wp:inline>
        </w:drawing>
      </w:r>
    </w:p>
    <w:p w14:paraId="44209ED1" w14:textId="77777777" w:rsidR="00175C8F" w:rsidRDefault="00175C8F">
      <w:pPr>
        <w:pBdr>
          <w:top w:val="nil"/>
          <w:left w:val="nil"/>
          <w:bottom w:val="nil"/>
          <w:right w:val="nil"/>
          <w:between w:val="nil"/>
        </w:pBdr>
        <w:spacing w:line="240" w:lineRule="auto"/>
        <w:ind w:left="0" w:right="-334" w:hanging="2"/>
        <w:rPr>
          <w:color w:val="000000"/>
          <w:sz w:val="21"/>
          <w:szCs w:val="21"/>
        </w:rPr>
      </w:pPr>
    </w:p>
    <w:p w14:paraId="32798F12" w14:textId="77777777" w:rsidR="00175C8F" w:rsidRDefault="00175C8F">
      <w:pPr>
        <w:pBdr>
          <w:top w:val="nil"/>
          <w:left w:val="nil"/>
          <w:bottom w:val="nil"/>
          <w:right w:val="nil"/>
          <w:between w:val="nil"/>
        </w:pBdr>
        <w:spacing w:line="240" w:lineRule="auto"/>
        <w:ind w:left="0" w:right="-334" w:hanging="2"/>
        <w:rPr>
          <w:color w:val="000000"/>
          <w:sz w:val="21"/>
          <w:szCs w:val="21"/>
        </w:rPr>
      </w:pPr>
    </w:p>
    <w:p w14:paraId="7C726287" w14:textId="77777777" w:rsidR="00175C8F" w:rsidRDefault="00000000">
      <w:pPr>
        <w:pBdr>
          <w:top w:val="nil"/>
          <w:left w:val="nil"/>
          <w:bottom w:val="nil"/>
          <w:right w:val="nil"/>
          <w:between w:val="nil"/>
        </w:pBdr>
        <w:spacing w:line="240" w:lineRule="auto"/>
        <w:ind w:left="1" w:right="-334" w:hanging="3"/>
        <w:jc w:val="center"/>
        <w:rPr>
          <w:color w:val="000000"/>
          <w:sz w:val="28"/>
          <w:szCs w:val="28"/>
        </w:rPr>
      </w:pPr>
      <w:r>
        <w:rPr>
          <w:b/>
          <w:color w:val="000000"/>
          <w:sz w:val="28"/>
          <w:szCs w:val="28"/>
        </w:rPr>
        <w:t xml:space="preserve">Postgraduate/Distance Learning </w:t>
      </w:r>
    </w:p>
    <w:p w14:paraId="4B3ACFB3" w14:textId="77777777" w:rsidR="00175C8F" w:rsidRDefault="00000000">
      <w:pPr>
        <w:pBdr>
          <w:top w:val="nil"/>
          <w:left w:val="nil"/>
          <w:bottom w:val="nil"/>
          <w:right w:val="nil"/>
          <w:between w:val="nil"/>
        </w:pBdr>
        <w:spacing w:line="240" w:lineRule="auto"/>
        <w:ind w:left="1" w:right="-334" w:hanging="3"/>
        <w:jc w:val="center"/>
        <w:rPr>
          <w:color w:val="000000"/>
          <w:sz w:val="28"/>
          <w:szCs w:val="28"/>
        </w:rPr>
      </w:pPr>
      <w:r>
        <w:rPr>
          <w:b/>
          <w:color w:val="000000"/>
          <w:sz w:val="28"/>
          <w:szCs w:val="28"/>
        </w:rPr>
        <w:t>Assignment coversheet &amp; feedback form</w:t>
      </w:r>
    </w:p>
    <w:p w14:paraId="2A3EED35" w14:textId="77777777" w:rsidR="00175C8F" w:rsidRDefault="00175C8F">
      <w:pPr>
        <w:ind w:left="1" w:hanging="3"/>
        <w:rPr>
          <w:sz w:val="28"/>
          <w:szCs w:val="28"/>
        </w:rPr>
      </w:pPr>
    </w:p>
    <w:p w14:paraId="4B1EC24D" w14:textId="77777777" w:rsidR="00175C8F" w:rsidRDefault="00000000">
      <w:pPr>
        <w:pStyle w:val="Heading3"/>
        <w:ind w:left="0" w:hanging="2"/>
        <w:jc w:val="center"/>
        <w:rPr>
          <w:rFonts w:ascii="Arial" w:hAnsi="Arial" w:cs="Arial"/>
        </w:rPr>
      </w:pPr>
      <w:r>
        <w:rPr>
          <w:rFonts w:ascii="Arial" w:hAnsi="Arial" w:cs="Arial"/>
        </w:rPr>
        <w:t xml:space="preserve">THIS SHEET MUST BE THE FIRST PAGE OF THE ASSIGNMENT YOU ARE </w:t>
      </w:r>
      <w:proofErr w:type="gramStart"/>
      <w:r>
        <w:rPr>
          <w:rFonts w:ascii="Arial" w:hAnsi="Arial" w:cs="Arial"/>
        </w:rPr>
        <w:t>SUBMITTING  (</w:t>
      </w:r>
      <w:proofErr w:type="gramEnd"/>
      <w:r>
        <w:rPr>
          <w:rFonts w:ascii="Arial" w:hAnsi="Arial" w:cs="Arial"/>
        </w:rPr>
        <w:t>DO NOT SEND AS A SEPARATE FILE)</w:t>
      </w:r>
    </w:p>
    <w:p w14:paraId="7610D8B7" w14:textId="77777777" w:rsidR="00175C8F" w:rsidRDefault="00175C8F">
      <w:pPr>
        <w:pStyle w:val="Heading3"/>
        <w:ind w:left="0" w:hanging="2"/>
        <w:jc w:val="center"/>
        <w:rPr>
          <w:rFonts w:ascii="Arial" w:hAnsi="Arial" w:cs="Arial"/>
        </w:rPr>
      </w:pP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423"/>
        <w:gridCol w:w="1557"/>
        <w:gridCol w:w="286"/>
        <w:gridCol w:w="1802"/>
      </w:tblGrid>
      <w:tr w:rsidR="00175C8F" w14:paraId="405124C5" w14:textId="77777777">
        <w:trPr>
          <w:trHeight w:val="614"/>
        </w:trPr>
        <w:tc>
          <w:tcPr>
            <w:tcW w:w="8856" w:type="dxa"/>
            <w:gridSpan w:val="5"/>
          </w:tcPr>
          <w:p w14:paraId="7F56CF06" w14:textId="77777777" w:rsidR="00175C8F" w:rsidRDefault="00000000">
            <w:pPr>
              <w:pBdr>
                <w:top w:val="nil"/>
                <w:left w:val="nil"/>
                <w:bottom w:val="nil"/>
                <w:right w:val="nil"/>
                <w:between w:val="nil"/>
              </w:pBdr>
              <w:spacing w:line="240" w:lineRule="auto"/>
              <w:ind w:left="0" w:right="34" w:hanging="2"/>
              <w:rPr>
                <w:color w:val="000000"/>
                <w:sz w:val="22"/>
                <w:szCs w:val="22"/>
              </w:rPr>
            </w:pPr>
            <w:r>
              <w:rPr>
                <w:b/>
                <w:color w:val="000000"/>
                <w:sz w:val="22"/>
                <w:szCs w:val="22"/>
              </w:rPr>
              <w:t>For completion by the student</w:t>
            </w:r>
            <w:r>
              <w:rPr>
                <w:color w:val="000000"/>
                <w:sz w:val="22"/>
                <w:szCs w:val="22"/>
              </w:rPr>
              <w:t>:</w:t>
            </w:r>
          </w:p>
        </w:tc>
      </w:tr>
      <w:tr w:rsidR="00175C8F" w14:paraId="5AF35339" w14:textId="77777777">
        <w:trPr>
          <w:trHeight w:val="718"/>
        </w:trPr>
        <w:tc>
          <w:tcPr>
            <w:tcW w:w="8856" w:type="dxa"/>
            <w:gridSpan w:val="5"/>
          </w:tcPr>
          <w:p w14:paraId="03FC82B2"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Student Name: Whitney Hill</w:t>
            </w:r>
          </w:p>
          <w:p w14:paraId="092E9413" w14:textId="77777777" w:rsidR="00175C8F" w:rsidRDefault="00175C8F">
            <w:pPr>
              <w:pBdr>
                <w:top w:val="nil"/>
                <w:left w:val="nil"/>
                <w:bottom w:val="nil"/>
                <w:right w:val="nil"/>
                <w:between w:val="nil"/>
              </w:pBdr>
              <w:spacing w:line="240" w:lineRule="auto"/>
              <w:ind w:left="0" w:right="34" w:hanging="2"/>
              <w:rPr>
                <w:color w:val="000000"/>
                <w:sz w:val="22"/>
                <w:szCs w:val="22"/>
              </w:rPr>
            </w:pPr>
          </w:p>
        </w:tc>
      </w:tr>
      <w:tr w:rsidR="00175C8F" w14:paraId="3EB195F3" w14:textId="77777777">
        <w:trPr>
          <w:trHeight w:val="849"/>
        </w:trPr>
        <w:tc>
          <w:tcPr>
            <w:tcW w:w="4788" w:type="dxa"/>
          </w:tcPr>
          <w:p w14:paraId="43CCA5FF"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 xml:space="preserve">Module code: HPCA7016 </w:t>
            </w:r>
          </w:p>
          <w:p w14:paraId="1D08FDE2" w14:textId="77777777" w:rsidR="00175C8F" w:rsidRDefault="00175C8F">
            <w:pPr>
              <w:pBdr>
                <w:top w:val="nil"/>
                <w:left w:val="nil"/>
                <w:bottom w:val="nil"/>
                <w:right w:val="nil"/>
                <w:between w:val="nil"/>
              </w:pBdr>
              <w:spacing w:line="240" w:lineRule="auto"/>
              <w:ind w:left="0" w:right="34" w:hanging="2"/>
              <w:rPr>
                <w:color w:val="000000"/>
                <w:sz w:val="22"/>
                <w:szCs w:val="22"/>
              </w:rPr>
            </w:pPr>
          </w:p>
          <w:p w14:paraId="7D007D32"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Module title: Researching Con</w:t>
            </w:r>
            <w:r>
              <w:rPr>
                <w:sz w:val="22"/>
                <w:szCs w:val="22"/>
              </w:rPr>
              <w:t>temporary Cosmologies</w:t>
            </w:r>
          </w:p>
        </w:tc>
        <w:tc>
          <w:tcPr>
            <w:tcW w:w="2266" w:type="dxa"/>
            <w:gridSpan w:val="3"/>
          </w:tcPr>
          <w:p w14:paraId="16CFECEA"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Student ID number:</w:t>
            </w:r>
          </w:p>
          <w:p w14:paraId="41C08953" w14:textId="77777777" w:rsidR="00175C8F" w:rsidRDefault="00000000">
            <w:pPr>
              <w:pBdr>
                <w:top w:val="nil"/>
                <w:left w:val="nil"/>
                <w:bottom w:val="nil"/>
                <w:right w:val="nil"/>
                <w:between w:val="nil"/>
              </w:pBdr>
              <w:spacing w:line="240" w:lineRule="auto"/>
              <w:ind w:left="0" w:right="34" w:hanging="2"/>
              <w:rPr>
                <w:sz w:val="22"/>
                <w:szCs w:val="22"/>
              </w:rPr>
            </w:pPr>
            <w:r>
              <w:rPr>
                <w:sz w:val="22"/>
                <w:szCs w:val="22"/>
              </w:rPr>
              <w:t>2209673</w:t>
            </w:r>
          </w:p>
        </w:tc>
        <w:tc>
          <w:tcPr>
            <w:tcW w:w="1802" w:type="dxa"/>
          </w:tcPr>
          <w:p w14:paraId="12611776"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Educational support needs:</w:t>
            </w:r>
          </w:p>
          <w:p w14:paraId="31CDC955"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Yes/No</w:t>
            </w:r>
          </w:p>
        </w:tc>
      </w:tr>
      <w:tr w:rsidR="00175C8F" w14:paraId="1E721E8E" w14:textId="77777777">
        <w:trPr>
          <w:trHeight w:val="1139"/>
        </w:trPr>
        <w:tc>
          <w:tcPr>
            <w:tcW w:w="8856" w:type="dxa"/>
            <w:gridSpan w:val="5"/>
          </w:tcPr>
          <w:p w14:paraId="3DD25D79" w14:textId="1F3524C4"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 xml:space="preserve">Module tutor: </w:t>
            </w:r>
            <w:r w:rsidR="00A3501A">
              <w:rPr>
                <w:color w:val="000000"/>
                <w:sz w:val="22"/>
                <w:szCs w:val="22"/>
              </w:rPr>
              <w:t xml:space="preserve">Wendy </w:t>
            </w:r>
            <w:r w:rsidR="00A3501A" w:rsidRPr="00A3501A">
              <w:rPr>
                <w:color w:val="000000"/>
                <w:sz w:val="22"/>
                <w:szCs w:val="22"/>
              </w:rPr>
              <w:t>Stacey-</w:t>
            </w:r>
            <w:proofErr w:type="spellStart"/>
            <w:r w:rsidR="00A3501A" w:rsidRPr="00A3501A">
              <w:rPr>
                <w:color w:val="000000"/>
                <w:sz w:val="22"/>
                <w:szCs w:val="22"/>
              </w:rPr>
              <w:t>Alidina</w:t>
            </w:r>
            <w:proofErr w:type="spellEnd"/>
          </w:p>
          <w:p w14:paraId="4A58CEC3" w14:textId="77777777" w:rsidR="00175C8F" w:rsidRDefault="00175C8F">
            <w:pPr>
              <w:pBdr>
                <w:top w:val="nil"/>
                <w:left w:val="nil"/>
                <w:bottom w:val="nil"/>
                <w:right w:val="nil"/>
                <w:between w:val="nil"/>
              </w:pBdr>
              <w:spacing w:line="240" w:lineRule="auto"/>
              <w:ind w:left="0" w:right="34" w:hanging="2"/>
              <w:rPr>
                <w:color w:val="000000"/>
                <w:sz w:val="22"/>
                <w:szCs w:val="22"/>
              </w:rPr>
            </w:pPr>
          </w:p>
          <w:p w14:paraId="4C00E695" w14:textId="77777777" w:rsidR="00175C8F" w:rsidRDefault="00175C8F">
            <w:pPr>
              <w:pBdr>
                <w:top w:val="nil"/>
                <w:left w:val="nil"/>
                <w:bottom w:val="nil"/>
                <w:right w:val="nil"/>
                <w:between w:val="nil"/>
              </w:pBdr>
              <w:spacing w:line="240" w:lineRule="auto"/>
              <w:ind w:left="0" w:right="34" w:hanging="2"/>
              <w:rPr>
                <w:color w:val="000000"/>
                <w:sz w:val="22"/>
                <w:szCs w:val="22"/>
              </w:rPr>
            </w:pPr>
          </w:p>
          <w:p w14:paraId="599AB081"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Assignment due date: T</w:t>
            </w:r>
            <w:r>
              <w:rPr>
                <w:sz w:val="22"/>
                <w:szCs w:val="22"/>
              </w:rPr>
              <w:t>hursday 16 March 2023</w:t>
            </w:r>
          </w:p>
        </w:tc>
      </w:tr>
      <w:tr w:rsidR="00175C8F" w14:paraId="69181CE9" w14:textId="77777777">
        <w:trPr>
          <w:trHeight w:val="978"/>
        </w:trPr>
        <w:tc>
          <w:tcPr>
            <w:tcW w:w="8856" w:type="dxa"/>
            <w:gridSpan w:val="5"/>
            <w:tcBorders>
              <w:bottom w:val="single" w:sz="4" w:space="0" w:color="000000"/>
            </w:tcBorders>
          </w:tcPr>
          <w:p w14:paraId="1B0AF153" w14:textId="77777777" w:rsidR="00175C8F" w:rsidRDefault="00000000">
            <w:pPr>
              <w:ind w:left="0" w:hanging="2"/>
              <w:rPr>
                <w:sz w:val="22"/>
                <w:szCs w:val="22"/>
              </w:rPr>
            </w:pPr>
            <w:r>
              <w:rPr>
                <w:sz w:val="22"/>
                <w:szCs w:val="22"/>
              </w:rPr>
              <w:t xml:space="preserve">If your module has multiple </w:t>
            </w:r>
            <w:proofErr w:type="gramStart"/>
            <w:r>
              <w:rPr>
                <w:sz w:val="22"/>
                <w:szCs w:val="22"/>
              </w:rPr>
              <w:t>submissions</w:t>
            </w:r>
            <w:proofErr w:type="gramEnd"/>
            <w:r>
              <w:rPr>
                <w:sz w:val="22"/>
                <w:szCs w:val="22"/>
              </w:rPr>
              <w:t xml:space="preserve"> please indicate which piece of work this is.</w:t>
            </w:r>
          </w:p>
          <w:p w14:paraId="0DD8B86D" w14:textId="77777777" w:rsidR="00175C8F" w:rsidRDefault="00175C8F">
            <w:pPr>
              <w:ind w:left="0" w:hanging="2"/>
              <w:rPr>
                <w:sz w:val="22"/>
                <w:szCs w:val="22"/>
              </w:rPr>
            </w:pPr>
          </w:p>
          <w:p w14:paraId="4E27D4B6" w14:textId="77777777" w:rsidR="00175C8F" w:rsidRDefault="00000000">
            <w:pPr>
              <w:ind w:left="0" w:hanging="2"/>
              <w:rPr>
                <w:sz w:val="22"/>
                <w:szCs w:val="22"/>
              </w:rPr>
            </w:pPr>
            <w:r>
              <w:rPr>
                <w:sz w:val="22"/>
                <w:szCs w:val="22"/>
              </w:rPr>
              <w:t>1</w:t>
            </w:r>
            <w:r>
              <w:rPr>
                <w:sz w:val="22"/>
                <w:szCs w:val="22"/>
                <w:vertAlign w:val="superscript"/>
              </w:rPr>
              <w:t xml:space="preserve">st </w:t>
            </w:r>
            <w:r>
              <w:rPr>
                <w:sz w:val="22"/>
                <w:szCs w:val="22"/>
              </w:rPr>
              <w:t>x   2</w:t>
            </w:r>
            <w:proofErr w:type="gramStart"/>
            <w:r>
              <w:rPr>
                <w:sz w:val="22"/>
                <w:szCs w:val="22"/>
                <w:vertAlign w:val="superscript"/>
              </w:rPr>
              <w:t>nd</w:t>
            </w:r>
            <w:r>
              <w:rPr>
                <w:sz w:val="22"/>
                <w:szCs w:val="22"/>
              </w:rPr>
              <w:t xml:space="preserve">  ☐</w:t>
            </w:r>
            <w:proofErr w:type="gramEnd"/>
            <w:r>
              <w:rPr>
                <w:sz w:val="22"/>
                <w:szCs w:val="22"/>
              </w:rPr>
              <w:t xml:space="preserve">     3</w:t>
            </w:r>
            <w:r>
              <w:rPr>
                <w:sz w:val="22"/>
                <w:szCs w:val="22"/>
                <w:vertAlign w:val="superscript"/>
              </w:rPr>
              <w:t>rd</w:t>
            </w:r>
            <w:r>
              <w:rPr>
                <w:sz w:val="22"/>
                <w:szCs w:val="22"/>
              </w:rPr>
              <w:t xml:space="preserve">  ☐      4</w:t>
            </w:r>
            <w:r>
              <w:rPr>
                <w:sz w:val="22"/>
                <w:szCs w:val="22"/>
                <w:vertAlign w:val="superscript"/>
              </w:rPr>
              <w:t>th</w:t>
            </w:r>
            <w:r>
              <w:rPr>
                <w:sz w:val="22"/>
                <w:szCs w:val="22"/>
              </w:rPr>
              <w:t xml:space="preserve"> ☐      5</w:t>
            </w:r>
            <w:r>
              <w:rPr>
                <w:sz w:val="22"/>
                <w:szCs w:val="22"/>
                <w:vertAlign w:val="superscript"/>
              </w:rPr>
              <w:t>th</w:t>
            </w:r>
            <w:r>
              <w:rPr>
                <w:sz w:val="22"/>
                <w:szCs w:val="22"/>
              </w:rPr>
              <w:t xml:space="preserve"> ☐      6</w:t>
            </w:r>
            <w:r>
              <w:rPr>
                <w:sz w:val="22"/>
                <w:szCs w:val="22"/>
                <w:vertAlign w:val="superscript"/>
              </w:rPr>
              <w:t>th</w:t>
            </w:r>
            <w:r>
              <w:rPr>
                <w:sz w:val="22"/>
                <w:szCs w:val="22"/>
              </w:rPr>
              <w:t xml:space="preserve"> ☐</w:t>
            </w:r>
          </w:p>
        </w:tc>
      </w:tr>
      <w:tr w:rsidR="00175C8F" w14:paraId="7316999D" w14:textId="77777777">
        <w:trPr>
          <w:trHeight w:val="978"/>
        </w:trPr>
        <w:tc>
          <w:tcPr>
            <w:tcW w:w="8856" w:type="dxa"/>
            <w:gridSpan w:val="5"/>
            <w:shd w:val="clear" w:color="auto" w:fill="D9D9D9"/>
          </w:tcPr>
          <w:p w14:paraId="5D1A0BD5"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I confirm that this is my original work and that I have adhered to the University policy on plagiarism.</w:t>
            </w:r>
          </w:p>
          <w:p w14:paraId="4B44C784"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Signed ……Whitney H</w:t>
            </w:r>
            <w:r>
              <w:rPr>
                <w:sz w:val="22"/>
                <w:szCs w:val="22"/>
              </w:rPr>
              <w:t>ill</w:t>
            </w:r>
            <w:r>
              <w:rPr>
                <w:color w:val="000000"/>
                <w:sz w:val="22"/>
                <w:szCs w:val="22"/>
              </w:rPr>
              <w:t>………………………………………………………</w:t>
            </w:r>
          </w:p>
          <w:p w14:paraId="28A6E454" w14:textId="77777777" w:rsidR="00175C8F" w:rsidRDefault="00000000">
            <w:pPr>
              <w:pBdr>
                <w:top w:val="nil"/>
                <w:left w:val="nil"/>
                <w:bottom w:val="nil"/>
                <w:right w:val="nil"/>
                <w:between w:val="nil"/>
              </w:pBdr>
              <w:spacing w:line="240" w:lineRule="auto"/>
              <w:ind w:left="0" w:right="34" w:hanging="2"/>
              <w:rPr>
                <w:color w:val="000000"/>
                <w:sz w:val="44"/>
                <w:szCs w:val="44"/>
              </w:rPr>
            </w:pPr>
            <w:r>
              <w:rPr>
                <w:b/>
                <w:color w:val="000000"/>
              </w:rPr>
              <w:t xml:space="preserve">Email submission: if you are submitting this form via email, please tick this box </w:t>
            </w:r>
            <w:r>
              <w:rPr>
                <w:b/>
                <w:color w:val="000000"/>
                <w:sz w:val="44"/>
                <w:szCs w:val="44"/>
              </w:rPr>
              <w:t>□</w:t>
            </w:r>
          </w:p>
          <w:p w14:paraId="25922809" w14:textId="77777777" w:rsidR="00175C8F" w:rsidRDefault="00000000">
            <w:pPr>
              <w:pBdr>
                <w:top w:val="nil"/>
                <w:left w:val="nil"/>
                <w:bottom w:val="nil"/>
                <w:right w:val="nil"/>
                <w:between w:val="nil"/>
              </w:pBdr>
              <w:spacing w:line="240" w:lineRule="auto"/>
              <w:ind w:left="0" w:right="34" w:hanging="2"/>
              <w:rPr>
                <w:color w:val="000000"/>
                <w:sz w:val="22"/>
                <w:szCs w:val="22"/>
              </w:rPr>
            </w:pPr>
            <w:r>
              <w:rPr>
                <w:b/>
                <w:color w:val="000000"/>
              </w:rPr>
              <w:t>(</w:t>
            </w:r>
            <w:proofErr w:type="gramStart"/>
            <w:r>
              <w:rPr>
                <w:b/>
                <w:color w:val="000000"/>
              </w:rPr>
              <w:t>as</w:t>
            </w:r>
            <w:proofErr w:type="gramEnd"/>
            <w:r>
              <w:rPr>
                <w:b/>
                <w:color w:val="000000"/>
              </w:rPr>
              <w:t xml:space="preserve"> a substitute for your signature) to confirm that you agree to the above declaration.</w:t>
            </w:r>
          </w:p>
        </w:tc>
      </w:tr>
      <w:tr w:rsidR="00175C8F" w14:paraId="6FBD2BD7" w14:textId="77777777">
        <w:trPr>
          <w:trHeight w:val="3972"/>
        </w:trPr>
        <w:tc>
          <w:tcPr>
            <w:tcW w:w="8856" w:type="dxa"/>
            <w:gridSpan w:val="5"/>
          </w:tcPr>
          <w:p w14:paraId="45100CA7" w14:textId="77777777" w:rsidR="00175C8F" w:rsidRDefault="00175C8F">
            <w:pPr>
              <w:ind w:left="0" w:hanging="2"/>
            </w:pPr>
          </w:p>
          <w:p w14:paraId="13C23CCF" w14:textId="77777777" w:rsidR="00175C8F" w:rsidRDefault="00000000">
            <w:pPr>
              <w:ind w:left="0" w:hanging="2"/>
            </w:pPr>
            <w:r>
              <w:rPr>
                <w:b/>
              </w:rPr>
              <w:t>Assignment Mark</w:t>
            </w:r>
          </w:p>
          <w:tbl>
            <w:tblPr>
              <w:tblStyle w:val="a0"/>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175C8F" w14:paraId="10927D0F" w14:textId="77777777">
              <w:tc>
                <w:tcPr>
                  <w:tcW w:w="6970" w:type="dxa"/>
                </w:tcPr>
                <w:p w14:paraId="1DA39862" w14:textId="77777777" w:rsidR="00175C8F" w:rsidRDefault="00175C8F">
                  <w:pPr>
                    <w:ind w:left="0" w:hanging="2"/>
                    <w:rPr>
                      <w:sz w:val="20"/>
                      <w:szCs w:val="20"/>
                    </w:rPr>
                  </w:pPr>
                </w:p>
                <w:p w14:paraId="2819B082" w14:textId="77777777" w:rsidR="00175C8F" w:rsidRDefault="00000000">
                  <w:pPr>
                    <w:ind w:left="0" w:hanging="2"/>
                    <w:rPr>
                      <w:sz w:val="20"/>
                      <w:szCs w:val="20"/>
                    </w:rPr>
                  </w:pPr>
                  <w:r>
                    <w:rPr>
                      <w:b/>
                      <w:sz w:val="20"/>
                      <w:szCs w:val="20"/>
                    </w:rPr>
                    <w:t>Final Mark</w:t>
                  </w:r>
                </w:p>
                <w:p w14:paraId="7C953AF2" w14:textId="77777777" w:rsidR="00175C8F" w:rsidRDefault="00175C8F">
                  <w:pPr>
                    <w:ind w:left="0" w:hanging="2"/>
                    <w:rPr>
                      <w:sz w:val="20"/>
                      <w:szCs w:val="20"/>
                    </w:rPr>
                  </w:pPr>
                </w:p>
              </w:tc>
              <w:tc>
                <w:tcPr>
                  <w:tcW w:w="1660" w:type="dxa"/>
                </w:tcPr>
                <w:p w14:paraId="04036050" w14:textId="77777777" w:rsidR="00175C8F" w:rsidRDefault="00000000">
                  <w:pPr>
                    <w:ind w:left="0" w:hanging="2"/>
                    <w:rPr>
                      <w:sz w:val="20"/>
                      <w:szCs w:val="20"/>
                    </w:rPr>
                  </w:pPr>
                  <w:r>
                    <w:rPr>
                      <w:sz w:val="20"/>
                      <w:szCs w:val="20"/>
                    </w:rPr>
                    <w:t>WILL BE GIVEN ON TURNITIN</w:t>
                  </w:r>
                </w:p>
              </w:tc>
            </w:tr>
          </w:tbl>
          <w:p w14:paraId="5ED4716E" w14:textId="77777777" w:rsidR="00175C8F" w:rsidRDefault="00175C8F">
            <w:pPr>
              <w:pBdr>
                <w:top w:val="nil"/>
                <w:left w:val="nil"/>
                <w:bottom w:val="nil"/>
                <w:right w:val="nil"/>
                <w:between w:val="nil"/>
              </w:pBdr>
              <w:spacing w:line="240" w:lineRule="auto"/>
              <w:ind w:left="0" w:right="34" w:hanging="2"/>
              <w:rPr>
                <w:color w:val="000000"/>
                <w:sz w:val="22"/>
                <w:szCs w:val="22"/>
              </w:rPr>
            </w:pPr>
          </w:p>
          <w:p w14:paraId="17105FA8" w14:textId="77777777" w:rsidR="00175C8F" w:rsidRDefault="00000000">
            <w:pPr>
              <w:pBdr>
                <w:top w:val="nil"/>
                <w:left w:val="nil"/>
                <w:bottom w:val="nil"/>
                <w:right w:val="nil"/>
                <w:between w:val="nil"/>
              </w:pBdr>
              <w:spacing w:line="240" w:lineRule="auto"/>
              <w:ind w:left="0" w:right="34" w:hanging="2"/>
              <w:rPr>
                <w:color w:val="000000"/>
                <w:sz w:val="22"/>
                <w:szCs w:val="22"/>
              </w:rPr>
            </w:pPr>
            <w:r>
              <w:rPr>
                <w:b/>
                <w:color w:val="000000"/>
                <w:sz w:val="22"/>
                <w:szCs w:val="22"/>
              </w:rPr>
              <w:t>NB.</w:t>
            </w:r>
            <w:r>
              <w:rPr>
                <w:color w:val="000000"/>
                <w:sz w:val="22"/>
                <w:szCs w:val="22"/>
              </w:rPr>
              <w:t xml:space="preserve">  All marks are provisional until confirmed by the Final Examination Board.</w:t>
            </w:r>
          </w:p>
          <w:p w14:paraId="6A326993" w14:textId="77777777" w:rsidR="00175C8F" w:rsidRDefault="00175C8F">
            <w:pPr>
              <w:pBdr>
                <w:top w:val="nil"/>
                <w:left w:val="nil"/>
                <w:bottom w:val="nil"/>
                <w:right w:val="nil"/>
                <w:between w:val="nil"/>
              </w:pBdr>
              <w:spacing w:line="240" w:lineRule="auto"/>
              <w:ind w:left="0" w:hanging="2"/>
              <w:rPr>
                <w:color w:val="000000"/>
                <w:sz w:val="22"/>
                <w:szCs w:val="22"/>
              </w:rPr>
            </w:pPr>
          </w:p>
          <w:p w14:paraId="2B09196D" w14:textId="77777777" w:rsidR="00175C8F" w:rsidRDefault="00000000">
            <w:pPr>
              <w:pBdr>
                <w:top w:val="nil"/>
                <w:left w:val="nil"/>
                <w:bottom w:val="nil"/>
                <w:right w:val="nil"/>
                <w:between w:val="nil"/>
              </w:pBdr>
              <w:spacing w:line="240" w:lineRule="auto"/>
              <w:ind w:left="0" w:hanging="2"/>
              <w:rPr>
                <w:color w:val="000000"/>
                <w:sz w:val="22"/>
                <w:szCs w:val="22"/>
              </w:rPr>
            </w:pPr>
            <w:r>
              <w:rPr>
                <w:b/>
                <w:color w:val="000000"/>
                <w:sz w:val="22"/>
                <w:szCs w:val="22"/>
              </w:rPr>
              <w:t>PLEASE NOTE: ALL COMMENTS WIL BE POSTED ON TURNITIN</w:t>
            </w:r>
          </w:p>
          <w:p w14:paraId="17212917" w14:textId="77777777" w:rsidR="00175C8F" w:rsidRDefault="00175C8F">
            <w:pPr>
              <w:pBdr>
                <w:top w:val="nil"/>
                <w:left w:val="nil"/>
                <w:bottom w:val="nil"/>
                <w:right w:val="nil"/>
                <w:between w:val="nil"/>
              </w:pBdr>
              <w:spacing w:line="240" w:lineRule="auto"/>
              <w:ind w:left="0" w:hanging="2"/>
              <w:rPr>
                <w:color w:val="000000"/>
                <w:sz w:val="22"/>
                <w:szCs w:val="22"/>
              </w:rPr>
            </w:pPr>
          </w:p>
          <w:p w14:paraId="6E321D90" w14:textId="77777777" w:rsidR="00175C8F" w:rsidRDefault="00175C8F">
            <w:pPr>
              <w:pBdr>
                <w:top w:val="nil"/>
                <w:left w:val="nil"/>
                <w:bottom w:val="nil"/>
                <w:right w:val="nil"/>
                <w:between w:val="nil"/>
              </w:pBdr>
              <w:spacing w:line="240" w:lineRule="auto"/>
              <w:ind w:left="0" w:hanging="2"/>
              <w:rPr>
                <w:color w:val="000000"/>
                <w:sz w:val="22"/>
                <w:szCs w:val="22"/>
              </w:rPr>
            </w:pPr>
          </w:p>
          <w:p w14:paraId="13A4FEB9" w14:textId="77777777" w:rsidR="00175C8F" w:rsidRDefault="00000000">
            <w:pPr>
              <w:pBdr>
                <w:top w:val="nil"/>
                <w:left w:val="nil"/>
                <w:bottom w:val="nil"/>
                <w:right w:val="nil"/>
                <w:between w:val="nil"/>
              </w:pBdr>
              <w:spacing w:line="240" w:lineRule="auto"/>
              <w:ind w:left="0" w:hanging="2"/>
              <w:rPr>
                <w:color w:val="000000"/>
                <w:sz w:val="22"/>
                <w:szCs w:val="22"/>
              </w:rPr>
            </w:pPr>
            <w:r>
              <w:rPr>
                <w:b/>
                <w:color w:val="000000"/>
                <w:sz w:val="22"/>
                <w:szCs w:val="22"/>
              </w:rPr>
              <w:t xml:space="preserve">For completion by Marker </w:t>
            </w:r>
            <w:proofErr w:type="gramStart"/>
            <w:r>
              <w:rPr>
                <w:b/>
                <w:color w:val="000000"/>
                <w:sz w:val="22"/>
                <w:szCs w:val="22"/>
              </w:rPr>
              <w:t>1 :</w:t>
            </w:r>
            <w:proofErr w:type="gramEnd"/>
          </w:p>
          <w:p w14:paraId="3BCCB7C7" w14:textId="77777777" w:rsidR="00175C8F" w:rsidRDefault="00000000">
            <w:pPr>
              <w:pBdr>
                <w:top w:val="nil"/>
                <w:left w:val="nil"/>
                <w:bottom w:val="nil"/>
                <w:right w:val="nil"/>
                <w:between w:val="nil"/>
              </w:pBdr>
              <w:spacing w:before="280" w:after="280" w:line="240" w:lineRule="auto"/>
              <w:ind w:left="0" w:hanging="2"/>
              <w:rPr>
                <w:color w:val="000000"/>
                <w:sz w:val="22"/>
                <w:szCs w:val="22"/>
              </w:rPr>
            </w:pPr>
            <w:r>
              <w:rPr>
                <w:color w:val="000000"/>
                <w:sz w:val="22"/>
                <w:szCs w:val="22"/>
              </w:rPr>
              <w:t>Comments:</w:t>
            </w:r>
          </w:p>
          <w:p w14:paraId="37B32C74" w14:textId="77777777" w:rsidR="00175C8F" w:rsidRDefault="00175C8F">
            <w:pPr>
              <w:pBdr>
                <w:top w:val="nil"/>
                <w:left w:val="nil"/>
                <w:bottom w:val="nil"/>
                <w:right w:val="nil"/>
                <w:between w:val="nil"/>
              </w:pBdr>
              <w:spacing w:before="280" w:line="240" w:lineRule="auto"/>
              <w:ind w:left="0" w:hanging="2"/>
              <w:rPr>
                <w:color w:val="000000"/>
                <w:sz w:val="22"/>
                <w:szCs w:val="22"/>
              </w:rPr>
            </w:pPr>
          </w:p>
        </w:tc>
      </w:tr>
      <w:tr w:rsidR="00175C8F" w14:paraId="2A31AAA8" w14:textId="77777777">
        <w:trPr>
          <w:trHeight w:val="492"/>
        </w:trPr>
        <w:tc>
          <w:tcPr>
            <w:tcW w:w="6768" w:type="dxa"/>
            <w:gridSpan w:val="3"/>
          </w:tcPr>
          <w:p w14:paraId="4747BECE"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Marker’s signature:</w:t>
            </w:r>
          </w:p>
        </w:tc>
        <w:tc>
          <w:tcPr>
            <w:tcW w:w="2088" w:type="dxa"/>
            <w:gridSpan w:val="2"/>
          </w:tcPr>
          <w:p w14:paraId="266FCDAA" w14:textId="77777777" w:rsidR="00175C8F" w:rsidRDefault="00000000">
            <w:pPr>
              <w:pBdr>
                <w:top w:val="nil"/>
                <w:left w:val="nil"/>
                <w:bottom w:val="nil"/>
                <w:right w:val="nil"/>
                <w:between w:val="nil"/>
              </w:pBdr>
              <w:spacing w:line="240" w:lineRule="auto"/>
              <w:ind w:left="0" w:right="34" w:hanging="2"/>
              <w:rPr>
                <w:color w:val="000000"/>
                <w:sz w:val="22"/>
                <w:szCs w:val="22"/>
              </w:rPr>
            </w:pPr>
            <w:r>
              <w:rPr>
                <w:color w:val="000000"/>
                <w:sz w:val="22"/>
                <w:szCs w:val="22"/>
              </w:rPr>
              <w:t>Date:</w:t>
            </w:r>
          </w:p>
        </w:tc>
      </w:tr>
      <w:tr w:rsidR="00175C8F" w14:paraId="07CBE63C" w14:textId="77777777">
        <w:tc>
          <w:tcPr>
            <w:tcW w:w="8856" w:type="dxa"/>
            <w:gridSpan w:val="5"/>
          </w:tcPr>
          <w:p w14:paraId="4E6CB5D7"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3B88C588" w14:textId="77777777" w:rsidR="00175C8F" w:rsidRDefault="00000000">
            <w:pPr>
              <w:pBdr>
                <w:top w:val="nil"/>
                <w:left w:val="nil"/>
                <w:bottom w:val="nil"/>
                <w:right w:val="nil"/>
                <w:between w:val="nil"/>
              </w:pBdr>
              <w:spacing w:line="240" w:lineRule="auto"/>
              <w:ind w:left="0" w:right="-334" w:hanging="2"/>
              <w:rPr>
                <w:color w:val="000000"/>
                <w:sz w:val="22"/>
                <w:szCs w:val="22"/>
              </w:rPr>
            </w:pPr>
            <w:r>
              <w:rPr>
                <w:b/>
                <w:color w:val="000000"/>
                <w:sz w:val="22"/>
                <w:szCs w:val="22"/>
              </w:rPr>
              <w:t>For completion by Marker 2/Moderator:</w:t>
            </w:r>
          </w:p>
          <w:p w14:paraId="090ED6BD"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1950CC75" w14:textId="77777777" w:rsidR="00175C8F" w:rsidRDefault="00000000">
            <w:pPr>
              <w:pBdr>
                <w:top w:val="nil"/>
                <w:left w:val="nil"/>
                <w:bottom w:val="nil"/>
                <w:right w:val="nil"/>
                <w:between w:val="nil"/>
              </w:pBdr>
              <w:spacing w:line="240" w:lineRule="auto"/>
              <w:ind w:left="0" w:right="-334" w:hanging="2"/>
              <w:rPr>
                <w:color w:val="000000"/>
                <w:sz w:val="22"/>
                <w:szCs w:val="22"/>
              </w:rPr>
            </w:pPr>
            <w:r>
              <w:rPr>
                <w:color w:val="000000"/>
                <w:sz w:val="22"/>
                <w:szCs w:val="22"/>
              </w:rPr>
              <w:t>Comments:</w:t>
            </w:r>
          </w:p>
          <w:p w14:paraId="4BC05608"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2CB14D38"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28EC2ECB" w14:textId="77777777" w:rsidR="00175C8F" w:rsidRDefault="00175C8F">
            <w:pPr>
              <w:pBdr>
                <w:top w:val="nil"/>
                <w:left w:val="nil"/>
                <w:bottom w:val="nil"/>
                <w:right w:val="nil"/>
                <w:between w:val="nil"/>
              </w:pBdr>
              <w:spacing w:line="240" w:lineRule="auto"/>
              <w:ind w:left="0" w:right="-334" w:hanging="2"/>
              <w:rPr>
                <w:color w:val="000000"/>
                <w:sz w:val="22"/>
                <w:szCs w:val="22"/>
              </w:rPr>
            </w:pPr>
          </w:p>
        </w:tc>
      </w:tr>
      <w:tr w:rsidR="00175C8F" w14:paraId="12630BBF" w14:textId="77777777">
        <w:trPr>
          <w:trHeight w:val="720"/>
        </w:trPr>
        <w:tc>
          <w:tcPr>
            <w:tcW w:w="5211" w:type="dxa"/>
            <w:gridSpan w:val="2"/>
          </w:tcPr>
          <w:p w14:paraId="344C4006" w14:textId="77777777" w:rsidR="00175C8F" w:rsidRDefault="00000000">
            <w:pPr>
              <w:pBdr>
                <w:top w:val="nil"/>
                <w:left w:val="nil"/>
                <w:bottom w:val="nil"/>
                <w:right w:val="nil"/>
                <w:between w:val="nil"/>
              </w:pBdr>
              <w:spacing w:line="240" w:lineRule="auto"/>
              <w:ind w:left="0" w:right="-334" w:hanging="2"/>
              <w:rPr>
                <w:color w:val="000000"/>
                <w:sz w:val="22"/>
                <w:szCs w:val="22"/>
              </w:rPr>
            </w:pPr>
            <w:r>
              <w:rPr>
                <w:color w:val="000000"/>
                <w:sz w:val="22"/>
                <w:szCs w:val="22"/>
              </w:rPr>
              <w:t>Marker’s Signature:</w:t>
            </w:r>
          </w:p>
        </w:tc>
        <w:tc>
          <w:tcPr>
            <w:tcW w:w="3645" w:type="dxa"/>
            <w:gridSpan w:val="3"/>
          </w:tcPr>
          <w:p w14:paraId="6C40F0CE" w14:textId="77777777" w:rsidR="00175C8F" w:rsidRDefault="00000000">
            <w:pPr>
              <w:pBdr>
                <w:top w:val="nil"/>
                <w:left w:val="nil"/>
                <w:bottom w:val="nil"/>
                <w:right w:val="nil"/>
                <w:between w:val="nil"/>
              </w:pBdr>
              <w:spacing w:line="240" w:lineRule="auto"/>
              <w:ind w:left="0" w:right="-334" w:hanging="2"/>
              <w:rPr>
                <w:color w:val="000000"/>
                <w:sz w:val="22"/>
                <w:szCs w:val="22"/>
              </w:rPr>
            </w:pPr>
            <w:r>
              <w:rPr>
                <w:color w:val="000000"/>
                <w:sz w:val="22"/>
                <w:szCs w:val="22"/>
              </w:rPr>
              <w:t>Date:</w:t>
            </w:r>
          </w:p>
        </w:tc>
      </w:tr>
      <w:tr w:rsidR="00175C8F" w14:paraId="0517DDC0" w14:textId="77777777">
        <w:trPr>
          <w:trHeight w:val="720"/>
        </w:trPr>
        <w:tc>
          <w:tcPr>
            <w:tcW w:w="8856" w:type="dxa"/>
            <w:gridSpan w:val="5"/>
          </w:tcPr>
          <w:p w14:paraId="7CC64A11" w14:textId="77777777" w:rsidR="00175C8F" w:rsidRDefault="00000000">
            <w:pPr>
              <w:ind w:left="0" w:hanging="2"/>
              <w:rPr>
                <w:sz w:val="22"/>
                <w:szCs w:val="22"/>
              </w:rPr>
            </w:pPr>
            <w:r>
              <w:rPr>
                <w:b/>
                <w:sz w:val="22"/>
                <w:szCs w:val="22"/>
              </w:rPr>
              <w:t>AGREED INTERNAL MARK (where necessary):</w:t>
            </w:r>
          </w:p>
          <w:p w14:paraId="5E146A68" w14:textId="77777777" w:rsidR="00175C8F" w:rsidRDefault="00175C8F">
            <w:pPr>
              <w:ind w:left="0" w:hanging="2"/>
              <w:rPr>
                <w:sz w:val="22"/>
                <w:szCs w:val="22"/>
              </w:rPr>
            </w:pPr>
          </w:p>
          <w:p w14:paraId="5042F7EA" w14:textId="77777777" w:rsidR="00175C8F" w:rsidRDefault="00000000">
            <w:pPr>
              <w:ind w:left="0" w:hanging="2"/>
              <w:rPr>
                <w:sz w:val="22"/>
                <w:szCs w:val="22"/>
              </w:rPr>
            </w:pPr>
            <w:r>
              <w:rPr>
                <w:b/>
                <w:sz w:val="22"/>
                <w:szCs w:val="22"/>
              </w:rPr>
              <w:t>Comment on process of arriving at agreed mark:</w:t>
            </w:r>
          </w:p>
          <w:p w14:paraId="342DA792" w14:textId="77777777" w:rsidR="00175C8F" w:rsidRDefault="00175C8F">
            <w:pPr>
              <w:ind w:left="0" w:hanging="2"/>
              <w:rPr>
                <w:sz w:val="22"/>
                <w:szCs w:val="22"/>
              </w:rPr>
            </w:pPr>
          </w:p>
          <w:p w14:paraId="56826487" w14:textId="77777777" w:rsidR="00175C8F" w:rsidRDefault="00175C8F">
            <w:pPr>
              <w:ind w:left="0" w:hanging="2"/>
              <w:rPr>
                <w:sz w:val="22"/>
                <w:szCs w:val="22"/>
              </w:rPr>
            </w:pPr>
          </w:p>
          <w:p w14:paraId="63577CBC" w14:textId="77777777" w:rsidR="00175C8F" w:rsidRDefault="00175C8F">
            <w:pPr>
              <w:ind w:left="0" w:hanging="2"/>
              <w:rPr>
                <w:sz w:val="22"/>
                <w:szCs w:val="22"/>
              </w:rPr>
            </w:pPr>
          </w:p>
          <w:p w14:paraId="2E593581" w14:textId="77777777" w:rsidR="00175C8F" w:rsidRDefault="00175C8F">
            <w:pPr>
              <w:ind w:left="0" w:hanging="2"/>
              <w:rPr>
                <w:sz w:val="22"/>
                <w:szCs w:val="22"/>
              </w:rPr>
            </w:pPr>
          </w:p>
          <w:p w14:paraId="2F665D59" w14:textId="77777777" w:rsidR="00175C8F" w:rsidRDefault="00175C8F">
            <w:pPr>
              <w:ind w:left="0" w:hanging="2"/>
              <w:rPr>
                <w:sz w:val="22"/>
                <w:szCs w:val="22"/>
              </w:rPr>
            </w:pPr>
          </w:p>
        </w:tc>
      </w:tr>
      <w:tr w:rsidR="00175C8F" w14:paraId="0303CF88" w14:textId="77777777">
        <w:trPr>
          <w:trHeight w:val="720"/>
        </w:trPr>
        <w:tc>
          <w:tcPr>
            <w:tcW w:w="8856" w:type="dxa"/>
            <w:gridSpan w:val="5"/>
          </w:tcPr>
          <w:p w14:paraId="7FA2CDFC" w14:textId="77777777" w:rsidR="00175C8F" w:rsidRDefault="00000000">
            <w:pPr>
              <w:ind w:left="0" w:hanging="2"/>
              <w:rPr>
                <w:sz w:val="22"/>
                <w:szCs w:val="22"/>
              </w:rPr>
            </w:pPr>
            <w:r>
              <w:rPr>
                <w:b/>
                <w:sz w:val="22"/>
                <w:szCs w:val="22"/>
              </w:rPr>
              <w:t>External Examiner’s comments (if relevant)</w:t>
            </w:r>
          </w:p>
          <w:p w14:paraId="23C54871"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6278CF52"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4FB66670"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2384B4E0" w14:textId="77777777" w:rsidR="00175C8F" w:rsidRDefault="00175C8F">
            <w:pPr>
              <w:pBdr>
                <w:top w:val="nil"/>
                <w:left w:val="nil"/>
                <w:bottom w:val="nil"/>
                <w:right w:val="nil"/>
                <w:between w:val="nil"/>
              </w:pBdr>
              <w:spacing w:line="240" w:lineRule="auto"/>
              <w:ind w:left="0" w:right="-334" w:hanging="2"/>
              <w:rPr>
                <w:color w:val="000000"/>
                <w:sz w:val="22"/>
                <w:szCs w:val="22"/>
              </w:rPr>
            </w:pPr>
          </w:p>
          <w:p w14:paraId="351BB537" w14:textId="77777777" w:rsidR="00175C8F" w:rsidRDefault="00175C8F">
            <w:pPr>
              <w:pBdr>
                <w:top w:val="nil"/>
                <w:left w:val="nil"/>
                <w:bottom w:val="nil"/>
                <w:right w:val="nil"/>
                <w:between w:val="nil"/>
              </w:pBdr>
              <w:spacing w:line="240" w:lineRule="auto"/>
              <w:ind w:left="0" w:right="-334" w:hanging="2"/>
              <w:rPr>
                <w:color w:val="000000"/>
                <w:sz w:val="22"/>
                <w:szCs w:val="22"/>
              </w:rPr>
            </w:pPr>
          </w:p>
        </w:tc>
      </w:tr>
      <w:tr w:rsidR="00175C8F" w14:paraId="5AC3C58F" w14:textId="77777777">
        <w:trPr>
          <w:trHeight w:val="720"/>
        </w:trPr>
        <w:tc>
          <w:tcPr>
            <w:tcW w:w="5211" w:type="dxa"/>
            <w:gridSpan w:val="2"/>
          </w:tcPr>
          <w:p w14:paraId="443D51FF" w14:textId="77777777" w:rsidR="00175C8F" w:rsidRDefault="00000000">
            <w:pPr>
              <w:ind w:left="0" w:hanging="2"/>
              <w:rPr>
                <w:sz w:val="22"/>
                <w:szCs w:val="22"/>
              </w:rPr>
            </w:pPr>
            <w:r>
              <w:rPr>
                <w:sz w:val="22"/>
                <w:szCs w:val="22"/>
              </w:rPr>
              <w:t>External Examiner’s Signature:</w:t>
            </w:r>
          </w:p>
        </w:tc>
        <w:tc>
          <w:tcPr>
            <w:tcW w:w="3645" w:type="dxa"/>
            <w:gridSpan w:val="3"/>
          </w:tcPr>
          <w:p w14:paraId="7F7F8950" w14:textId="77777777" w:rsidR="00175C8F" w:rsidRDefault="00000000">
            <w:pPr>
              <w:ind w:left="0" w:hanging="2"/>
              <w:rPr>
                <w:sz w:val="22"/>
                <w:szCs w:val="22"/>
              </w:rPr>
            </w:pPr>
            <w:r>
              <w:rPr>
                <w:sz w:val="22"/>
                <w:szCs w:val="22"/>
              </w:rPr>
              <w:t>Date:</w:t>
            </w:r>
          </w:p>
        </w:tc>
      </w:tr>
    </w:tbl>
    <w:p w14:paraId="237EF6C3" w14:textId="77777777" w:rsidR="00175C8F" w:rsidRDefault="00000000">
      <w:pPr>
        <w:pStyle w:val="Heading1"/>
        <w:ind w:left="1" w:hanging="3"/>
      </w:pPr>
      <w:bookmarkStart w:id="0" w:name="_heading=h.l1iji2ydiy6s" w:colFirst="0" w:colLast="0"/>
      <w:bookmarkEnd w:id="0"/>
      <w:r>
        <w:br w:type="page"/>
      </w:r>
    </w:p>
    <w:p w14:paraId="58CD5B53" w14:textId="77777777" w:rsidR="00175C8F" w:rsidRDefault="00000000" w:rsidP="00CA24F9">
      <w:pPr>
        <w:pStyle w:val="Heading1"/>
        <w:ind w:left="1" w:hanging="3"/>
      </w:pPr>
      <w:bookmarkStart w:id="1" w:name="_heading=h.da2u17me4n3i" w:colFirst="0" w:colLast="0"/>
      <w:bookmarkEnd w:id="1"/>
      <w:r>
        <w:lastRenderedPageBreak/>
        <w:t>A Critical Comparison of Two Secondary Sources</w:t>
      </w:r>
    </w:p>
    <w:p w14:paraId="593559BD" w14:textId="3A57A389" w:rsidR="00175C8F" w:rsidRDefault="00000000" w:rsidP="00CA24F9">
      <w:pPr>
        <w:ind w:left="0" w:hanging="2"/>
      </w:pPr>
      <w:r>
        <w:t>Word count: 25</w:t>
      </w:r>
      <w:r w:rsidR="00E467B1">
        <w:t>3</w:t>
      </w:r>
      <w:r w:rsidR="00CB0D3C">
        <w:t>6</w:t>
      </w:r>
    </w:p>
    <w:p w14:paraId="6DAD1535" w14:textId="77777777" w:rsidR="00175C8F" w:rsidRDefault="00175C8F" w:rsidP="00FF1567">
      <w:pPr>
        <w:ind w:leftChars="0" w:left="0" w:firstLineChars="0" w:firstLine="0"/>
      </w:pPr>
    </w:p>
    <w:p w14:paraId="24138AAA" w14:textId="77777777" w:rsidR="00175C8F" w:rsidRDefault="00000000" w:rsidP="00CA24F9">
      <w:pPr>
        <w:ind w:leftChars="0" w:left="0" w:firstLineChars="0" w:firstLine="0"/>
      </w:pPr>
      <w:r>
        <w:rPr>
          <w:b/>
        </w:rPr>
        <w:t>Introduction</w:t>
      </w:r>
    </w:p>
    <w:p w14:paraId="1CBB71B4" w14:textId="0654C314" w:rsidR="00175C8F" w:rsidRDefault="00000000" w:rsidP="00CA24F9">
      <w:pPr>
        <w:ind w:left="-2" w:firstLineChars="0" w:firstLine="0"/>
      </w:pPr>
      <w:r>
        <w:t>This essay critically compares and contrasts Gillian Benne</w:t>
      </w:r>
      <w:r w:rsidR="00196C3C">
        <w:t>t</w:t>
      </w:r>
      <w:r>
        <w:t xml:space="preserve">t’s article ‘“If I Knew You Were Coming I’d Have Baked a Cake”: The Folklore of Foreknowledge in a </w:t>
      </w:r>
      <w:proofErr w:type="spellStart"/>
      <w:r>
        <w:t>Neighborhood</w:t>
      </w:r>
      <w:proofErr w:type="spellEnd"/>
      <w:r>
        <w:t xml:space="preserve"> Group’, published in the journal </w:t>
      </w:r>
      <w:r>
        <w:rPr>
          <w:i/>
        </w:rPr>
        <w:t>Out of the Ordinary: Folklore and the Supernatural</w:t>
      </w:r>
      <w:r>
        <w:t xml:space="preserve"> in 1995</w:t>
      </w:r>
      <w:r>
        <w:rPr>
          <w:vertAlign w:val="superscript"/>
        </w:rPr>
        <w:footnoteReference w:id="1"/>
      </w:r>
      <w:r>
        <w:t xml:space="preserve">, with Jenny Blain’s article “Speaking </w:t>
      </w:r>
      <w:proofErr w:type="spellStart"/>
      <w:r>
        <w:t>Shamanistically</w:t>
      </w:r>
      <w:proofErr w:type="spellEnd"/>
      <w:r>
        <w:t xml:space="preserve">: </w:t>
      </w:r>
      <w:proofErr w:type="spellStart"/>
      <w:r>
        <w:t>Seidr</w:t>
      </w:r>
      <w:proofErr w:type="spellEnd"/>
      <w:r>
        <w:t>, Academia, and Rationality”, published in the</w:t>
      </w:r>
      <w:r w:rsidR="00E25561">
        <w:t xml:space="preserve"> in the University of Marburg’s journal on religious studies,</w:t>
      </w:r>
      <w:r>
        <w:t xml:space="preserve"> </w:t>
      </w:r>
      <w:proofErr w:type="spellStart"/>
      <w:r>
        <w:rPr>
          <w:i/>
        </w:rPr>
        <w:t>Diskus</w:t>
      </w:r>
      <w:proofErr w:type="spellEnd"/>
      <w:r w:rsidR="005B6074">
        <w:rPr>
          <w:iCs/>
        </w:rPr>
        <w:t>,</w:t>
      </w:r>
      <w:r>
        <w:t xml:space="preserve"> in 2000</w:t>
      </w:r>
      <w:r>
        <w:rPr>
          <w:vertAlign w:val="superscript"/>
        </w:rPr>
        <w:footnoteReference w:id="2"/>
      </w:r>
      <w:r>
        <w:t>.</w:t>
      </w:r>
    </w:p>
    <w:p w14:paraId="0E10BE6B" w14:textId="2D1D7839" w:rsidR="006E68A0" w:rsidRDefault="00000000" w:rsidP="006E68A0">
      <w:pPr>
        <w:ind w:left="-2" w:firstLineChars="186" w:firstLine="446"/>
      </w:pPr>
      <w:r>
        <w:t>Benne</w:t>
      </w:r>
      <w:r w:rsidR="006E68A0">
        <w:t>t</w:t>
      </w:r>
      <w:r>
        <w:t>t writes and edits books and articles as a folklorist who studies contemporary belief in the supernatural</w:t>
      </w:r>
      <w:r>
        <w:rPr>
          <w:vertAlign w:val="superscript"/>
        </w:rPr>
        <w:footnoteReference w:id="3"/>
      </w:r>
      <w:r>
        <w:t xml:space="preserve">. The article reviewed here is published in a book of contributed works covering a range of supernatural and </w:t>
      </w:r>
      <w:r w:rsidR="005950F3">
        <w:t>folkloric</w:t>
      </w:r>
      <w:r>
        <w:t xml:space="preserve"> topics. It is written for</w:t>
      </w:r>
      <w:r w:rsidR="00CA24F9">
        <w:t xml:space="preserve"> </w:t>
      </w:r>
      <w:r>
        <w:t>those who also believe in, or are studying, the</w:t>
      </w:r>
      <w:r w:rsidR="0096662F">
        <w:t>se</w:t>
      </w:r>
      <w:r>
        <w:t xml:space="preserve"> topics</w:t>
      </w:r>
      <w:r w:rsidR="0096662F">
        <w:t xml:space="preserve"> and</w:t>
      </w:r>
      <w:r>
        <w:t xml:space="preserve"> seeks to contextualise modern understandings of the folklore surrounding foreknowledge and the </w:t>
      </w:r>
      <w:r w:rsidR="0096662F">
        <w:t>influence of</w:t>
      </w:r>
      <w:r>
        <w:t xml:space="preserve"> society.</w:t>
      </w:r>
      <w:r w:rsidR="006E68A0">
        <w:t xml:space="preserve"> The Bennett article follows a clear structure, laying out the historical background, context, findings, and conclusion in logical order with matching headers. The findings themselves are broken out and grouped so that similar topics are presented together, with both positive and negative respondent perspectives presented for balance.</w:t>
      </w:r>
    </w:p>
    <w:p w14:paraId="668DE098" w14:textId="7EDCA7CB" w:rsidR="00206DA7" w:rsidRDefault="00000000" w:rsidP="00CA24F9">
      <w:pPr>
        <w:ind w:left="-2" w:firstLineChars="186" w:firstLine="446"/>
      </w:pPr>
      <w:r>
        <w:t>In contrast, Blain’s article appears to have been written primarily for herself despite being published in a journal. While it ostensibly critiques ethnography as a methodology, the argument delves more into her thoughts on writing academically as an insider</w:t>
      </w:r>
      <w:r w:rsidR="00CA24F9">
        <w:t xml:space="preserve"> </w:t>
      </w:r>
      <w:r>
        <w:t xml:space="preserve">and her concern that being a member of a group lessens academic credibility. Blain identifies as </w:t>
      </w:r>
      <w:r w:rsidR="00B6044D">
        <w:t>‘</w:t>
      </w:r>
      <w:r>
        <w:t>Heathen</w:t>
      </w:r>
      <w:r w:rsidR="00B6044D">
        <w:t>’</w:t>
      </w:r>
      <w:r>
        <w:t xml:space="preserve"> and practises </w:t>
      </w:r>
      <w:proofErr w:type="spellStart"/>
      <w:r>
        <w:t>seiðr</w:t>
      </w:r>
      <w:proofErr w:type="spellEnd"/>
      <w:r>
        <w:t>, the topic of focus in her essay</w:t>
      </w:r>
      <w:r>
        <w:rPr>
          <w:vertAlign w:val="superscript"/>
        </w:rPr>
        <w:footnoteReference w:id="4"/>
      </w:r>
      <w:r>
        <w:t>, and was a senior lecturer at Sheffield Hallam University at the time of writing the article.</w:t>
      </w:r>
      <w:r w:rsidR="00E25561">
        <w:t xml:space="preserve"> </w:t>
      </w:r>
      <w:r w:rsidR="00206DA7">
        <w:t>While Blain’s essay was publishe</w:t>
      </w:r>
      <w:r w:rsidR="00E25561">
        <w:t>d in an academic journ</w:t>
      </w:r>
      <w:r w:rsidR="00EC4FE3">
        <w:t>al</w:t>
      </w:r>
      <w:r w:rsidR="00206DA7">
        <w:t xml:space="preserve">, </w:t>
      </w:r>
      <w:r w:rsidR="00E25561">
        <w:t>it</w:t>
      </w:r>
      <w:r w:rsidR="00206DA7">
        <w:t xml:space="preserve"> lacks a recognizable structure despite its headings, reading as more of a stream-of-consciousness account of the author’s experiences as an academic-practitioner. On the whole, the text </w:t>
      </w:r>
      <w:proofErr w:type="gramStart"/>
      <w:r w:rsidR="00206DA7">
        <w:t>rambled</w:t>
      </w:r>
      <w:proofErr w:type="gramEnd"/>
      <w:r w:rsidR="00206DA7">
        <w:t xml:space="preserve"> and headers didn’t match the content they covered.</w:t>
      </w:r>
    </w:p>
    <w:p w14:paraId="6CB540FC" w14:textId="1C5A863D" w:rsidR="001C22CA" w:rsidRDefault="001C22CA" w:rsidP="001C22CA">
      <w:pPr>
        <w:ind w:left="-2" w:firstLineChars="186" w:firstLine="446"/>
      </w:pPr>
      <w:r>
        <w:t xml:space="preserve">In a way, both pieces demonstrate a similar philosophy from different approaches: true understanding of the nature of the topic under examination isn’t </w:t>
      </w:r>
      <w:proofErr w:type="gramStart"/>
      <w:r>
        <w:t>really possible</w:t>
      </w:r>
      <w:proofErr w:type="gramEnd"/>
      <w:r>
        <w:t xml:space="preserve"> without belonging, at least in part, to the group being studied. This seems to reflect a tenet of human nature</w:t>
      </w:r>
      <w:r w:rsidR="00AE3929">
        <w:t>,</w:t>
      </w:r>
      <w:r>
        <w:t xml:space="preserve"> that holding oneself apart and considering complete rationality as superior, means true empathy and understanding of a topic cannot be achieved. </w:t>
      </w:r>
      <w:r>
        <w:lastRenderedPageBreak/>
        <w:t>When the topic is people and the relationships between people, their experiences, and each other, this is even more the case.</w:t>
      </w:r>
    </w:p>
    <w:p w14:paraId="008B06FA" w14:textId="328FEAD3" w:rsidR="001C22CA" w:rsidRDefault="001C22CA" w:rsidP="001C22CA">
      <w:pPr>
        <w:ind w:left="-2" w:firstLineChars="186" w:firstLine="446"/>
      </w:pPr>
      <w:r>
        <w:t xml:space="preserve">Both articles also include narrative or literary devices in the title and in the text that stray away from a strictly </w:t>
      </w:r>
      <w:r w:rsidR="002E2B81">
        <w:t>fact-based</w:t>
      </w:r>
      <w:r>
        <w:t xml:space="preserve"> style. While this may be due in part to the nature of the topic being studied, the wandering nature of the compositions makes it more difficult to parse the key elements of context, methodology, literature review, and findings.</w:t>
      </w:r>
    </w:p>
    <w:p w14:paraId="00A4206D" w14:textId="1E039C54" w:rsidR="00175C8F" w:rsidRDefault="001C22CA" w:rsidP="00FF1567">
      <w:pPr>
        <w:ind w:left="-2" w:firstLineChars="186" w:firstLine="446"/>
      </w:pPr>
      <w:r>
        <w:t xml:space="preserve">Finally, both authors are studying lived experience with supernatural topics, but from different starting points </w:t>
      </w:r>
      <w:r w:rsidR="00CA24F9">
        <w:t>in</w:t>
      </w:r>
      <w:r>
        <w:t xml:space="preserve"> personal experience, involvement, and reflexivity.</w:t>
      </w:r>
    </w:p>
    <w:p w14:paraId="337C9884" w14:textId="77777777" w:rsidR="00175C8F" w:rsidRDefault="00175C8F" w:rsidP="00CA24F9">
      <w:pPr>
        <w:ind w:left="-2" w:firstLineChars="186" w:firstLine="446"/>
      </w:pPr>
    </w:p>
    <w:p w14:paraId="4DF3CC28" w14:textId="77777777" w:rsidR="00175C8F" w:rsidRDefault="00000000" w:rsidP="00CA24F9">
      <w:pPr>
        <w:ind w:leftChars="0" w:left="0" w:firstLineChars="0" w:firstLine="0"/>
        <w:rPr>
          <w:b/>
        </w:rPr>
      </w:pPr>
      <w:r>
        <w:rPr>
          <w:b/>
        </w:rPr>
        <w:t>Reflexivity and positioning</w:t>
      </w:r>
    </w:p>
    <w:p w14:paraId="361547AB" w14:textId="3AF7D113" w:rsidR="00BA40A6" w:rsidRDefault="00000000" w:rsidP="00BA40A6">
      <w:pPr>
        <w:ind w:left="-2" w:firstLineChars="0" w:firstLine="0"/>
      </w:pPr>
      <w:r>
        <w:t xml:space="preserve">Blain is a part of the group she’s studying, which is the motivation behind her critique of ethnography and the academic response to insider research. The essay is deeply reflexive; reflecting on her involvement in the practise of </w:t>
      </w:r>
      <w:proofErr w:type="spellStart"/>
      <w:r>
        <w:t>seiðr</w:t>
      </w:r>
      <w:proofErr w:type="spellEnd"/>
      <w:r>
        <w:t xml:space="preserve"> and her perception of its effects on her academic work is the primary purpose. </w:t>
      </w:r>
      <w:r w:rsidR="00206DA7">
        <w:t>However, neither the opening anecdote about arriving in Boston nor the following explanation about Blain’s relationship with another practitioner have meaningful bearing on the topic. Blain’s descriptions of her own involvement in the practise would have been sufficient evidence of both her role as an insider and her reflexivity.</w:t>
      </w:r>
    </w:p>
    <w:p w14:paraId="49AA79DB" w14:textId="499B52E8" w:rsidR="00BA40A6" w:rsidRDefault="00BA40A6" w:rsidP="00BA40A6">
      <w:pPr>
        <w:ind w:left="-2" w:firstLineChars="186" w:firstLine="446"/>
      </w:pPr>
      <w:r>
        <w:t>Th</w:t>
      </w:r>
      <w:r w:rsidR="009F5C03">
        <w:t>e tunnel-vision of this</w:t>
      </w:r>
      <w:r>
        <w:t xml:space="preserve"> insider position may have contributed to a weaker argument in some respects. Despite describing “feelings of doubt about the ability to publish without sacrificing a career”</w:t>
      </w:r>
      <w:r>
        <w:rPr>
          <w:vertAlign w:val="superscript"/>
        </w:rPr>
        <w:footnoteReference w:id="5"/>
      </w:r>
      <w:r>
        <w:t xml:space="preserve"> related to her insider status, Blain didn’t extend that thought to other identities that would be similarly impacted. Brief intersectional consideration of, for example, Black American scholars studying race in the United States, or Indigenous scholars in formerly colonised countries studying colonisation, could have strengthened her argument about how academia views insiders and their research. Indeed, many scholars in these groups may face even greater hurdles to having their scholarship treated as valid (or even becoming scholars to begin with), given the historical inequities </w:t>
      </w:r>
      <w:r w:rsidR="00805ABC">
        <w:t>in</w:t>
      </w:r>
      <w:r>
        <w:t xml:space="preserve"> income, opportunity, and resources for these populations in both society and institutions of higher education</w:t>
      </w:r>
      <w:r>
        <w:rPr>
          <w:vertAlign w:val="superscript"/>
        </w:rPr>
        <w:footnoteReference w:id="6"/>
      </w:r>
      <w:r>
        <w:t xml:space="preserve">. This is not to suggest that there needs to be a ‘competition’ for who has it harder, but rather to demonstrate that </w:t>
      </w:r>
      <w:r w:rsidR="002839D1">
        <w:t>her</w:t>
      </w:r>
      <w:r>
        <w:t xml:space="preserve"> concerns </w:t>
      </w:r>
      <w:r w:rsidR="00DC1A44">
        <w:t xml:space="preserve">have broader </w:t>
      </w:r>
      <w:r w:rsidR="002839D1">
        <w:t>contexts</w:t>
      </w:r>
      <w:r w:rsidR="00DC1A44">
        <w:t xml:space="preserve"> that could support her argument</w:t>
      </w:r>
      <w:r w:rsidR="00763CA2">
        <w:t xml:space="preserve"> as well as other scholars</w:t>
      </w:r>
      <w:r w:rsidR="00436567">
        <w:t xml:space="preserve"> and fields</w:t>
      </w:r>
      <w:r w:rsidR="00DC1A44">
        <w:t>.</w:t>
      </w:r>
      <w:r>
        <w:t xml:space="preserve"> </w:t>
      </w:r>
    </w:p>
    <w:p w14:paraId="23346046" w14:textId="3096DB48" w:rsidR="00175C8F" w:rsidRDefault="005C01B8" w:rsidP="00CA24F9">
      <w:pPr>
        <w:ind w:left="-2" w:firstLineChars="186" w:firstLine="446"/>
      </w:pPr>
      <w:r>
        <w:t xml:space="preserve">Despite this gap, Blain makes a persuasive point </w:t>
      </w:r>
      <w:r w:rsidR="009C0149">
        <w:t>regarding</w:t>
      </w:r>
      <w:r>
        <w:t xml:space="preserve"> the possible impacts of her deep personal association with </w:t>
      </w:r>
      <w:proofErr w:type="spellStart"/>
      <w:r>
        <w:t>seiðr</w:t>
      </w:r>
      <w:proofErr w:type="spellEnd"/>
      <w:r>
        <w:t xml:space="preserve"> and </w:t>
      </w:r>
      <w:r w:rsidR="00873D85">
        <w:t>other</w:t>
      </w:r>
      <w:r>
        <w:t xml:space="preserve"> practitioners. As noted by David Hufford, </w:t>
      </w:r>
      <w:r w:rsidR="009F4312">
        <w:t>‘</w:t>
      </w:r>
      <w:r>
        <w:t>the general demand for impartiality in scholarship is applied with special stringency to the study of spiritual matters</w:t>
      </w:r>
      <w:r w:rsidR="009F4312">
        <w:t>’</w:t>
      </w:r>
      <w:r>
        <w:t xml:space="preserve"> and there is frequently an assumption that belief is equivalent to incompetence when it comes to academic rigour</w:t>
      </w:r>
      <w:r>
        <w:rPr>
          <w:vertAlign w:val="superscript"/>
        </w:rPr>
        <w:footnoteReference w:id="7"/>
      </w:r>
      <w:r>
        <w:t xml:space="preserve">. The conundrum this creates—whether those on the outside can fully understand the topic of study and whether those on the inside can effectively separate self from practice—is hinted at in Blain’s essay. The result she describes, wherein conferences and the academics </w:t>
      </w:r>
      <w:r>
        <w:lastRenderedPageBreak/>
        <w:t>attending them repeatedly cover the same, potentially irrelevant questions (</w:t>
      </w:r>
      <w:proofErr w:type="gramStart"/>
      <w:r>
        <w:t>e.g.</w:t>
      </w:r>
      <w:proofErr w:type="gramEnd"/>
      <w:r>
        <w:t xml:space="preserve"> ‘do the spirits exist’)</w:t>
      </w:r>
      <w:r>
        <w:rPr>
          <w:vertAlign w:val="superscript"/>
        </w:rPr>
        <w:footnoteReference w:id="8"/>
      </w:r>
      <w:r>
        <w:t>, illustrates one of the benefits of an insider perspective supported with reflexivity: the ability to move beyond established or long-debated questions to cover new ground.</w:t>
      </w:r>
    </w:p>
    <w:p w14:paraId="2B5E1DF2" w14:textId="77777777" w:rsidR="00175C8F" w:rsidRDefault="00000000" w:rsidP="00CA24F9">
      <w:pPr>
        <w:ind w:left="-2" w:firstLineChars="186" w:firstLine="446"/>
      </w:pPr>
      <w:r>
        <w:t xml:space="preserve">While Bennett’s role as insider or outsider isn’t explicitly stated, her opening paragraph seems to position her further to the outsider end of the insider-outsider spectrum. She appears to be enough of an outsider that she had </w:t>
      </w:r>
      <w:proofErr w:type="gramStart"/>
      <w:r>
        <w:t>a number of</w:t>
      </w:r>
      <w:proofErr w:type="gramEnd"/>
      <w:r>
        <w:t xml:space="preserve"> ‘false starts’ in meeting and interviewing respondents</w:t>
      </w:r>
      <w:r>
        <w:rPr>
          <w:vertAlign w:val="superscript"/>
        </w:rPr>
        <w:footnoteReference w:id="9"/>
      </w:r>
      <w:r>
        <w:t>. As a result, her findings rely fully on the testimony of respondents and in her accuracy in recording, interpreting, and analysing them in the way the respondents meant them.</w:t>
      </w:r>
    </w:p>
    <w:p w14:paraId="54AF8F73" w14:textId="77777777" w:rsidR="00175C8F" w:rsidRDefault="00000000" w:rsidP="00CA24F9">
      <w:pPr>
        <w:ind w:left="-2" w:firstLineChars="186" w:firstLine="446"/>
      </w:pPr>
      <w:r>
        <w:t>The authors’ differing positions on the insider-outsider spectrum necessarily influenced their methodological approaches.</w:t>
      </w:r>
    </w:p>
    <w:p w14:paraId="6E1F1401" w14:textId="77777777" w:rsidR="00175C8F" w:rsidRDefault="00175C8F" w:rsidP="00CA24F9">
      <w:pPr>
        <w:ind w:left="-2" w:firstLineChars="186" w:firstLine="446"/>
      </w:pPr>
    </w:p>
    <w:p w14:paraId="394F536A" w14:textId="77777777" w:rsidR="00175C8F" w:rsidRDefault="00000000" w:rsidP="00CA24F9">
      <w:pPr>
        <w:ind w:leftChars="0" w:left="0" w:firstLineChars="0" w:firstLine="0"/>
      </w:pPr>
      <w:r>
        <w:rPr>
          <w:b/>
        </w:rPr>
        <w:t>Methodologies</w:t>
      </w:r>
    </w:p>
    <w:p w14:paraId="333FD676" w14:textId="0FF787A5" w:rsidR="00175C8F" w:rsidRDefault="00000000" w:rsidP="00CA24F9">
      <w:pPr>
        <w:ind w:left="-2" w:firstLineChars="0" w:firstLine="0"/>
      </w:pPr>
      <w:r>
        <w:t>Blain’s research effectively demonstrates how membership in the group being studied can aid in deeper understanding. Her first-hand participation in the subject of study</w:t>
      </w:r>
      <w:r w:rsidR="00CA24F9">
        <w:t xml:space="preserve"> </w:t>
      </w:r>
      <w:r>
        <w:t>takes her beyond a venture into a ‘thick description’</w:t>
      </w:r>
      <w:r>
        <w:rPr>
          <w:vertAlign w:val="superscript"/>
        </w:rPr>
        <w:footnoteReference w:id="10"/>
      </w:r>
      <w:r>
        <w:t xml:space="preserve"> and into a lived experience of it. This experience, while possibly difficult to translate to the satisfaction of outsiders, nonetheless is captured for her own study to a depth a total outsider would not be able to reach.</w:t>
      </w:r>
    </w:p>
    <w:p w14:paraId="35EBE3A2" w14:textId="7BAE2E0C" w:rsidR="0026489A" w:rsidRDefault="00000000" w:rsidP="0026489A">
      <w:pPr>
        <w:ind w:left="-2" w:firstLineChars="186" w:firstLine="446"/>
      </w:pPr>
      <w:r>
        <w:t xml:space="preserve">As an outsider, Bennett interviewed her participants. While her work is more structured in terms of methodology, there are notable areas for concern. First, the extent to which respondent anonymity can be reasonably assured, given that all of them were interviewed in </w:t>
      </w:r>
      <w:r w:rsidR="00CA24F9">
        <w:t>her father’s office</w:t>
      </w:r>
      <w:r>
        <w:t xml:space="preserve">. The table of results, while welcome to review data, includes only one to two respondents in some categories. </w:t>
      </w:r>
      <w:r w:rsidR="00CA24F9">
        <w:t>I</w:t>
      </w:r>
      <w:r>
        <w:t xml:space="preserve">t could be easy to figure out who each respondent is or might be. </w:t>
      </w:r>
      <w:r w:rsidR="0026489A">
        <w:t xml:space="preserve">Additionally, confidentiality is a concern, as presumably Bennett’s father is present or can overhear these conversations. </w:t>
      </w:r>
    </w:p>
    <w:p w14:paraId="5A612A35" w14:textId="07D484A8" w:rsidR="00664C22" w:rsidRDefault="00664C22" w:rsidP="00CA24F9">
      <w:pPr>
        <w:ind w:left="-2" w:firstLineChars="186" w:firstLine="446"/>
      </w:pPr>
      <w:r>
        <w:t xml:space="preserve">Clifford Geertz said that </w:t>
      </w:r>
      <w:r w:rsidR="00204B59">
        <w:t>‘</w:t>
      </w:r>
      <w:r>
        <w:t>cultural forms find articulation</w:t>
      </w:r>
      <w:r w:rsidR="00204B59">
        <w:t>’</w:t>
      </w:r>
      <w:r>
        <w:t xml:space="preserve"> in behaviour</w:t>
      </w:r>
      <w:r>
        <w:rPr>
          <w:vertAlign w:val="superscript"/>
        </w:rPr>
        <w:footnoteReference w:id="11"/>
      </w:r>
      <w:r>
        <w:t>, which Bennett illustrates in her connection of respondent beliefs in astrology versus clairvoyance to their socio-cultural roles. Whether these connections are completely correct is in question, however, because the respondents don’t seem to have been asked outright</w:t>
      </w:r>
      <w:r w:rsidR="0026489A">
        <w:t xml:space="preserve"> in their interviews</w:t>
      </w:r>
      <w:r>
        <w:t xml:space="preserve">. Instead, Bennett speaks to the </w:t>
      </w:r>
      <w:r w:rsidR="00D13C25">
        <w:t>‘</w:t>
      </w:r>
      <w:r>
        <w:t>impression</w:t>
      </w:r>
      <w:r w:rsidR="00D13C25">
        <w:t>’</w:t>
      </w:r>
      <w:r>
        <w:t xml:space="preserve"> she got </w:t>
      </w:r>
      <w:proofErr w:type="gramStart"/>
      <w:r>
        <w:t>with regard to</w:t>
      </w:r>
      <w:proofErr w:type="gramEnd"/>
      <w:r>
        <w:t xml:space="preserve"> the older female respondents in particular</w:t>
      </w:r>
      <w:r>
        <w:rPr>
          <w:vertAlign w:val="superscript"/>
        </w:rPr>
        <w:footnoteReference w:id="12"/>
      </w:r>
      <w:r>
        <w:t>. Given her position as an outsider, one could argue Bennett may not fully understand the reasoning behind her respondents’ beliefs</w:t>
      </w:r>
      <w:r w:rsidR="00F65080">
        <w:t xml:space="preserve"> without having asked</w:t>
      </w:r>
      <w:r>
        <w:t>.</w:t>
      </w:r>
      <w:r w:rsidR="0026489A">
        <w:t xml:space="preserve"> This is a gap in the methodology.</w:t>
      </w:r>
    </w:p>
    <w:p w14:paraId="02EE9D90" w14:textId="60AC9C9E" w:rsidR="00175C8F" w:rsidRDefault="00000000" w:rsidP="00CA24F9">
      <w:pPr>
        <w:ind w:left="-2" w:firstLineChars="186" w:firstLine="446"/>
      </w:pPr>
      <w:r>
        <w:t>Finally, the</w:t>
      </w:r>
      <w:r w:rsidR="0074582A">
        <w:t>re are</w:t>
      </w:r>
      <w:r>
        <w:t xml:space="preserve"> ethical </w:t>
      </w:r>
      <w:r w:rsidR="0074582A">
        <w:t xml:space="preserve">concerns with </w:t>
      </w:r>
      <w:r>
        <w:t xml:space="preserve">using the privacy of a doctor’s office to conduct unrelated research. In </w:t>
      </w:r>
      <w:r>
        <w:rPr>
          <w:i/>
        </w:rPr>
        <w:t>Qualitative Research Methods</w:t>
      </w:r>
      <w:r>
        <w:t xml:space="preserve">, </w:t>
      </w:r>
      <w:proofErr w:type="spellStart"/>
      <w:r>
        <w:t>Hennink</w:t>
      </w:r>
      <w:proofErr w:type="spellEnd"/>
      <w:r>
        <w:t xml:space="preserve">, </w:t>
      </w:r>
      <w:proofErr w:type="spellStart"/>
      <w:r>
        <w:t>Hutter</w:t>
      </w:r>
      <w:proofErr w:type="spellEnd"/>
      <w:r>
        <w:t xml:space="preserve">, and Bailey note the importance of minimising harm, which includes shame, embarrassment, </w:t>
      </w:r>
      <w:r>
        <w:lastRenderedPageBreak/>
        <w:t>or social harm</w:t>
      </w:r>
      <w:r>
        <w:rPr>
          <w:vertAlign w:val="superscript"/>
        </w:rPr>
        <w:footnoteReference w:id="13"/>
      </w:r>
      <w:r>
        <w:t>. It</w:t>
      </w:r>
      <w:r w:rsidR="00276C3F">
        <w:t>’s r</w:t>
      </w:r>
      <w:r>
        <w:t xml:space="preserve">easonable to think that being asked about personal beliefs while visiting one’s podiatrist could be a source of embarrassment or social harm. Her father’s sharing of information about his patients is also highly questionable, certainly by modern standards where HIPAA law would forbid such a thing in the United States. </w:t>
      </w:r>
    </w:p>
    <w:p w14:paraId="171F5177" w14:textId="77777777" w:rsidR="00175C8F" w:rsidRDefault="00000000" w:rsidP="00CA24F9">
      <w:pPr>
        <w:ind w:left="-2" w:firstLineChars="186" w:firstLine="446"/>
      </w:pPr>
      <w:r>
        <w:t>There is not a lot of overlap between the methodologies as presented. Bennett’s use of interviews is necessarily limited to what her respondents can or will tell her, which thus limits the depth of her findings. Blain’s participative ethnography lends itself to the consistent and representative perspectives that qualitative researchers advocate for</w:t>
      </w:r>
      <w:r>
        <w:rPr>
          <w:vertAlign w:val="superscript"/>
        </w:rPr>
        <w:footnoteReference w:id="14"/>
      </w:r>
      <w:r>
        <w:t xml:space="preserve">. However, both likely run into a similar difficulty: people who know they’re being studied or observed, even if indirectly as may be the case with Blain, may change their behaviour or answers. </w:t>
      </w:r>
    </w:p>
    <w:p w14:paraId="278505E5" w14:textId="199660CC" w:rsidR="00175C8F" w:rsidRDefault="00000000" w:rsidP="00CA24F9">
      <w:pPr>
        <w:ind w:left="-2" w:firstLineChars="186" w:firstLine="446"/>
      </w:pPr>
      <w:r>
        <w:t xml:space="preserve">Neither author mentions using quantitative research for a blended approach. For both articles, the qualitative research </w:t>
      </w:r>
      <w:r w:rsidR="00CA24F9">
        <w:t xml:space="preserve">conducted </w:t>
      </w:r>
      <w:r>
        <w:t xml:space="preserve">could </w:t>
      </w:r>
      <w:r w:rsidR="002A16B6">
        <w:t>‘</w:t>
      </w:r>
      <w:r>
        <w:t>act as a source of hunches or hypotheses to be tested by quantitative research</w:t>
      </w:r>
      <w:r w:rsidR="002A16B6">
        <w:t>’</w:t>
      </w:r>
      <w:r>
        <w:rPr>
          <w:vertAlign w:val="superscript"/>
        </w:rPr>
        <w:footnoteReference w:id="15"/>
      </w:r>
      <w:r>
        <w:t xml:space="preserve">. For example, Bennett’s findings could be extended to other areas with similar demographic profiles to see if they hold </w:t>
      </w:r>
      <w:proofErr w:type="gramStart"/>
      <w:r>
        <w:t>true, or</w:t>
      </w:r>
      <w:proofErr w:type="gramEnd"/>
      <w:r>
        <w:t xml:space="preserve"> tested with different profiles to see how and where differences in belief occur. Blain’s critique of ethnography and the insider-outsider debate could be tested with a questionnaire to discover the perceptions of fellow academics to see if her fears and doubts are similarly held by others, as well as to explore possible solutions.</w:t>
      </w:r>
    </w:p>
    <w:p w14:paraId="7086E9AA" w14:textId="22046782" w:rsidR="00175C8F" w:rsidRDefault="00000000" w:rsidP="00FF1567">
      <w:pPr>
        <w:ind w:left="-2" w:firstLineChars="186" w:firstLine="446"/>
      </w:pPr>
      <w:r>
        <w:t>It’s possible that the position of each study in the body of academic research played a role in their choice of methodology.</w:t>
      </w:r>
    </w:p>
    <w:p w14:paraId="02BF185F" w14:textId="77777777" w:rsidR="00175C8F" w:rsidRDefault="00175C8F" w:rsidP="00CA24F9">
      <w:pPr>
        <w:ind w:left="-2" w:firstLineChars="186" w:firstLine="446"/>
      </w:pPr>
    </w:p>
    <w:p w14:paraId="7816A07E" w14:textId="77777777" w:rsidR="00175C8F" w:rsidRDefault="00000000" w:rsidP="00CA24F9">
      <w:pPr>
        <w:ind w:leftChars="0" w:left="0" w:firstLineChars="0" w:firstLine="0"/>
      </w:pPr>
      <w:r>
        <w:rPr>
          <w:b/>
        </w:rPr>
        <w:t>Literature and sources</w:t>
      </w:r>
    </w:p>
    <w:p w14:paraId="1717F385" w14:textId="28DDACB7" w:rsidR="00175C8F" w:rsidRDefault="00000000" w:rsidP="00CA24F9">
      <w:pPr>
        <w:ind w:left="-2" w:firstLineChars="0" w:firstLine="0"/>
      </w:pPr>
      <w:r>
        <w:t xml:space="preserve">Based on the way historical accounts were covered, Bennett’s work seems to be laying new ground in the </w:t>
      </w:r>
      <w:r w:rsidR="004E1978">
        <w:t>study</w:t>
      </w:r>
      <w:r>
        <w:t xml:space="preserve"> of contemporary supernatural belief. Prior academic research is lacking—perhaps because there wasn’t any available to her at the time—but her own research in the form of interviews is provided. As a result, her study is framed more in the context of primary sources, with some supporting information from modern surveys carried out in the US and the UK about belief in astrology and clairvoyance. Primary texts were drawn from the seventeenth through nineteenth centuries, establishing traditions in British folklore and </w:t>
      </w:r>
      <w:r w:rsidR="00581A3C">
        <w:t>their evolution</w:t>
      </w:r>
      <w:r>
        <w:t>. These sources provide context for the tradition</w:t>
      </w:r>
      <w:r w:rsidR="00477FB5">
        <w:t>s</w:t>
      </w:r>
      <w:r>
        <w:t xml:space="preserve"> which</w:t>
      </w:r>
      <w:r w:rsidR="00096CD2">
        <w:t xml:space="preserve"> </w:t>
      </w:r>
      <w:r>
        <w:t xml:space="preserve">likely </w:t>
      </w:r>
      <w:r w:rsidR="00096CD2">
        <w:t xml:space="preserve">shaped her respondents’ </w:t>
      </w:r>
      <w:r>
        <w:t xml:space="preserve">beliefs and practices. </w:t>
      </w:r>
    </w:p>
    <w:p w14:paraId="0CE5F589" w14:textId="1EC43526" w:rsidR="00175C8F" w:rsidRDefault="00000000" w:rsidP="00CA24F9">
      <w:pPr>
        <w:ind w:left="-2" w:firstLineChars="186" w:firstLine="446"/>
      </w:pPr>
      <w:r>
        <w:t xml:space="preserve">Though extensive, this context could have been better supported with more examples of the cultural connections Bennett went on to make </w:t>
      </w:r>
      <w:r w:rsidR="0040289A">
        <w:t>in</w:t>
      </w:r>
      <w:r>
        <w:t xml:space="preserve"> her conclusions. For instance, dreams and omens are covered in the literary review, as well as being the focus of the research. However, context related to the historical roles of women in British society is missing. Bennett</w:t>
      </w:r>
      <w:r w:rsidR="0040289A">
        <w:t xml:space="preserve"> </w:t>
      </w:r>
      <w:r>
        <w:t xml:space="preserve">expounded on her thoughts about how the older women in her study had lived or were influenced by society and culture, and yet unlike the coverage of the supernatural, we have none of the historical context to compare against. Someone not versed in the history or culture of the UK would have to rely entirely on her stated assumptions about what respondents had been taught as children </w:t>
      </w:r>
      <w:r>
        <w:lastRenderedPageBreak/>
        <w:t>or how their religious beliefs likely influenced their beliefs around supernatural topics</w:t>
      </w:r>
      <w:r>
        <w:rPr>
          <w:vertAlign w:val="superscript"/>
        </w:rPr>
        <w:footnoteReference w:id="16"/>
      </w:r>
      <w:r>
        <w:t xml:space="preserve">. </w:t>
      </w:r>
      <w:r w:rsidR="00B71E10">
        <w:t>The</w:t>
      </w:r>
      <w:r>
        <w:t xml:space="preserve"> reader would also have no idea if this is a new or ongoing situation in Britain, whether it is unusual compared to previous periods, or if there are any previous instances of religious upbringing corresponding with a greater willingness to believe in clairvoyance over astrology.</w:t>
      </w:r>
    </w:p>
    <w:p w14:paraId="6D092F6E" w14:textId="383A9678" w:rsidR="00175C8F" w:rsidRDefault="00000000" w:rsidP="00CA24F9">
      <w:pPr>
        <w:ind w:left="-2" w:firstLineChars="186" w:firstLine="446"/>
      </w:pPr>
      <w:r>
        <w:t>Where Bennett conducted at least a partial literature review, Blain included none. Her essay feature</w:t>
      </w:r>
      <w:r w:rsidR="00DE51C9">
        <w:t>s</w:t>
      </w:r>
      <w:r>
        <w:t xml:space="preserve"> accounts of her own experiences and those of other practitioners, but no up-front grounding in existing research. There are references to other resources later in the article, but these are used to emphasise points or define terms. Readers are left with little to no understanding of the context in which this work is situated. </w:t>
      </w:r>
    </w:p>
    <w:p w14:paraId="146D84AD" w14:textId="16B32B2B" w:rsidR="00175C8F" w:rsidRDefault="00000000" w:rsidP="00CA24F9">
      <w:pPr>
        <w:ind w:left="-2" w:firstLineChars="186" w:firstLine="446"/>
      </w:pPr>
      <w:r>
        <w:t xml:space="preserve">As a result, the argument doesn’t </w:t>
      </w:r>
      <w:r w:rsidR="00B71E10">
        <w:t>offer</w:t>
      </w:r>
      <w:r>
        <w:t xml:space="preserve"> </w:t>
      </w:r>
      <w:r w:rsidR="00A664A7">
        <w:t xml:space="preserve">much </w:t>
      </w:r>
      <w:r>
        <w:t>evidence beyond personal anecdotes.</w:t>
      </w:r>
      <w:r w:rsidR="00B71E10">
        <w:t xml:space="preserve"> </w:t>
      </w:r>
      <w:r>
        <w:t xml:space="preserve">Bryman had published on research methods and Geertz had published on culture and ethnography prior to the publication of ‘Speaking </w:t>
      </w:r>
      <w:proofErr w:type="spellStart"/>
      <w:r>
        <w:t>Shamanistically</w:t>
      </w:r>
      <w:proofErr w:type="spellEnd"/>
      <w:r>
        <w:t xml:space="preserve">’. Both speak on ethnography as a research methodology. Rather than contributing to academic literature, this article mainly reads as an expression of grievances. While it can be </w:t>
      </w:r>
      <w:r w:rsidR="00B71E10">
        <w:t>worthwhile</w:t>
      </w:r>
      <w:r>
        <w:t xml:space="preserve"> to expose an issue </w:t>
      </w:r>
      <w:r w:rsidR="00B71E10">
        <w:t>or concern</w:t>
      </w:r>
      <w:r>
        <w:t>, the lack of contextualization</w:t>
      </w:r>
      <w:r w:rsidR="0060032D">
        <w:t xml:space="preserve"> weakens Blain’s overall point</w:t>
      </w:r>
      <w:r>
        <w:t>.</w:t>
      </w:r>
    </w:p>
    <w:p w14:paraId="0072613B" w14:textId="4837DC1F" w:rsidR="00175C8F" w:rsidRDefault="00000000" w:rsidP="00FF1567">
      <w:pPr>
        <w:ind w:left="-2" w:firstLineChars="186" w:firstLine="446"/>
      </w:pPr>
      <w:r>
        <w:t>The strengths and weaknesses of each article’s positioning, methodology, and literature review impact</w:t>
      </w:r>
      <w:r w:rsidR="006D3E42">
        <w:t xml:space="preserve"> their</w:t>
      </w:r>
      <w:r>
        <w:t xml:space="preserve"> effectiveness.</w:t>
      </w:r>
    </w:p>
    <w:p w14:paraId="3F08C5F6" w14:textId="77777777" w:rsidR="00175C8F" w:rsidRDefault="00175C8F" w:rsidP="00CA24F9">
      <w:pPr>
        <w:ind w:left="-2" w:firstLineChars="186" w:firstLine="446"/>
      </w:pPr>
    </w:p>
    <w:p w14:paraId="4E9F4AAE" w14:textId="77777777" w:rsidR="00175C8F" w:rsidRDefault="00000000" w:rsidP="00CA24F9">
      <w:pPr>
        <w:ind w:leftChars="0" w:left="0" w:firstLineChars="0" w:firstLine="0"/>
      </w:pPr>
      <w:r>
        <w:rPr>
          <w:b/>
        </w:rPr>
        <w:t>Conclusion</w:t>
      </w:r>
    </w:p>
    <w:p w14:paraId="5000D21F" w14:textId="528260D9" w:rsidR="00175C8F" w:rsidRDefault="00000000" w:rsidP="00CA24F9">
      <w:pPr>
        <w:ind w:left="-2" w:firstLineChars="0" w:firstLine="0"/>
      </w:pPr>
      <w:r>
        <w:t>Overall, Bennett’s was the stronger</w:t>
      </w:r>
      <w:r w:rsidR="00A27B5A">
        <w:t xml:space="preserve"> academic</w:t>
      </w:r>
      <w:r>
        <w:t xml:space="preserve"> article despite gaps in the literature review and serious concerns with the methodology. The effort to position the research in historical context, as well as the provision of data tables and a more structured and linear format, made it more effective at communicating the research and findings.</w:t>
      </w:r>
    </w:p>
    <w:p w14:paraId="4A89D218" w14:textId="41641315" w:rsidR="00175C8F" w:rsidRDefault="00B2458C" w:rsidP="00CA24F9">
      <w:pPr>
        <w:ind w:left="-2" w:firstLineChars="186" w:firstLine="446"/>
      </w:pPr>
      <w:r>
        <w:t xml:space="preserve">In contrast, </w:t>
      </w:r>
      <w:r w:rsidR="000B04F0">
        <w:t>Blain’s paper was stronger in the depth of the research she was able to carry out</w:t>
      </w:r>
      <w:r>
        <w:t>. Her accounts of the subject of study were richer and more complete</w:t>
      </w:r>
      <w:r w:rsidR="00A27B5A">
        <w:t xml:space="preserve"> due to her insider status</w:t>
      </w:r>
      <w:r>
        <w:t>. R</w:t>
      </w:r>
      <w:r w:rsidR="000B04F0">
        <w:t>eflexivity</w:t>
      </w:r>
      <w:r>
        <w:t xml:space="preserve"> is another strength of this paper</w:t>
      </w:r>
      <w:r w:rsidR="00A27B5A">
        <w:t>; s</w:t>
      </w:r>
      <w:r w:rsidR="000B04F0">
        <w:t>he</w:t>
      </w:r>
      <w:r>
        <w:t xml:space="preserve"> speaks freely about her choices and beliefs, and the impacts she perceives those to have had on both </w:t>
      </w:r>
      <w:proofErr w:type="gramStart"/>
      <w:r>
        <w:t>herself</w:t>
      </w:r>
      <w:proofErr w:type="gramEnd"/>
      <w:r>
        <w:t xml:space="preserve"> and her academic career.</w:t>
      </w:r>
      <w:r w:rsidR="000B04F0">
        <w:t xml:space="preserve"> Despite being published in a journal,</w:t>
      </w:r>
      <w:r w:rsidR="00D41240">
        <w:t xml:space="preserve"> however,</w:t>
      </w:r>
      <w:r w:rsidR="000B04F0">
        <w:t xml:space="preserve"> </w:t>
      </w:r>
      <w:r>
        <w:t xml:space="preserve">Blain’s work may </w:t>
      </w:r>
      <w:proofErr w:type="gramStart"/>
      <w:r w:rsidR="000B04F0">
        <w:t>actually be</w:t>
      </w:r>
      <w:proofErr w:type="gramEnd"/>
      <w:r w:rsidR="000B04F0">
        <w:t xml:space="preserve"> more intended for</w:t>
      </w:r>
      <w:r>
        <w:t xml:space="preserve"> researchers who have also felt embarrassed, dismissed, or overlooked by colleagues with a stance more fixed in the so-called rational or with greater insistence on objectivity. </w:t>
      </w:r>
    </w:p>
    <w:p w14:paraId="244DAC9A" w14:textId="73423C04" w:rsidR="00175C8F" w:rsidRDefault="00000000" w:rsidP="00CA24F9">
      <w:pPr>
        <w:ind w:left="-2" w:firstLineChars="186" w:firstLine="446"/>
      </w:pPr>
      <w:r>
        <w:t>On the other hand, Bennett appears to be writing</w:t>
      </w:r>
      <w:r w:rsidR="00D41240">
        <w:t xml:space="preserve"> solidly</w:t>
      </w:r>
      <w:r>
        <w:t xml:space="preserve"> for mainstream academia. For communication to be effective it needs to speak the language, whether literal or figurative, of those receiving the message. Of the two papers, Bennett achieves this </w:t>
      </w:r>
      <w:r w:rsidR="00E57092">
        <w:t xml:space="preserve">for readers of academic journals </w:t>
      </w:r>
      <w:r>
        <w:t>where Blain does not.</w:t>
      </w:r>
    </w:p>
    <w:p w14:paraId="52E3472B" w14:textId="3D6C66E1" w:rsidR="00175C8F" w:rsidRDefault="00000000" w:rsidP="00CA24F9">
      <w:pPr>
        <w:ind w:left="-2" w:firstLineChars="186" w:firstLine="446"/>
      </w:pPr>
      <w:r>
        <w:t>While both papers have serious, if differing, gaps in a key area, they also have their own strengths in specific contexts</w:t>
      </w:r>
      <w:r w:rsidR="00D41240">
        <w:t xml:space="preserve"> which can inform future research.</w:t>
      </w:r>
    </w:p>
    <w:p w14:paraId="742E1170" w14:textId="77777777" w:rsidR="00175C8F" w:rsidRDefault="00175C8F" w:rsidP="00CA24F9">
      <w:pPr>
        <w:ind w:left="-2" w:firstLineChars="186" w:firstLine="446"/>
      </w:pPr>
    </w:p>
    <w:p w14:paraId="0AA30AD6" w14:textId="77777777" w:rsidR="00AC43EE" w:rsidRDefault="00AC43EE" w:rsidP="00AC43EE">
      <w:pPr>
        <w:ind w:leftChars="0" w:left="0" w:firstLineChars="0" w:firstLine="0"/>
      </w:pPr>
      <w:bookmarkStart w:id="2" w:name="_heading=h.dykt51v1dtnw" w:colFirst="0" w:colLast="0"/>
      <w:bookmarkStart w:id="3" w:name="_heading=h.77wsblogi3y0" w:colFirst="0" w:colLast="0"/>
      <w:bookmarkEnd w:id="2"/>
      <w:bookmarkEnd w:id="3"/>
    </w:p>
    <w:p w14:paraId="483596EC" w14:textId="4707A072" w:rsidR="00175C8F" w:rsidRPr="00AC43EE" w:rsidRDefault="00000000" w:rsidP="00AC43EE">
      <w:pPr>
        <w:pStyle w:val="Heading2"/>
        <w:ind w:left="1" w:hanging="3"/>
        <w:rPr>
          <w:i w:val="0"/>
          <w:iCs w:val="0"/>
        </w:rPr>
      </w:pPr>
      <w:r w:rsidRPr="00AC43EE">
        <w:rPr>
          <w:i w:val="0"/>
          <w:iCs w:val="0"/>
        </w:rPr>
        <w:lastRenderedPageBreak/>
        <w:t>Bibliography</w:t>
      </w:r>
    </w:p>
    <w:p w14:paraId="4AEBBE31" w14:textId="5862A859" w:rsidR="00175C8F" w:rsidRDefault="00000000">
      <w:pPr>
        <w:ind w:left="0" w:hanging="2"/>
      </w:pPr>
      <w:r>
        <w:t xml:space="preserve">Bennett, Gillian, ‘“If I Knew </w:t>
      </w:r>
      <w:proofErr w:type="gramStart"/>
      <w:r>
        <w:t>You</w:t>
      </w:r>
      <w:proofErr w:type="gramEnd"/>
      <w:r>
        <w:t xml:space="preserve"> were Coming I’d Have Baked a Cake”: The Folklore of Foreknowledge in a </w:t>
      </w:r>
      <w:proofErr w:type="spellStart"/>
      <w:r>
        <w:t>Neighborhood</w:t>
      </w:r>
      <w:proofErr w:type="spellEnd"/>
      <w:r>
        <w:t xml:space="preserve"> Group’, in </w:t>
      </w:r>
      <w:r>
        <w:rPr>
          <w:i/>
        </w:rPr>
        <w:t>Out of the Ordinary: Folklore and the Supernatural</w:t>
      </w:r>
      <w:r>
        <w:t>, ed. by Barbara Walker, (Logan, Utah: Utah University Press</w:t>
      </w:r>
      <w:r w:rsidR="00BD389B">
        <w:t>,</w:t>
      </w:r>
      <w:r>
        <w:t xml:space="preserve"> 1995), pp. 122-142, &lt;https://digitalcommons.usu.edu/cgi/viewcontent.cgi?article=1079&amp;context=usupress_pubs&gt; [accessed 13 February 2023]</w:t>
      </w:r>
    </w:p>
    <w:p w14:paraId="50EC2B33" w14:textId="77777777" w:rsidR="00175C8F" w:rsidRDefault="00175C8F">
      <w:pPr>
        <w:ind w:left="0" w:hanging="2"/>
      </w:pPr>
    </w:p>
    <w:p w14:paraId="7A13A6C9" w14:textId="3DA059F5" w:rsidR="00175C8F" w:rsidRDefault="00000000">
      <w:pPr>
        <w:ind w:left="0" w:hanging="2"/>
      </w:pPr>
      <w:r>
        <w:t xml:space="preserve">Blain, Jenny, ‘Speaking </w:t>
      </w:r>
      <w:proofErr w:type="spellStart"/>
      <w:r>
        <w:t>Shamanistically</w:t>
      </w:r>
      <w:proofErr w:type="spellEnd"/>
      <w:r>
        <w:t xml:space="preserve">: </w:t>
      </w:r>
      <w:proofErr w:type="spellStart"/>
      <w:r>
        <w:t>Seidr</w:t>
      </w:r>
      <w:proofErr w:type="spellEnd"/>
      <w:r>
        <w:t xml:space="preserve">, Academia and Rationality’, in </w:t>
      </w:r>
      <w:r>
        <w:rPr>
          <w:i/>
        </w:rPr>
        <w:t xml:space="preserve">DISKUS </w:t>
      </w:r>
      <w:r w:rsidRPr="0061770C">
        <w:rPr>
          <w:iCs/>
        </w:rPr>
        <w:t>Vol</w:t>
      </w:r>
      <w:r w:rsidR="0061770C">
        <w:rPr>
          <w:iCs/>
        </w:rPr>
        <w:t xml:space="preserve">. </w:t>
      </w:r>
      <w:r w:rsidRPr="0061770C">
        <w:rPr>
          <w:iCs/>
        </w:rPr>
        <w:t xml:space="preserve">6 </w:t>
      </w:r>
      <w:r>
        <w:t>(2000) &lt;http://jbasr.com/basr/diskus/diskus1-6/blain.txt&gt; [accessed 19 February 2023]</w:t>
      </w:r>
    </w:p>
    <w:p w14:paraId="5EF27024" w14:textId="77777777" w:rsidR="00175C8F" w:rsidRDefault="00175C8F">
      <w:pPr>
        <w:ind w:left="0" w:hanging="2"/>
      </w:pPr>
    </w:p>
    <w:p w14:paraId="15C5107D" w14:textId="5BE154CB" w:rsidR="00175C8F" w:rsidRDefault="00000000">
      <w:pPr>
        <w:ind w:left="0" w:hanging="2"/>
      </w:pPr>
      <w:r>
        <w:t xml:space="preserve">Bryman, Alan, </w:t>
      </w:r>
      <w:r>
        <w:rPr>
          <w:i/>
        </w:rPr>
        <w:t>Quantity and Quality in Social Research</w:t>
      </w:r>
      <w:r>
        <w:t>, (Abingdon: Routledge</w:t>
      </w:r>
      <w:r w:rsidR="00BD389B">
        <w:t>,</w:t>
      </w:r>
      <w:r>
        <w:t xml:space="preserve"> 1988)</w:t>
      </w:r>
    </w:p>
    <w:p w14:paraId="4416451B" w14:textId="77777777" w:rsidR="00175C8F" w:rsidRDefault="00175C8F">
      <w:pPr>
        <w:ind w:left="0" w:hanging="2"/>
      </w:pPr>
    </w:p>
    <w:p w14:paraId="2565F168" w14:textId="77777777" w:rsidR="00175C8F" w:rsidRDefault="00000000">
      <w:pPr>
        <w:ind w:left="0" w:hanging="2"/>
      </w:pPr>
      <w:r>
        <w:t xml:space="preserve">Ellsworth, Diana, and others / McKinsey, </w:t>
      </w:r>
      <w:r>
        <w:rPr>
          <w:i/>
        </w:rPr>
        <w:t>Racial and ethnic equity in US higher education</w:t>
      </w:r>
      <w:r>
        <w:t xml:space="preserve"> (2022) &lt;https://www.mckinsey.com/industries/education/our-insights/racial-and-ethnic-equity-in-us-higher-education&gt; [accessed 11 March 2023]</w:t>
      </w:r>
    </w:p>
    <w:p w14:paraId="52EAD907" w14:textId="77777777" w:rsidR="00175C8F" w:rsidRDefault="00175C8F">
      <w:pPr>
        <w:ind w:left="0" w:hanging="2"/>
      </w:pPr>
    </w:p>
    <w:p w14:paraId="1694CEDE" w14:textId="6E7ED040" w:rsidR="00175C8F" w:rsidRDefault="00000000">
      <w:pPr>
        <w:ind w:left="0" w:hanging="2"/>
      </w:pPr>
      <w:r>
        <w:t xml:space="preserve">Geertz, Clifford, </w:t>
      </w:r>
      <w:r>
        <w:rPr>
          <w:i/>
        </w:rPr>
        <w:t>The Interpretation of Cultures</w:t>
      </w:r>
      <w:r>
        <w:t xml:space="preserve">, 3rd </w:t>
      </w:r>
      <w:proofErr w:type="spellStart"/>
      <w:r>
        <w:t>edn</w:t>
      </w:r>
      <w:proofErr w:type="spellEnd"/>
      <w:r>
        <w:t>. (New York: Basic Books</w:t>
      </w:r>
      <w:r w:rsidR="00BD389B">
        <w:t>,</w:t>
      </w:r>
      <w:r>
        <w:t xml:space="preserve"> 2000)</w:t>
      </w:r>
    </w:p>
    <w:p w14:paraId="65D0CEA6" w14:textId="77777777" w:rsidR="00175C8F" w:rsidRDefault="00175C8F">
      <w:pPr>
        <w:ind w:left="0" w:hanging="2"/>
      </w:pPr>
    </w:p>
    <w:p w14:paraId="16949265" w14:textId="120825A8" w:rsidR="00175C8F" w:rsidRDefault="00000000">
      <w:pPr>
        <w:ind w:left="0" w:hanging="2"/>
      </w:pPr>
      <w:proofErr w:type="spellStart"/>
      <w:r>
        <w:t>Hennink</w:t>
      </w:r>
      <w:proofErr w:type="spellEnd"/>
      <w:r>
        <w:t xml:space="preserve">, Monique, Inge </w:t>
      </w:r>
      <w:proofErr w:type="spellStart"/>
      <w:r>
        <w:t>Hutter</w:t>
      </w:r>
      <w:proofErr w:type="spellEnd"/>
      <w:r>
        <w:t xml:space="preserve"> and Ajay Bailey, </w:t>
      </w:r>
      <w:r>
        <w:rPr>
          <w:i/>
        </w:rPr>
        <w:t>Qualitative Research Methods</w:t>
      </w:r>
      <w:r>
        <w:t xml:space="preserve">, 2nd </w:t>
      </w:r>
      <w:proofErr w:type="spellStart"/>
      <w:r>
        <w:t>edn</w:t>
      </w:r>
      <w:proofErr w:type="spellEnd"/>
      <w:r>
        <w:t>. (London: Sage Publications Ltd.</w:t>
      </w:r>
      <w:r w:rsidR="00BD389B">
        <w:t>,</w:t>
      </w:r>
      <w:r>
        <w:t xml:space="preserve"> 2020)</w:t>
      </w:r>
    </w:p>
    <w:p w14:paraId="5CC0E93B" w14:textId="77777777" w:rsidR="00175C8F" w:rsidRDefault="00175C8F">
      <w:pPr>
        <w:ind w:left="0" w:hanging="2"/>
      </w:pPr>
    </w:p>
    <w:p w14:paraId="6FC073A4" w14:textId="77777777" w:rsidR="00175C8F" w:rsidRDefault="00000000">
      <w:pPr>
        <w:ind w:left="0" w:hanging="2"/>
      </w:pPr>
      <w:r>
        <w:t xml:space="preserve">David J. Hufford, ‘The Scholarly Voice and the Personal Voice: Reflexivity in Belief Studies’ in </w:t>
      </w:r>
      <w:r>
        <w:rPr>
          <w:i/>
        </w:rPr>
        <w:t xml:space="preserve">Western Folklore, </w:t>
      </w:r>
      <w:r>
        <w:t xml:space="preserve">Vol. 54, No. 1, </w:t>
      </w:r>
      <w:proofErr w:type="gramStart"/>
      <w:r>
        <w:t>Reflexivity</w:t>
      </w:r>
      <w:proofErr w:type="gramEnd"/>
      <w:r>
        <w:t xml:space="preserve"> and the Study of Belief (1995) pp. 57-76 &lt;https://www.jstor.org/stable/1499911&gt; [accessed 3 March 2023]</w:t>
      </w:r>
    </w:p>
    <w:p w14:paraId="45215A68" w14:textId="77777777" w:rsidR="00175C8F" w:rsidRDefault="00175C8F">
      <w:pPr>
        <w:ind w:left="0" w:hanging="2"/>
      </w:pPr>
    </w:p>
    <w:p w14:paraId="2B961D20" w14:textId="77777777" w:rsidR="00175C8F" w:rsidRDefault="00000000">
      <w:pPr>
        <w:ind w:left="0" w:hanging="2"/>
      </w:pPr>
      <w:proofErr w:type="spellStart"/>
      <w:r>
        <w:t>Prydein</w:t>
      </w:r>
      <w:proofErr w:type="spellEnd"/>
      <w:r>
        <w:t xml:space="preserve"> Press, </w:t>
      </w:r>
      <w:proofErr w:type="spellStart"/>
      <w:r>
        <w:rPr>
          <w:i/>
        </w:rPr>
        <w:t>Dr.</w:t>
      </w:r>
      <w:proofErr w:type="spellEnd"/>
      <w:r>
        <w:rPr>
          <w:i/>
        </w:rPr>
        <w:t xml:space="preserve"> Jenny Blain</w:t>
      </w:r>
      <w:r>
        <w:t xml:space="preserve"> (2018) &lt;http://prydeinpress.com/dr-jenny-blain/&gt; [accessed 11 Mar 2023]</w:t>
      </w:r>
    </w:p>
    <w:p w14:paraId="38E82A32" w14:textId="77777777" w:rsidR="00175C8F" w:rsidRDefault="00175C8F">
      <w:pPr>
        <w:ind w:left="0" w:hanging="2"/>
      </w:pPr>
    </w:p>
    <w:p w14:paraId="3DA78446" w14:textId="77777777" w:rsidR="00175C8F" w:rsidRDefault="00000000">
      <w:pPr>
        <w:ind w:left="0" w:hanging="2"/>
      </w:pPr>
      <w:r>
        <w:t xml:space="preserve">University Press of Colorado, </w:t>
      </w:r>
      <w:r>
        <w:rPr>
          <w:i/>
        </w:rPr>
        <w:t>Gillian Bennett</w:t>
      </w:r>
      <w:r>
        <w:t xml:space="preserve"> (2015) &lt;https://upcolorado.com/our-books/our-authors/item/2403-gillian-bennett&gt; [accessed 11 Mar 2023]</w:t>
      </w:r>
    </w:p>
    <w:sectPr w:rsidR="00175C8F">
      <w:headerReference w:type="default" r:id="rId8"/>
      <w:footerReference w:type="default" r:id="rId9"/>
      <w:pgSz w:w="12240" w:h="15840"/>
      <w:pgMar w:top="1440" w:right="1440" w:bottom="1440" w:left="1440"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241C1" w14:textId="77777777" w:rsidR="00A209C8" w:rsidRDefault="00A209C8">
      <w:pPr>
        <w:spacing w:line="240" w:lineRule="auto"/>
        <w:ind w:left="0" w:hanging="2"/>
      </w:pPr>
      <w:r>
        <w:separator/>
      </w:r>
    </w:p>
  </w:endnote>
  <w:endnote w:type="continuationSeparator" w:id="0">
    <w:p w14:paraId="63588D70" w14:textId="77777777" w:rsidR="00A209C8" w:rsidRDefault="00A209C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85C29" w14:textId="77777777" w:rsidR="00175C8F" w:rsidRDefault="00000000">
    <w:pPr>
      <w:pBdr>
        <w:top w:val="nil"/>
        <w:left w:val="nil"/>
        <w:bottom w:val="nil"/>
        <w:right w:val="nil"/>
        <w:between w:val="nil"/>
      </w:pBdr>
      <w:tabs>
        <w:tab w:val="center" w:pos="4513"/>
        <w:tab w:val="right" w:pos="9026"/>
      </w:tabs>
      <w:spacing w:line="240" w:lineRule="auto"/>
      <w:ind w:left="0" w:hanging="2"/>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E540" w14:textId="77777777" w:rsidR="00A209C8" w:rsidRDefault="00A209C8">
      <w:pPr>
        <w:spacing w:line="240" w:lineRule="auto"/>
        <w:ind w:left="0" w:hanging="2"/>
      </w:pPr>
      <w:r>
        <w:separator/>
      </w:r>
    </w:p>
  </w:footnote>
  <w:footnote w:type="continuationSeparator" w:id="0">
    <w:p w14:paraId="4CE31D0C" w14:textId="77777777" w:rsidR="00A209C8" w:rsidRDefault="00A209C8">
      <w:pPr>
        <w:spacing w:line="240" w:lineRule="auto"/>
        <w:ind w:left="0" w:hanging="2"/>
      </w:pPr>
      <w:r>
        <w:continuationSeparator/>
      </w:r>
    </w:p>
  </w:footnote>
  <w:footnote w:id="1">
    <w:p w14:paraId="1CBCEA0A" w14:textId="77777777" w:rsidR="00175C8F" w:rsidRDefault="00000000">
      <w:pPr>
        <w:ind w:left="0" w:hanging="2"/>
        <w:rPr>
          <w:sz w:val="20"/>
          <w:szCs w:val="20"/>
        </w:rPr>
      </w:pPr>
      <w:r>
        <w:rPr>
          <w:vertAlign w:val="superscript"/>
        </w:rPr>
        <w:footnoteRef/>
      </w:r>
      <w:r>
        <w:rPr>
          <w:sz w:val="20"/>
          <w:szCs w:val="20"/>
        </w:rPr>
        <w:t xml:space="preserve"> Gillian Bennett, ‘“If I Knew </w:t>
      </w:r>
      <w:proofErr w:type="gramStart"/>
      <w:r>
        <w:rPr>
          <w:sz w:val="20"/>
          <w:szCs w:val="20"/>
        </w:rPr>
        <w:t>You</w:t>
      </w:r>
      <w:proofErr w:type="gramEnd"/>
      <w:r>
        <w:rPr>
          <w:sz w:val="20"/>
          <w:szCs w:val="20"/>
        </w:rPr>
        <w:t xml:space="preserve"> were Coming I’d Have Baked a Cake”: The Folklore of Foreknowledge in a </w:t>
      </w:r>
      <w:proofErr w:type="spellStart"/>
      <w:r>
        <w:rPr>
          <w:sz w:val="20"/>
          <w:szCs w:val="20"/>
        </w:rPr>
        <w:t>Neighborhood</w:t>
      </w:r>
      <w:proofErr w:type="spellEnd"/>
      <w:r>
        <w:rPr>
          <w:sz w:val="20"/>
          <w:szCs w:val="20"/>
        </w:rPr>
        <w:t xml:space="preserve"> Group’, in </w:t>
      </w:r>
      <w:r>
        <w:rPr>
          <w:i/>
          <w:sz w:val="20"/>
          <w:szCs w:val="20"/>
        </w:rPr>
        <w:t>Out of the Ordinary: Folklore and the Supernatural</w:t>
      </w:r>
      <w:r>
        <w:rPr>
          <w:sz w:val="20"/>
          <w:szCs w:val="20"/>
        </w:rPr>
        <w:t>, ed. by Barbara Walker, (Logan, Utah: Utah University Press 1995), pp. 122-142 &lt;https://digitalcommons.usu.edu/cgi/viewcontent.cgi?article=1079&amp;context=usupress_pubs&gt; [accessed 13 February 2023].</w:t>
      </w:r>
    </w:p>
  </w:footnote>
  <w:footnote w:id="2">
    <w:p w14:paraId="166B3E2E" w14:textId="77777777" w:rsidR="00175C8F" w:rsidRDefault="00000000">
      <w:pPr>
        <w:ind w:left="0" w:hanging="2"/>
        <w:rPr>
          <w:sz w:val="20"/>
          <w:szCs w:val="20"/>
        </w:rPr>
      </w:pPr>
      <w:r>
        <w:rPr>
          <w:vertAlign w:val="superscript"/>
        </w:rPr>
        <w:footnoteRef/>
      </w:r>
      <w:r>
        <w:rPr>
          <w:sz w:val="20"/>
          <w:szCs w:val="20"/>
        </w:rPr>
        <w:t xml:space="preserve"> Jenny Blain, ‘Speaking </w:t>
      </w:r>
      <w:proofErr w:type="spellStart"/>
      <w:r>
        <w:rPr>
          <w:sz w:val="20"/>
          <w:szCs w:val="20"/>
        </w:rPr>
        <w:t>Shamanistically</w:t>
      </w:r>
      <w:proofErr w:type="spellEnd"/>
      <w:r>
        <w:rPr>
          <w:sz w:val="20"/>
          <w:szCs w:val="20"/>
        </w:rPr>
        <w:t xml:space="preserve">: </w:t>
      </w:r>
      <w:proofErr w:type="spellStart"/>
      <w:r>
        <w:rPr>
          <w:sz w:val="20"/>
          <w:szCs w:val="20"/>
        </w:rPr>
        <w:t>Seidr</w:t>
      </w:r>
      <w:proofErr w:type="spellEnd"/>
      <w:r>
        <w:rPr>
          <w:sz w:val="20"/>
          <w:szCs w:val="20"/>
        </w:rPr>
        <w:t>, Academia and Rationality’, in DISKUS Volume</w:t>
      </w:r>
    </w:p>
    <w:p w14:paraId="2B3D1532" w14:textId="77777777" w:rsidR="00175C8F" w:rsidRDefault="00000000">
      <w:pPr>
        <w:ind w:left="0" w:hanging="2"/>
        <w:rPr>
          <w:sz w:val="20"/>
          <w:szCs w:val="20"/>
        </w:rPr>
      </w:pPr>
      <w:r>
        <w:rPr>
          <w:sz w:val="20"/>
          <w:szCs w:val="20"/>
        </w:rPr>
        <w:t>6 (2000) &lt;http://jbasr.com/basr/diskus/diskus1-6/blain.txt&gt; [accessed 19 February 2023]</w:t>
      </w:r>
    </w:p>
  </w:footnote>
  <w:footnote w:id="3">
    <w:p w14:paraId="6162F8A0" w14:textId="77777777" w:rsidR="00175C8F" w:rsidRDefault="00000000">
      <w:pPr>
        <w:ind w:left="0" w:hanging="2"/>
        <w:rPr>
          <w:sz w:val="20"/>
          <w:szCs w:val="20"/>
        </w:rPr>
      </w:pPr>
      <w:r>
        <w:rPr>
          <w:vertAlign w:val="superscript"/>
        </w:rPr>
        <w:footnoteRef/>
      </w:r>
      <w:r>
        <w:rPr>
          <w:sz w:val="20"/>
          <w:szCs w:val="20"/>
        </w:rPr>
        <w:t xml:space="preserve"> University Press of Colorado, </w:t>
      </w:r>
      <w:r>
        <w:rPr>
          <w:i/>
          <w:sz w:val="20"/>
          <w:szCs w:val="20"/>
        </w:rPr>
        <w:t>Gillian Bennett</w:t>
      </w:r>
      <w:r>
        <w:rPr>
          <w:sz w:val="20"/>
          <w:szCs w:val="20"/>
        </w:rPr>
        <w:t xml:space="preserve"> (2015) &lt;https://upcolorado.com/our-books/our-authors/item/2403-gillian-bennett&gt; [accessed 11 Mar 2023].</w:t>
      </w:r>
    </w:p>
  </w:footnote>
  <w:footnote w:id="4">
    <w:p w14:paraId="2CE90DAF" w14:textId="77777777" w:rsidR="00175C8F" w:rsidRDefault="00000000">
      <w:pPr>
        <w:ind w:left="0" w:hanging="2"/>
        <w:rPr>
          <w:sz w:val="20"/>
          <w:szCs w:val="20"/>
        </w:rPr>
      </w:pPr>
      <w:r>
        <w:rPr>
          <w:vertAlign w:val="superscript"/>
        </w:rPr>
        <w:footnoteRef/>
      </w:r>
      <w:r>
        <w:rPr>
          <w:sz w:val="20"/>
          <w:szCs w:val="20"/>
        </w:rPr>
        <w:t xml:space="preserve"> </w:t>
      </w:r>
      <w:proofErr w:type="spellStart"/>
      <w:r>
        <w:rPr>
          <w:sz w:val="20"/>
          <w:szCs w:val="20"/>
        </w:rPr>
        <w:t>Prydein</w:t>
      </w:r>
      <w:proofErr w:type="spellEnd"/>
      <w:r>
        <w:rPr>
          <w:sz w:val="20"/>
          <w:szCs w:val="20"/>
        </w:rPr>
        <w:t xml:space="preserve"> Press, </w:t>
      </w:r>
      <w:proofErr w:type="spellStart"/>
      <w:r>
        <w:rPr>
          <w:i/>
          <w:sz w:val="20"/>
          <w:szCs w:val="20"/>
        </w:rPr>
        <w:t>Dr.</w:t>
      </w:r>
      <w:proofErr w:type="spellEnd"/>
      <w:r>
        <w:rPr>
          <w:i/>
          <w:sz w:val="20"/>
          <w:szCs w:val="20"/>
        </w:rPr>
        <w:t xml:space="preserve"> Jenny Blain</w:t>
      </w:r>
      <w:r>
        <w:rPr>
          <w:sz w:val="20"/>
          <w:szCs w:val="20"/>
        </w:rPr>
        <w:t xml:space="preserve"> (2018) &lt;http://prydeinpress.com/dr-jenny-blain/&gt; [accessed 11 Mar 2023].</w:t>
      </w:r>
    </w:p>
  </w:footnote>
  <w:footnote w:id="5">
    <w:p w14:paraId="3AC4C06B" w14:textId="77777777" w:rsidR="00BA40A6" w:rsidRDefault="00BA40A6" w:rsidP="00BA40A6">
      <w:pPr>
        <w:ind w:left="0" w:hanging="2"/>
        <w:rPr>
          <w:sz w:val="20"/>
          <w:szCs w:val="20"/>
        </w:rPr>
      </w:pPr>
      <w:r>
        <w:rPr>
          <w:vertAlign w:val="superscript"/>
        </w:rPr>
        <w:footnoteRef/>
      </w:r>
      <w:r>
        <w:rPr>
          <w:sz w:val="20"/>
          <w:szCs w:val="20"/>
        </w:rPr>
        <w:t xml:space="preserve"> Blain, ‘Speaking </w:t>
      </w:r>
      <w:proofErr w:type="spellStart"/>
      <w:r>
        <w:rPr>
          <w:sz w:val="20"/>
          <w:szCs w:val="20"/>
        </w:rPr>
        <w:t>Shamanistically</w:t>
      </w:r>
      <w:proofErr w:type="spellEnd"/>
      <w:r>
        <w:rPr>
          <w:sz w:val="20"/>
          <w:szCs w:val="20"/>
        </w:rPr>
        <w:t xml:space="preserve">: </w:t>
      </w:r>
      <w:proofErr w:type="spellStart"/>
      <w:r>
        <w:rPr>
          <w:sz w:val="20"/>
          <w:szCs w:val="20"/>
        </w:rPr>
        <w:t>Seidr</w:t>
      </w:r>
      <w:proofErr w:type="spellEnd"/>
      <w:r>
        <w:rPr>
          <w:sz w:val="20"/>
          <w:szCs w:val="20"/>
        </w:rPr>
        <w:t>, Academia and Rationality’.</w:t>
      </w:r>
    </w:p>
  </w:footnote>
  <w:footnote w:id="6">
    <w:p w14:paraId="291697C6" w14:textId="77777777" w:rsidR="00BA40A6" w:rsidRDefault="00BA40A6" w:rsidP="00BA40A6">
      <w:pPr>
        <w:ind w:left="0" w:hanging="2"/>
        <w:rPr>
          <w:sz w:val="20"/>
          <w:szCs w:val="20"/>
        </w:rPr>
      </w:pPr>
      <w:r>
        <w:rPr>
          <w:vertAlign w:val="superscript"/>
        </w:rPr>
        <w:footnoteRef/>
      </w:r>
      <w:r>
        <w:rPr>
          <w:sz w:val="20"/>
          <w:szCs w:val="20"/>
        </w:rPr>
        <w:t xml:space="preserve"> Diana Ellsworth, Erin Harding, Jonathan Law, and </w:t>
      </w:r>
      <w:proofErr w:type="spellStart"/>
      <w:r>
        <w:rPr>
          <w:sz w:val="20"/>
          <w:szCs w:val="20"/>
        </w:rPr>
        <w:t>Duwain</w:t>
      </w:r>
      <w:proofErr w:type="spellEnd"/>
      <w:r>
        <w:rPr>
          <w:sz w:val="20"/>
          <w:szCs w:val="20"/>
        </w:rPr>
        <w:t xml:space="preserve"> Pinder / McKinsey, </w:t>
      </w:r>
      <w:r>
        <w:rPr>
          <w:i/>
          <w:sz w:val="20"/>
          <w:szCs w:val="20"/>
        </w:rPr>
        <w:t>Racial and ethnic equity in US higher education</w:t>
      </w:r>
      <w:r>
        <w:rPr>
          <w:sz w:val="20"/>
          <w:szCs w:val="20"/>
        </w:rPr>
        <w:t xml:space="preserve"> (2022) &lt;https://www.mckinsey.com/industries/education/our-insights/racial-and-ethnic-equity-in-us-higher-education&gt; [accessed 11 March 2023].</w:t>
      </w:r>
    </w:p>
  </w:footnote>
  <w:footnote w:id="7">
    <w:p w14:paraId="03BEBA36" w14:textId="77777777" w:rsidR="00175C8F" w:rsidRDefault="00000000">
      <w:pPr>
        <w:ind w:left="0" w:hanging="2"/>
        <w:rPr>
          <w:sz w:val="20"/>
          <w:szCs w:val="20"/>
        </w:rPr>
      </w:pPr>
      <w:r>
        <w:rPr>
          <w:vertAlign w:val="superscript"/>
        </w:rPr>
        <w:footnoteRef/>
      </w:r>
      <w:r>
        <w:rPr>
          <w:sz w:val="20"/>
          <w:szCs w:val="20"/>
        </w:rPr>
        <w:t xml:space="preserve"> David J. Hufford, ‘The Scholarly Voice and the Personal Voice: Reflexivity in Belief Studies (1995), p. 60.</w:t>
      </w:r>
    </w:p>
  </w:footnote>
  <w:footnote w:id="8">
    <w:p w14:paraId="46FA4F9B" w14:textId="77777777" w:rsidR="00175C8F" w:rsidRDefault="00000000">
      <w:pPr>
        <w:ind w:left="0" w:hanging="2"/>
        <w:rPr>
          <w:sz w:val="20"/>
          <w:szCs w:val="20"/>
        </w:rPr>
      </w:pPr>
      <w:r>
        <w:rPr>
          <w:vertAlign w:val="superscript"/>
        </w:rPr>
        <w:footnoteRef/>
      </w:r>
      <w:r>
        <w:rPr>
          <w:sz w:val="20"/>
          <w:szCs w:val="20"/>
        </w:rPr>
        <w:t xml:space="preserve"> Blain, ‘Speaking </w:t>
      </w:r>
      <w:proofErr w:type="spellStart"/>
      <w:r>
        <w:rPr>
          <w:sz w:val="20"/>
          <w:szCs w:val="20"/>
        </w:rPr>
        <w:t>Shamanistically</w:t>
      </w:r>
      <w:proofErr w:type="spellEnd"/>
      <w:r>
        <w:rPr>
          <w:sz w:val="20"/>
          <w:szCs w:val="20"/>
        </w:rPr>
        <w:t xml:space="preserve">: </w:t>
      </w:r>
      <w:proofErr w:type="spellStart"/>
      <w:r>
        <w:rPr>
          <w:sz w:val="20"/>
          <w:szCs w:val="20"/>
        </w:rPr>
        <w:t>Seidr</w:t>
      </w:r>
      <w:proofErr w:type="spellEnd"/>
      <w:r>
        <w:rPr>
          <w:sz w:val="20"/>
          <w:szCs w:val="20"/>
        </w:rPr>
        <w:t>, Academia and Rationality’.</w:t>
      </w:r>
    </w:p>
  </w:footnote>
  <w:footnote w:id="9">
    <w:p w14:paraId="0BCCCAAC" w14:textId="77777777" w:rsidR="00175C8F" w:rsidRDefault="00000000">
      <w:pPr>
        <w:ind w:left="0" w:hanging="2"/>
        <w:rPr>
          <w:sz w:val="20"/>
          <w:szCs w:val="20"/>
        </w:rPr>
      </w:pPr>
      <w:r>
        <w:rPr>
          <w:vertAlign w:val="superscript"/>
        </w:rPr>
        <w:footnoteRef/>
      </w:r>
      <w:r>
        <w:rPr>
          <w:sz w:val="20"/>
          <w:szCs w:val="20"/>
        </w:rPr>
        <w:t xml:space="preserve"> Bennett, ‘“If I Knew </w:t>
      </w:r>
      <w:proofErr w:type="gramStart"/>
      <w:r>
        <w:rPr>
          <w:sz w:val="20"/>
          <w:szCs w:val="20"/>
        </w:rPr>
        <w:t>You</w:t>
      </w:r>
      <w:proofErr w:type="gramEnd"/>
      <w:r>
        <w:rPr>
          <w:sz w:val="20"/>
          <w:szCs w:val="20"/>
        </w:rPr>
        <w:t xml:space="preserve"> were Coming I’d Have Baked a Cake”: The Folklore of Foreknowledge in a </w:t>
      </w:r>
      <w:proofErr w:type="spellStart"/>
      <w:r>
        <w:rPr>
          <w:sz w:val="20"/>
          <w:szCs w:val="20"/>
        </w:rPr>
        <w:t>Neighborhood</w:t>
      </w:r>
      <w:proofErr w:type="spellEnd"/>
      <w:r>
        <w:rPr>
          <w:sz w:val="20"/>
          <w:szCs w:val="20"/>
        </w:rPr>
        <w:t xml:space="preserve"> Group’ (1995), p. 127.</w:t>
      </w:r>
    </w:p>
  </w:footnote>
  <w:footnote w:id="10">
    <w:p w14:paraId="4A87E866" w14:textId="77777777" w:rsidR="00175C8F" w:rsidRDefault="00000000">
      <w:pPr>
        <w:ind w:left="0" w:hanging="2"/>
        <w:rPr>
          <w:sz w:val="20"/>
          <w:szCs w:val="20"/>
        </w:rPr>
      </w:pPr>
      <w:r>
        <w:rPr>
          <w:vertAlign w:val="superscript"/>
        </w:rPr>
        <w:footnoteRef/>
      </w:r>
      <w:r>
        <w:rPr>
          <w:sz w:val="20"/>
          <w:szCs w:val="20"/>
        </w:rPr>
        <w:t xml:space="preserve"> Clifford Geertz, </w:t>
      </w:r>
      <w:r>
        <w:rPr>
          <w:i/>
          <w:sz w:val="20"/>
          <w:szCs w:val="20"/>
        </w:rPr>
        <w:t>The Interpretation of Cultures</w:t>
      </w:r>
      <w:r>
        <w:rPr>
          <w:sz w:val="20"/>
          <w:szCs w:val="20"/>
        </w:rPr>
        <w:t xml:space="preserve">, 3rd </w:t>
      </w:r>
      <w:proofErr w:type="spellStart"/>
      <w:r>
        <w:rPr>
          <w:sz w:val="20"/>
          <w:szCs w:val="20"/>
        </w:rPr>
        <w:t>edn</w:t>
      </w:r>
      <w:proofErr w:type="spellEnd"/>
      <w:r>
        <w:rPr>
          <w:sz w:val="20"/>
          <w:szCs w:val="20"/>
        </w:rPr>
        <w:t>. (New York: Basic Books 2000), p. 6.</w:t>
      </w:r>
    </w:p>
  </w:footnote>
  <w:footnote w:id="11">
    <w:p w14:paraId="4EB4A425" w14:textId="77777777" w:rsidR="00664C22" w:rsidRDefault="00664C22" w:rsidP="00664C22">
      <w:pPr>
        <w:ind w:left="0" w:hanging="2"/>
        <w:rPr>
          <w:sz w:val="20"/>
          <w:szCs w:val="20"/>
        </w:rPr>
      </w:pPr>
      <w:r>
        <w:rPr>
          <w:vertAlign w:val="superscript"/>
        </w:rPr>
        <w:footnoteRef/>
      </w:r>
      <w:r>
        <w:rPr>
          <w:sz w:val="20"/>
          <w:szCs w:val="20"/>
        </w:rPr>
        <w:t xml:space="preserve"> Geertz, </w:t>
      </w:r>
      <w:r>
        <w:rPr>
          <w:i/>
          <w:sz w:val="20"/>
          <w:szCs w:val="20"/>
        </w:rPr>
        <w:t>The Interpretation of Cultures</w:t>
      </w:r>
      <w:r>
        <w:rPr>
          <w:sz w:val="20"/>
          <w:szCs w:val="20"/>
        </w:rPr>
        <w:t>, p. 19.</w:t>
      </w:r>
    </w:p>
  </w:footnote>
  <w:footnote w:id="12">
    <w:p w14:paraId="030A0B0B" w14:textId="77777777" w:rsidR="00664C22" w:rsidRDefault="00664C22" w:rsidP="00664C22">
      <w:pPr>
        <w:ind w:left="0" w:hanging="2"/>
        <w:rPr>
          <w:sz w:val="20"/>
          <w:szCs w:val="20"/>
        </w:rPr>
      </w:pPr>
      <w:r>
        <w:rPr>
          <w:vertAlign w:val="superscript"/>
        </w:rPr>
        <w:footnoteRef/>
      </w:r>
      <w:r>
        <w:rPr>
          <w:sz w:val="20"/>
          <w:szCs w:val="20"/>
        </w:rPr>
        <w:t xml:space="preserve"> Bennett, ‘“If I Knew </w:t>
      </w:r>
      <w:proofErr w:type="gramStart"/>
      <w:r>
        <w:rPr>
          <w:sz w:val="20"/>
          <w:szCs w:val="20"/>
        </w:rPr>
        <w:t>You</w:t>
      </w:r>
      <w:proofErr w:type="gramEnd"/>
      <w:r>
        <w:rPr>
          <w:sz w:val="20"/>
          <w:szCs w:val="20"/>
        </w:rPr>
        <w:t xml:space="preserve"> were Coming I’d Have Baked a Cake”: The Folklore of Foreknowledge in a </w:t>
      </w:r>
      <w:proofErr w:type="spellStart"/>
      <w:r>
        <w:rPr>
          <w:sz w:val="20"/>
          <w:szCs w:val="20"/>
        </w:rPr>
        <w:t>Neighborhood</w:t>
      </w:r>
      <w:proofErr w:type="spellEnd"/>
      <w:r>
        <w:rPr>
          <w:sz w:val="20"/>
          <w:szCs w:val="20"/>
        </w:rPr>
        <w:t xml:space="preserve"> Group’, p. 134.</w:t>
      </w:r>
    </w:p>
  </w:footnote>
  <w:footnote w:id="13">
    <w:p w14:paraId="5AEB6892" w14:textId="77777777" w:rsidR="00175C8F" w:rsidRDefault="00000000">
      <w:pPr>
        <w:ind w:left="0" w:hanging="2"/>
        <w:rPr>
          <w:sz w:val="20"/>
          <w:szCs w:val="20"/>
        </w:rPr>
      </w:pPr>
      <w:r>
        <w:rPr>
          <w:vertAlign w:val="superscript"/>
        </w:rPr>
        <w:footnoteRef/>
      </w:r>
      <w:r>
        <w:rPr>
          <w:sz w:val="20"/>
          <w:szCs w:val="20"/>
        </w:rPr>
        <w:t xml:space="preserve"> Monique </w:t>
      </w:r>
      <w:proofErr w:type="spellStart"/>
      <w:r>
        <w:rPr>
          <w:sz w:val="20"/>
          <w:szCs w:val="20"/>
        </w:rPr>
        <w:t>Hennink</w:t>
      </w:r>
      <w:proofErr w:type="spellEnd"/>
      <w:r>
        <w:rPr>
          <w:sz w:val="20"/>
          <w:szCs w:val="20"/>
        </w:rPr>
        <w:t xml:space="preserve">, Inge </w:t>
      </w:r>
      <w:proofErr w:type="spellStart"/>
      <w:r>
        <w:rPr>
          <w:sz w:val="20"/>
          <w:szCs w:val="20"/>
        </w:rPr>
        <w:t>Hutter</w:t>
      </w:r>
      <w:proofErr w:type="spellEnd"/>
      <w:r>
        <w:rPr>
          <w:sz w:val="20"/>
          <w:szCs w:val="20"/>
        </w:rPr>
        <w:t xml:space="preserve"> and Ajay Bailey, </w:t>
      </w:r>
      <w:r>
        <w:rPr>
          <w:i/>
          <w:sz w:val="20"/>
          <w:szCs w:val="20"/>
        </w:rPr>
        <w:t>Qualitative Research Methods</w:t>
      </w:r>
      <w:r>
        <w:rPr>
          <w:sz w:val="20"/>
          <w:szCs w:val="20"/>
        </w:rPr>
        <w:t xml:space="preserve">, 2nd </w:t>
      </w:r>
      <w:proofErr w:type="spellStart"/>
      <w:r>
        <w:rPr>
          <w:sz w:val="20"/>
          <w:szCs w:val="20"/>
        </w:rPr>
        <w:t>edn</w:t>
      </w:r>
      <w:proofErr w:type="spellEnd"/>
      <w:r>
        <w:rPr>
          <w:sz w:val="20"/>
          <w:szCs w:val="20"/>
        </w:rPr>
        <w:t>. (London: Sage Publications Ltd., 2020), p. 75.</w:t>
      </w:r>
    </w:p>
  </w:footnote>
  <w:footnote w:id="14">
    <w:p w14:paraId="141788E0" w14:textId="77777777" w:rsidR="00175C8F" w:rsidRDefault="00000000">
      <w:pPr>
        <w:ind w:left="0" w:hanging="2"/>
        <w:rPr>
          <w:sz w:val="20"/>
          <w:szCs w:val="20"/>
        </w:rPr>
      </w:pPr>
      <w:r>
        <w:rPr>
          <w:vertAlign w:val="superscript"/>
        </w:rPr>
        <w:footnoteRef/>
      </w:r>
      <w:r>
        <w:rPr>
          <w:sz w:val="20"/>
          <w:szCs w:val="20"/>
        </w:rPr>
        <w:t xml:space="preserve"> Alan Bryman, </w:t>
      </w:r>
      <w:r>
        <w:rPr>
          <w:i/>
          <w:sz w:val="20"/>
          <w:szCs w:val="20"/>
        </w:rPr>
        <w:t>Quantity and Quality in Social Research</w:t>
      </w:r>
      <w:r>
        <w:rPr>
          <w:sz w:val="20"/>
          <w:szCs w:val="20"/>
        </w:rPr>
        <w:t>, (Abingdon: Routledge 1988), p. 63.</w:t>
      </w:r>
    </w:p>
  </w:footnote>
  <w:footnote w:id="15">
    <w:p w14:paraId="65EAB910" w14:textId="77777777" w:rsidR="00175C8F" w:rsidRDefault="00000000">
      <w:pPr>
        <w:ind w:left="0" w:hanging="2"/>
        <w:rPr>
          <w:sz w:val="20"/>
          <w:szCs w:val="20"/>
        </w:rPr>
      </w:pPr>
      <w:r>
        <w:rPr>
          <w:vertAlign w:val="superscript"/>
        </w:rPr>
        <w:footnoteRef/>
      </w:r>
      <w:r>
        <w:rPr>
          <w:sz w:val="20"/>
          <w:szCs w:val="20"/>
        </w:rPr>
        <w:t xml:space="preserve"> Bryman, </w:t>
      </w:r>
      <w:r>
        <w:rPr>
          <w:i/>
          <w:sz w:val="20"/>
          <w:szCs w:val="20"/>
        </w:rPr>
        <w:t>Quantity and Quality in Social Research</w:t>
      </w:r>
      <w:r>
        <w:rPr>
          <w:sz w:val="20"/>
          <w:szCs w:val="20"/>
        </w:rPr>
        <w:t>, p. 134.</w:t>
      </w:r>
    </w:p>
  </w:footnote>
  <w:footnote w:id="16">
    <w:p w14:paraId="78CA83C9" w14:textId="77777777" w:rsidR="00175C8F" w:rsidRDefault="00000000">
      <w:pPr>
        <w:ind w:left="0" w:hanging="2"/>
        <w:rPr>
          <w:sz w:val="20"/>
          <w:szCs w:val="20"/>
        </w:rPr>
      </w:pPr>
      <w:r>
        <w:rPr>
          <w:vertAlign w:val="superscript"/>
        </w:rPr>
        <w:footnoteRef/>
      </w:r>
      <w:r>
        <w:rPr>
          <w:sz w:val="20"/>
          <w:szCs w:val="20"/>
        </w:rPr>
        <w:t xml:space="preserve"> Bennett, ‘“If I Knew </w:t>
      </w:r>
      <w:proofErr w:type="gramStart"/>
      <w:r>
        <w:rPr>
          <w:sz w:val="20"/>
          <w:szCs w:val="20"/>
        </w:rPr>
        <w:t>You</w:t>
      </w:r>
      <w:proofErr w:type="gramEnd"/>
      <w:r>
        <w:rPr>
          <w:sz w:val="20"/>
          <w:szCs w:val="20"/>
        </w:rPr>
        <w:t xml:space="preserve"> were Coming I’d Have Baked a Cake”: The Folklore of Foreknowledge in a </w:t>
      </w:r>
      <w:proofErr w:type="spellStart"/>
      <w:r>
        <w:rPr>
          <w:sz w:val="20"/>
          <w:szCs w:val="20"/>
        </w:rPr>
        <w:t>Neighborhood</w:t>
      </w:r>
      <w:proofErr w:type="spellEnd"/>
      <w:r>
        <w:rPr>
          <w:sz w:val="20"/>
          <w:szCs w:val="20"/>
        </w:rPr>
        <w:t xml:space="preserve"> Group’, p. 133.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5ABB4" w14:textId="77777777" w:rsidR="00175C8F" w:rsidRDefault="00000000">
    <w:pPr>
      <w:ind w:left="0" w:hanging="2"/>
      <w:jc w:val="right"/>
    </w:pPr>
    <w:r>
      <w:t xml:space="preserve">Whitney Hill 2209673 | </w:t>
    </w:r>
    <w:r>
      <w:fldChar w:fldCharType="begin"/>
    </w:r>
    <w:r>
      <w:instrText>PAGE</w:instrText>
    </w:r>
    <w:r>
      <w:fldChar w:fldCharType="separate"/>
    </w:r>
    <w:r w:rsidR="00CA24F9">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C8F"/>
    <w:rsid w:val="00076B6F"/>
    <w:rsid w:val="00093238"/>
    <w:rsid w:val="00096CD2"/>
    <w:rsid w:val="000B04F0"/>
    <w:rsid w:val="00166B3A"/>
    <w:rsid w:val="00175C8F"/>
    <w:rsid w:val="00196C3C"/>
    <w:rsid w:val="001C22CA"/>
    <w:rsid w:val="00204B59"/>
    <w:rsid w:val="00206DA7"/>
    <w:rsid w:val="00233197"/>
    <w:rsid w:val="00254785"/>
    <w:rsid w:val="00260A50"/>
    <w:rsid w:val="0026489A"/>
    <w:rsid w:val="00276C3F"/>
    <w:rsid w:val="002839D1"/>
    <w:rsid w:val="002A16B6"/>
    <w:rsid w:val="002E2B81"/>
    <w:rsid w:val="003B31F8"/>
    <w:rsid w:val="003F54E7"/>
    <w:rsid w:val="0040289A"/>
    <w:rsid w:val="00417B4D"/>
    <w:rsid w:val="00436567"/>
    <w:rsid w:val="00446B3D"/>
    <w:rsid w:val="00477FB5"/>
    <w:rsid w:val="004E1978"/>
    <w:rsid w:val="00500874"/>
    <w:rsid w:val="00522E86"/>
    <w:rsid w:val="00541671"/>
    <w:rsid w:val="00581A3C"/>
    <w:rsid w:val="005950F3"/>
    <w:rsid w:val="005B6074"/>
    <w:rsid w:val="005C01B8"/>
    <w:rsid w:val="0060032D"/>
    <w:rsid w:val="0061770C"/>
    <w:rsid w:val="00664C22"/>
    <w:rsid w:val="006D3E42"/>
    <w:rsid w:val="006E68A0"/>
    <w:rsid w:val="006F026E"/>
    <w:rsid w:val="0074582A"/>
    <w:rsid w:val="00763CA2"/>
    <w:rsid w:val="00805ABC"/>
    <w:rsid w:val="00873D85"/>
    <w:rsid w:val="00937746"/>
    <w:rsid w:val="0096662F"/>
    <w:rsid w:val="009C0149"/>
    <w:rsid w:val="009F4312"/>
    <w:rsid w:val="009F5C03"/>
    <w:rsid w:val="00A209C8"/>
    <w:rsid w:val="00A27B5A"/>
    <w:rsid w:val="00A339C0"/>
    <w:rsid w:val="00A3501A"/>
    <w:rsid w:val="00A664A7"/>
    <w:rsid w:val="00AC43EE"/>
    <w:rsid w:val="00AE3929"/>
    <w:rsid w:val="00B154DC"/>
    <w:rsid w:val="00B2458C"/>
    <w:rsid w:val="00B6044D"/>
    <w:rsid w:val="00B71E10"/>
    <w:rsid w:val="00BA40A6"/>
    <w:rsid w:val="00BD389B"/>
    <w:rsid w:val="00C81309"/>
    <w:rsid w:val="00CA24F9"/>
    <w:rsid w:val="00CB0D3C"/>
    <w:rsid w:val="00D13C25"/>
    <w:rsid w:val="00D41240"/>
    <w:rsid w:val="00D622DE"/>
    <w:rsid w:val="00D862A1"/>
    <w:rsid w:val="00DB4691"/>
    <w:rsid w:val="00DB6BC7"/>
    <w:rsid w:val="00DC1A44"/>
    <w:rsid w:val="00DE51C9"/>
    <w:rsid w:val="00E25561"/>
    <w:rsid w:val="00E330A0"/>
    <w:rsid w:val="00E467B1"/>
    <w:rsid w:val="00E57092"/>
    <w:rsid w:val="00E9620E"/>
    <w:rsid w:val="00EB6F68"/>
    <w:rsid w:val="00EC4FE3"/>
    <w:rsid w:val="00F527F0"/>
    <w:rsid w:val="00F65080"/>
    <w:rsid w:val="00FE57BE"/>
    <w:rsid w:val="00FF1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BA4BC"/>
  <w15:docId w15:val="{97A3ACA4-C032-4CB8-8100-8FC7FB6B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ind w:right="-3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right="0" w:hangingChars="1" w:hanging="1"/>
      <w:textDirection w:val="btLr"/>
      <w:textAlignment w:val="top"/>
      <w:outlineLvl w:val="0"/>
    </w:pPr>
    <w:rPr>
      <w:position w:val="-1"/>
      <w:lang w:eastAsia="zh-CN"/>
    </w:rPr>
  </w:style>
  <w:style w:type="paragraph" w:styleId="Heading1">
    <w:name w:val="heading 1"/>
    <w:basedOn w:val="Normal"/>
    <w:next w:val="Normal"/>
    <w:uiPriority w:val="9"/>
    <w:qFormat/>
    <w:pPr>
      <w:keepNext/>
      <w:spacing w:before="240" w:after="60"/>
    </w:pPr>
    <w:rPr>
      <w:b/>
      <w:bCs/>
      <w:kern w:val="32"/>
      <w:sz w:val="32"/>
      <w:szCs w:val="32"/>
    </w:rPr>
  </w:style>
  <w:style w:type="paragraph" w:styleId="Heading2">
    <w:name w:val="heading 2"/>
    <w:basedOn w:val="Normal"/>
    <w:next w:val="Normal"/>
    <w:uiPriority w:val="9"/>
    <w:unhideWhenUsed/>
    <w:qFormat/>
    <w:pPr>
      <w:keepNext/>
      <w:spacing w:before="240" w:after="60"/>
      <w:outlineLvl w:val="1"/>
    </w:pPr>
    <w:rPr>
      <w:b/>
      <w:bCs/>
      <w:i/>
      <w:iCs/>
      <w:sz w:val="28"/>
      <w:szCs w:val="28"/>
    </w:rPr>
  </w:style>
  <w:style w:type="paragraph" w:styleId="Heading3">
    <w:name w:val="heading 3"/>
    <w:basedOn w:val="Normal"/>
    <w:uiPriority w:val="9"/>
    <w:unhideWhenUsed/>
    <w:qFormat/>
    <w:pPr>
      <w:keepNext/>
      <w:ind w:left="720"/>
      <w:jc w:val="both"/>
      <w:outlineLvl w:val="2"/>
    </w:pPr>
    <w:rPr>
      <w:rFonts w:ascii="Tahoma" w:hAnsi="Tahoma" w:cs="Tahoma"/>
      <w:b/>
      <w:bCs/>
      <w:sz w:val="20"/>
      <w:szCs w:val="2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pPr>
      <w:spacing w:before="100" w:beforeAutospacing="1" w:after="100" w:afterAutospacing="1"/>
    </w:pPr>
    <w:rPr>
      <w:rFonts w:ascii="Georgia" w:hAnsi="Georgia"/>
      <w:color w:val="000000"/>
      <w:sz w:val="21"/>
      <w:szCs w:val="21"/>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w w:val="100"/>
      <w:position w:val="-1"/>
      <w:effect w:val="none"/>
      <w:vertAlign w:val="baseline"/>
      <w:cs w:val="0"/>
      <w:em w:val="none"/>
      <w:lang w:eastAsia="zh-CN"/>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lang w:eastAsia="zh-CN"/>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zh-CN"/>
    </w:rPr>
  </w:style>
  <w:style w:type="paragraph" w:styleId="Header">
    <w:name w:val="header"/>
    <w:basedOn w:val="Normal"/>
    <w:qFormat/>
    <w:pPr>
      <w:tabs>
        <w:tab w:val="center" w:pos="4513"/>
        <w:tab w:val="right" w:pos="9026"/>
      </w:tabs>
    </w:pPr>
    <w:rPr>
      <w:rFonts w:ascii="Trebuchet MS" w:eastAsia="Calibri" w:hAnsi="Trebuchet MS"/>
      <w:sz w:val="22"/>
      <w:szCs w:val="20"/>
    </w:rPr>
  </w:style>
  <w:style w:type="character" w:customStyle="1" w:styleId="HeaderChar">
    <w:name w:val="Header Char"/>
    <w:rPr>
      <w:rFonts w:ascii="Trebuchet MS" w:eastAsia="Calibri" w:hAnsi="Trebuchet MS" w:cs="Tahoma"/>
      <w:w w:val="100"/>
      <w:position w:val="-1"/>
      <w:sz w:val="22"/>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eastAsia="zh-CN"/>
    </w:rPr>
  </w:style>
  <w:style w:type="table" w:styleId="TableGrid">
    <w:name w:val="Table Grid"/>
    <w:basedOn w:val="TableNormal"/>
    <w:pPr>
      <w:suppressAutoHyphens/>
      <w:spacing w:line="1" w:lineRule="atLeast"/>
      <w:ind w:leftChars="-1" w:left="-1" w:right="0"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1yA/GAlkaJF28/zbwrhN6UCFduQ==">AMUW2mXwc8xh2JF6RDsXRY66YYcznh2rExra6sQ+ZHWlWBWtxeHNJ48S+biSeX94K6Ji0OrNLztG3Ir41UD7MKzjIgimWTpbHvwUcN2CZhkkn66nPWy5T2tGB61P4yWrWl2EasLeH+V+4MucwxEnCDOonONPMtsbXWnx+lg5sNzR0iqezAPTFWX6kB0pcoNWwJ2JjsS+GPLD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3177</TotalTime>
  <Pages>8</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sa044</dc:creator>
  <cp:lastModifiedBy>Whitney Hill</cp:lastModifiedBy>
  <cp:revision>96</cp:revision>
  <dcterms:created xsi:type="dcterms:W3CDTF">2019-10-07T14:42:00Z</dcterms:created>
  <dcterms:modified xsi:type="dcterms:W3CDTF">2023-03-14T21:50:00Z</dcterms:modified>
</cp:coreProperties>
</file>