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3B996D79" wp14:textId="12CF7DCE"/>
    <w:p xmlns:wp14="http://schemas.microsoft.com/office/word/2010/wordml" w:rsidP="3ADC9EF0" wp14:paraId="490FED68" wp14:textId="6351DB1D">
      <w:pPr>
        <w:pStyle w:val="Normal"/>
        <w:spacing w:before="212" w:beforeAutospacing="off" w:after="160" w:afterAutospacing="off"/>
        <w:jc w:val="both"/>
      </w:pPr>
      <w:r w:rsidR="0410B1B3">
        <w:drawing>
          <wp:inline xmlns:wp14="http://schemas.microsoft.com/office/word/2010/wordprocessingDrawing" wp14:editId="0E067561" wp14:anchorId="566FBE1C">
            <wp:extent cx="5131933" cy="2006717"/>
            <wp:effectExtent l="0" t="0" r="0" b="0"/>
            <wp:docPr id="7275877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7587721" name="Picture 727587721"/>
                    <pic:cNvPicPr/>
                  </pic:nvPicPr>
                  <pic:blipFill>
                    <a:blip xmlns:r="http://schemas.openxmlformats.org/officeDocument/2006/relationships" r:embed="rId49588521">
                      <a:extLst>
                        <a:ext uri="{28A0092B-C50C-407E-A947-70E740481C1C}">
                          <a14:useLocalDpi xmlns:a14="http://schemas.microsoft.com/office/drawing/2010/main"/>
                        </a:ext>
                      </a:extLst>
                    </a:blip>
                    <a:stretch>
                      <a:fillRect/>
                    </a:stretch>
                  </pic:blipFill>
                  <pic:spPr>
                    <a:xfrm rot="0">
                      <a:off x="0" y="0"/>
                      <a:ext cx="5131933" cy="2006717"/>
                    </a:xfrm>
                    <a:prstGeom prst="rect">
                      <a:avLst/>
                    </a:prstGeom>
                  </pic:spPr>
                </pic:pic>
              </a:graphicData>
            </a:graphic>
          </wp:inline>
        </w:drawing>
      </w:r>
    </w:p>
    <w:p xmlns:wp14="http://schemas.microsoft.com/office/word/2010/wordml" w:rsidP="3ADC9EF0" wp14:paraId="6A5F58BC" wp14:textId="01FBFF83">
      <w:pPr>
        <w:pStyle w:val="Normal"/>
        <w:spacing w:before="212" w:beforeAutospacing="off" w:after="160" w:afterAutospacing="off"/>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48"/>
          <w:szCs w:val="48"/>
          <w:u w:val="none"/>
          <w:lang w:val="en-US"/>
        </w:rPr>
      </w:pPr>
    </w:p>
    <w:p xmlns:wp14="http://schemas.microsoft.com/office/word/2010/wordml" w:rsidP="3ADC9EF0" wp14:paraId="0D822149" wp14:textId="03659B4A">
      <w:pPr>
        <w:pStyle w:val="Normal"/>
        <w:spacing w:before="212" w:beforeAutospacing="off" w:after="160" w:afterAutospacing="off"/>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pPr>
      <w:r w:rsidRPr="3ADC9EF0" w:rsidR="783432C1">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48"/>
          <w:szCs w:val="48"/>
          <w:u w:val="none"/>
          <w:lang w:val="en-US"/>
        </w:rPr>
        <w:t xml:space="preserve">Module Name: </w:t>
      </w:r>
      <w:r w:rsidRPr="3ADC9EF0" w:rsidR="783432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t>Academic Skills in the Digital Era</w:t>
      </w:r>
    </w:p>
    <w:p xmlns:wp14="http://schemas.microsoft.com/office/word/2010/wordml" w:rsidP="3ADC9EF0" wp14:paraId="57284F37" wp14:textId="47F5FCE8">
      <w:pPr>
        <w:spacing w:before="212" w:beforeAutospacing="off" w:after="160" w:afterAutospacing="off"/>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pPr>
      <w:r w:rsidRPr="3ADC9EF0" w:rsidR="783432C1">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48"/>
          <w:szCs w:val="48"/>
          <w:u w:val="none"/>
          <w:lang w:val="en-US"/>
        </w:rPr>
        <w:t xml:space="preserve">Module Code:  </w:t>
      </w:r>
      <w:r w:rsidRPr="3ADC9EF0" w:rsidR="783432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t>BMSW4013</w:t>
      </w:r>
    </w:p>
    <w:p xmlns:wp14="http://schemas.microsoft.com/office/word/2010/wordml" w:rsidP="3ADC9EF0" wp14:paraId="5D04F0C1" wp14:textId="78BCA8F7">
      <w:pPr>
        <w:spacing w:before="212" w:beforeAutospacing="off" w:after="160" w:afterAutospacing="off"/>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pPr>
      <w:r w:rsidRPr="3ADC9EF0" w:rsidR="783432C1">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48"/>
          <w:szCs w:val="48"/>
          <w:u w:val="none"/>
          <w:lang w:val="en-US"/>
        </w:rPr>
        <w:t xml:space="preserve">Assessment 1: </w:t>
      </w:r>
      <w:r w:rsidRPr="3ADC9EF0" w:rsidR="783432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t>E-Portfolio</w:t>
      </w:r>
    </w:p>
    <w:p xmlns:wp14="http://schemas.microsoft.com/office/word/2010/wordml" w:rsidP="3ADC9EF0" wp14:paraId="2E07BCCA" wp14:textId="1B7E972A">
      <w:pPr>
        <w:spacing w:before="3" w:beforeAutospacing="off" w:after="160" w:afterAutospacing="off"/>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pPr>
      <w:r w:rsidRPr="3ADC9EF0" w:rsidR="783432C1">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48"/>
          <w:szCs w:val="48"/>
          <w:u w:val="none"/>
          <w:lang w:val="en-US"/>
        </w:rPr>
        <w:t xml:space="preserve">Student Name: </w:t>
      </w:r>
      <w:r w:rsidRPr="3ADC9EF0" w:rsidR="783432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t>Alexandra Cirjoi</w:t>
      </w:r>
    </w:p>
    <w:p xmlns:wp14="http://schemas.microsoft.com/office/word/2010/wordml" w:rsidP="3ADC9EF0" wp14:paraId="1D98AEDD" wp14:textId="4E28571C">
      <w:pPr>
        <w:spacing w:before="3" w:beforeAutospacing="off" w:after="160" w:afterAutospacing="off"/>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pPr>
      <w:r w:rsidRPr="3ADC9EF0" w:rsidR="783432C1">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48"/>
          <w:szCs w:val="48"/>
          <w:u w:val="none"/>
          <w:lang w:val="en-US"/>
        </w:rPr>
        <w:t xml:space="preserve">Student Number: </w:t>
      </w:r>
      <w:r w:rsidRPr="3ADC9EF0" w:rsidR="783432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t>1919382</w:t>
      </w:r>
    </w:p>
    <w:p xmlns:wp14="http://schemas.microsoft.com/office/word/2010/wordml" w:rsidP="3ADC9EF0" wp14:paraId="20A235D2" wp14:textId="0F418FF2">
      <w:pPr>
        <w:spacing w:before="0" w:beforeAutospacing="off" w:after="160" w:afterAutospacing="off"/>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pPr>
      <w:r w:rsidRPr="3ADC9EF0" w:rsidR="783432C1">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48"/>
          <w:szCs w:val="48"/>
          <w:u w:val="none"/>
          <w:lang w:val="en-US"/>
        </w:rPr>
        <w:t xml:space="preserve">Lecturer: </w:t>
      </w:r>
      <w:r w:rsidRPr="3ADC9EF0" w:rsidR="783432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t>Ffion Cumberpatch</w:t>
      </w:r>
      <w:r>
        <w:br/>
      </w:r>
      <w:r w:rsidRPr="3ADC9EF0" w:rsidR="783432C1">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48"/>
          <w:szCs w:val="48"/>
          <w:u w:val="none"/>
          <w:lang w:val="en-US"/>
        </w:rPr>
        <w:t xml:space="preserve">Deadline: </w:t>
      </w:r>
      <w:r w:rsidRPr="3ADC9EF0" w:rsidR="783432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48"/>
          <w:szCs w:val="48"/>
          <w:u w:val="none"/>
          <w:lang w:val="en-US"/>
        </w:rPr>
        <w:t>27th February 23:59PM</w:t>
      </w:r>
    </w:p>
    <w:p xmlns:wp14="http://schemas.microsoft.com/office/word/2010/wordml" wp14:paraId="0B4B527B" wp14:textId="582EB458"/>
    <w:p xmlns:wp14="http://schemas.microsoft.com/office/word/2010/wordml" wp14:paraId="064C3A30" wp14:textId="7F1C4C62"/>
    <w:p xmlns:wp14="http://schemas.microsoft.com/office/word/2010/wordml" wp14:paraId="4386E0E7" wp14:textId="17F5913D"/>
    <w:p xmlns:wp14="http://schemas.microsoft.com/office/word/2010/wordml" wp14:paraId="6B8FCDD1" wp14:textId="5B0032F7"/>
    <w:p xmlns:wp14="http://schemas.microsoft.com/office/word/2010/wordml" wp14:paraId="09A3FDDD" wp14:textId="5C1276CF"/>
    <w:p xmlns:wp14="http://schemas.microsoft.com/office/word/2010/wordml" w:rsidP="3ADC9EF0" wp14:paraId="371C18E0" wp14:textId="651F4BE2">
      <w:pPr>
        <w:rPr>
          <w:rFonts w:ascii="Arial" w:hAnsi="Arial" w:eastAsia="Arial" w:cs="Arial"/>
        </w:rPr>
      </w:pPr>
    </w:p>
    <w:p xmlns:wp14="http://schemas.microsoft.com/office/word/2010/wordml" w:rsidP="3ADC9EF0" wp14:paraId="39C95BC6" wp14:textId="3D1B913B">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32"/>
          <w:szCs w:val="32"/>
          <w:u w:val="none"/>
          <w:lang w:val="en-US"/>
        </w:rPr>
      </w:pPr>
      <w:r>
        <w:br/>
      </w:r>
      <w:r>
        <w:br/>
      </w:r>
    </w:p>
    <w:p xmlns:wp14="http://schemas.microsoft.com/office/word/2010/wordml" w:rsidP="3ADC9EF0" wp14:paraId="4A65634F" wp14:textId="0292230A">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AI Acknowledgement</w:t>
      </w:r>
    </w:p>
    <w:p xmlns:wp14="http://schemas.microsoft.com/office/word/2010/wordml" w:rsidP="3ADC9EF0" wp14:paraId="129DF0ED" wp14:textId="2AEC01F2">
      <w:pPr>
        <w:spacing w:before="0" w:beforeAutospacing="off" w:after="160" w:afterAutospacing="off"/>
        <w:jc w:val="both"/>
        <w:rPr>
          <w:rFonts w:ascii="Arial" w:hAnsi="Arial" w:eastAsia="Arial" w:cs="Arial"/>
          <w:b w:val="0"/>
          <w:bCs w:val="0"/>
          <w:i w:val="1"/>
          <w:iCs w:val="1"/>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(This section is compulsory for all students.)</w:t>
      </w:r>
    </w:p>
    <w:p xmlns:wp14="http://schemas.microsoft.com/office/word/2010/wordml" w:rsidP="3ADC9EF0" wp14:paraId="65C588CD" wp14:textId="2ADDA942">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I acknowledge the use of</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ChatGPT (</w:t>
      </w:r>
      <w:hyperlink r:id="R1bcef59573bb4824">
        <w:r w:rsidRPr="3ADC9EF0" w:rsidR="783432C1">
          <w:rPr>
            <w:rStyle w:val="Hyperlink"/>
            <w:rFonts w:ascii="Arial" w:hAnsi="Arial" w:eastAsia="Arial" w:cs="Arial"/>
            <w:b w:val="0"/>
            <w:bCs w:val="0"/>
            <w:i w:val="0"/>
            <w:iCs w:val="0"/>
            <w:strike w:val="0"/>
            <w:dstrike w:val="0"/>
            <w:noProof w:val="0"/>
            <w:color w:val="467886"/>
            <w:sz w:val="24"/>
            <w:szCs w:val="24"/>
            <w:u w:val="none"/>
            <w:lang w:val="en-US"/>
          </w:rPr>
          <w:t>https://chatgpt.com/</w:t>
        </w:r>
      </w:hyperlink>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on [19-02-2026] to support the structure of the work.</w:t>
      </w:r>
    </w:p>
    <w:p xmlns:wp14="http://schemas.microsoft.com/office/word/2010/wordml" w:rsidP="3ADC9EF0" wp14:paraId="24DB87A2" wp14:textId="5394999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Prompt(s) used (if applicable):</w:t>
      </w:r>
    </w:p>
    <w:p xmlns:wp14="http://schemas.microsoft.com/office/word/2010/wordml" w:rsidP="3ADC9EF0" wp14:paraId="554A2B5B" wp14:textId="41A20CD9">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Provide the structure for the work, considering the brief and </w:t>
      </w:r>
      <w:r w:rsidRPr="3ADC9EF0" w:rsidR="4C1B6431">
        <w:rPr>
          <w:rFonts w:ascii="Arial" w:hAnsi="Arial" w:eastAsia="Arial" w:cs="Arial"/>
          <w:b w:val="0"/>
          <w:bCs w:val="0"/>
          <w:i w:val="0"/>
          <w:iCs w:val="0"/>
          <w:strike w:val="0"/>
          <w:dstrike w:val="0"/>
          <w:noProof w:val="0"/>
          <w:color w:val="000000" w:themeColor="text1" w:themeTint="FF" w:themeShade="FF"/>
          <w:sz w:val="24"/>
          <w:szCs w:val="24"/>
          <w:u w:val="none"/>
          <w:lang w:val="en-US"/>
        </w:rPr>
        <w:t>assessment of</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guidance.</w:t>
      </w:r>
    </w:p>
    <w:p xmlns:wp14="http://schemas.microsoft.com/office/word/2010/wordml" w:rsidP="3ADC9EF0" wp14:paraId="0F22E426" wp14:textId="34CFDDC8">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confirm that I have not presented any AI-generated text as my own work. I confirm that I have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retained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copies of drafts, notes, and resources used before and after the use of AI tools.</w:t>
      </w:r>
    </w:p>
    <w:p xmlns:wp14="http://schemas.microsoft.com/office/word/2010/wordml" w:rsidP="3ADC9EF0" wp14:paraId="0F26F97A" wp14:textId="7E49CAE3">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br/>
      </w:r>
    </w:p>
    <w:p xmlns:wp14="http://schemas.microsoft.com/office/word/2010/wordml" w:rsidP="3ADC9EF0" wp14:paraId="22E680CA" wp14:textId="36005D32">
      <w:pPr>
        <w:spacing w:before="240" w:beforeAutospacing="off" w:after="160" w:afterAutospacing="off"/>
        <w:jc w:val="both"/>
        <w:rPr>
          <w:rFonts w:ascii="Arial" w:hAnsi="Arial" w:eastAsia="Arial" w:cs="Arial"/>
          <w:b w:val="0"/>
          <w:bCs w:val="0"/>
          <w:i w:val="0"/>
          <w:iCs w:val="0"/>
          <w:strike w:val="0"/>
          <w:dstrike w:val="0"/>
          <w:noProof w:val="0"/>
          <w:color w:val="0F4761" w:themeColor="accent1" w:themeTint="FF" w:themeShade="BF"/>
          <w:sz w:val="24"/>
          <w:szCs w:val="24"/>
          <w:u w:val="none"/>
          <w:lang w:val="en-US"/>
        </w:rPr>
      </w:pPr>
      <w:r w:rsidRPr="3ADC9EF0" w:rsidR="783432C1">
        <w:rPr>
          <w:rFonts w:ascii="Arial" w:hAnsi="Arial" w:eastAsia="Arial" w:cs="Arial"/>
          <w:b w:val="0"/>
          <w:bCs w:val="0"/>
          <w:i w:val="0"/>
          <w:iCs w:val="0"/>
          <w:strike w:val="0"/>
          <w:dstrike w:val="0"/>
          <w:noProof w:val="0"/>
          <w:color w:val="0F4761" w:themeColor="accent1" w:themeTint="FF" w:themeShade="BF"/>
          <w:sz w:val="24"/>
          <w:szCs w:val="24"/>
          <w:u w:val="none"/>
          <w:lang w:val="en-US"/>
        </w:rPr>
        <w:t>Contents</w:t>
      </w:r>
    </w:p>
    <w:p xmlns:wp14="http://schemas.microsoft.com/office/word/2010/wordml" w:rsidP="3ADC9EF0" wp14:paraId="5CD8A2F5" wp14:textId="008323F1">
      <w:pPr>
        <w:pStyle w:val="Normal"/>
        <w:spacing w:before="24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08E1A2E4">
        <w:rPr>
          <w:rFonts w:ascii="Arial" w:hAnsi="Arial" w:eastAsia="Arial" w:cs="Arial"/>
          <w:b w:val="1"/>
          <w:bCs w:val="1"/>
          <w:i w:val="0"/>
          <w:iCs w:val="0"/>
          <w:strike w:val="0"/>
          <w:dstrike w:val="0"/>
          <w:noProof w:val="0"/>
          <w:color w:val="000000" w:themeColor="text1" w:themeTint="FF" w:themeShade="FF"/>
          <w:sz w:val="24"/>
          <w:szCs w:val="24"/>
          <w:u w:val="none"/>
          <w:lang w:val="en-US"/>
        </w:rPr>
        <w:t>Component</w:t>
      </w:r>
      <w:r w:rsidRPr="3ADC9EF0" w:rsidR="08E1A2E4">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1 – Development of Academic Skills</w:t>
      </w:r>
      <w:r>
        <w:tab/>
      </w:r>
      <w:r w:rsidRPr="3ADC9EF0" w:rsidR="08E1A2E4">
        <w:rPr>
          <w:rFonts w:ascii="Arial" w:hAnsi="Arial" w:eastAsia="Arial" w:cs="Arial"/>
          <w:b w:val="0"/>
          <w:bCs w:val="0"/>
          <w:i w:val="0"/>
          <w:iCs w:val="0"/>
          <w:strike w:val="0"/>
          <w:dstrike w:val="0"/>
          <w:noProof w:val="0"/>
          <w:color w:val="000000" w:themeColor="text1" w:themeTint="FF" w:themeShade="FF"/>
          <w:sz w:val="24"/>
          <w:szCs w:val="24"/>
          <w:u w:val="none"/>
          <w:lang w:val="en-US"/>
        </w:rPr>
        <w:t>3</w:t>
      </w:r>
    </w:p>
    <w:p xmlns:wp14="http://schemas.microsoft.com/office/word/2010/wordml" w:rsidP="3ADC9EF0" wp14:paraId="1C9C2C06" wp14:textId="6D354552">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40FA9CFF">
        <w:rPr>
          <w:rFonts w:ascii="Arial" w:hAnsi="Arial" w:eastAsia="Arial" w:cs="Arial"/>
          <w:b w:val="1"/>
          <w:bCs w:val="1"/>
          <w:i w:val="0"/>
          <w:iCs w:val="0"/>
          <w:strike w:val="0"/>
          <w:dstrike w:val="0"/>
          <w:noProof w:val="0"/>
          <w:color w:val="000000" w:themeColor="text1" w:themeTint="FF" w:themeShade="FF"/>
          <w:sz w:val="24"/>
          <w:szCs w:val="24"/>
          <w:u w:val="none"/>
          <w:lang w:val="en-US"/>
        </w:rPr>
        <w:t>Component</w:t>
      </w:r>
      <w:r w:rsidRPr="3ADC9EF0" w:rsidR="40FA9CFF">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2 – Application of Academic Skills</w:t>
      </w:r>
      <w:r>
        <w:tab/>
      </w:r>
      <w:r w:rsidRPr="3ADC9EF0" w:rsidR="40FA9CFF">
        <w:rPr>
          <w:rFonts w:ascii="Arial" w:hAnsi="Arial" w:eastAsia="Arial" w:cs="Arial"/>
          <w:b w:val="0"/>
          <w:bCs w:val="0"/>
          <w:i w:val="0"/>
          <w:iCs w:val="0"/>
          <w:strike w:val="0"/>
          <w:dstrike w:val="0"/>
          <w:noProof w:val="0"/>
          <w:color w:val="000000" w:themeColor="text1" w:themeTint="FF" w:themeShade="FF"/>
          <w:sz w:val="24"/>
          <w:szCs w:val="24"/>
          <w:u w:val="none"/>
          <w:lang w:val="en-US"/>
        </w:rPr>
        <w:t>7</w:t>
      </w:r>
    </w:p>
    <w:p xmlns:wp14="http://schemas.microsoft.com/office/word/2010/wordml" w:rsidP="3ADC9EF0" wp14:paraId="7D00F2DE" wp14:textId="5C40AF8F">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4088972C">
        <w:rPr>
          <w:rFonts w:ascii="Arial" w:hAnsi="Arial" w:eastAsia="Arial" w:cs="Arial"/>
          <w:b w:val="1"/>
          <w:bCs w:val="1"/>
          <w:i w:val="0"/>
          <w:iCs w:val="0"/>
          <w:strike w:val="0"/>
          <w:dstrike w:val="0"/>
          <w:noProof w:val="0"/>
          <w:color w:val="000000" w:themeColor="text1" w:themeTint="FF" w:themeShade="FF"/>
          <w:sz w:val="24"/>
          <w:szCs w:val="24"/>
          <w:u w:val="none"/>
          <w:lang w:val="en-US"/>
        </w:rPr>
        <w:t>Component</w:t>
      </w:r>
      <w:r w:rsidRPr="3ADC9EF0" w:rsidR="4088972C">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3 – Academic Poster</w:t>
      </w:r>
      <w:r>
        <w:tab/>
      </w:r>
      <w:r w:rsidRPr="3ADC9EF0" w:rsidR="4088972C">
        <w:rPr>
          <w:rFonts w:ascii="Arial" w:hAnsi="Arial" w:eastAsia="Arial" w:cs="Arial"/>
          <w:b w:val="0"/>
          <w:bCs w:val="0"/>
          <w:i w:val="0"/>
          <w:iCs w:val="0"/>
          <w:strike w:val="0"/>
          <w:dstrike w:val="0"/>
          <w:noProof w:val="0"/>
          <w:color w:val="000000" w:themeColor="text1" w:themeTint="FF" w:themeShade="FF"/>
          <w:sz w:val="24"/>
          <w:szCs w:val="24"/>
          <w:u w:val="none"/>
          <w:lang w:val="en-US"/>
        </w:rPr>
        <w:t>1</w:t>
      </w:r>
      <w:r w:rsidRPr="3ADC9EF0" w:rsidR="4088972C">
        <w:rPr>
          <w:rFonts w:ascii="Arial" w:hAnsi="Arial" w:eastAsia="Arial" w:cs="Arial"/>
          <w:b w:val="0"/>
          <w:bCs w:val="0"/>
          <w:i w:val="0"/>
          <w:iCs w:val="0"/>
          <w:strike w:val="0"/>
          <w:dstrike w:val="0"/>
          <w:noProof w:val="0"/>
          <w:color w:val="000000" w:themeColor="text1" w:themeTint="FF" w:themeShade="FF"/>
          <w:sz w:val="24"/>
          <w:szCs w:val="24"/>
          <w:u w:val="none"/>
          <w:lang w:val="en-US"/>
        </w:rPr>
        <w:t>2</w:t>
      </w:r>
    </w:p>
    <w:p xmlns:wp14="http://schemas.microsoft.com/office/word/2010/wordml" w:rsidP="3ADC9EF0" wp14:paraId="186F0196" wp14:textId="144DDC85">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ADC9EF0" wp14:paraId="60E3A4C8" wp14:textId="6649689C">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ADC9EF0" wp14:paraId="208E48BB" wp14:textId="350720A5">
      <w:pPr>
        <w:pStyle w:val="Normal"/>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ADC9EF0" wp14:paraId="763AC371" wp14:textId="27E2B673">
      <w:pPr>
        <w:pStyle w:val="Normal"/>
      </w:pPr>
      <w:r w:rsidRPr="3ADC9EF0" w:rsidR="40A670FF">
        <w:rPr>
          <w:rFonts w:ascii="Arial" w:hAnsi="Arial" w:eastAsia="Arial" w:cs="Arial"/>
          <w:b w:val="1"/>
          <w:bCs w:val="1"/>
          <w:i w:val="0"/>
          <w:iCs w:val="0"/>
          <w:strike w:val="0"/>
          <w:dstrike w:val="0"/>
          <w:noProof w:val="0"/>
          <w:color w:val="0F4761" w:themeColor="accent1" w:themeTint="FF" w:themeShade="BF"/>
          <w:sz w:val="24"/>
          <w:szCs w:val="24"/>
          <w:u w:val="none"/>
          <w:lang w:val="en-US"/>
        </w:rPr>
        <w:t>Component</w:t>
      </w:r>
      <w:r w:rsidRPr="3ADC9EF0" w:rsidR="40A670FF">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 1 – Development of Academic Skills</w:t>
      </w:r>
    </w:p>
    <w:p xmlns:wp14="http://schemas.microsoft.com/office/word/2010/wordml" w:rsidP="3ADC9EF0" wp14:paraId="2444F398" wp14:textId="55438ADB">
      <w:pPr>
        <w:pStyle w:val="Normal"/>
        <w:rPr>
          <w:rFonts w:ascii="Arial" w:hAnsi="Arial" w:eastAsia="Arial" w:cs="Arial"/>
          <w:b w:val="1"/>
          <w:bCs w:val="1"/>
          <w:i w:val="0"/>
          <w:iCs w:val="0"/>
          <w:strike w:val="0"/>
          <w:dstrike w:val="0"/>
          <w:noProof w:val="0"/>
          <w:color w:val="0F4761" w:themeColor="accent1" w:themeTint="FF" w:themeShade="BF"/>
          <w:sz w:val="24"/>
          <w:szCs w:val="24"/>
          <w:u w:val="none"/>
          <w:lang w:val="en-US"/>
        </w:rPr>
      </w:pPr>
    </w:p>
    <w:p xmlns:wp14="http://schemas.microsoft.com/office/word/2010/wordml" w:rsidP="3ADC9EF0" wp14:paraId="27DB94FE" wp14:textId="79B89194">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Evaluating Academic Sources Using the CRAAP Test</w:t>
      </w:r>
    </w:p>
    <w:p xmlns:wp14="http://schemas.microsoft.com/office/word/2010/wordml" w:rsidP="3ADC9EF0" wp14:paraId="64F5D784" wp14:textId="336E1886">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3ADC9EF0" wp14:paraId="3EC2C2A8" wp14:textId="38C9D1EB">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Source 1: 21st-century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digital skills of higher education students during Covid-19—is it possible to enhance digital skills of higher education students through E-Learning?</w:t>
      </w:r>
    </w:p>
    <w:p xmlns:wp14="http://schemas.microsoft.com/office/word/2010/wordml" w:rsidP="3ADC9EF0" wp14:paraId="2874ACF3" wp14:textId="47D7B6FB">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Author(s) and year: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Mjellma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Carabregu-Vokshi</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Gokcen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Ogruk</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-Maz, Sinan Yıldırım, But Dedaj, and Adelina Zeqiri</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(2023) on Google Scholar.</w:t>
      </w:r>
    </w:p>
    <w:p xmlns:wp14="http://schemas.microsoft.com/office/word/2010/wordml" w:rsidP="3ADC9EF0" wp14:paraId="3793CEE0" wp14:textId="74AFD55E">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Using the CRAAP Test, briefly evaluate:</w:t>
      </w:r>
    </w:p>
    <w:p xmlns:wp14="http://schemas.microsoft.com/office/word/2010/wordml" w:rsidP="3ADC9EF0" wp14:paraId="2F788F07" wp14:textId="66B07135">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Currency: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source was published in 2023, and it is therefore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rather current</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focus on the ways COVID-19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impacted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altered digital skills is extremely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timely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as the effects of the pandemic on education are still to be evaluated.</w:t>
      </w:r>
    </w:p>
    <w:p xmlns:wp14="http://schemas.microsoft.com/office/word/2010/wordml" w:rsidP="3ADC9EF0" wp14:paraId="19895C45" wp14:textId="311D1B1A">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Relevance: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article is about the creation of digital skills in higher education and relates directly to what you are writing about in your assignment. It also examines potentials of E-learning in empowering digital skills, which is in line with the current trends in teaching and technology.</w:t>
      </w:r>
    </w:p>
    <w:p xmlns:wp14="http://schemas.microsoft.com/office/word/2010/wordml" w:rsidP="3ADC9EF0" wp14:paraId="69DC578A" wp14:textId="77C9BE30">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Authority: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authors work in various learning and technological contexts, including being affiliated with recognized institutions. Their work has been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peer</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reviewed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this adds credibility and authority to their research.</w:t>
      </w:r>
    </w:p>
    <w:p xmlns:wp14="http://schemas.microsoft.com/office/word/2010/wordml" w:rsidP="3ADC9EF0" wp14:paraId="282C0FF2" wp14:textId="3071EF8E">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Accuracy: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research is empirical and has a clear-cut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methodology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data collection and analysis, which makes the results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accurate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also quotes a myriad of other related studies to support the claims it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has to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make, which makes it even more credible.</w:t>
      </w:r>
    </w:p>
    <w:p xmlns:wp14="http://schemas.microsoft.com/office/word/2010/wordml" w:rsidP="3ADC9EF0" wp14:paraId="1461BB03" wp14:textId="68015E59">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Purpose: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article is critical and academic; it is designed to evaluate the impact of E-learning on digital skills in higher education, not to promote any business product or service. Voice is objective and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resides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fact-based conclusions.</w:t>
      </w:r>
    </w:p>
    <w:p xmlns:wp14="http://schemas.microsoft.com/office/word/2010/wordml" w:rsidP="3ADC9EF0" wp14:paraId="2CEE2143" wp14:textId="34EC9E16">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Full reference (Harvard style):</w:t>
      </w:r>
    </w:p>
    <w:p xmlns:wp14="http://schemas.microsoft.com/office/word/2010/wordml" w:rsidP="3ADC9EF0" wp14:paraId="787BFFC5" wp14:textId="08812CCF">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Carabregu-Vokshi</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Ogruk</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-Maz, G., Yıldırım, S., Dedaj, B. and Zeqiri, A. (2023). 21st century digital skills of higher education students during COVID-19—is it possible to enhance the digital skills of higher education students through E-Learning?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Education and Information Technologies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29.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://doi.org/10.1007/s10639-023-12232-3.</w:t>
      </w:r>
    </w:p>
    <w:p xmlns:wp14="http://schemas.microsoft.com/office/word/2010/wordml" w:rsidP="3ADC9EF0" wp14:paraId="1623CDCA" wp14:textId="4ECA0D85">
      <w:pPr>
        <w:rPr>
          <w:rFonts w:ascii="Arial" w:hAnsi="Arial" w:eastAsia="Arial" w:cs="Arial"/>
        </w:rPr>
      </w:pPr>
    </w:p>
    <w:p xmlns:wp14="http://schemas.microsoft.com/office/word/2010/wordml" w:rsidP="3ADC9EF0" wp14:paraId="132522CE" wp14:textId="79386F7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Source 2</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Online collaborative problem-solving as a tangible outcome of digital skills in technical and vocational higher education</w:t>
      </w:r>
    </w:p>
    <w:p xmlns:wp14="http://schemas.microsoft.com/office/word/2010/wordml" w:rsidP="3ADC9EF0" wp14:paraId="210A69B4" wp14:textId="229FE66F">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Author(s) and year: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Daniela Luengo-Aravena, Patricio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Cabello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Beatriz Rodriguez-</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Milhomens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Bachino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(2024) on Google Scholar.</w:t>
      </w:r>
    </w:p>
    <w:p xmlns:wp14="http://schemas.microsoft.com/office/word/2010/wordml" w:rsidP="3ADC9EF0" wp14:paraId="4594CAF4" wp14:textId="31970F11">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Using the CRAAP Test, briefly evaluate:</w:t>
      </w:r>
    </w:p>
    <w:p xmlns:wp14="http://schemas.microsoft.com/office/word/2010/wordml" w:rsidP="3ADC9EF0" wp14:paraId="26BAC3E6" wp14:textId="6F17A77F">
      <w:pPr>
        <w:pStyle w:val="ListParagraph"/>
        <w:numPr>
          <w:ilvl w:val="0"/>
          <w:numId w:val="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Currency: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article is quite recent, as it was published in 2024, and it is quite topical to talk about the problem of digital skills in education nowadays. Given that it is a vocational and technical education institution, it is a field that digital skills are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emerging</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a major issue of concern.</w:t>
      </w:r>
    </w:p>
    <w:p xmlns:wp14="http://schemas.microsoft.com/office/word/2010/wordml" w:rsidP="3ADC9EF0" wp14:paraId="65C7D822" wp14:textId="069292D6">
      <w:pPr>
        <w:pStyle w:val="ListParagraph"/>
        <w:numPr>
          <w:ilvl w:val="0"/>
          <w:numId w:val="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Relevance: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source is directly relevant to the study as it discusses collective problem-solving, which is also a major aspect of digital skills, particularly in higher education. It specifically mentions technical and vocational learning that can give you a broader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perspective of your study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the occurrences of digital skills in various learning settings.</w:t>
      </w:r>
    </w:p>
    <w:p xmlns:wp14="http://schemas.microsoft.com/office/word/2010/wordml" w:rsidP="3ADC9EF0" wp14:paraId="6C5DDE07" wp14:textId="01DAEDF2">
      <w:pPr>
        <w:pStyle w:val="ListParagraph"/>
        <w:numPr>
          <w:ilvl w:val="0"/>
          <w:numId w:val="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Authority: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Both writers are highly educated, and their works are published in peer-reviewed journals, so they have knowledge and credentials in the field of digital learning.</w:t>
      </w:r>
    </w:p>
    <w:p xmlns:wp14="http://schemas.microsoft.com/office/word/2010/wordml" w:rsidP="3ADC9EF0" wp14:paraId="1804F289" wp14:textId="43EA8B21">
      <w:pPr>
        <w:pStyle w:val="ListParagraph"/>
        <w:numPr>
          <w:ilvl w:val="0"/>
          <w:numId w:val="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Accuracy: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research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methodology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clear and well outlined. The study uses empirical data and other peer-reviewed materials to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validate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findings. The study is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seemingly rigorous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its evaluation of the digital skills formation grounded in online cooperation.</w:t>
      </w:r>
    </w:p>
    <w:p xmlns:wp14="http://schemas.microsoft.com/office/word/2010/wordml" w:rsidP="3ADC9EF0" wp14:paraId="3CFC7D32" wp14:textId="17459530">
      <w:pPr>
        <w:pStyle w:val="ListParagraph"/>
        <w:numPr>
          <w:ilvl w:val="0"/>
          <w:numId w:val="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Purpose: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academic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objective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this article is to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identify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role of online collaborative problem-solving in the acquisition of digital skills. The research does not promote any agenda since the study relies on the scholarly impact of digital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proficiencies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technical learning.</w:t>
      </w:r>
    </w:p>
    <w:p xmlns:wp14="http://schemas.microsoft.com/office/word/2010/wordml" w:rsidP="3ADC9EF0" wp14:paraId="0A282383" wp14:textId="65CE0F03">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Full reference (Harvard style):</w:t>
      </w:r>
    </w:p>
    <w:p xmlns:wp14="http://schemas.microsoft.com/office/word/2010/wordml" w:rsidP="3ADC9EF0" wp14:paraId="0A6EBD91" wp14:textId="5B4A0DBE">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Luengo-Aravena, D., Cabello, P. and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Bachino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B.R.-M. (2024). Online collaborative problem-solving as a tangible outcome of digital skills in technical and vocational higher education.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Computers and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education</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/Computers &amp;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education</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pp.105079–105079.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://doi.org/10.1016/j.compedu.2024.105079.</w:t>
      </w:r>
    </w:p>
    <w:p xmlns:wp14="http://schemas.microsoft.com/office/word/2010/wordml" w:rsidP="3ADC9EF0" wp14:paraId="7C0471D0" wp14:textId="2AED887B">
      <w:pPr>
        <w:rPr>
          <w:rFonts w:ascii="Arial" w:hAnsi="Arial" w:eastAsia="Arial" w:cs="Arial"/>
        </w:rPr>
      </w:pPr>
    </w:p>
    <w:p xmlns:wp14="http://schemas.microsoft.com/office/word/2010/wordml" w:rsidP="3ADC9EF0" wp14:paraId="392C51E9" wp14:textId="768A5756">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Synthesis of Academic Sources</w:t>
      </w:r>
    </w:p>
    <w:p xmlns:wp14="http://schemas.microsoft.com/office/word/2010/wordml" w:rsidP="3ADC9EF0" wp14:paraId="6047C85F" wp14:textId="40704D85">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similarity between the two sources is the fact that digital skills are needed in higher education, and how E-learning and group problem-solving contribute to developing digital skills. The two sources cite the relevance of digital literacy to the success of students in the contemporary world of education, albeit with a specific focus.</w:t>
      </w:r>
    </w:p>
    <w:p xmlns:wp14="http://schemas.microsoft.com/office/word/2010/wordml" w:rsidP="3ADC9EF0" wp14:paraId="049B4F87" wp14:textId="1B3BCDA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Carabregu-Vokshi</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(2023) discuss E-learning as a digital skill development tool in a post-pandemic world, but Luengo-Aravena et al. (2024) perceive online collaborative problem-solving as the outcome of digital skill development, particularly in technical and vocational education. The first article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provides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macro view of developing digital skills, but the second article covers the micro view of how the learned skills are applied to problem context situations.</w:t>
      </w:r>
    </w:p>
    <w:p xmlns:wp14="http://schemas.microsoft.com/office/word/2010/wordml" w:rsidP="3ADC9EF0" wp14:paraId="0CD3FE52" wp14:textId="0F74D33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When put together, these articles will be a pair that will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demonstrate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fact that digital skills will be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required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not just in individual studies but also in group work and practice in the digital world. Such strategies can support our vision of how the issue of digital literacy can be enhanced in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an individual</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collective levels in higher education.</w:t>
      </w:r>
    </w:p>
    <w:p xmlns:wp14="http://schemas.microsoft.com/office/word/2010/wordml" w:rsidP="3ADC9EF0" wp14:paraId="1ECBFF66" wp14:textId="05471E3E">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Identifying</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a Key Challenge and Opportunity</w:t>
      </w:r>
    </w:p>
    <w:p xmlns:wp14="http://schemas.microsoft.com/office/word/2010/wordml" w:rsidP="3ADC9EF0" wp14:paraId="64679825" wp14:textId="6118846F">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From the two sources:</w:t>
      </w:r>
    </w:p>
    <w:p xmlns:wp14="http://schemas.microsoft.com/office/word/2010/wordml" w:rsidP="3ADC9EF0" wp14:paraId="6783E418" wp14:textId="7DA25ED7">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Key Challenge:</w:t>
      </w:r>
    </w:p>
    <w:p xmlns:wp14="http://schemas.microsoft.com/office/word/2010/wordml" w:rsidP="3ADC9EF0" wp14:paraId="6812AE76" wp14:textId="3679034B">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lack of interaction and effective learning when digital tools are not integrated into the learning process effectively is a problem of digital natives in the digital era,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identified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both sources. According to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Carabregu-Vokshi</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(2023), E-learning may not be enough to ensure skill development without proper pedagogical planning.</w:t>
      </w:r>
    </w:p>
    <w:p xmlns:wp14="http://schemas.microsoft.com/office/word/2010/wordml" w:rsidP="3ADC9EF0" wp14:paraId="225C44BB" wp14:textId="0366594D">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Key Opportunity:</w:t>
      </w:r>
    </w:p>
    <w:p xmlns:wp14="http://schemas.microsoft.com/office/word/2010/wordml" w:rsidP="3ADC9EF0" wp14:paraId="75C7CF68" wp14:textId="46FA3B69">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ability to learn and collaborate online offers freedom and autonomy, which is one of the opportunities.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Properly designed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implemented, digital tools can provide a student with an opportunity to learn alone, collaborate, and more effectively because both sources focus on it.</w:t>
      </w:r>
    </w:p>
    <w:p xmlns:wp14="http://schemas.microsoft.com/office/word/2010/wordml" w:rsidP="3ADC9EF0" wp14:paraId="6755AB50" wp14:textId="52652B1A">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ADC9EF0" wp14:paraId="23FC2EFB" wp14:textId="22530266">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Academic Planning for Component 2</w:t>
      </w:r>
    </w:p>
    <w:p xmlns:wp14="http://schemas.microsoft.com/office/word/2010/wordml" w:rsidP="3ADC9EF0" wp14:paraId="587B0628" wp14:textId="2B197D23">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In Component 2 (1, 000 words), will give priority to:</w:t>
      </w:r>
    </w:p>
    <w:p xmlns:wp14="http://schemas.microsoft.com/office/word/2010/wordml" w:rsidP="3ADC9EF0" wp14:paraId="5F7E6FBB" wp14:textId="1CE0FBFE">
      <w:pPr>
        <w:pStyle w:val="ListParagraph"/>
        <w:numPr>
          <w:ilvl w:val="0"/>
          <w:numId w:val="4"/>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Challenges: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issues of digital overload and engagement should be addressed.</w:t>
      </w:r>
    </w:p>
    <w:p xmlns:wp14="http://schemas.microsoft.com/office/word/2010/wordml" w:rsidP="3ADC9EF0" wp14:paraId="71FF694E" wp14:textId="160810E9">
      <w:pPr>
        <w:pStyle w:val="ListParagraph"/>
        <w:numPr>
          <w:ilvl w:val="0"/>
          <w:numId w:val="4"/>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Opportunities: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 mindful of digital tools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in order to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attain</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individual learning and problem-solving.</w:t>
      </w:r>
    </w:p>
    <w:p xmlns:wp14="http://schemas.microsoft.com/office/word/2010/wordml" w:rsidP="3ADC9EF0" wp14:paraId="056A9D9D" wp14:textId="20771988">
      <w:pPr>
        <w:pStyle w:val="ListParagraph"/>
        <w:numPr>
          <w:ilvl w:val="0"/>
          <w:numId w:val="4"/>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Strategies: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Recommend time management, critical analysis, and active involvement as techniques of adapting to the digital learning environment.</w:t>
      </w:r>
    </w:p>
    <w:p xmlns:wp14="http://schemas.microsoft.com/office/word/2010/wordml" w:rsidP="3ADC9EF0" wp14:paraId="1201EA47" wp14:textId="3256E290">
      <w:pPr>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Timeline</w:t>
      </w:r>
    </w:p>
    <w:tbl>
      <w:tblPr>
        <w:tblStyle w:val="TableNormal"/>
        <w:bidiVisual w:val="0"/>
        <w:tblW w:w="0" w:type="auto"/>
        <w:tblLook w:val="06A0" w:firstRow="1" w:lastRow="0" w:firstColumn="1" w:lastColumn="0" w:noHBand="1" w:noVBand="1"/>
      </w:tblPr>
      <w:tblGrid>
        <w:gridCol w:w="4584"/>
        <w:gridCol w:w="4569"/>
      </w:tblGrid>
      <w:tr w:rsidR="3ADC9EF0" w:rsidTr="3ADC9EF0" w14:paraId="3A870209">
        <w:trPr>
          <w:trHeight w:val="300"/>
        </w:trPr>
        <w:tc>
          <w:tcPr>
            <w:tcW w:w="45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182E7006" w14:textId="13E56EDF">
            <w:pPr>
              <w:spacing w:before="0" w:beforeAutospacing="off" w:after="16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3ADC9EF0" w:rsidR="3ADC9EF0">
              <w:rPr>
                <w:rFonts w:ascii="Arial" w:hAnsi="Arial" w:eastAsia="Arial" w:cs="Arial"/>
                <w:b w:val="1"/>
                <w:bCs w:val="1"/>
                <w:i w:val="0"/>
                <w:iCs w:val="0"/>
                <w:strike w:val="0"/>
                <w:dstrike w:val="0"/>
                <w:color w:val="000000" w:themeColor="text1" w:themeTint="FF" w:themeShade="FF"/>
                <w:sz w:val="24"/>
                <w:szCs w:val="24"/>
                <w:u w:val="none"/>
              </w:rPr>
              <w:t>Task</w:t>
            </w:r>
          </w:p>
        </w:tc>
        <w:tc>
          <w:tcPr>
            <w:tcW w:w="45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57EAAAB0" w14:textId="4655D090">
            <w:pPr>
              <w:spacing w:before="0" w:beforeAutospacing="off" w:after="160" w:afterAutospacing="off"/>
              <w:jc w:val="both"/>
              <w:rPr>
                <w:rFonts w:ascii="Arial" w:hAnsi="Arial" w:eastAsia="Arial" w:cs="Arial"/>
                <w:b w:val="1"/>
                <w:bCs w:val="1"/>
                <w:i w:val="0"/>
                <w:iCs w:val="0"/>
                <w:strike w:val="0"/>
                <w:dstrike w:val="0"/>
                <w:color w:val="000000" w:themeColor="text1" w:themeTint="FF" w:themeShade="FF"/>
                <w:sz w:val="24"/>
                <w:szCs w:val="24"/>
                <w:u w:val="none"/>
              </w:rPr>
            </w:pPr>
            <w:r w:rsidRPr="3ADC9EF0" w:rsidR="3ADC9EF0">
              <w:rPr>
                <w:rFonts w:ascii="Arial" w:hAnsi="Arial" w:eastAsia="Arial" w:cs="Arial"/>
                <w:b w:val="1"/>
                <w:bCs w:val="1"/>
                <w:i w:val="0"/>
                <w:iCs w:val="0"/>
                <w:strike w:val="0"/>
                <w:dstrike w:val="0"/>
                <w:color w:val="000000" w:themeColor="text1" w:themeTint="FF" w:themeShade="FF"/>
                <w:sz w:val="24"/>
                <w:szCs w:val="24"/>
                <w:u w:val="none"/>
              </w:rPr>
              <w:t>Date/ Deadline</w:t>
            </w:r>
          </w:p>
        </w:tc>
      </w:tr>
      <w:tr w:rsidR="3ADC9EF0" w:rsidTr="3ADC9EF0" w14:paraId="0039FC11">
        <w:trPr>
          <w:trHeight w:val="300"/>
        </w:trPr>
        <w:tc>
          <w:tcPr>
            <w:tcW w:w="45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515AFAD3" w14:textId="06C81D4A">
            <w:pPr>
              <w:spacing w:before="0" w:beforeAutospacing="off" w:after="16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3ADC9EF0" w:rsidR="3ADC9EF0">
              <w:rPr>
                <w:rFonts w:ascii="Arial" w:hAnsi="Arial" w:eastAsia="Arial" w:cs="Arial"/>
                <w:b w:val="0"/>
                <w:bCs w:val="0"/>
                <w:i w:val="0"/>
                <w:iCs w:val="0"/>
                <w:strike w:val="0"/>
                <w:dstrike w:val="0"/>
                <w:color w:val="000000" w:themeColor="text1" w:themeTint="FF" w:themeShade="FF"/>
                <w:sz w:val="24"/>
                <w:szCs w:val="24"/>
                <w:u w:val="none"/>
              </w:rPr>
              <w:t>Finish researc</w:t>
            </w:r>
            <w:r w:rsidRPr="3ADC9EF0" w:rsidR="66AEAD1B">
              <w:rPr>
                <w:rFonts w:ascii="Arial" w:hAnsi="Arial" w:eastAsia="Arial" w:cs="Arial"/>
                <w:b w:val="0"/>
                <w:bCs w:val="0"/>
                <w:i w:val="0"/>
                <w:iCs w:val="0"/>
                <w:strike w:val="0"/>
                <w:dstrike w:val="0"/>
                <w:color w:val="000000" w:themeColor="text1" w:themeTint="FF" w:themeShade="FF"/>
                <w:sz w:val="24"/>
                <w:szCs w:val="24"/>
                <w:u w:val="none"/>
              </w:rPr>
              <w:t>h</w:t>
            </w:r>
          </w:p>
        </w:tc>
        <w:tc>
          <w:tcPr>
            <w:tcW w:w="45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51B93D07" w14:textId="7DC768A9">
            <w:pPr>
              <w:spacing w:before="0" w:beforeAutospacing="off" w:after="16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3ADC9EF0" w:rsidR="3ADC9EF0">
              <w:rPr>
                <w:rFonts w:ascii="Arial" w:hAnsi="Arial" w:eastAsia="Arial" w:cs="Arial"/>
                <w:b w:val="0"/>
                <w:bCs w:val="0"/>
                <w:i w:val="0"/>
                <w:iCs w:val="0"/>
                <w:strike w:val="0"/>
                <w:dstrike w:val="0"/>
                <w:color w:val="000000" w:themeColor="text1" w:themeTint="FF" w:themeShade="FF"/>
                <w:sz w:val="24"/>
                <w:szCs w:val="24"/>
                <w:u w:val="none"/>
              </w:rPr>
              <w:t>20-2-2026</w:t>
            </w:r>
          </w:p>
        </w:tc>
      </w:tr>
      <w:tr w:rsidR="3ADC9EF0" w:rsidTr="3ADC9EF0" w14:paraId="01906A78">
        <w:trPr>
          <w:trHeight w:val="300"/>
        </w:trPr>
        <w:tc>
          <w:tcPr>
            <w:tcW w:w="45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71F9B825" w14:textId="07B963E8">
            <w:pPr>
              <w:spacing w:before="0" w:beforeAutospacing="off" w:after="16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3ADC9EF0" w:rsidR="3ADC9EF0">
              <w:rPr>
                <w:rFonts w:ascii="Arial" w:hAnsi="Arial" w:eastAsia="Arial" w:cs="Arial"/>
                <w:b w:val="0"/>
                <w:bCs w:val="0"/>
                <w:i w:val="0"/>
                <w:iCs w:val="0"/>
                <w:strike w:val="0"/>
                <w:dstrike w:val="0"/>
                <w:color w:val="000000" w:themeColor="text1" w:themeTint="FF" w:themeShade="FF"/>
                <w:sz w:val="24"/>
                <w:szCs w:val="24"/>
                <w:u w:val="none"/>
              </w:rPr>
              <w:t>Draft first section</w:t>
            </w:r>
          </w:p>
        </w:tc>
        <w:tc>
          <w:tcPr>
            <w:tcW w:w="45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766B25AA" w14:textId="5C01BD6C">
            <w:pPr>
              <w:spacing w:before="0" w:beforeAutospacing="off" w:after="16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3ADC9EF0" w:rsidR="3ADC9EF0">
              <w:rPr>
                <w:rFonts w:ascii="Arial" w:hAnsi="Arial" w:eastAsia="Arial" w:cs="Arial"/>
                <w:b w:val="0"/>
                <w:bCs w:val="0"/>
                <w:i w:val="0"/>
                <w:iCs w:val="0"/>
                <w:strike w:val="0"/>
                <w:dstrike w:val="0"/>
                <w:color w:val="000000" w:themeColor="text1" w:themeTint="FF" w:themeShade="FF"/>
                <w:sz w:val="24"/>
                <w:szCs w:val="24"/>
                <w:u w:val="none"/>
              </w:rPr>
              <w:t>22-2-2026</w:t>
            </w:r>
          </w:p>
        </w:tc>
      </w:tr>
      <w:tr w:rsidR="3ADC9EF0" w:rsidTr="3ADC9EF0" w14:paraId="235FDE44">
        <w:trPr>
          <w:trHeight w:val="300"/>
        </w:trPr>
        <w:tc>
          <w:tcPr>
            <w:tcW w:w="45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1671E41D" w14:textId="5C6A1DDA">
            <w:pPr>
              <w:spacing w:before="0" w:beforeAutospacing="off" w:after="16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3ADC9EF0" w:rsidR="3ADC9EF0">
              <w:rPr>
                <w:rFonts w:ascii="Arial" w:hAnsi="Arial" w:eastAsia="Arial" w:cs="Arial"/>
                <w:b w:val="0"/>
                <w:bCs w:val="0"/>
                <w:i w:val="0"/>
                <w:iCs w:val="0"/>
                <w:strike w:val="0"/>
                <w:dstrike w:val="0"/>
                <w:color w:val="000000" w:themeColor="text1" w:themeTint="FF" w:themeShade="FF"/>
                <w:sz w:val="24"/>
                <w:szCs w:val="24"/>
                <w:u w:val="none"/>
              </w:rPr>
              <w:t>Complete first draft</w:t>
            </w:r>
          </w:p>
        </w:tc>
        <w:tc>
          <w:tcPr>
            <w:tcW w:w="45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7E844ADE" w14:textId="6CCA432B">
            <w:pPr>
              <w:spacing w:before="0" w:beforeAutospacing="off" w:after="16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3ADC9EF0" w:rsidR="3ADC9EF0">
              <w:rPr>
                <w:rFonts w:ascii="Arial" w:hAnsi="Arial" w:eastAsia="Arial" w:cs="Arial"/>
                <w:b w:val="0"/>
                <w:bCs w:val="0"/>
                <w:i w:val="0"/>
                <w:iCs w:val="0"/>
                <w:strike w:val="0"/>
                <w:dstrike w:val="0"/>
                <w:color w:val="000000" w:themeColor="text1" w:themeTint="FF" w:themeShade="FF"/>
                <w:sz w:val="24"/>
                <w:szCs w:val="24"/>
                <w:u w:val="none"/>
              </w:rPr>
              <w:t>24-2-2026</w:t>
            </w:r>
          </w:p>
        </w:tc>
      </w:tr>
      <w:tr w:rsidR="3ADC9EF0" w:rsidTr="3ADC9EF0" w14:paraId="4133EFC1">
        <w:trPr>
          <w:trHeight w:val="300"/>
        </w:trPr>
        <w:tc>
          <w:tcPr>
            <w:tcW w:w="45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58CDCAF1" w14:textId="20BC92D7">
            <w:pPr>
              <w:spacing w:before="0" w:beforeAutospacing="off" w:after="16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3ADC9EF0" w:rsidR="3ADC9EF0">
              <w:rPr>
                <w:rFonts w:ascii="Arial" w:hAnsi="Arial" w:eastAsia="Arial" w:cs="Arial"/>
                <w:b w:val="0"/>
                <w:bCs w:val="0"/>
                <w:i w:val="0"/>
                <w:iCs w:val="0"/>
                <w:strike w:val="0"/>
                <w:dstrike w:val="0"/>
                <w:color w:val="000000" w:themeColor="text1" w:themeTint="FF" w:themeShade="FF"/>
                <w:sz w:val="24"/>
                <w:szCs w:val="24"/>
                <w:u w:val="none"/>
              </w:rPr>
              <w:t>Final editing</w:t>
            </w:r>
          </w:p>
        </w:tc>
        <w:tc>
          <w:tcPr>
            <w:tcW w:w="45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ADC9EF0" w:rsidP="3ADC9EF0" w:rsidRDefault="3ADC9EF0" w14:paraId="7F7300BB" w14:textId="41F340BA">
            <w:pPr>
              <w:spacing w:before="0" w:beforeAutospacing="off" w:after="160" w:afterAutospacing="off"/>
              <w:jc w:val="both"/>
              <w:rPr>
                <w:rFonts w:ascii="Arial" w:hAnsi="Arial" w:eastAsia="Arial" w:cs="Arial"/>
                <w:b w:val="0"/>
                <w:bCs w:val="0"/>
                <w:i w:val="0"/>
                <w:iCs w:val="0"/>
                <w:strike w:val="0"/>
                <w:dstrike w:val="0"/>
                <w:color w:val="000000" w:themeColor="text1" w:themeTint="FF" w:themeShade="FF"/>
                <w:sz w:val="24"/>
                <w:szCs w:val="24"/>
                <w:u w:val="none"/>
              </w:rPr>
            </w:pPr>
            <w:r w:rsidRPr="3ADC9EF0" w:rsidR="3ADC9EF0">
              <w:rPr>
                <w:rFonts w:ascii="Arial" w:hAnsi="Arial" w:eastAsia="Arial" w:cs="Arial"/>
                <w:b w:val="0"/>
                <w:bCs w:val="0"/>
                <w:i w:val="0"/>
                <w:iCs w:val="0"/>
                <w:strike w:val="0"/>
                <w:dstrike w:val="0"/>
                <w:color w:val="000000" w:themeColor="text1" w:themeTint="FF" w:themeShade="FF"/>
                <w:sz w:val="24"/>
                <w:szCs w:val="24"/>
                <w:u w:val="none"/>
              </w:rPr>
              <w:t>27-2-2026</w:t>
            </w:r>
          </w:p>
        </w:tc>
      </w:tr>
    </w:tbl>
    <w:p xmlns:wp14="http://schemas.microsoft.com/office/word/2010/wordml" w:rsidP="3ADC9EF0" wp14:paraId="5E9070F7" wp14:textId="3B814C44">
      <w:pPr>
        <w:bidi w:val="0"/>
        <w:rPr>
          <w:rFonts w:ascii="Arial" w:hAnsi="Arial" w:eastAsia="Arial" w:cs="Arial"/>
        </w:rPr>
      </w:pPr>
    </w:p>
    <w:p xmlns:wp14="http://schemas.microsoft.com/office/word/2010/wordml" w:rsidP="3ADC9EF0" wp14:paraId="465377D7" wp14:textId="3D687769">
      <w:pPr>
        <w:bidi w:val="0"/>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Reference List – Component 1</w:t>
      </w:r>
    </w:p>
    <w:p xmlns:wp14="http://schemas.microsoft.com/office/word/2010/wordml" w:rsidP="3ADC9EF0" wp14:paraId="0432C100" wp14:textId="3C7C0675">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Carabregu-Vokshi</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Ogruk</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-Maz, G., Yıldırım, S., Dedaj, B. and Zeqiri, A. (2023). 21st century digital skills of higher education students during COVID-19—is it possible to enhance the digital skills of higher education students through E-Learning?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Education and Information Technologies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29.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://doi.org/10.1007/s10639-023-12232-3.</w:t>
      </w:r>
    </w:p>
    <w:p xmlns:wp14="http://schemas.microsoft.com/office/word/2010/wordml" w:rsidP="3ADC9EF0" wp14:paraId="3F1740DE" wp14:textId="1A387C8F">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Luengo-Aravena, D., Cabello, P. and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Bachino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B.R.-M. (2024). Online collaborative problem-solving as a tangible outcome of digital skills in technical and vocational higher education.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Computers and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education</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/Computers &amp;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education</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pp.105079–105079.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://doi.org/10.1016/j.compedu.2024.105079.</w:t>
      </w:r>
    </w:p>
    <w:p xmlns:wp14="http://schemas.microsoft.com/office/word/2010/wordml" w:rsidP="3ADC9EF0" wp14:paraId="45C6667A" wp14:textId="4681F1FA">
      <w:pPr>
        <w:bidi w:val="0"/>
        <w:rPr>
          <w:rFonts w:ascii="Arial" w:hAnsi="Arial" w:eastAsia="Arial" w:cs="Arial"/>
        </w:rPr>
      </w:pPr>
    </w:p>
    <w:p xmlns:wp14="http://schemas.microsoft.com/office/word/2010/wordml" w:rsidP="3ADC9EF0" wp14:paraId="115D2D60" wp14:textId="3F3FF051">
      <w:pPr>
        <w:bidi w:val="0"/>
        <w:rPr>
          <w:rFonts w:ascii="Arial" w:hAnsi="Arial" w:eastAsia="Arial" w:cs="Arial"/>
        </w:rPr>
      </w:pPr>
    </w:p>
    <w:p xmlns:wp14="http://schemas.microsoft.com/office/word/2010/wordml" w:rsidP="3ADC9EF0" wp14:paraId="6E14E95B" wp14:textId="0DB748F7">
      <w:pPr>
        <w:bidi w:val="0"/>
        <w:rPr>
          <w:rFonts w:ascii="Arial" w:hAnsi="Arial" w:eastAsia="Arial" w:cs="Arial"/>
        </w:rPr>
      </w:pPr>
    </w:p>
    <w:p xmlns:wp14="http://schemas.microsoft.com/office/word/2010/wordml" w:rsidP="3ADC9EF0" wp14:paraId="63616477" wp14:textId="38D699CC">
      <w:pPr>
        <w:pStyle w:val="Heading1"/>
        <w:bidi w:val="0"/>
        <w:spacing w:before="360" w:beforeAutospacing="off" w:after="80" w:afterAutospacing="off"/>
        <w:jc w:val="both"/>
        <w:rPr>
          <w:rFonts w:ascii="Arial" w:hAnsi="Arial" w:eastAsia="Arial" w:cs="Arial"/>
          <w:b w:val="0"/>
          <w:bCs w:val="0"/>
          <w:i w:val="0"/>
          <w:iCs w:val="0"/>
          <w:strike w:val="0"/>
          <w:dstrike w:val="0"/>
          <w:noProof w:val="0"/>
          <w:color w:val="0F4761" w:themeColor="accent1" w:themeTint="FF" w:themeShade="BF"/>
          <w:sz w:val="24"/>
          <w:szCs w:val="24"/>
          <w:u w:val="none"/>
          <w:lang w:val="en-US"/>
        </w:rPr>
      </w:pPr>
      <w:r w:rsidRPr="3ADC9EF0" w:rsidR="783432C1">
        <w:rPr>
          <w:rFonts w:ascii="Arial" w:hAnsi="Arial" w:eastAsia="Arial" w:cs="Arial"/>
          <w:b w:val="0"/>
          <w:bCs w:val="0"/>
          <w:i w:val="0"/>
          <w:iCs w:val="0"/>
          <w:strike w:val="0"/>
          <w:dstrike w:val="0"/>
          <w:noProof w:val="0"/>
          <w:color w:val="0F4761" w:themeColor="accent1" w:themeTint="FF" w:themeShade="BF"/>
          <w:sz w:val="24"/>
          <w:szCs w:val="24"/>
          <w:u w:val="none"/>
          <w:lang w:val="en-US"/>
        </w:rPr>
        <w:t>Component</w:t>
      </w:r>
      <w:r w:rsidRPr="3ADC9EF0" w:rsidR="783432C1">
        <w:rPr>
          <w:rFonts w:ascii="Arial" w:hAnsi="Arial" w:eastAsia="Arial" w:cs="Arial"/>
          <w:b w:val="0"/>
          <w:bCs w:val="0"/>
          <w:i w:val="0"/>
          <w:iCs w:val="0"/>
          <w:strike w:val="0"/>
          <w:dstrike w:val="0"/>
          <w:noProof w:val="0"/>
          <w:color w:val="0F4761" w:themeColor="accent1" w:themeTint="FF" w:themeShade="BF"/>
          <w:sz w:val="24"/>
          <w:szCs w:val="24"/>
          <w:u w:val="none"/>
          <w:lang w:val="en-US"/>
        </w:rPr>
        <w:t xml:space="preserve"> 2 – Application of Academic Skills</w:t>
      </w:r>
    </w:p>
    <w:p xmlns:wp14="http://schemas.microsoft.com/office/word/2010/wordml" w:rsidP="3ADC9EF0" wp14:paraId="02828217" wp14:textId="531EF4CD">
      <w:pPr>
        <w:bidi w:val="0"/>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Introduction</w:t>
      </w:r>
    </w:p>
    <w:p xmlns:wp14="http://schemas.microsoft.com/office/word/2010/wordml" w:rsidP="3ADC9EF0" wp14:paraId="0D0A5382" wp14:textId="7D07E27B">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Digital learning has become a new reality of higher education, especially since the onset of the COVID-19 pandemic that enhanced the pace at which online learning platforms are adopted. The digital tools are also entering the curricula of universities and colleges, and students can now access learning materials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and also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interact with their teacher and colleagues virtually. This transformation has radically transformed the traditional system of pedagogy that requires the learning of new digital skills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in order to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become successful. The students must be taught to accept the challenges and opportunities that are presented with this transition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in order to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survive in the digital age.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academic</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success can be compromised because of such challenges as digital overload and unequal access to technology. The opportunities, including the possibility of accessing more resources, personalization of learning, and joint online resources, may be used, in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their turn</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increase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engagement</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acquisition of skills. In the present report, the problems and prospects presented by digital learning will be discussed, and recommendations provided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regarding</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 students could adjust and succeed. </w:t>
      </w:r>
    </w:p>
    <w:p xmlns:wp14="http://schemas.microsoft.com/office/word/2010/wordml" w:rsidP="3ADC9EF0" wp14:paraId="62A141D3" wp14:textId="1BA9AD43">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ADC9EF0" wp14:paraId="291C460E" wp14:textId="4B15341B">
      <w:pPr>
        <w:bidi w:val="0"/>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Challenges for Students in the Digital Era</w:t>
      </w:r>
    </w:p>
    <w:p xmlns:wp14="http://schemas.microsoft.com/office/word/2010/wordml" w:rsidP="3ADC9EF0" wp14:paraId="735585ED" wp14:textId="17CD102D">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digital overload is also among the significant issues facing students in the digital age. With the level of information available on the internet, the students tend to experience cognitive overload because they are expected to multitask across different websites. Research by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Bakama</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(2022) also shows that excessive use of screens and the constant alternation of tasks can negatively affect the concentration and memorization of learners. The second issue is that digital resources are not equally distributed. It is true that some students have the advantage of high-speed internet and the latest gadgets, but the rest of the students, the impoverished students, are also confronted with the challenge of digital accessibility.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DeMatthews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(2021) found that digital literacy is not a priority at all because many students lack the ability to sufficiently use online learning platforms. These problems can have a significant impact on the functioning of the school as they will not be able to schedule their time and pursue academic resources. </w:t>
      </w:r>
    </w:p>
    <w:p xmlns:wp14="http://schemas.microsoft.com/office/word/2010/wordml" w:rsidP="3ADC9EF0" wp14:paraId="1E746B3B" wp14:textId="2BC8527C">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issues were debated in the classroom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regarding</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need to critically assess and have digital literacy as the most important skill to overcome the challenges. The students would also be able to navigate more effectively in the digital world and focus on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good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instead of lots of information offered through these skills. </w:t>
      </w:r>
    </w:p>
    <w:p xmlns:wp14="http://schemas.microsoft.com/office/word/2010/wordml" w:rsidP="3ADC9EF0" wp14:paraId="68D6D61A" wp14:textId="0BDA9A6B">
      <w:pPr>
        <w:bidi w:val="0"/>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Opportunities in the Digital Era</w:t>
      </w:r>
    </w:p>
    <w:p xmlns:wp14="http://schemas.microsoft.com/office/word/2010/wordml" w:rsidP="3ADC9EF0" wp14:paraId="64A3E0C6" wp14:textId="3966F704">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However, the challenges are not the only ones; there are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numerous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opportunities that digital learning has to offer to the students. Some of the opportunities include the flexibility of online learning platforms in which students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are able to</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read the materials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at</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their own environments without consideration of time and place. Jiang's (2023) study found that the flexible learning environment brings more autonomy to students and results in higher retention levels of students due to their ability to study when it suits them and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repeat</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same when they feel the need to do so.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second opportunity is to solve problems collectively, which could be offered with the assistance of digital technologies, such as discussion forums and common documents as well.</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Luengo-Aravena et al. (2024) emphasize the aspect of online collaborative learning, whereby students are taught to think critically and communicate, which is crucial for success in academic and work-related scenarios. </w:t>
      </w:r>
    </w:p>
    <w:p xmlns:wp14="http://schemas.microsoft.com/office/word/2010/wordml" w:rsidP="3ADC9EF0" wp14:paraId="2B17612B" wp14:textId="7DBDC01E">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However, the effectiveness of such opportunities will depend upon how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digital</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tools are integrated into the learning process. It is necessary to mention that despite the positive aspects of flexible learning, students need to be provided with guided instructions (Luan et al., 2023). In this connection, the digital tools potential could be fulfilled only in the purposeful and clearly justified use.</w:t>
      </w:r>
    </w:p>
    <w:p xmlns:wp14="http://schemas.microsoft.com/office/word/2010/wordml" w:rsidP="3ADC9EF0" wp14:paraId="385FCA91" wp14:textId="737E11BA">
      <w:pPr>
        <w:bidi w:val="0"/>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How Students Can Adapt to Succeed</w:t>
      </w:r>
    </w:p>
    <w:p xmlns:wp14="http://schemas.microsoft.com/office/word/2010/wordml" w:rsidP="3ADC9EF0" wp14:paraId="50373A4E" wp14:textId="67CC2445">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To succeed in the digital era, students must learn to devise strategies of adapting to the challenges and make the most out of the opportunities digital learning is offering them. Three strategies are quite efficient, and they are:</w:t>
      </w:r>
    </w:p>
    <w:p xmlns:wp14="http://schemas.microsoft.com/office/word/2010/wordml" w:rsidP="3ADC9EF0" wp14:paraId="632F7CFF" wp14:textId="18C909D6">
      <w:pPr>
        <w:pStyle w:val="ListParagraph"/>
        <w:numPr>
          <w:ilvl w:val="0"/>
          <w:numId w:val="5"/>
        </w:numPr>
        <w:bidi w:val="0"/>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Time Management and Planning</w:t>
      </w:r>
    </w:p>
    <w:p xmlns:wp14="http://schemas.microsoft.com/office/word/2010/wordml" w:rsidP="3ADC9EF0" wp14:paraId="074C7BBC" wp14:textId="4B6F5A2D">
      <w:pPr>
        <w:pStyle w:val="ListParagraph"/>
        <w:numPr>
          <w:ilvl w:val="0"/>
          <w:numId w:val="6"/>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Strategy: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Such digital aids as a Pomodoro timer, a to-do list, and a calendar can also be helpful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to split</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tasks into smaller portions. </w:t>
      </w:r>
    </w:p>
    <w:p xmlns:wp14="http://schemas.microsoft.com/office/word/2010/wordml" w:rsidP="3ADC9EF0" wp14:paraId="61695668" wp14:textId="2D51892B">
      <w:pPr>
        <w:pStyle w:val="ListParagraph"/>
        <w:numPr>
          <w:ilvl w:val="0"/>
          <w:numId w:val="6"/>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Academic Skill Acquired: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Time management and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organisation</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ADC9EF0" wp14:paraId="29CA778F" wp14:textId="7D19FB54">
      <w:pPr>
        <w:pStyle w:val="ListParagraph"/>
        <w:numPr>
          <w:ilvl w:val="0"/>
          <w:numId w:val="6"/>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Addressing Challenges: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given strategy will contribute to the solution of the issue of digital overload and enable students to spend their time effectively and focus on one task at a time.</w:t>
      </w:r>
    </w:p>
    <w:p xmlns:wp14="http://schemas.microsoft.com/office/word/2010/wordml" w:rsidP="3ADC9EF0" wp14:paraId="7A489471" wp14:textId="5DF73D86">
      <w:pPr>
        <w:pStyle w:val="ListParagraph"/>
        <w:numPr>
          <w:ilvl w:val="0"/>
          <w:numId w:val="6"/>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Supporting Evidence: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explained by the study undertaken</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Luan et al. (2023), time management assists in improving academic performance in digital learning settings through the application of structured time management.</w:t>
      </w:r>
    </w:p>
    <w:p xmlns:wp14="http://schemas.microsoft.com/office/word/2010/wordml" w:rsidP="3ADC9EF0" wp14:paraId="5E809324" wp14:textId="0B13B7CB">
      <w:pPr>
        <w:pStyle w:val="ListParagraph"/>
        <w:numPr>
          <w:ilvl w:val="0"/>
          <w:numId w:val="7"/>
        </w:numPr>
        <w:bidi w:val="0"/>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The Critical Evaluation of the Sources</w:t>
      </w:r>
    </w:p>
    <w:p xmlns:wp14="http://schemas.microsoft.com/office/word/2010/wordml" w:rsidP="3ADC9EF0" wp14:paraId="77EED6EA" wp14:textId="75CE0902">
      <w:pPr>
        <w:pStyle w:val="ListParagraph"/>
        <w:numPr>
          <w:ilvl w:val="0"/>
          <w:numId w:val="8"/>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Strategy: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Online resources should be evaluated with the help of CRAAP (Currency, Relevance, Authority, Accuracy, Purpose) criteria.</w:t>
      </w:r>
    </w:p>
    <w:p xmlns:wp14="http://schemas.microsoft.com/office/word/2010/wordml" w:rsidP="3ADC9EF0" wp14:paraId="3CE51312" wp14:textId="4EF0D3C2">
      <w:pPr>
        <w:pStyle w:val="ListParagraph"/>
        <w:numPr>
          <w:ilvl w:val="0"/>
          <w:numId w:val="8"/>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Academic Skill Acquired: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Digital literacy and critical thinking.</w:t>
      </w:r>
    </w:p>
    <w:p xmlns:wp14="http://schemas.microsoft.com/office/word/2010/wordml" w:rsidP="3ADC9EF0" wp14:paraId="035F0176" wp14:textId="265F0E4F">
      <w:pPr>
        <w:pStyle w:val="ListParagraph"/>
        <w:numPr>
          <w:ilvl w:val="0"/>
          <w:numId w:val="8"/>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Addressing Challenges: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strategy will combat unfair access to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good resources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making sure that students can distinguish between good and bad information.</w:t>
      </w:r>
    </w:p>
    <w:p xmlns:wp14="http://schemas.microsoft.com/office/word/2010/wordml" w:rsidP="3ADC9EF0" wp14:paraId="27CB40B4" wp14:textId="04F9AB0C">
      <w:pPr>
        <w:pStyle w:val="ListParagraph"/>
        <w:numPr>
          <w:ilvl w:val="0"/>
          <w:numId w:val="8"/>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Supporting Evidence: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DeMatthews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(2021)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observe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in academic source management, digital literacy is critical in the realization of academic success which is critical.</w:t>
      </w:r>
    </w:p>
    <w:p xmlns:wp14="http://schemas.microsoft.com/office/word/2010/wordml" w:rsidP="3ADC9EF0" wp14:paraId="28E14985" wp14:textId="47A3B8C8">
      <w:pPr>
        <w:pStyle w:val="ListParagraph"/>
        <w:numPr>
          <w:ilvl w:val="0"/>
          <w:numId w:val="9"/>
        </w:numPr>
        <w:bidi w:val="0"/>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Active Online Participation</w:t>
      </w:r>
    </w:p>
    <w:p xmlns:wp14="http://schemas.microsoft.com/office/word/2010/wordml" w:rsidP="3ADC9EF0" wp14:paraId="38DFA06E" wp14:textId="7077C09B">
      <w:pPr>
        <w:pStyle w:val="ListParagraph"/>
        <w:numPr>
          <w:ilvl w:val="0"/>
          <w:numId w:val="10"/>
        </w:numPr>
        <w:bidi w:val="0"/>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Strategy: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 involved in online discussion forums, group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projects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collaborative tools to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facilitate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learning through interpersonal interaction with other students and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instructors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p>
    <w:p xmlns:wp14="http://schemas.microsoft.com/office/word/2010/wordml" w:rsidP="3ADC9EF0" wp14:paraId="1AE3CE04" wp14:textId="00AE51F4">
      <w:pPr>
        <w:pStyle w:val="ListParagraph"/>
        <w:numPr>
          <w:ilvl w:val="0"/>
          <w:numId w:val="10"/>
        </w:numPr>
        <w:bidi w:val="0"/>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Acquired</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Academic </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skill</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Teamwork and communication.</w:t>
      </w: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p>
    <w:p xmlns:wp14="http://schemas.microsoft.com/office/word/2010/wordml" w:rsidP="3ADC9EF0" wp14:paraId="316AAC66" wp14:textId="4BA9A33A">
      <w:pPr>
        <w:pStyle w:val="ListParagraph"/>
        <w:numPr>
          <w:ilvl w:val="0"/>
          <w:numId w:val="10"/>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Addressing Opportunities: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this plan,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digital</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learning will be exploited to result in problem-solving abilities and critical thinking skills. </w:t>
      </w:r>
    </w:p>
    <w:p xmlns:wp14="http://schemas.microsoft.com/office/word/2010/wordml" w:rsidP="3ADC9EF0" wp14:paraId="3C15D390" wp14:textId="41C179C2">
      <w:pPr>
        <w:pStyle w:val="ListParagraph"/>
        <w:numPr>
          <w:ilvl w:val="0"/>
          <w:numId w:val="10"/>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Supporting Evidence: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evidence presented by Luengo-Aravena et al. (2024) conforms to the notion that active participation in collaborative learning systems leads to improved engagement and higher academic achievements. </w:t>
      </w:r>
    </w:p>
    <w:p xmlns:wp14="http://schemas.microsoft.com/office/word/2010/wordml" w:rsidP="3ADC9EF0" wp14:paraId="6FBA6DDD" wp14:textId="7C5E5CEB">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These strategies will help the students to overcome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the digital</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problems, and they will be in a position to utilize the full advantages of digital learning. </w:t>
      </w:r>
    </w:p>
    <w:p xmlns:wp14="http://schemas.microsoft.com/office/word/2010/wordml" w:rsidP="3ADC9EF0" wp14:paraId="71F8489C" wp14:textId="28DA50EB">
      <w:pPr>
        <w:bidi w:val="0"/>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Conclusion </w:t>
      </w:r>
    </w:p>
    <w:p xmlns:wp14="http://schemas.microsoft.com/office/word/2010/wordml" w:rsidP="3ADC9EF0" wp14:paraId="5FD70D4B" wp14:textId="119DD08D">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conclusion, there are challenges and opportunities in the digital age in higher education among students. Digital overload and unequal access to digital resources also constitute some of the greatest challenges that can disrupt academic performance. However, the opportunity to enhance student engagement and achievement can be taken with a flexible learning environment and interaction of students in problem-solving. The things that will make the students effective include time management, critical evaluation of sources, and active internet usage. By creating these kinds of strategies, digital challenges will succumb to the hands of the students, and the benefits of digital learning will be fully harnessed, which will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ultimately lead</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improved performance in the digital world.</w:t>
      </w:r>
    </w:p>
    <w:p xmlns:wp14="http://schemas.microsoft.com/office/word/2010/wordml" w:rsidP="3ADC9EF0" wp14:paraId="0168D571" wp14:textId="10B8B0A4">
      <w:pPr>
        <w:bidi w:val="0"/>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Reference List – Component 2</w:t>
      </w:r>
    </w:p>
    <w:p xmlns:wp14="http://schemas.microsoft.com/office/word/2010/wordml" w:rsidP="3ADC9EF0" wp14:paraId="095F5984" wp14:textId="1AF81388">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Bakama</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E.M.,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Mukwakungu</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S.C., and Sukdeo, N. (2022). Digital Learning Readiness of Higher Education Institutions in the 4IR Era during the COVID-19 pandemic: Case of a University in South Africa.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2022 IEEE 28th International Conference on Engineering,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Technology</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and Innovation (ICE/ITMC) &amp; 31st International Association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For</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Management of Technology (IAMOT) Joint Conference</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://doi.org/10.1109/ice/itmc-iamot55089.2022.10033152.</w:t>
      </w:r>
    </w:p>
    <w:p xmlns:wp14="http://schemas.microsoft.com/office/word/2010/wordml" w:rsidP="3ADC9EF0" wp14:paraId="1D2FA720" wp14:textId="01464553">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DeMatthews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 Reyes, P., Solis Rodriguez, J., and Knight, D. (2021). Principal Perceptions of the Distance Learning Transition During the Pandemic.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Educational Policy</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37(3), p.089590482110494.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w:t>
      </w:r>
      <w:hyperlink r:id="R5e3025b0a6a944e0">
        <w:r w:rsidRPr="3ADC9EF0" w:rsidR="783432C1">
          <w:rPr>
            <w:rStyle w:val="Hyperlink"/>
            <w:rFonts w:ascii="Arial" w:hAnsi="Arial" w:eastAsia="Arial" w:cs="Arial"/>
            <w:b w:val="0"/>
            <w:bCs w:val="0"/>
            <w:i w:val="0"/>
            <w:iCs w:val="0"/>
            <w:strike w:val="0"/>
            <w:dstrike w:val="0"/>
            <w:noProof w:val="0"/>
            <w:color w:val="1155CC"/>
            <w:sz w:val="24"/>
            <w:szCs w:val="24"/>
            <w:u w:val="none"/>
            <w:lang w:val="en-US"/>
          </w:rPr>
          <w:t>https://doi.org/10.1177/08959048211049421</w:t>
        </w:r>
      </w:hyperlink>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ADC9EF0" wp14:paraId="45C46291" wp14:textId="4B6469EB">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Jiang (George), L. (2023). Multilingual youths’ digital activism through multimodal composing in the post-pandemic era.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Journal of Multilingual and Multicultural Development</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pp</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.1</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–17.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w:t>
      </w:r>
      <w:hyperlink r:id="Rc6ab5993cdbb4e7c">
        <w:r w:rsidRPr="3ADC9EF0" w:rsidR="783432C1">
          <w:rPr>
            <w:rStyle w:val="Hyperlink"/>
            <w:rFonts w:ascii="Arial" w:hAnsi="Arial" w:eastAsia="Arial" w:cs="Arial"/>
            <w:b w:val="0"/>
            <w:bCs w:val="0"/>
            <w:i w:val="0"/>
            <w:iCs w:val="0"/>
            <w:strike w:val="0"/>
            <w:dstrike w:val="0"/>
            <w:noProof w:val="0"/>
            <w:color w:val="1155CC"/>
            <w:sz w:val="24"/>
            <w:szCs w:val="24"/>
            <w:u w:val="none"/>
            <w:lang w:val="en-US"/>
          </w:rPr>
          <w:t>https://doi.org/10.1080/01434632.2023.2181353</w:t>
        </w:r>
      </w:hyperlink>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ADC9EF0" wp14:paraId="4A5B2A9F" wp14:textId="1EF6C198">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Luan, L., Yi, Y., Hwang, G., Dong, Y., Jing, B., and Liu, J. (2023). Facilitating EFL learners’ willingness to communicate amidst the pandemic: a digital storytelling-based online flipped learning approach.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Innovation in Language Learning and Teaching</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pp</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.1</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–16.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://doi.org/10.1080/17501229.2023.2241436.</w:t>
      </w:r>
    </w:p>
    <w:p xmlns:wp14="http://schemas.microsoft.com/office/word/2010/wordml" w:rsidP="3ADC9EF0" wp14:paraId="36EB9B40" wp14:textId="4950C5F2">
      <w:pPr>
        <w:pStyle w:val="Heading1"/>
        <w:bidi w:val="0"/>
        <w:rPr>
          <w:rFonts w:ascii="Arial" w:hAnsi="Arial" w:eastAsia="Arial" w:cs="Arial"/>
          <w:b w:val="1"/>
          <w:bCs w:val="1"/>
          <w:i w:val="0"/>
          <w:iCs w:val="0"/>
          <w:strike w:val="0"/>
          <w:dstrike w:val="0"/>
          <w:noProof w:val="0"/>
          <w:color w:val="0F4761" w:themeColor="accent1" w:themeTint="FF" w:themeShade="BF"/>
          <w:sz w:val="24"/>
          <w:szCs w:val="24"/>
          <w:u w:val="none"/>
          <w:lang w:val="en-US"/>
        </w:rPr>
      </w:pPr>
      <w:r w:rsidRPr="3ADC9EF0" w:rsidR="783432C1">
        <w:rPr>
          <w:rFonts w:ascii="Arial" w:hAnsi="Arial" w:eastAsia="Arial" w:cs="Arial"/>
          <w:b w:val="1"/>
          <w:bCs w:val="1"/>
          <w:i w:val="0"/>
          <w:iCs w:val="0"/>
          <w:strike w:val="0"/>
          <w:dstrike w:val="0"/>
          <w:noProof w:val="0"/>
          <w:color w:val="0F4761" w:themeColor="accent1" w:themeTint="FF" w:themeShade="BF"/>
          <w:sz w:val="24"/>
          <w:szCs w:val="24"/>
          <w:u w:val="none"/>
          <w:lang w:val="en-US"/>
        </w:rPr>
        <w:t>Component</w:t>
      </w:r>
      <w:r w:rsidRPr="3ADC9EF0" w:rsidR="783432C1">
        <w:rPr>
          <w:rFonts w:ascii="Arial" w:hAnsi="Arial" w:eastAsia="Arial" w:cs="Arial"/>
          <w:b w:val="1"/>
          <w:bCs w:val="1"/>
          <w:i w:val="0"/>
          <w:iCs w:val="0"/>
          <w:strike w:val="0"/>
          <w:dstrike w:val="0"/>
          <w:noProof w:val="0"/>
          <w:color w:val="0F4761" w:themeColor="accent1" w:themeTint="FF" w:themeShade="BF"/>
          <w:sz w:val="24"/>
          <w:szCs w:val="24"/>
          <w:u w:val="none"/>
          <w:lang w:val="en-US"/>
        </w:rPr>
        <w:t xml:space="preserve"> 3 – Academic Poster</w:t>
      </w:r>
    </w:p>
    <w:p xmlns:wp14="http://schemas.microsoft.com/office/word/2010/wordml" w:rsidP="3ADC9EF0" wp14:paraId="2915AC76" wp14:textId="1E1C38F1">
      <w:pPr>
        <w:bidi w:val="0"/>
        <w:spacing w:before="0" w:beforeAutospacing="off" w:after="160" w:afterAutospacing="off"/>
        <w:jc w:val="center"/>
        <w:rPr>
          <w:rFonts w:ascii="Arial" w:hAnsi="Arial" w:eastAsia="Arial" w:cs="Arial"/>
        </w:rPr>
      </w:pPr>
      <w:r w:rsidR="783432C1">
        <w:drawing>
          <wp:inline xmlns:wp14="http://schemas.microsoft.com/office/word/2010/wordprocessingDrawing" wp14:editId="763E3488" wp14:anchorId="5DB7820D">
            <wp:extent cx="6496050" cy="9572625"/>
            <wp:effectExtent l="0" t="0" r="0" b="0"/>
            <wp:docPr id="703779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3779304" name="Picture 703779304"/>
                    <pic:cNvPicPr/>
                  </pic:nvPicPr>
                  <pic:blipFill>
                    <a:blip xmlns:r="http://schemas.openxmlformats.org/officeDocument/2006/relationships" r:embed="rId2025526967">
                      <a:extLst>
                        <a:ext uri="{28A0092B-C50C-407E-A947-70E740481C1C}">
                          <a14:useLocalDpi xmlns:a14="http://schemas.microsoft.com/office/drawing/2010/main"/>
                        </a:ext>
                      </a:extLst>
                    </a:blip>
                    <a:stretch>
                      <a:fillRect/>
                    </a:stretch>
                  </pic:blipFill>
                  <pic:spPr>
                    <a:xfrm>
                      <a:off x="0" y="0"/>
                      <a:ext cx="6496050" cy="9572625"/>
                    </a:xfrm>
                    <a:prstGeom prst="rect">
                      <a:avLst/>
                    </a:prstGeom>
                  </pic:spPr>
                </pic:pic>
              </a:graphicData>
            </a:graphic>
          </wp:inline>
        </w:drawing>
      </w:r>
    </w:p>
    <w:p xmlns:wp14="http://schemas.microsoft.com/office/word/2010/wordml" w:rsidP="3ADC9EF0" wp14:paraId="2427CCCA" wp14:textId="0EA5F10E">
      <w:pPr>
        <w:bidi w:val="0"/>
        <w:spacing w:before="0" w:beforeAutospacing="off" w:after="16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1"/>
          <w:bCs w:val="1"/>
          <w:i w:val="0"/>
          <w:iCs w:val="0"/>
          <w:strike w:val="0"/>
          <w:dstrike w:val="0"/>
          <w:noProof w:val="0"/>
          <w:color w:val="000000" w:themeColor="text1" w:themeTint="FF" w:themeShade="FF"/>
          <w:sz w:val="24"/>
          <w:szCs w:val="24"/>
          <w:u w:val="none"/>
          <w:lang w:val="en-US"/>
        </w:rPr>
        <w:t>Reference List – Component 3</w:t>
      </w:r>
    </w:p>
    <w:p xmlns:wp14="http://schemas.microsoft.com/office/word/2010/wordml" w:rsidP="3ADC9EF0" wp14:paraId="59B9BF96" wp14:textId="38475374">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Alias, N.F. and Razak, R.A. (2024). Revolutionizing learning in the digital age: a systematic literature review of microlearning strategies.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Interactive learning environments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pp</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.1</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–21.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://doi.org/10.1080/10494820.2024.2331638.</w:t>
      </w:r>
    </w:p>
    <w:p xmlns:wp14="http://schemas.microsoft.com/office/word/2010/wordml" w:rsidP="3ADC9EF0" wp14:paraId="29464E99" wp14:textId="73567070">
      <w:pPr>
        <w:bidi w:val="0"/>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Gür, D. and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Türel</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Y.K. (2022). Parenting in the digital age: Attitudes,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controls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limitations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regarding</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children’s use of ICT.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Computers &amp; Education</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183, p.104504.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://doi.org/10.1016/j.compedu.2022.104504.</w:t>
      </w:r>
    </w:p>
    <w:p xmlns:wp14="http://schemas.microsoft.com/office/word/2010/wordml" w:rsidP="3ADC9EF0" wp14:paraId="2C078E63" wp14:textId="78F7375B">
      <w:pPr>
        <w:pStyle w:val="Normal"/>
        <w:bidi w:val="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Zhang,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M.</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Chen, W. (2022). Assessing collaborative writing in the digital age: An exploratory study. </w:t>
      </w:r>
      <w:r w:rsidRPr="3ADC9EF0" w:rsidR="783432C1">
        <w:rPr>
          <w:rFonts w:ascii="Arial" w:hAnsi="Arial" w:eastAsia="Arial" w:cs="Arial"/>
          <w:b w:val="0"/>
          <w:bCs w:val="0"/>
          <w:i w:val="1"/>
          <w:iCs w:val="1"/>
          <w:strike w:val="0"/>
          <w:dstrike w:val="0"/>
          <w:noProof w:val="0"/>
          <w:color w:val="000000" w:themeColor="text1" w:themeTint="FF" w:themeShade="FF"/>
          <w:sz w:val="24"/>
          <w:szCs w:val="24"/>
          <w:u w:val="none"/>
          <w:lang w:val="en-US"/>
        </w:rPr>
        <w:t>Journal of Second Language Writing</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p.100868. </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doi:https</w:t>
      </w:r>
      <w:r w:rsidRPr="3ADC9EF0" w:rsidR="783432C1">
        <w:rPr>
          <w:rFonts w:ascii="Arial" w:hAnsi="Arial" w:eastAsia="Arial" w:cs="Arial"/>
          <w:b w:val="0"/>
          <w:bCs w:val="0"/>
          <w:i w:val="0"/>
          <w:iCs w:val="0"/>
          <w:strike w:val="0"/>
          <w:dstrike w:val="0"/>
          <w:noProof w:val="0"/>
          <w:color w:val="000000" w:themeColor="text1" w:themeTint="FF" w:themeShade="FF"/>
          <w:sz w:val="24"/>
          <w:szCs w:val="24"/>
          <w:u w:val="none"/>
          <w:lang w:val="en-US"/>
        </w:rPr>
        <w:t>://doi.org/10.1016/j.jslw.2022.100868.</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56d4f8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5a491d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8bb85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31b45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b6c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39b96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a542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76ec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07e8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58f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A7F4B8"/>
    <w:rsid w:val="0410B1B3"/>
    <w:rsid w:val="08E1A2E4"/>
    <w:rsid w:val="09A7F4B8"/>
    <w:rsid w:val="09F7D51A"/>
    <w:rsid w:val="0A31F550"/>
    <w:rsid w:val="0DA997B2"/>
    <w:rsid w:val="0DA997B2"/>
    <w:rsid w:val="193E99A8"/>
    <w:rsid w:val="1C161871"/>
    <w:rsid w:val="24DFCEDC"/>
    <w:rsid w:val="27FA15FF"/>
    <w:rsid w:val="27FA15FF"/>
    <w:rsid w:val="3161483B"/>
    <w:rsid w:val="3ADC9EF0"/>
    <w:rsid w:val="3C152747"/>
    <w:rsid w:val="3D5905AE"/>
    <w:rsid w:val="4088972C"/>
    <w:rsid w:val="40A670FF"/>
    <w:rsid w:val="40E9605D"/>
    <w:rsid w:val="40E9605D"/>
    <w:rsid w:val="40FA9CFF"/>
    <w:rsid w:val="417849D5"/>
    <w:rsid w:val="430826F3"/>
    <w:rsid w:val="430826F3"/>
    <w:rsid w:val="4C1B6431"/>
    <w:rsid w:val="4E447A77"/>
    <w:rsid w:val="5486236A"/>
    <w:rsid w:val="5C81CE0F"/>
    <w:rsid w:val="66AEAD1B"/>
    <w:rsid w:val="67DEEE49"/>
    <w:rsid w:val="69ED2584"/>
    <w:rsid w:val="6EAFCF73"/>
    <w:rsid w:val="783432C1"/>
    <w:rsid w:val="7B6497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F4B8"/>
  <w15:chartTrackingRefBased/>
  <w15:docId w15:val="{253296B0-8529-429A-A589-F91290D229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ADC9EF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ADC9EF0"/>
    <w:pPr>
      <w:spacing/>
      <w:ind w:left="720"/>
      <w:contextualSpacing/>
    </w:pPr>
  </w:style>
  <w:style w:type="character" w:styleId="Hyperlink">
    <w:uiPriority w:val="99"/>
    <w:name w:val="Hyperlink"/>
    <w:basedOn w:val="DefaultParagraphFont"/>
    <w:unhideWhenUsed/>
    <w:rsid w:val="3ADC9EF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49588521" /><Relationship Type="http://schemas.openxmlformats.org/officeDocument/2006/relationships/hyperlink" Target="https://chatgpt.com/" TargetMode="External" Id="R1bcef59573bb4824" /><Relationship Type="http://schemas.openxmlformats.org/officeDocument/2006/relationships/hyperlink" Target="https://doi.org/10.1177/08959048211049421" TargetMode="External" Id="R5e3025b0a6a944e0" /><Relationship Type="http://schemas.openxmlformats.org/officeDocument/2006/relationships/hyperlink" Target="https://doi.org/10.1080/01434632.2023.2181353" TargetMode="External" Id="Rc6ab5993cdbb4e7c" /><Relationship Type="http://schemas.openxmlformats.org/officeDocument/2006/relationships/image" Target="/media/image2.png" Id="rId2025526967" /><Relationship Type="http://schemas.openxmlformats.org/officeDocument/2006/relationships/numbering" Target="numbering.xml" Id="R6452350bb80a42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2026-02-27T20:35:04.2069460Z</dcterms:created>
  <dcterms:modified xsi:type="dcterms:W3CDTF">2026-02-27T20:59:20.9193869Z</dcterms:modified>
  <dc:creator>Alexandra Nicoleta Cirjoi (1919382)</dc:creator>
  <lastModifiedBy>Alexandra Nicoleta Cirjoi (1919382)</lastModifiedBy>
</coreProperties>
</file>