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44D4A" w:rsidP="007A4424" w:rsidRDefault="007A4424" w14:paraId="6203376C" w14:textId="77777777">
      <w:pPr>
        <w:jc w:val="center"/>
      </w:pPr>
      <w:r>
        <w:t>Introduction to Public Health</w:t>
      </w:r>
    </w:p>
    <w:p w:rsidR="007A4424" w:rsidP="007A4424" w:rsidRDefault="007A4424" w14:paraId="307203C6" w14:textId="77777777">
      <w:pPr>
        <w:jc w:val="center"/>
      </w:pPr>
      <w:r>
        <w:t>Measles</w:t>
      </w:r>
    </w:p>
    <w:p w:rsidR="00962BF7" w:rsidP="48E9FAEB" w:rsidRDefault="00962BF7" w14:paraId="0B12E89A" w14:noSpellErr="1" w14:textId="1F04AFF8">
      <w:pPr>
        <w:pStyle w:val="Normal"/>
        <w:jc w:val="center"/>
      </w:pPr>
    </w:p>
    <w:p w:rsidR="00962BF7" w:rsidP="007A4424" w:rsidRDefault="00962BF7" w14:paraId="0711050A" w14:textId="32FAF62C"/>
    <w:p w:rsidR="00DC2908" w:rsidP="007A4424" w:rsidRDefault="00DC2908" w14:paraId="6833DDC4" w14:textId="3159A86B">
      <w:r w:rsidR="544896C0">
        <w:rPr/>
        <w:t xml:space="preserve">  </w:t>
      </w:r>
      <w:r w:rsidR="00962BF7">
        <w:rPr/>
        <w:t xml:space="preserve">This assignment will discuss the role of Public Health Wales </w:t>
      </w:r>
      <w:r w:rsidR="00DC2908">
        <w:rPr/>
        <w:t>in</w:t>
      </w:r>
      <w:r w:rsidR="00962BF7">
        <w:rPr/>
        <w:t xml:space="preserve"> the prevention and treatment of communicable diseases with a specific focus on measles.</w:t>
      </w:r>
      <w:r w:rsidR="00962BF7">
        <w:rPr/>
        <w:t xml:space="preserve"> Key definitions and statistics will be discussed and evaluated. Policies, </w:t>
      </w:r>
      <w:r w:rsidR="00DC2908">
        <w:rPr/>
        <w:t>procedures</w:t>
      </w:r>
      <w:r w:rsidR="70500B98">
        <w:rPr/>
        <w:t>,</w:t>
      </w:r>
      <w:r w:rsidR="00962BF7">
        <w:rPr/>
        <w:t xml:space="preserve"> and </w:t>
      </w:r>
      <w:r w:rsidR="00962BF7">
        <w:rPr/>
        <w:t>subsequent</w:t>
      </w:r>
      <w:r w:rsidR="00962BF7">
        <w:rPr/>
        <w:t xml:space="preserve"> </w:t>
      </w:r>
      <w:r w:rsidR="00DC2908">
        <w:rPr/>
        <w:t xml:space="preserve">outcomes will be given in relation to an outbreak of measles. </w:t>
      </w:r>
      <w:r w:rsidR="00DC2908">
        <w:rPr/>
        <w:t>The role of health promotion and promotional campaigns promoting the measles vaccine will be outlined and the role of PHW in influencing behavioural change and attitudes towards vaccination will be discussed.</w:t>
      </w:r>
    </w:p>
    <w:p w:rsidR="006F41E6" w:rsidP="007A4424" w:rsidRDefault="006F41E6" w14:paraId="0E0DE72A" w14:textId="545E208F">
      <w:r w:rsidR="36031B69">
        <w:rPr/>
        <w:t xml:space="preserve">  </w:t>
      </w:r>
      <w:r w:rsidR="006F41E6">
        <w:rPr/>
        <w:t xml:space="preserve">Perkins, </w:t>
      </w:r>
      <w:proofErr w:type="spellStart"/>
      <w:r w:rsidR="006F41E6">
        <w:rPr/>
        <w:t>Simnett</w:t>
      </w:r>
      <w:proofErr w:type="spellEnd"/>
      <w:r w:rsidR="006F41E6">
        <w:rPr/>
        <w:t xml:space="preserve"> and Wright (1999) explain the study of epidemiology is where patterns of disease are formed by collecting information from morbidity and mortality rates and statistics within a community or population</w:t>
      </w:r>
      <w:r w:rsidR="641BD688">
        <w:rPr/>
        <w:t>, such as</w:t>
      </w:r>
      <w:r w:rsidR="006F41E6">
        <w:rPr/>
        <w:t xml:space="preserve"> data </w:t>
      </w:r>
      <w:r w:rsidR="006F41E6">
        <w:rPr/>
        <w:t xml:space="preserve">produced from ill health </w:t>
      </w:r>
      <w:r w:rsidR="6C376EA3">
        <w:rPr/>
        <w:t>from</w:t>
      </w:r>
      <w:r w:rsidR="006F41E6">
        <w:rPr/>
        <w:t xml:space="preserve"> communicable disease, such as Measles.</w:t>
      </w:r>
    </w:p>
    <w:p w:rsidR="006F41E6" w:rsidP="007A4424" w:rsidRDefault="006F41E6" w14:paraId="4669E9BC" w14:textId="7E713893">
      <w:r w:rsidR="496048F8">
        <w:rPr/>
        <w:t xml:space="preserve">  </w:t>
      </w:r>
      <w:r w:rsidR="006F41E6">
        <w:rPr/>
        <w:t>P</w:t>
      </w:r>
      <w:r w:rsidR="001E4C87">
        <w:rPr/>
        <w:t>HW (</w:t>
      </w:r>
      <w:r w:rsidR="002B5DB6">
        <w:rPr/>
        <w:t xml:space="preserve">2021) </w:t>
      </w:r>
      <w:r w:rsidR="65A23ED5">
        <w:rPr/>
        <w:t xml:space="preserve">suggests that Public Health measures help to protect populations, improve health and </w:t>
      </w:r>
      <w:r w:rsidR="7DDE23B4">
        <w:rPr/>
        <w:t>well-being,</w:t>
      </w:r>
      <w:r w:rsidR="65A23ED5">
        <w:rPr/>
        <w:t xml:space="preserve"> and reduce potential </w:t>
      </w:r>
      <w:r w:rsidR="367282EF">
        <w:rPr/>
        <w:t>inequalities in health.</w:t>
      </w:r>
      <w:r w:rsidR="65A23ED5">
        <w:rPr/>
        <w:t xml:space="preserve"> </w:t>
      </w:r>
      <w:r w:rsidR="002B5DB6">
        <w:rPr/>
        <w:t xml:space="preserve">PHW are one of eleven organisations that make up </w:t>
      </w:r>
      <w:r w:rsidR="0D73E594">
        <w:rPr/>
        <w:t xml:space="preserve">The </w:t>
      </w:r>
      <w:r w:rsidR="002B5DB6">
        <w:rPr/>
        <w:t>Nation</w:t>
      </w:r>
      <w:r w:rsidR="002B5DB6">
        <w:rPr/>
        <w:t>al Health Service (</w:t>
      </w:r>
      <w:r w:rsidR="002B5DB6">
        <w:rPr/>
        <w:t>NHS)</w:t>
      </w:r>
      <w:r w:rsidR="3F52D283">
        <w:rPr/>
        <w:t xml:space="preserve"> in</w:t>
      </w:r>
      <w:r w:rsidR="002B5DB6">
        <w:rPr/>
        <w:t xml:space="preserve"> </w:t>
      </w:r>
      <w:r w:rsidR="002B5DB6">
        <w:rPr/>
        <w:t>Wales. PHW are a national public Health Agency in Wales. A part of PHW is the PHW Communicable Disease Surveillance Centre (CDSC, 2016)</w:t>
      </w:r>
      <w:r w:rsidR="183B557E">
        <w:rPr/>
        <w:t>;</w:t>
      </w:r>
      <w:r w:rsidR="004C1CEA">
        <w:rPr/>
        <w:t xml:space="preserve"> </w:t>
      </w:r>
      <w:r w:rsidR="004C1CEA">
        <w:rPr/>
        <w:t xml:space="preserve">epidemiological investigation through surveillance of infectious disease, protecting </w:t>
      </w:r>
      <w:r w:rsidR="004C1CEA">
        <w:rPr/>
        <w:t xml:space="preserve">the </w:t>
      </w:r>
      <w:r w:rsidR="23AA300A">
        <w:rPr/>
        <w:t>W</w:t>
      </w:r>
      <w:r w:rsidR="004C1CEA">
        <w:rPr/>
        <w:t>elsh</w:t>
      </w:r>
      <w:r w:rsidR="004C1CEA">
        <w:rPr/>
        <w:t xml:space="preserve"> </w:t>
      </w:r>
      <w:r w:rsidR="004C1CEA">
        <w:rPr/>
        <w:t>population from infection and supporting outbreak investigations and health intelligence</w:t>
      </w:r>
      <w:r w:rsidR="00732E5A">
        <w:rPr/>
        <w:t>.</w:t>
      </w:r>
    </w:p>
    <w:p w:rsidR="00732E5A" w:rsidP="007A4424" w:rsidRDefault="00732E5A" w14:paraId="6838A2F7" w14:textId="1D7398E8">
      <w:r w:rsidR="14B95879">
        <w:rPr/>
        <w:t xml:space="preserve">  </w:t>
      </w:r>
      <w:r w:rsidR="00732E5A">
        <w:rPr/>
        <w:t>T</w:t>
      </w:r>
      <w:r w:rsidR="00732E5A">
        <w:rPr/>
        <w:t xml:space="preserve">he NHS (2018) </w:t>
      </w:r>
      <w:r w:rsidR="098670DD">
        <w:rPr/>
        <w:t>define</w:t>
      </w:r>
      <w:r w:rsidR="00732E5A">
        <w:rPr/>
        <w:t xml:space="preserve"> </w:t>
      </w:r>
      <w:r w:rsidR="00732E5A">
        <w:rPr/>
        <w:t>Measles as an acute highly infectious viral illness which is now uncommon among the United Kingdom (UK) due to vaccination effectiveness. Measles can lead to severe complications and can affect a person if the individual has not been vaccinated or had Measles previously.</w:t>
      </w:r>
    </w:p>
    <w:p w:rsidR="00732E5A" w:rsidP="007A4424" w:rsidRDefault="00732E5A" w14:paraId="5FD0DD7B" w14:textId="7881A7AF">
      <w:r w:rsidR="32347992">
        <w:rPr/>
        <w:t xml:space="preserve">  </w:t>
      </w:r>
      <w:r w:rsidR="00732E5A">
        <w:rPr/>
        <w:t xml:space="preserve">Black, Et Al, (1984, p42) suggests that the most common disease which was found to lead to further complications, added illnesses and diseases was Measles. It was thought that Measles could bring on </w:t>
      </w:r>
      <w:r w:rsidR="00732E5A">
        <w:rPr/>
        <w:t xml:space="preserve">varied conditions such as deafness, </w:t>
      </w:r>
      <w:r w:rsidR="00732E5A">
        <w:rPr/>
        <w:t>arthritis</w:t>
      </w:r>
      <w:r w:rsidR="00732E5A">
        <w:rPr/>
        <w:t xml:space="preserve"> and heart disease. Equivalently Oxford Vaccine Group </w:t>
      </w:r>
      <w:r w:rsidR="00433ABA">
        <w:rPr/>
        <w:t xml:space="preserve">(OVG, </w:t>
      </w:r>
      <w:r w:rsidR="00732E5A">
        <w:rPr/>
        <w:t xml:space="preserve">2019) also </w:t>
      </w:r>
      <w:r w:rsidR="00732E5A">
        <w:rPr/>
        <w:t>observe</w:t>
      </w:r>
      <w:r w:rsidR="00732E5A">
        <w:rPr/>
        <w:t xml:space="preserve"> that Measles </w:t>
      </w:r>
      <w:r w:rsidR="35EE50CD">
        <w:rPr/>
        <w:t xml:space="preserve">can </w:t>
      </w:r>
      <w:r w:rsidR="00732E5A">
        <w:rPr/>
        <w:t xml:space="preserve">damage </w:t>
      </w:r>
      <w:r w:rsidR="00732E5A">
        <w:rPr/>
        <w:t xml:space="preserve">and supress the entire immune system. Which can mean that those who have contracted Measles previously are more susceptible to catch other infectious diseases. In addition to the infection </w:t>
      </w:r>
      <w:r w:rsidR="00732E5A">
        <w:rPr/>
        <w:t>damage</w:t>
      </w:r>
      <w:r w:rsidR="7FE935D8">
        <w:rPr/>
        <w:t>; OVG (2019) state</w:t>
      </w:r>
      <w:r w:rsidR="00732E5A">
        <w:rPr/>
        <w:t xml:space="preserve"> </w:t>
      </w:r>
      <w:r w:rsidR="00732E5A">
        <w:rPr/>
        <w:t>Measles can lead to serious health complications for certain individuals where they may suffer from Pneumonia, Encephalitis or Otis Media.</w:t>
      </w:r>
    </w:p>
    <w:p w:rsidR="00732E5A" w:rsidP="007A4424" w:rsidRDefault="00AF78C5" w14:paraId="6ACDAC45" w14:textId="0D0850C0">
      <w:r w:rsidR="1621BA88">
        <w:rPr/>
        <w:t xml:space="preserve">  </w:t>
      </w:r>
      <w:r w:rsidR="00AF78C5">
        <w:rPr/>
        <w:t>OVG (2019) note when</w:t>
      </w:r>
      <w:r w:rsidR="15ADC9A2">
        <w:rPr/>
        <w:t xml:space="preserve"> </w:t>
      </w:r>
      <w:r w:rsidR="00AF78C5">
        <w:rPr/>
        <w:t>becoming ill with Measles</w:t>
      </w:r>
      <w:r w:rsidR="6C7EFB1D">
        <w:rPr/>
        <w:t>,</w:t>
      </w:r>
      <w:r w:rsidR="00AF78C5">
        <w:rPr/>
        <w:t xml:space="preserve"> the symptoms would start with cold like symptoms in conjunction with red eyes, light sensitivity, greyish-white spots in the mouth and throat and a high temperature. The red-brown rash associated with Measles tends to appear around four days </w:t>
      </w:r>
      <w:r w:rsidR="3E168E09">
        <w:rPr/>
        <w:t xml:space="preserve">into </w:t>
      </w:r>
      <w:r w:rsidR="00AF78C5">
        <w:rPr/>
        <w:t>infection</w:t>
      </w:r>
      <w:r w:rsidR="40AEFEF0">
        <w:rPr/>
        <w:t xml:space="preserve">. </w:t>
      </w:r>
      <w:r w:rsidR="0F47333E">
        <w:rPr/>
        <w:t>An individual</w:t>
      </w:r>
      <w:r w:rsidR="00AF78C5">
        <w:rPr/>
        <w:t xml:space="preserve"> is infectious four days before the rash appears, during and four days after.</w:t>
      </w:r>
    </w:p>
    <w:p w:rsidR="00AF78C5" w:rsidP="007A4424" w:rsidRDefault="00AF78C5" w14:paraId="6F56C52E" w14:textId="6104F745">
      <w:r w:rsidR="150BD6C1">
        <w:rPr/>
        <w:t xml:space="preserve">  </w:t>
      </w:r>
      <w:r w:rsidR="20D2089E">
        <w:rPr/>
        <w:t xml:space="preserve">The </w:t>
      </w:r>
      <w:r w:rsidR="00AF78C5">
        <w:rPr/>
        <w:t>Wo</w:t>
      </w:r>
      <w:r w:rsidR="00433ABA">
        <w:rPr/>
        <w:t>rld</w:t>
      </w:r>
      <w:r w:rsidR="00433ABA">
        <w:rPr/>
        <w:t xml:space="preserve"> Health Organisation (WHO, </w:t>
      </w:r>
      <w:r w:rsidR="00AF78C5">
        <w:rPr/>
        <w:t>2019) declared that the global Measles deaths decreased from an estimated 536,000 in 2000 to 142,000 in 2018, it has decreased by 73</w:t>
      </w:r>
      <w:r w:rsidR="00686489">
        <w:rPr/>
        <w:t xml:space="preserve">%. Countries with low capita incomes and weak infrastructures particularly parts of Africa, </w:t>
      </w:r>
      <w:r w:rsidR="00433ABA">
        <w:rPr/>
        <w:t>Asia and many other developing countries are where more than 95% of deaths come from. Over 140,000 people died in 2018 from Measles with the majority being children under the age of five, even with the availability of an effective and safe vaccine.</w:t>
      </w:r>
    </w:p>
    <w:p w:rsidR="00433ABA" w:rsidP="007A4424" w:rsidRDefault="00433ABA" w14:paraId="6ED76820" w14:textId="66A9F537">
      <w:r w:rsidR="7FA365C0">
        <w:rPr/>
        <w:t xml:space="preserve">  </w:t>
      </w:r>
      <w:r w:rsidR="00433ABA">
        <w:rPr/>
        <w:t>Center</w:t>
      </w:r>
      <w:r w:rsidR="00433ABA">
        <w:rPr/>
        <w:t xml:space="preserve"> for Disease Control and Prevention (CDC</w:t>
      </w:r>
      <w:r w:rsidR="008F6006">
        <w:rPr/>
        <w:t>, 2019</w:t>
      </w:r>
      <w:r w:rsidR="00433ABA">
        <w:rPr/>
        <w:t xml:space="preserve">) </w:t>
      </w:r>
      <w:r w:rsidR="00D04212">
        <w:rPr/>
        <w:t xml:space="preserve">analysed that 36 cases of Measles per one million persons worldwide are reported each year, around 134,200 die and between one to two children out of 1000 who contract </w:t>
      </w:r>
      <w:r w:rsidR="0025274B">
        <w:rPr/>
        <w:t>Measles will die. CDC stipulated that Pneumonia in young children which they contracted from Measles was the most common cause of death. NHS Wales (2021) concur with the CDC that many children died of Measles before the introduction of the Measles vaccine in 1968</w:t>
      </w:r>
      <w:r w:rsidR="00944327">
        <w:rPr/>
        <w:t>, around 100 children per year in England and Wales.</w:t>
      </w:r>
    </w:p>
    <w:p w:rsidR="00214941" w:rsidP="007A4424" w:rsidRDefault="00214941" w14:paraId="58C27B8D" w14:textId="3B30CE79">
      <w:r w:rsidR="4C5163BD">
        <w:rPr/>
        <w:t xml:space="preserve">  </w:t>
      </w:r>
      <w:r w:rsidR="00214941">
        <w:rPr/>
        <w:t xml:space="preserve">WHO (2019) point out major epidemics </w:t>
      </w:r>
      <w:r w:rsidR="00214941">
        <w:rPr/>
        <w:t>approximately took</w:t>
      </w:r>
      <w:r w:rsidR="00214941">
        <w:rPr/>
        <w:t xml:space="preserve"> place every 2-3 years before the Measles vaccination was introduced in 1963 which resulted in an estimated 2.6 million yearly deaths. Measles vaccination prevented an estimated 23.2million deaths between 2000-2018</w:t>
      </w:r>
      <w:r w:rsidR="777C42B9">
        <w:rPr/>
        <w:t>.</w:t>
      </w:r>
    </w:p>
    <w:p w:rsidR="00944327" w:rsidP="007A4424" w:rsidRDefault="00944327" w14:paraId="380AA7AA" w14:textId="2ECA5399">
      <w:r w:rsidR="00944327">
        <w:rPr/>
        <w:t xml:space="preserve">NHW Wales (2021) </w:t>
      </w:r>
      <w:r w:rsidR="00944327">
        <w:rPr/>
        <w:t>report</w:t>
      </w:r>
      <w:r w:rsidR="0E227794">
        <w:rPr/>
        <w:t xml:space="preserve"> </w:t>
      </w:r>
      <w:r w:rsidR="00944327">
        <w:rPr/>
        <w:t xml:space="preserve">Wales had a large outbreak of Measles which was centred around the Swansea area but also effected </w:t>
      </w:r>
      <w:r w:rsidR="00944327">
        <w:rPr/>
        <w:t>numerous</w:t>
      </w:r>
      <w:r w:rsidR="00944327">
        <w:rPr/>
        <w:t xml:space="preserve"> </w:t>
      </w:r>
      <w:r w:rsidR="00FA65D3">
        <w:rPr/>
        <w:t xml:space="preserve">other areas of Mid and West Wales. One death was </w:t>
      </w:r>
      <w:r w:rsidR="00FA65D3">
        <w:rPr/>
        <w:t>recorded</w:t>
      </w:r>
      <w:r w:rsidR="00FA65D3">
        <w:rPr/>
        <w:t xml:space="preserve"> and 447 cases of Measles were confirmed in the Mid and West area, whilst 64 were admitted to hospital. The Nursing Times (2013)</w:t>
      </w:r>
      <w:r w:rsidR="00ED731A">
        <w:rPr/>
        <w:t xml:space="preserve"> reported that Swansea had 693 Measles infections with 73 being reported within two days. </w:t>
      </w:r>
    </w:p>
    <w:p w:rsidR="00ED731A" w:rsidP="007A4424" w:rsidRDefault="00ED731A" w14:paraId="0BCEFDA0" w14:textId="7D0B14EC">
      <w:r w:rsidR="6EC33D65">
        <w:rPr/>
        <w:t xml:space="preserve">  </w:t>
      </w:r>
      <w:proofErr w:type="spellStart"/>
      <w:r w:rsidR="00ED731A">
        <w:rPr/>
        <w:t>Ghebrehewet</w:t>
      </w:r>
      <w:proofErr w:type="spellEnd"/>
      <w:r w:rsidR="00ED731A">
        <w:rPr/>
        <w:t xml:space="preserve">, Et Al, (2016) </w:t>
      </w:r>
      <w:r w:rsidR="00ED731A">
        <w:rPr/>
        <w:t>discussed</w:t>
      </w:r>
      <w:r w:rsidR="286E3DED">
        <w:rPr/>
        <w:t xml:space="preserve"> </w:t>
      </w:r>
      <w:r w:rsidR="00ED731A">
        <w:rPr/>
        <w:t xml:space="preserve">large outbreaks of Measles in 2012-2013 in areas of England which failed to achieve consistent herd protection levels of 95%. In accordance with Public Health England (PHE, 2018) established that countries would </w:t>
      </w:r>
      <w:r w:rsidR="115B4487">
        <w:rPr/>
        <w:t>need</w:t>
      </w:r>
      <w:r w:rsidR="00ED731A">
        <w:rPr/>
        <w:t xml:space="preserve"> to have 95% uptake of the two doses of </w:t>
      </w:r>
      <w:r w:rsidR="00ED731A">
        <w:rPr/>
        <w:t xml:space="preserve">the Measles Vaccine in order to eradicate Measles. </w:t>
      </w:r>
      <w:proofErr w:type="spellStart"/>
      <w:r w:rsidR="00ED731A">
        <w:rPr/>
        <w:t>Ghebrehewet</w:t>
      </w:r>
      <w:proofErr w:type="spellEnd"/>
      <w:r w:rsidR="00ED731A">
        <w:rPr/>
        <w:t xml:space="preserve">, Et Al, (2016) </w:t>
      </w:r>
      <w:r w:rsidR="622D236C">
        <w:rPr/>
        <w:t>highlighted</w:t>
      </w:r>
      <w:r w:rsidR="00ED731A">
        <w:rPr/>
        <w:t xml:space="preserve"> </w:t>
      </w:r>
      <w:r w:rsidR="00ED731A">
        <w:rPr/>
        <w:t xml:space="preserve">economic costs that are associated with Merseyside’s outbreak of Measles in 2012-2013. The outbreak had 2458 reported cases with an estimated cost of £4.4million of NHS treatment costs. The failure of not reaching the uptake level of vaccinations which needs to be 95% across </w:t>
      </w:r>
      <w:r w:rsidR="00ED731A">
        <w:rPr/>
        <w:t>a</w:t>
      </w:r>
      <w:r w:rsidR="1D12C28F">
        <w:rPr/>
        <w:t>l</w:t>
      </w:r>
      <w:r w:rsidR="00ED731A">
        <w:rPr/>
        <w:t>l</w:t>
      </w:r>
      <w:r w:rsidR="00ED731A">
        <w:rPr/>
        <w:t xml:space="preserve"> locations led to a sporadic outbreak. 11,793 Measles vaccinations </w:t>
      </w:r>
      <w:r w:rsidR="00960F9A">
        <w:rPr/>
        <w:t>were needed to reach herd protection that would have cost an estimated £182,909, which would have been 4% of the total cost of the outbreak.</w:t>
      </w:r>
      <w:r w:rsidR="2C280878">
        <w:rPr/>
        <w:t xml:space="preserve"> Furthers this suggesting at</w:t>
      </w:r>
      <w:r w:rsidR="00960F9A">
        <w:rPr/>
        <w:t xml:space="preserve"> </w:t>
      </w:r>
      <w:r w:rsidR="00960F9A">
        <w:rPr/>
        <w:t>areas</w:t>
      </w:r>
      <w:r w:rsidR="00960F9A">
        <w:rPr/>
        <w:t xml:space="preserve"> with lower Measles immunisations coverage had sporadic outbreaks in 2012.</w:t>
      </w:r>
    </w:p>
    <w:p w:rsidR="006F1A9F" w:rsidP="007A4424" w:rsidRDefault="006F1A9F" w14:paraId="44E5076D" w14:textId="381F17C3">
      <w:r w:rsidR="1A75FC2A">
        <w:rPr/>
        <w:t xml:space="preserve">  </w:t>
      </w:r>
      <w:r w:rsidR="79CC1DEC">
        <w:rPr/>
        <w:t xml:space="preserve">The </w:t>
      </w:r>
      <w:r w:rsidR="00960F9A">
        <w:rPr/>
        <w:t xml:space="preserve">Ministry of Health </w:t>
      </w:r>
      <w:r w:rsidR="02381667">
        <w:rPr/>
        <w:t xml:space="preserve">(1968) </w:t>
      </w:r>
      <w:r w:rsidR="00960F9A">
        <w:rPr/>
        <w:t xml:space="preserve">wrote a letter to local health authorities stating they are to delegate Health and Welfare functions to make arrangements under the provisions of section 26 of the National Health Service Act 1946 for vaccinations against Measles in their areas. </w:t>
      </w:r>
      <w:r w:rsidR="295E52F5">
        <w:rPr/>
        <w:t>It</w:t>
      </w:r>
      <w:r w:rsidR="00960F9A">
        <w:rPr/>
        <w:t xml:space="preserve"> also asks that the agreements are bought into operation by the beginning of May that year</w:t>
      </w:r>
      <w:r w:rsidR="00960F9A">
        <w:rPr/>
        <w:t xml:space="preserve">. PHE (2018) </w:t>
      </w:r>
      <w:r w:rsidR="4E9D4BE7">
        <w:rPr/>
        <w:t>deliberates</w:t>
      </w:r>
      <w:r w:rsidR="00960F9A">
        <w:rPr/>
        <w:t xml:space="preserve"> that the discredited in 2002 article linking the Measles vaccine to autism Andrew Wakefield published in 1998 had an impact on the coverage of immunisation throughout the country which dropped to 80% nationally and took many years to recover. 2003 had the lowest recorded </w:t>
      </w:r>
      <w:r w:rsidR="2080FEAF">
        <w:rPr/>
        <w:t>number</w:t>
      </w:r>
      <w:r w:rsidR="00E616EE">
        <w:rPr/>
        <w:t xml:space="preserve"> of vaccinations since the programme was in introduced of 79% which led to a critical increase of susceptible children. Capital catch-up campaign was launched in 2004 in London which estimated around, 40,000</w:t>
      </w:r>
      <w:r w:rsidR="006F1A9F">
        <w:rPr/>
        <w:t xml:space="preserve"> children were immunised, and then a national catch-up campaign was launched in 2013 targeting children aged 10-16 years.</w:t>
      </w:r>
      <w:r w:rsidR="00E616EE">
        <w:rPr/>
        <w:t xml:space="preserve"> </w:t>
      </w:r>
      <w:r w:rsidR="006F1A9F">
        <w:rPr/>
        <w:t>(PHE, 2018)</w:t>
      </w:r>
      <w:r w:rsidR="38331387">
        <w:rPr/>
        <w:t>.</w:t>
      </w:r>
      <w:r w:rsidR="05D5DB15">
        <w:rPr/>
        <w:t xml:space="preserve"> </w:t>
      </w:r>
      <w:r w:rsidR="006F1A9F">
        <w:rPr/>
        <w:t xml:space="preserve">PHE (2018) </w:t>
      </w:r>
      <w:r w:rsidR="3A85E837">
        <w:rPr/>
        <w:t>specifies</w:t>
      </w:r>
      <w:r w:rsidR="006F1A9F">
        <w:rPr/>
        <w:t xml:space="preserve"> The United Kingdom (UK) were granted Measles elimination stat</w:t>
      </w:r>
      <w:r w:rsidR="2607B49F">
        <w:rPr/>
        <w:t>u</w:t>
      </w:r>
      <w:r w:rsidR="006F1A9F">
        <w:rPr/>
        <w:t>s by WHO in 2017.</w:t>
      </w:r>
    </w:p>
    <w:p w:rsidR="00F33A27" w:rsidRDefault="00F33A27" w14:paraId="06C29EDF" w14:textId="3B8F4F81">
      <w:r w:rsidR="002E2BDA">
        <w:rPr/>
        <w:t xml:space="preserve"> </w:t>
      </w:r>
      <w:r w:rsidR="481E92C4">
        <w:rPr/>
        <w:t xml:space="preserve"> F</w:t>
      </w:r>
      <w:r w:rsidR="002E2BDA">
        <w:rPr/>
        <w:t>or elimination</w:t>
      </w:r>
      <w:r w:rsidR="69856035">
        <w:rPr/>
        <w:t xml:space="preserve"> of Measles</w:t>
      </w:r>
      <w:r w:rsidR="002E2BDA">
        <w:rPr/>
        <w:t xml:space="preserve"> to be sustained it </w:t>
      </w:r>
      <w:r w:rsidR="473F9E4F">
        <w:rPr/>
        <w:t>must</w:t>
      </w:r>
      <w:r w:rsidR="002E2BDA">
        <w:rPr/>
        <w:t xml:space="preserve"> be met by improving and maintaining the coverage of the Measles vaccine in children</w:t>
      </w:r>
      <w:r w:rsidR="6E345AD9">
        <w:rPr/>
        <w:t>. Health promotion of the MMR vaccine must be provided in all healthcare settings</w:t>
      </w:r>
      <w:r w:rsidR="07FE5019">
        <w:rPr/>
        <w:t xml:space="preserve"> and sporadic outbreaks</w:t>
      </w:r>
      <w:r w:rsidR="5F352A96">
        <w:rPr/>
        <w:t xml:space="preserve"> need to be</w:t>
      </w:r>
      <w:r w:rsidR="07FE5019">
        <w:rPr/>
        <w:t xml:space="preserve"> closely monitored with appropriate guidance for those who have been in contact or </w:t>
      </w:r>
      <w:r w:rsidR="3BF1FB37">
        <w:rPr/>
        <w:t xml:space="preserve">contracted Measles. </w:t>
      </w:r>
      <w:r w:rsidR="07FE5019">
        <w:rPr/>
        <w:t xml:space="preserve"> </w:t>
      </w:r>
      <w:r>
        <w:br w:type="page"/>
      </w:r>
    </w:p>
    <w:p w:rsidR="002E2BDA" w:rsidP="007A4424" w:rsidRDefault="00F33A27" w14:paraId="7355732D" w14:textId="77777777">
      <w:r>
        <w:lastRenderedPageBreak/>
        <w:t>References</w:t>
      </w:r>
    </w:p>
    <w:p w:rsidR="00F33A27" w:rsidP="007A4424" w:rsidRDefault="00F33A27" w14:paraId="30307EF5" w14:textId="77777777"/>
    <w:p w:rsidR="00876A3A" w:rsidP="007A4424" w:rsidRDefault="00876A3A" w14:paraId="4F834F59" w14:textId="77777777">
      <w:r>
        <w:t xml:space="preserve">Black, N., Boswell, D., Gray, A., Murphy, S. and </w:t>
      </w:r>
      <w:proofErr w:type="spellStart"/>
      <w:r>
        <w:t>Popay</w:t>
      </w:r>
      <w:proofErr w:type="spellEnd"/>
      <w:r>
        <w:t xml:space="preserve">, J. (1984) </w:t>
      </w:r>
      <w:r w:rsidRPr="00C84E16">
        <w:rPr>
          <w:i/>
        </w:rPr>
        <w:t>Health &amp; Disease A Reader</w:t>
      </w:r>
      <w:r>
        <w:t>. 1</w:t>
      </w:r>
      <w:r w:rsidRPr="006E1705">
        <w:rPr>
          <w:vertAlign w:val="superscript"/>
        </w:rPr>
        <w:t>st</w:t>
      </w:r>
      <w:r>
        <w:t xml:space="preserve"> </w:t>
      </w:r>
      <w:proofErr w:type="spellStart"/>
      <w:r>
        <w:t>edn</w:t>
      </w:r>
      <w:proofErr w:type="spellEnd"/>
      <w:r>
        <w:t>. Buckingham and Bristol: Open University Press.</w:t>
      </w:r>
    </w:p>
    <w:p w:rsidR="00876A3A" w:rsidP="007A4424" w:rsidRDefault="00876A3A" w14:paraId="7B87FB12" w14:textId="77777777">
      <w:pPr>
        <w:rPr>
          <w:rFonts w:ascii="Calibri" w:hAnsi="Calibri" w:cs="Calibri"/>
          <w:color w:val="201F1E"/>
          <w:shd w:val="clear" w:color="auto" w:fill="FFFFFF"/>
        </w:rPr>
      </w:pPr>
      <w:proofErr w:type="spellStart"/>
      <w:r>
        <w:rPr>
          <w:rFonts w:ascii="Calibri" w:hAnsi="Calibri" w:cs="Calibri"/>
          <w:color w:val="201F1E"/>
          <w:shd w:val="clear" w:color="auto" w:fill="FFFFFF"/>
        </w:rPr>
        <w:t>Center</w:t>
      </w:r>
      <w:proofErr w:type="spellEnd"/>
      <w:r>
        <w:rPr>
          <w:rFonts w:ascii="Calibri" w:hAnsi="Calibri" w:cs="Calibri"/>
          <w:color w:val="201F1E"/>
          <w:shd w:val="clear" w:color="auto" w:fill="FFFFFF"/>
        </w:rPr>
        <w:t xml:space="preserve"> for Disease Control and Prevention (CDC)(2019) </w:t>
      </w:r>
      <w:r w:rsidRPr="004A4E4E">
        <w:rPr>
          <w:rFonts w:ascii="Calibri" w:hAnsi="Calibri" w:cs="Calibri"/>
          <w:i/>
          <w:color w:val="201F1E"/>
          <w:shd w:val="clear" w:color="auto" w:fill="FFFFFF"/>
        </w:rPr>
        <w:t>Measles</w:t>
      </w:r>
      <w:r>
        <w:rPr>
          <w:rFonts w:ascii="Calibri" w:hAnsi="Calibri" w:cs="Calibri"/>
          <w:color w:val="201F1E"/>
          <w:shd w:val="clear" w:color="auto" w:fill="FFFFFF"/>
        </w:rPr>
        <w:t xml:space="preserve">. Available at: </w:t>
      </w:r>
      <w:r w:rsidRPr="007B0092">
        <w:rPr>
          <w:rFonts w:ascii="Calibri" w:hAnsi="Calibri" w:cs="Calibri"/>
          <w:color w:val="201F1E"/>
          <w:shd w:val="clear" w:color="auto" w:fill="FFFFFF"/>
        </w:rPr>
        <w:t>https://www.cdc.gov/globalhealth/newsroom/topics/measles/index.html</w:t>
      </w:r>
      <w:r>
        <w:rPr>
          <w:rFonts w:ascii="Calibri" w:hAnsi="Calibri" w:cs="Calibri"/>
          <w:color w:val="201F1E"/>
          <w:shd w:val="clear" w:color="auto" w:fill="FFFFFF"/>
        </w:rPr>
        <w:t xml:space="preserve"> (Accessed on 20 October 2021).</w:t>
      </w:r>
    </w:p>
    <w:p w:rsidR="00876A3A" w:rsidP="00C84E16" w:rsidRDefault="00876A3A" w14:paraId="2AB7D767" w14:textId="77777777">
      <w:proofErr w:type="spellStart"/>
      <w:r>
        <w:t>Ghebrehewet</w:t>
      </w:r>
      <w:proofErr w:type="spellEnd"/>
      <w:r>
        <w:t xml:space="preserve">, S., Thorrington, D., Farmer, S., Kearney, J., </w:t>
      </w:r>
      <w:proofErr w:type="spellStart"/>
      <w:r>
        <w:t>Blissett</w:t>
      </w:r>
      <w:proofErr w:type="spellEnd"/>
      <w:r>
        <w:t xml:space="preserve">, D., </w:t>
      </w:r>
      <w:proofErr w:type="spellStart"/>
      <w:r>
        <w:t>Mcleod</w:t>
      </w:r>
      <w:proofErr w:type="spellEnd"/>
      <w:r>
        <w:t xml:space="preserve">, H. and Keenan, A. (2016) </w:t>
      </w:r>
      <w:r w:rsidRPr="00992C53">
        <w:rPr>
          <w:i/>
        </w:rPr>
        <w:t>Science Direct, Vaccine, The economic cost of Measles: Healthcare, public health and social costs of the 2012-2013 outbreak in Merseyside, UK.</w:t>
      </w:r>
      <w:r>
        <w:t xml:space="preserve"> 34(15). Available at: </w:t>
      </w:r>
      <w:r w:rsidRPr="007B0092">
        <w:t>https://www.sciencedirect.com/science/article/pii/S0264410X16001717</w:t>
      </w:r>
      <w:r>
        <w:t xml:space="preserve"> (Accessed on 17 October 2021).</w:t>
      </w:r>
    </w:p>
    <w:p w:rsidR="00876A3A" w:rsidP="007A4424" w:rsidRDefault="00876A3A" w14:paraId="69CF599D" w14:textId="77777777">
      <w:r>
        <w:t xml:space="preserve">National Health Service (NHS) (2018) </w:t>
      </w:r>
      <w:r w:rsidRPr="00003F3D">
        <w:rPr>
          <w:i/>
        </w:rPr>
        <w:t>Measles overview</w:t>
      </w:r>
      <w:r>
        <w:t xml:space="preserve">. Available at: </w:t>
      </w:r>
      <w:r w:rsidRPr="007B0092">
        <w:t>www.nhs.uk/conditions/measles/</w:t>
      </w:r>
      <w:r>
        <w:t xml:space="preserve"> (Accessed on 20 October 2021).</w:t>
      </w:r>
    </w:p>
    <w:p w:rsidR="00876A3A" w:rsidP="007A4424" w:rsidRDefault="00876A3A" w14:paraId="52ADDC03" w14:textId="77777777">
      <w:pPr>
        <w:rPr>
          <w:rFonts w:ascii="Calibri" w:hAnsi="Calibri" w:cs="Calibri"/>
          <w:color w:val="201F1E"/>
          <w:shd w:val="clear" w:color="auto" w:fill="FFFFFF"/>
        </w:rPr>
      </w:pPr>
      <w:r>
        <w:t xml:space="preserve">Oxford Vaccine Group (2019) </w:t>
      </w:r>
      <w:r w:rsidRPr="00003F3D">
        <w:rPr>
          <w:i/>
        </w:rPr>
        <w:t>Vaccine knowledge project</w:t>
      </w:r>
      <w:r>
        <w:t xml:space="preserve">, Measles. Available at: </w:t>
      </w:r>
      <w:r w:rsidRPr="007B0092">
        <w:rPr>
          <w:rFonts w:ascii="Calibri" w:hAnsi="Calibri" w:cs="Calibri"/>
          <w:bdr w:val="none" w:color="auto" w:sz="0" w:space="0" w:frame="1"/>
          <w:shd w:val="clear" w:color="auto" w:fill="FFFFFF"/>
        </w:rPr>
        <w:t>https://vk.ovg.ox.ac.uk/vk/measles</w:t>
      </w:r>
      <w:r>
        <w:rPr>
          <w:rFonts w:ascii="Calibri" w:hAnsi="Calibri" w:cs="Calibri"/>
          <w:color w:val="201F1E"/>
          <w:shd w:val="clear" w:color="auto" w:fill="FFFFFF"/>
        </w:rPr>
        <w:t> (Accessed on 21 October 2021).</w:t>
      </w:r>
    </w:p>
    <w:p w:rsidR="00876A3A" w:rsidP="007A4424" w:rsidRDefault="00876A3A" w14:paraId="72DE4238" w14:textId="77777777">
      <w:r>
        <w:t xml:space="preserve">Perkins, E.R., </w:t>
      </w:r>
      <w:proofErr w:type="spellStart"/>
      <w:r>
        <w:t>Simnett</w:t>
      </w:r>
      <w:proofErr w:type="spellEnd"/>
      <w:r>
        <w:t xml:space="preserve">, I. and Wright, L. (1999) </w:t>
      </w:r>
      <w:r w:rsidRPr="00C84E16">
        <w:rPr>
          <w:i/>
        </w:rPr>
        <w:t>Evidence Based Health Promotion</w:t>
      </w:r>
      <w:r>
        <w:t>. 1</w:t>
      </w:r>
      <w:r w:rsidRPr="006E1705">
        <w:rPr>
          <w:vertAlign w:val="superscript"/>
        </w:rPr>
        <w:t>st</w:t>
      </w:r>
      <w:r>
        <w:t xml:space="preserve"> </w:t>
      </w:r>
      <w:proofErr w:type="spellStart"/>
      <w:r>
        <w:t>edn</w:t>
      </w:r>
      <w:proofErr w:type="spellEnd"/>
      <w:r>
        <w:t xml:space="preserve">. </w:t>
      </w:r>
      <w:proofErr w:type="spellStart"/>
      <w:r>
        <w:t>Chicester</w:t>
      </w:r>
      <w:proofErr w:type="spellEnd"/>
      <w:r>
        <w:t>, England: John Wiley &amp; Sons Ltd.</w:t>
      </w:r>
    </w:p>
    <w:p w:rsidR="00876A3A" w:rsidP="007A4424" w:rsidRDefault="00876A3A" w14:paraId="539F4418" w14:textId="77777777">
      <w:pPr>
        <w:rPr>
          <w:rFonts w:ascii="Calibri" w:hAnsi="Calibri" w:cs="Calibri"/>
          <w:color w:val="201F1E"/>
          <w:shd w:val="clear" w:color="auto" w:fill="FFFFFF"/>
        </w:rPr>
      </w:pPr>
      <w:r>
        <w:rPr>
          <w:rFonts w:ascii="Calibri" w:hAnsi="Calibri" w:cs="Calibri"/>
          <w:color w:val="201F1E"/>
          <w:shd w:val="clear" w:color="auto" w:fill="FFFFFF"/>
        </w:rPr>
        <w:t xml:space="preserve">Public Health England (PHE)(2021) </w:t>
      </w:r>
      <w:r w:rsidRPr="004A4E4E">
        <w:rPr>
          <w:rFonts w:ascii="Calibri" w:hAnsi="Calibri" w:cs="Calibri"/>
          <w:i/>
          <w:color w:val="201F1E"/>
          <w:shd w:val="clear" w:color="auto" w:fill="FFFFFF"/>
        </w:rPr>
        <w:t>50 years of Measles vaccination in the UK: Measles – the most infectious virus</w:t>
      </w:r>
      <w:r>
        <w:rPr>
          <w:rFonts w:ascii="Calibri" w:hAnsi="Calibri" w:cs="Calibri"/>
          <w:color w:val="201F1E"/>
          <w:shd w:val="clear" w:color="auto" w:fill="FFFFFF"/>
        </w:rPr>
        <w:t xml:space="preserve">. Available at: </w:t>
      </w:r>
      <w:r w:rsidRPr="007B0092">
        <w:rPr>
          <w:rFonts w:ascii="Calibri" w:hAnsi="Calibri" w:cs="Calibri"/>
          <w:color w:val="201F1E"/>
          <w:shd w:val="clear" w:color="auto" w:fill="FFFFFF"/>
        </w:rPr>
        <w:t>https://publichealthengland.exposure.co/50-years-of-measles-vaccination-in-the-uk</w:t>
      </w:r>
      <w:r>
        <w:rPr>
          <w:rFonts w:ascii="Calibri" w:hAnsi="Calibri" w:cs="Calibri"/>
          <w:color w:val="201F1E"/>
          <w:shd w:val="clear" w:color="auto" w:fill="FFFFFF"/>
        </w:rPr>
        <w:t xml:space="preserve"> (Accessed on 19 October 2021).</w:t>
      </w:r>
    </w:p>
    <w:p w:rsidR="00876A3A" w:rsidP="007A4424" w:rsidRDefault="00876A3A" w14:paraId="20044056" w14:textId="77777777">
      <w:r>
        <w:t xml:space="preserve">Public Health Wales (PHW) (2016) </w:t>
      </w:r>
      <w:r>
        <w:rPr>
          <w:i/>
        </w:rPr>
        <w:t>Communicable Disease</w:t>
      </w:r>
      <w:r w:rsidRPr="006E1705">
        <w:rPr>
          <w:i/>
        </w:rPr>
        <w:t xml:space="preserve"> Surveillance Centre</w:t>
      </w:r>
      <w:r>
        <w:rPr>
          <w:i/>
        </w:rPr>
        <w:t xml:space="preserve">. </w:t>
      </w:r>
      <w:r>
        <w:t xml:space="preserve">Available at: </w:t>
      </w:r>
      <w:r w:rsidRPr="007B0092">
        <w:t>https://www.wales.nhs.uk/sites3/page.cfm?orgid=457&amp;pid=25313</w:t>
      </w:r>
      <w:r>
        <w:t xml:space="preserve">  (Accessed on 20 October 2021).</w:t>
      </w:r>
    </w:p>
    <w:p w:rsidR="00876A3A" w:rsidP="007A4424" w:rsidRDefault="00876A3A" w14:paraId="5E24E122" w14:textId="77777777">
      <w:r>
        <w:rPr>
          <w:rFonts w:ascii="Calibri" w:hAnsi="Calibri" w:cs="Calibri"/>
          <w:color w:val="201F1E"/>
          <w:shd w:val="clear" w:color="auto" w:fill="FFFFFF"/>
        </w:rPr>
        <w:t xml:space="preserve">Public Health Wales (PHW)(2021) </w:t>
      </w:r>
      <w:r w:rsidRPr="00F92965">
        <w:rPr>
          <w:rFonts w:ascii="Calibri" w:hAnsi="Calibri" w:cs="Calibri"/>
          <w:i/>
          <w:color w:val="201F1E"/>
          <w:shd w:val="clear" w:color="auto" w:fill="FFFFFF"/>
        </w:rPr>
        <w:t>Measles: Epidemiology</w:t>
      </w:r>
      <w:r>
        <w:rPr>
          <w:rFonts w:ascii="Calibri" w:hAnsi="Calibri" w:cs="Calibri"/>
          <w:color w:val="201F1E"/>
          <w:shd w:val="clear" w:color="auto" w:fill="FFFFFF"/>
        </w:rPr>
        <w:t xml:space="preserve">. Available at: </w:t>
      </w:r>
      <w:r w:rsidRPr="007B0092">
        <w:rPr>
          <w:rFonts w:ascii="Calibri" w:hAnsi="Calibri" w:cs="Calibri"/>
          <w:bdr w:val="none" w:color="auto" w:sz="0" w:space="0" w:frame="1"/>
          <w:shd w:val="clear" w:color="auto" w:fill="FFFFFF"/>
        </w:rPr>
        <w:t>http://www.wales.nhs.uk/sites3/page.cfm?orgId=457&amp;pid=25444</w:t>
      </w:r>
      <w:r>
        <w:t xml:space="preserve"> (Accessed on 18 October 2021).</w:t>
      </w:r>
    </w:p>
    <w:p w:rsidR="00876A3A" w:rsidP="007A4424" w:rsidRDefault="00876A3A" w14:paraId="47DDB08A" w14:textId="77777777">
      <w:r>
        <w:t>Public Health Wales (PHW), (2021</w:t>
      </w:r>
      <w:r w:rsidRPr="006E1705">
        <w:rPr>
          <w:i/>
        </w:rPr>
        <w:t>) About Public Health Wales</w:t>
      </w:r>
      <w:r>
        <w:t xml:space="preserve">, Available at: </w:t>
      </w:r>
      <w:r w:rsidRPr="007B0092">
        <w:t>https://phw.nhs.wales/</w:t>
      </w:r>
      <w:r>
        <w:t xml:space="preserve"> (Accessed 23 October 2021).</w:t>
      </w:r>
    </w:p>
    <w:p w:rsidR="00876A3A" w:rsidP="00C84E16" w:rsidRDefault="00876A3A" w14:paraId="1ECA7A26" w14:textId="77777777">
      <w:r>
        <w:rPr>
          <w:rFonts w:ascii="Calibri" w:hAnsi="Calibri" w:cs="Calibri"/>
          <w:color w:val="201F1E"/>
          <w:shd w:val="clear" w:color="auto" w:fill="FFFFFF"/>
        </w:rPr>
        <w:t>The Nursing Times (2013</w:t>
      </w:r>
      <w:r w:rsidRPr="00C84E16">
        <w:rPr>
          <w:rFonts w:ascii="Calibri" w:hAnsi="Calibri" w:cs="Calibri"/>
          <w:i/>
          <w:color w:val="201F1E"/>
          <w:shd w:val="clear" w:color="auto" w:fill="FFFFFF"/>
        </w:rPr>
        <w:t>) Infection Control: Big increase in South West Wales Measles cases.</w:t>
      </w:r>
      <w:r>
        <w:rPr>
          <w:rFonts w:ascii="Calibri" w:hAnsi="Calibri" w:cs="Calibri"/>
          <w:color w:val="201F1E"/>
          <w:shd w:val="clear" w:color="auto" w:fill="FFFFFF"/>
        </w:rPr>
        <w:t xml:space="preserve"> Available at: </w:t>
      </w:r>
      <w:r w:rsidRPr="007B0092">
        <w:t>https://www.nursingtimes.net/clinical-archive/infection-control/big-increase-in-sw-wales-measles-cases-12-04-2013/</w:t>
      </w:r>
      <w:r>
        <w:t xml:space="preserve"> (Accessed on 1 November 2021).</w:t>
      </w:r>
    </w:p>
    <w:p w:rsidRPr="00616DE6" w:rsidR="00876A3A" w:rsidP="00C84E16" w:rsidRDefault="00876A3A" w14:paraId="58BCB961" w14:textId="77777777">
      <w:r>
        <w:t xml:space="preserve">UK Health Security Agency (UKHSA) (2018) Vanessa </w:t>
      </w:r>
      <w:proofErr w:type="spellStart"/>
      <w:r>
        <w:t>Sailba</w:t>
      </w:r>
      <w:proofErr w:type="spellEnd"/>
      <w:r>
        <w:t xml:space="preserve">, </w:t>
      </w:r>
      <w:r w:rsidRPr="002E54E5">
        <w:rPr>
          <w:i/>
        </w:rPr>
        <w:t>Measles has been eliminated in the UK – so we do we still see cases and outbreaks?</w:t>
      </w:r>
      <w:r>
        <w:t xml:space="preserve"> Available at: </w:t>
      </w:r>
      <w:r w:rsidRPr="007B0092">
        <w:t>https://ukhsa.blog.gov.uk/2018/01/22/measles-has-been-eliminated-in-the-uk-so-why-do-we-still-see-cases-and-outbreaks/</w:t>
      </w:r>
      <w:r>
        <w:t xml:space="preserve"> (Accessed on 18 October 2021).</w:t>
      </w:r>
    </w:p>
    <w:p w:rsidR="00876A3A" w:rsidP="007A4424" w:rsidRDefault="00876A3A" w14:paraId="5B209335" w14:textId="77777777">
      <w:pPr>
        <w:rPr>
          <w:rFonts w:ascii="Calibri" w:hAnsi="Calibri" w:cs="Calibri"/>
          <w:color w:val="201F1E"/>
          <w:shd w:val="clear" w:color="auto" w:fill="FFFFFF"/>
        </w:rPr>
      </w:pPr>
      <w:r>
        <w:rPr>
          <w:rFonts w:ascii="Calibri" w:hAnsi="Calibri" w:cs="Calibri"/>
          <w:color w:val="201F1E"/>
          <w:shd w:val="clear" w:color="auto" w:fill="FFFFFF"/>
        </w:rPr>
        <w:lastRenderedPageBreak/>
        <w:t xml:space="preserve">World Health Organisation (WHO)(2019) </w:t>
      </w:r>
      <w:r w:rsidRPr="00C84E16">
        <w:rPr>
          <w:rFonts w:ascii="Calibri" w:hAnsi="Calibri" w:cs="Calibri"/>
          <w:i/>
          <w:color w:val="201F1E"/>
          <w:shd w:val="clear" w:color="auto" w:fill="FFFFFF"/>
        </w:rPr>
        <w:t>Measles</w:t>
      </w:r>
      <w:r>
        <w:rPr>
          <w:rFonts w:ascii="Calibri" w:hAnsi="Calibri" w:cs="Calibri"/>
          <w:color w:val="201F1E"/>
          <w:shd w:val="clear" w:color="auto" w:fill="FFFFFF"/>
        </w:rPr>
        <w:t xml:space="preserve">. Available at: </w:t>
      </w:r>
      <w:r w:rsidRPr="007B0092">
        <w:rPr>
          <w:rFonts w:ascii="Calibri" w:hAnsi="Calibri" w:cs="Calibri"/>
          <w:color w:val="201F1E"/>
          <w:shd w:val="clear" w:color="auto" w:fill="FFFFFF"/>
        </w:rPr>
        <w:t>https://www.who.int/en/news-room/fact-sheets/detail/measles</w:t>
      </w:r>
      <w:r>
        <w:rPr>
          <w:rFonts w:ascii="Calibri" w:hAnsi="Calibri" w:cs="Calibri"/>
          <w:color w:val="201F1E"/>
          <w:shd w:val="clear" w:color="auto" w:fill="FFFFFF"/>
        </w:rPr>
        <w:t xml:space="preserve"> (Accessed on 19 October 2021).</w:t>
      </w:r>
    </w:p>
    <w:p w:rsidRPr="00BD3564" w:rsidR="00C84E16" w:rsidP="007A4424" w:rsidRDefault="00C84E16" w14:paraId="0BBC3159" w14:textId="77777777">
      <w:pPr>
        <w:rPr>
          <w:rFonts w:ascii="Calibri" w:hAnsi="Calibri" w:cs="Calibri"/>
          <w:color w:val="201F1E"/>
          <w:shd w:val="clear" w:color="auto" w:fill="FFFFFF"/>
        </w:rPr>
      </w:pPr>
    </w:p>
    <w:sectPr w:rsidRPr="00BD3564" w:rsidR="00C84E16">
      <w:headerReference w:type="default" r:id="rId11"/>
      <w:footerReference w:type="default" r:id="rId12"/>
      <w:pgSz w:w="11906" w:h="16838" w:orient="portrait"/>
      <w:pgMar w:top="1440" w:right="1440" w:bottom="1440" w:left="1440"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85576" w:rsidP="007A4424" w:rsidRDefault="00F85576" w14:paraId="6C83E85D" w14:textId="77777777">
      <w:pPr>
        <w:spacing w:line="240" w:lineRule="auto"/>
      </w:pPr>
      <w:r>
        <w:separator/>
      </w:r>
    </w:p>
  </w:endnote>
  <w:endnote w:type="continuationSeparator" w:id="0">
    <w:p w:rsidR="00F85576" w:rsidP="007A4424" w:rsidRDefault="00F85576" w14:paraId="1FA26A01"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5932549"/>
      <w:docPartObj>
        <w:docPartGallery w:val="Page Numbers (Bottom of Page)"/>
        <w:docPartUnique/>
      </w:docPartObj>
    </w:sdtPr>
    <w:sdtEndPr>
      <w:rPr>
        <w:noProof/>
      </w:rPr>
    </w:sdtEndPr>
    <w:sdtContent>
      <w:p w:rsidR="004C7863" w:rsidRDefault="004C7863" w14:paraId="5A61C882" w14:textId="77777777">
        <w:pPr>
          <w:pStyle w:val="Footer"/>
          <w:jc w:val="right"/>
        </w:pPr>
        <w:r>
          <w:fldChar w:fldCharType="begin"/>
        </w:r>
        <w:r>
          <w:instrText xml:space="preserve"> PAGE   \* MERGEFORMAT </w:instrText>
        </w:r>
        <w:r>
          <w:fldChar w:fldCharType="separate"/>
        </w:r>
        <w:r w:rsidR="007B0092">
          <w:rPr>
            <w:noProof/>
          </w:rPr>
          <w:t>4</w:t>
        </w:r>
        <w:r>
          <w:rPr>
            <w:noProof/>
          </w:rPr>
          <w:fldChar w:fldCharType="end"/>
        </w:r>
      </w:p>
    </w:sdtContent>
  </w:sdt>
  <w:p w:rsidR="007A4424" w:rsidRDefault="007A4424" w14:paraId="74560ED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85576" w:rsidP="007A4424" w:rsidRDefault="00F85576" w14:paraId="5ECEC070" w14:textId="77777777">
      <w:pPr>
        <w:spacing w:line="240" w:lineRule="auto"/>
      </w:pPr>
      <w:r>
        <w:separator/>
      </w:r>
    </w:p>
  </w:footnote>
  <w:footnote w:type="continuationSeparator" w:id="0">
    <w:p w:rsidR="00F85576" w:rsidP="007A4424" w:rsidRDefault="00F85576" w14:paraId="305BB754"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4424" w:rsidRDefault="007A4424" w14:paraId="51330DA4" w14:textId="77777777">
    <w:pPr>
      <w:pStyle w:val="Header"/>
      <w:jc w:val="right"/>
      <w:rPr>
        <w:color w:val="8496B0" w:themeColor="text2" w:themeTint="99"/>
        <w:sz w:val="24"/>
        <w:szCs w:val="24"/>
      </w:rPr>
    </w:pPr>
    <w:r>
      <w:rPr>
        <w:color w:val="8496B0" w:themeColor="text2" w:themeTint="99"/>
        <w:sz w:val="24"/>
        <w:szCs w:val="24"/>
      </w:rPr>
      <w:t>Charlotte Ashford 2100378</w:t>
    </w:r>
  </w:p>
  <w:p w:rsidR="007A4424" w:rsidRDefault="007A4424" w14:paraId="2E9F249F" w14:textId="77777777">
    <w:pPr>
      <w:pStyle w:val="Header"/>
    </w:pPr>
  </w:p>
</w:hdr>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4424"/>
    <w:rsid w:val="00003F3D"/>
    <w:rsid w:val="001E4C87"/>
    <w:rsid w:val="00214941"/>
    <w:rsid w:val="00236B36"/>
    <w:rsid w:val="0025274B"/>
    <w:rsid w:val="002B5DB6"/>
    <w:rsid w:val="002E2BDA"/>
    <w:rsid w:val="002E54E5"/>
    <w:rsid w:val="003124D1"/>
    <w:rsid w:val="00433ABA"/>
    <w:rsid w:val="004A4E4E"/>
    <w:rsid w:val="004C1CEA"/>
    <w:rsid w:val="004C7863"/>
    <w:rsid w:val="00616DE6"/>
    <w:rsid w:val="00686489"/>
    <w:rsid w:val="006E1705"/>
    <w:rsid w:val="006F1A9F"/>
    <w:rsid w:val="006F41E6"/>
    <w:rsid w:val="00732E5A"/>
    <w:rsid w:val="00763E3A"/>
    <w:rsid w:val="007A4424"/>
    <w:rsid w:val="007B0092"/>
    <w:rsid w:val="00876A3A"/>
    <w:rsid w:val="008F6006"/>
    <w:rsid w:val="008FC84E"/>
    <w:rsid w:val="00944327"/>
    <w:rsid w:val="00960F9A"/>
    <w:rsid w:val="00962BF7"/>
    <w:rsid w:val="00992C53"/>
    <w:rsid w:val="009F32A7"/>
    <w:rsid w:val="00AF78C5"/>
    <w:rsid w:val="00B24EBB"/>
    <w:rsid w:val="00BD3564"/>
    <w:rsid w:val="00C84E16"/>
    <w:rsid w:val="00CA73BA"/>
    <w:rsid w:val="00D04212"/>
    <w:rsid w:val="00D16673"/>
    <w:rsid w:val="00D37457"/>
    <w:rsid w:val="00D67D45"/>
    <w:rsid w:val="00D9603B"/>
    <w:rsid w:val="00DC2908"/>
    <w:rsid w:val="00E616EE"/>
    <w:rsid w:val="00E87D50"/>
    <w:rsid w:val="00ED731A"/>
    <w:rsid w:val="00F33A27"/>
    <w:rsid w:val="00F85576"/>
    <w:rsid w:val="00F92965"/>
    <w:rsid w:val="00FA65D3"/>
    <w:rsid w:val="02381667"/>
    <w:rsid w:val="041E6FB7"/>
    <w:rsid w:val="04828255"/>
    <w:rsid w:val="05D5DB15"/>
    <w:rsid w:val="07FE5019"/>
    <w:rsid w:val="08A50972"/>
    <w:rsid w:val="08E6677F"/>
    <w:rsid w:val="098670DD"/>
    <w:rsid w:val="0AF1C3D9"/>
    <w:rsid w:val="0B2A6D87"/>
    <w:rsid w:val="0C00D3DD"/>
    <w:rsid w:val="0D73E594"/>
    <w:rsid w:val="0E227794"/>
    <w:rsid w:val="0F47333E"/>
    <w:rsid w:val="10C47BE2"/>
    <w:rsid w:val="115B4487"/>
    <w:rsid w:val="141314F0"/>
    <w:rsid w:val="14B95879"/>
    <w:rsid w:val="150BD6C1"/>
    <w:rsid w:val="15ADC9A2"/>
    <w:rsid w:val="15C3CC8C"/>
    <w:rsid w:val="1621BA88"/>
    <w:rsid w:val="183B557E"/>
    <w:rsid w:val="1A5FDA35"/>
    <w:rsid w:val="1A75FC2A"/>
    <w:rsid w:val="1AF82E11"/>
    <w:rsid w:val="1D12C28F"/>
    <w:rsid w:val="1EAA9702"/>
    <w:rsid w:val="1EECF3A3"/>
    <w:rsid w:val="2080FEAF"/>
    <w:rsid w:val="20D2089E"/>
    <w:rsid w:val="23AA300A"/>
    <w:rsid w:val="2607B49F"/>
    <w:rsid w:val="286E3DED"/>
    <w:rsid w:val="295E52F5"/>
    <w:rsid w:val="2ACD694D"/>
    <w:rsid w:val="2C280878"/>
    <w:rsid w:val="2CE14AA5"/>
    <w:rsid w:val="2CEC68F6"/>
    <w:rsid w:val="2CF7ECE9"/>
    <w:rsid w:val="304D3DFC"/>
    <w:rsid w:val="31504E20"/>
    <w:rsid w:val="32347992"/>
    <w:rsid w:val="3487EEE2"/>
    <w:rsid w:val="35832483"/>
    <w:rsid w:val="35EE50CD"/>
    <w:rsid w:val="36031B69"/>
    <w:rsid w:val="367282EF"/>
    <w:rsid w:val="38331387"/>
    <w:rsid w:val="3A3F7025"/>
    <w:rsid w:val="3A85E837"/>
    <w:rsid w:val="3B6EA9E5"/>
    <w:rsid w:val="3B7A2DD8"/>
    <w:rsid w:val="3BF1FB37"/>
    <w:rsid w:val="3D434E32"/>
    <w:rsid w:val="3E168E09"/>
    <w:rsid w:val="3E3A9A36"/>
    <w:rsid w:val="3F52D283"/>
    <w:rsid w:val="40A53C1F"/>
    <w:rsid w:val="40AEFEF0"/>
    <w:rsid w:val="41B2C506"/>
    <w:rsid w:val="4379BBCA"/>
    <w:rsid w:val="43853FBD"/>
    <w:rsid w:val="45610EDF"/>
    <w:rsid w:val="473F9E4F"/>
    <w:rsid w:val="47DDA0F4"/>
    <w:rsid w:val="481E92C4"/>
    <w:rsid w:val="48340490"/>
    <w:rsid w:val="48E9FAEB"/>
    <w:rsid w:val="496048F8"/>
    <w:rsid w:val="49CFD4F1"/>
    <w:rsid w:val="4BF951D6"/>
    <w:rsid w:val="4C5163BD"/>
    <w:rsid w:val="4E33BA1B"/>
    <w:rsid w:val="4E9D4BE7"/>
    <w:rsid w:val="517C23DB"/>
    <w:rsid w:val="544896C0"/>
    <w:rsid w:val="55831B43"/>
    <w:rsid w:val="5ACFA414"/>
    <w:rsid w:val="5EBF318E"/>
    <w:rsid w:val="5F352A96"/>
    <w:rsid w:val="622D236C"/>
    <w:rsid w:val="62679298"/>
    <w:rsid w:val="63E41479"/>
    <w:rsid w:val="641BD688"/>
    <w:rsid w:val="645D5DFD"/>
    <w:rsid w:val="653098E8"/>
    <w:rsid w:val="65A23ED5"/>
    <w:rsid w:val="67D13442"/>
    <w:rsid w:val="69856035"/>
    <w:rsid w:val="6C332033"/>
    <w:rsid w:val="6C376EA3"/>
    <w:rsid w:val="6C7EFB1D"/>
    <w:rsid w:val="6DB02EF4"/>
    <w:rsid w:val="6E345AD9"/>
    <w:rsid w:val="6EC33D65"/>
    <w:rsid w:val="70500B98"/>
    <w:rsid w:val="72453F85"/>
    <w:rsid w:val="729B714B"/>
    <w:rsid w:val="7739F861"/>
    <w:rsid w:val="773DE80D"/>
    <w:rsid w:val="777C42B9"/>
    <w:rsid w:val="77B671D7"/>
    <w:rsid w:val="78E96C11"/>
    <w:rsid w:val="79CC1DEC"/>
    <w:rsid w:val="7A0A859A"/>
    <w:rsid w:val="7BBC572A"/>
    <w:rsid w:val="7C825389"/>
    <w:rsid w:val="7DDE23B4"/>
    <w:rsid w:val="7E62CD8B"/>
    <w:rsid w:val="7FA365C0"/>
    <w:rsid w:val="7FE935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78CEC"/>
  <w15:chartTrackingRefBased/>
  <w15:docId w15:val="{48E8CC39-974C-441E-B8CC-2CD1111C6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003F3D"/>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7A4424"/>
    <w:pPr>
      <w:tabs>
        <w:tab w:val="center" w:pos="4513"/>
        <w:tab w:val="right" w:pos="9026"/>
      </w:tabs>
      <w:spacing w:line="240" w:lineRule="auto"/>
    </w:pPr>
  </w:style>
  <w:style w:type="character" w:styleId="HeaderChar" w:customStyle="1">
    <w:name w:val="Header Char"/>
    <w:basedOn w:val="DefaultParagraphFont"/>
    <w:link w:val="Header"/>
    <w:uiPriority w:val="99"/>
    <w:rsid w:val="007A4424"/>
  </w:style>
  <w:style w:type="paragraph" w:styleId="Footer">
    <w:name w:val="footer"/>
    <w:basedOn w:val="Normal"/>
    <w:link w:val="FooterChar"/>
    <w:uiPriority w:val="99"/>
    <w:unhideWhenUsed/>
    <w:rsid w:val="007A4424"/>
    <w:pPr>
      <w:tabs>
        <w:tab w:val="center" w:pos="4513"/>
        <w:tab w:val="right" w:pos="9026"/>
      </w:tabs>
      <w:spacing w:line="240" w:lineRule="auto"/>
    </w:pPr>
  </w:style>
  <w:style w:type="character" w:styleId="FooterChar" w:customStyle="1">
    <w:name w:val="Footer Char"/>
    <w:basedOn w:val="DefaultParagraphFont"/>
    <w:link w:val="Footer"/>
    <w:uiPriority w:val="99"/>
    <w:rsid w:val="007A4424"/>
  </w:style>
  <w:style w:type="character" w:styleId="Hyperlink">
    <w:name w:val="Hyperlink"/>
    <w:basedOn w:val="DefaultParagraphFont"/>
    <w:uiPriority w:val="99"/>
    <w:unhideWhenUsed/>
    <w:rsid w:val="006E1705"/>
    <w:rPr>
      <w:color w:val="0563C1" w:themeColor="hyperlink"/>
      <w:u w:val="single"/>
    </w:rPr>
  </w:style>
  <w:style w:type="character" w:styleId="Heading1Char" w:customStyle="1">
    <w:name w:val="Heading 1 Char"/>
    <w:basedOn w:val="DefaultParagraphFont"/>
    <w:link w:val="Heading1"/>
    <w:uiPriority w:val="9"/>
    <w:rsid w:val="00003F3D"/>
    <w:rPr>
      <w:rFonts w:ascii="Times New Roman" w:hAnsi="Times New Roman" w:eastAsia="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003F3D"/>
    <w:rPr>
      <w:color w:val="954F72" w:themeColor="followedHyperlink"/>
      <w:u w:val="single"/>
    </w:rPr>
  </w:style>
  <w:style w:type="character" w:styleId="CommentReference">
    <w:name w:val="annotation reference"/>
    <w:basedOn w:val="DefaultParagraphFont"/>
    <w:uiPriority w:val="99"/>
    <w:semiHidden/>
    <w:unhideWhenUsed/>
    <w:rsid w:val="00962BF7"/>
    <w:rPr>
      <w:sz w:val="16"/>
      <w:szCs w:val="16"/>
    </w:rPr>
  </w:style>
  <w:style w:type="paragraph" w:styleId="CommentText">
    <w:name w:val="annotation text"/>
    <w:basedOn w:val="Normal"/>
    <w:link w:val="CommentTextChar"/>
    <w:uiPriority w:val="99"/>
    <w:unhideWhenUsed/>
    <w:rsid w:val="00962BF7"/>
    <w:pPr>
      <w:spacing w:line="240" w:lineRule="auto"/>
    </w:pPr>
    <w:rPr>
      <w:sz w:val="20"/>
      <w:szCs w:val="20"/>
    </w:rPr>
  </w:style>
  <w:style w:type="character" w:styleId="CommentTextChar" w:customStyle="1">
    <w:name w:val="Comment Text Char"/>
    <w:basedOn w:val="DefaultParagraphFont"/>
    <w:link w:val="CommentText"/>
    <w:uiPriority w:val="99"/>
    <w:rsid w:val="00962BF7"/>
    <w:rPr>
      <w:sz w:val="20"/>
      <w:szCs w:val="20"/>
    </w:rPr>
  </w:style>
  <w:style w:type="paragraph" w:styleId="CommentSubject">
    <w:name w:val="annotation subject"/>
    <w:basedOn w:val="CommentText"/>
    <w:next w:val="CommentText"/>
    <w:link w:val="CommentSubjectChar"/>
    <w:uiPriority w:val="99"/>
    <w:semiHidden/>
    <w:unhideWhenUsed/>
    <w:rsid w:val="00962BF7"/>
    <w:rPr>
      <w:b/>
      <w:bCs/>
    </w:rPr>
  </w:style>
  <w:style w:type="character" w:styleId="CommentSubjectChar" w:customStyle="1">
    <w:name w:val="Comment Subject Char"/>
    <w:basedOn w:val="CommentTextChar"/>
    <w:link w:val="CommentSubject"/>
    <w:uiPriority w:val="99"/>
    <w:semiHidden/>
    <w:rsid w:val="00962BF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921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microsoft.com/office/2011/relationships/commentsExtended" Target="commentsExtended.xm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footer" Target="footer1.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eader" Target="header1.xml"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webSettings" Target="webSettings.xml" Id="rId4" /><Relationship Type="http://schemas.microsoft.com/office/2016/09/relationships/commentsIds" Target="commentsIds.xml" Id="rId9" /><Relationship Type="http://schemas.microsoft.com/office/2011/relationships/people" Target="people.xml" Id="rId14" /><Relationship Type="http://schemas.openxmlformats.org/officeDocument/2006/relationships/glossaryDocument" Target="glossary/document.xml" Id="Raa8d27791dcc428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a675168-bcbe-4efa-8066-855675216993}"/>
      </w:docPartPr>
      <w:docPartBody>
        <w:p w14:paraId="1AFCA83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D54FA-75DF-4DC7-B03A-01435C75C92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charlotte ashford</dc:creator>
  <keywords/>
  <dc:description/>
  <lastModifiedBy>Charlotte Ashford (2100378)</lastModifiedBy>
  <revision>4</revision>
  <dcterms:created xsi:type="dcterms:W3CDTF">2021-11-17T15:32:00.0000000Z</dcterms:created>
  <dcterms:modified xsi:type="dcterms:W3CDTF">2021-11-22T12:22:33.4826045Z</dcterms:modified>
</coreProperties>
</file>