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data1.xml" ContentType="application/vnd.openxmlformats-officedocument.drawingml.diagramData+xml"/>
  <Override PartName="/word/diagrams/drawing1.xml" ContentType="application/vnd.ms-office.drawingml.diagramDrawing+xml"/>
  <Override PartName="/word/diagrams/layout1.xml" ContentType="application/vnd.openxmlformats-officedocument.drawingml.diagramLayout+xml"/>
  <Override PartName="/word/diagrams/quickStyle1.xml" ContentType="application/vnd.openxmlformats-officedocument.drawingml.diagram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nts/font7.odttf" ContentType="application/vnd.openxmlformats-officedocument.obfuscatedFont"/>
  <Override PartName="/word/fonts/font8.odttf" ContentType="application/vnd.openxmlformats-officedocument.obfuscatedFont"/>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56424E2">
      <w:pPr>
        <w:rPr>
          <w:color w:val="000000" w:themeColor="text1"/>
          <w:lang w:val="en-GB"/>
          <w14:textFill>
            <w14:solidFill>
              <w14:schemeClr w14:val="tx1"/>
            </w14:solidFill>
          </w14:textFill>
        </w:rPr>
      </w:pPr>
    </w:p>
    <w:p w14:paraId="6CC731D2">
      <w:pPr>
        <w:jc w:val="center"/>
        <w:rPr>
          <w:color w:val="000000" w:themeColor="text1"/>
          <w:lang w:val="en-GB"/>
          <w14:textFill>
            <w14:solidFill>
              <w14:schemeClr w14:val="tx1"/>
            </w14:solidFill>
          </w14:textFill>
        </w:rPr>
      </w:pPr>
      <w:r>
        <w:drawing>
          <wp:inline distT="0" distB="0" distL="0" distR="0">
            <wp:extent cx="4619625" cy="1285875"/>
            <wp:effectExtent l="0" t="0" r="9525" b="9525"/>
            <wp:docPr id="1446004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004336" name="Picture 1"/>
                    <pic:cNvPicPr>
                      <a:picLocks noChangeAspect="1"/>
                    </pic:cNvPicPr>
                  </pic:nvPicPr>
                  <pic:blipFill>
                    <a:blip r:embed="rId7"/>
                    <a:stretch>
                      <a:fillRect/>
                    </a:stretch>
                  </pic:blipFill>
                  <pic:spPr>
                    <a:xfrm>
                      <a:off x="0" y="0"/>
                      <a:ext cx="4619625" cy="1285875"/>
                    </a:xfrm>
                    <a:prstGeom prst="rect">
                      <a:avLst/>
                    </a:prstGeom>
                  </pic:spPr>
                </pic:pic>
              </a:graphicData>
            </a:graphic>
          </wp:inline>
        </w:drawing>
      </w:r>
    </w:p>
    <w:p w14:paraId="1A6A875E">
      <w:pPr>
        <w:rPr>
          <w:color w:val="000000" w:themeColor="text1"/>
          <w:lang w:val="en-GB"/>
          <w14:textFill>
            <w14:solidFill>
              <w14:schemeClr w14:val="tx1"/>
            </w14:solidFill>
          </w14:textFill>
        </w:rPr>
      </w:pPr>
    </w:p>
    <w:p w14:paraId="0D158C7F">
      <w:pPr>
        <w:rPr>
          <w:color w:val="000000" w:themeColor="text1"/>
          <w:lang w:val="en-GB"/>
          <w14:textFill>
            <w14:solidFill>
              <w14:schemeClr w14:val="tx1"/>
            </w14:solidFill>
          </w14:textFill>
        </w:rPr>
      </w:pPr>
    </w:p>
    <w:p w14:paraId="4BC2EA14">
      <w:pPr>
        <w:rPr>
          <w:color w:val="000000" w:themeColor="text1"/>
          <w:lang w:val="en-GB"/>
          <w14:textFill>
            <w14:solidFill>
              <w14:schemeClr w14:val="tx1"/>
            </w14:solidFill>
          </w14:textFill>
        </w:rPr>
      </w:pPr>
    </w:p>
    <w:p w14:paraId="5467619B">
      <w:pPr>
        <w:rPr>
          <w:color w:val="000000" w:themeColor="text1"/>
          <w:lang w:val="en-GB"/>
          <w14:textFill>
            <w14:solidFill>
              <w14:schemeClr w14:val="tx1"/>
            </w14:solidFill>
          </w14:textFill>
        </w:rPr>
      </w:pPr>
    </w:p>
    <w:p w14:paraId="5B90E7A1">
      <w:pPr>
        <w:jc w:val="center"/>
        <w:rPr>
          <w:color w:val="000000" w:themeColor="text1"/>
          <w:sz w:val="24"/>
          <w:szCs w:val="24"/>
          <w:lang w:val="en-GB"/>
          <w14:textFill>
            <w14:solidFill>
              <w14:schemeClr w14:val="tx1"/>
            </w14:solidFill>
          </w14:textFill>
        </w:rPr>
      </w:pPr>
    </w:p>
    <w:p w14:paraId="748BEEDD">
      <w:pPr>
        <w:jc w:val="center"/>
        <w:rPr>
          <w:rFonts w:hint="default"/>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Programme of Study:</w:t>
      </w:r>
      <w:r>
        <w:rPr>
          <w:rFonts w:hint="default"/>
          <w:color w:val="000000" w:themeColor="text1"/>
          <w:sz w:val="24"/>
          <w:szCs w:val="24"/>
          <w:lang w:val="en-GB"/>
          <w14:textFill>
            <w14:solidFill>
              <w14:schemeClr w14:val="tx1"/>
            </w14:solidFill>
          </w14:textFill>
        </w:rPr>
        <w:t xml:space="preserve"> Master of Business Administration</w:t>
      </w:r>
    </w:p>
    <w:p w14:paraId="1DD40EC1">
      <w:pPr>
        <w:jc w:val="cente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Name: Krisha Rajeshbhai Navapara</w:t>
      </w:r>
    </w:p>
    <w:p w14:paraId="37578833">
      <w:pPr>
        <w:jc w:val="center"/>
        <w:rPr>
          <w:color w:val="000000" w:themeColor="text1"/>
          <w:sz w:val="24"/>
          <w:szCs w:val="24"/>
          <w:lang w:val="en-GB"/>
          <w14:textFill>
            <w14:solidFill>
              <w14:schemeClr w14:val="tx1"/>
            </w14:solidFill>
          </w14:textFill>
        </w:rPr>
      </w:pPr>
      <w:r>
        <w:rPr>
          <w:rFonts w:hint="default"/>
          <w:color w:val="000000" w:themeColor="text1"/>
          <w:sz w:val="24"/>
          <w:szCs w:val="24"/>
          <w:lang w:val="en-GB"/>
          <w14:textFill>
            <w14:solidFill>
              <w14:schemeClr w14:val="tx1"/>
            </w14:solidFill>
          </w14:textFill>
        </w:rPr>
        <w:t>Student Id:</w:t>
      </w:r>
      <w:r>
        <w:rPr>
          <w:color w:val="000000" w:themeColor="text1"/>
          <w:sz w:val="24"/>
          <w:szCs w:val="24"/>
          <w:lang w:val="en-GB"/>
          <w14:textFill>
            <w14:solidFill>
              <w14:schemeClr w14:val="tx1"/>
            </w14:solidFill>
          </w14:textFill>
        </w:rPr>
        <w:t xml:space="preserve"> 2431955</w:t>
      </w:r>
    </w:p>
    <w:p w14:paraId="7C55B824">
      <w:pPr>
        <w:jc w:val="center"/>
        <w:rPr>
          <w:color w:val="000000" w:themeColor="text1"/>
          <w:sz w:val="24"/>
          <w:szCs w:val="24"/>
          <w:lang w:val="en-GB"/>
          <w14:textFill>
            <w14:solidFill>
              <w14:schemeClr w14:val="tx1"/>
            </w14:solidFill>
          </w14:textFill>
        </w:rPr>
      </w:pPr>
    </w:p>
    <w:p w14:paraId="5A267948">
      <w:pPr>
        <w:jc w:val="center"/>
        <w:rPr>
          <w:color w:val="000000" w:themeColor="text1"/>
          <w:sz w:val="24"/>
          <w:szCs w:val="24"/>
          <w:lang w:val="en-GB"/>
          <w14:textFill>
            <w14:solidFill>
              <w14:schemeClr w14:val="tx1"/>
            </w14:solidFill>
          </w14:textFill>
        </w:rPr>
      </w:pPr>
    </w:p>
    <w:p w14:paraId="00000006">
      <w:pPr>
        <w:spacing w:line="360" w:lineRule="auto"/>
        <w:jc w:val="center"/>
        <w:rPr>
          <w:b/>
          <w:bCs/>
          <w:color w:val="000000" w:themeColor="text1"/>
          <w:sz w:val="24"/>
          <w:szCs w:val="24"/>
          <w:lang w:val="en-GB"/>
          <w14:textFill>
            <w14:solidFill>
              <w14:schemeClr w14:val="tx1"/>
            </w14:solidFill>
          </w14:textFill>
        </w:rPr>
      </w:pPr>
      <w:r>
        <w:rPr>
          <w:b/>
          <w:bCs/>
          <w:color w:val="000000" w:themeColor="text1"/>
          <w:sz w:val="24"/>
          <w:szCs w:val="24"/>
          <w:lang w:val="en-GB"/>
          <w14:textFill>
            <w14:solidFill>
              <w14:schemeClr w14:val="tx1"/>
            </w14:solidFill>
          </w14:textFill>
        </w:rPr>
        <w:t>Research Title: Analyzing generative AI and predictive analytic for forecasting demand and inventory optimization- A M&amp;S case study</w:t>
      </w:r>
    </w:p>
    <w:p w14:paraId="29C17B57">
      <w:pPr>
        <w:jc w:val="center"/>
        <w:rPr>
          <w:color w:val="000000" w:themeColor="text1"/>
          <w:sz w:val="24"/>
          <w:szCs w:val="24"/>
          <w:lang w:val="en-GB"/>
          <w14:textFill>
            <w14:solidFill>
              <w14:schemeClr w14:val="tx1"/>
            </w14:solidFill>
          </w14:textFill>
        </w:rPr>
      </w:pPr>
    </w:p>
    <w:p w14:paraId="7604A9D0">
      <w:pPr>
        <w:jc w:val="center"/>
        <w:rPr>
          <w:rFonts w:hint="default"/>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Supervisor</w:t>
      </w:r>
      <w:r>
        <w:rPr>
          <w:rFonts w:hint="default"/>
          <w:color w:val="000000" w:themeColor="text1"/>
          <w:sz w:val="24"/>
          <w:szCs w:val="24"/>
          <w:lang w:val="en-GB"/>
          <w14:textFill>
            <w14:solidFill>
              <w14:schemeClr w14:val="tx1"/>
            </w14:solidFill>
          </w14:textFill>
        </w:rPr>
        <w:t xml:space="preserve"> Name: Mazen Joureih</w:t>
      </w:r>
    </w:p>
    <w:p w14:paraId="19F563DC">
      <w:pPr>
        <w:rPr>
          <w:b/>
          <w:bCs/>
          <w:color w:val="000000" w:themeColor="text1"/>
          <w:sz w:val="24"/>
          <w:szCs w:val="24"/>
          <w:lang w:val="en-GB"/>
          <w14:textFill>
            <w14:solidFill>
              <w14:schemeClr w14:val="tx1"/>
            </w14:solidFill>
          </w14:textFill>
        </w:rPr>
      </w:pPr>
      <w:r>
        <w:rPr>
          <w:b/>
          <w:bCs/>
          <w:color w:val="000000" w:themeColor="text1"/>
          <w:sz w:val="24"/>
          <w:szCs w:val="24"/>
          <w:lang w:val="en-GB"/>
          <w14:textFill>
            <w14:solidFill>
              <w14:schemeClr w14:val="tx1"/>
            </w14:solidFill>
          </w14:textFill>
        </w:rPr>
        <w:br w:type="page"/>
      </w:r>
    </w:p>
    <w:p w14:paraId="45F44EDD">
      <w:pPr>
        <w:rPr>
          <w:b/>
          <w:bCs/>
          <w:color w:val="000000" w:themeColor="text1"/>
          <w:sz w:val="24"/>
          <w:szCs w:val="24"/>
          <w:lang w:val="en-GB"/>
          <w14:textFill>
            <w14:solidFill>
              <w14:schemeClr w14:val="tx1"/>
            </w14:solidFill>
          </w14:textFill>
        </w:rPr>
      </w:pPr>
    </w:p>
    <w:p w14:paraId="1C899B85">
      <w:pPr>
        <w:jc w:val="center"/>
        <w:rPr>
          <w:b/>
          <w:bCs/>
          <w:color w:val="000000" w:themeColor="text1"/>
          <w:sz w:val="24"/>
          <w:szCs w:val="24"/>
          <w:lang w:val="en-GB"/>
          <w14:textFill>
            <w14:solidFill>
              <w14:schemeClr w14:val="tx1"/>
            </w14:solidFill>
          </w14:textFill>
        </w:rPr>
      </w:pPr>
      <w:r>
        <w:rPr>
          <w:b/>
          <w:bCs/>
          <w:color w:val="000000" w:themeColor="text1"/>
          <w:sz w:val="24"/>
          <w:szCs w:val="24"/>
          <w:lang w:val="en-GB"/>
          <w14:textFill>
            <w14:solidFill>
              <w14:schemeClr w14:val="tx1"/>
            </w14:solidFill>
          </w14:textFill>
        </w:rPr>
        <w:t>Abstract</w:t>
      </w:r>
    </w:p>
    <w:p w14:paraId="709EA18E">
      <w:pPr>
        <w:spacing w:line="360" w:lineRule="auto"/>
        <w:jc w:val="both"/>
        <w:rPr>
          <w:color w:val="000000" w:themeColor="text1"/>
          <w:sz w:val="24"/>
          <w:szCs w:val="24"/>
          <w:lang w:val="en-IN"/>
          <w14:textFill>
            <w14:solidFill>
              <w14:schemeClr w14:val="tx1"/>
            </w14:solidFill>
          </w14:textFill>
        </w:rPr>
      </w:pPr>
      <w:r>
        <w:rPr>
          <w:color w:val="000000" w:themeColor="text1"/>
          <w:sz w:val="24"/>
          <w:szCs w:val="24"/>
          <w:lang w:val="en-IN"/>
          <w14:textFill>
            <w14:solidFill>
              <w14:schemeClr w14:val="tx1"/>
            </w14:solidFill>
          </w14:textFill>
        </w:rPr>
        <w:t>This dissertation explores how Generative AI (GenAI) and predictive analytics can assist with demand forecasting and inventory optimisation within the UK retail supply chains with one secondary qualitative case study of Marks &amp; Spencer (M&amp;S). The research addresses a gap in the literature as the adoption of GenAI in retail has been extensively discussed, there is a lack of empirical evidence at an organisation level that examines the impact on forecasting accuracy and inventory performance. The study tackles three research questions relating to the implementation of GenAI and predictive analytics, the types of techniques M&amp;S has implemented, and the opportunities and challenges this brings.</w:t>
      </w:r>
    </w:p>
    <w:p w14:paraId="338CE269">
      <w:pPr>
        <w:spacing w:line="360" w:lineRule="auto"/>
        <w:jc w:val="both"/>
        <w:rPr>
          <w:color w:val="000000" w:themeColor="text1"/>
          <w:sz w:val="24"/>
          <w:szCs w:val="24"/>
          <w:lang w:val="en-IN"/>
          <w14:textFill>
            <w14:solidFill>
              <w14:schemeClr w14:val="tx1"/>
            </w14:solidFill>
          </w14:textFill>
        </w:rPr>
      </w:pPr>
      <w:r>
        <w:rPr>
          <w:color w:val="000000" w:themeColor="text1"/>
          <w:sz w:val="24"/>
          <w:szCs w:val="24"/>
          <w:lang w:val="en-IN"/>
          <w14:textFill>
            <w14:solidFill>
              <w14:schemeClr w14:val="tx1"/>
            </w14:solidFill>
          </w14:textFill>
        </w:rPr>
        <w:t>The study is conducted using an interpretivist inductive approach, involving thematic analysis of 20 selected journal articles and corporate and industry sources, revealing that predictive analytics and GenAI are complementary for different purposes. Predictive analytics for structured historical forecasting, and GenAI for scenario generation and interpretation of unstructured data. AI-based forecasting is relevant to M&amp;S's trading context as it is one of the most volatile food demand scenarios, featuring promotions and short product cycles, but because the changes at M&amp;S were taking place at the same time as other changes, the revenue growth cannot be solely attributed to AI. The study also reveals significant investment in inventory optimisation (RELEX, the £340m automated distribution centre) and the widespread use of artificial intelligence throughout content creation, personalisation and store intelligence. The £300 million cost, and the disruption of operations for about 15 weeks, of the 2025 cyber-attack, however, highlights the operational risk inherent in digital interdependence.</w:t>
      </w:r>
    </w:p>
    <w:p w14:paraId="26024DB0">
      <w:pPr>
        <w:spacing w:line="360" w:lineRule="auto"/>
        <w:jc w:val="both"/>
        <w:rPr>
          <w:color w:val="000000" w:themeColor="text1"/>
          <w:sz w:val="24"/>
          <w:szCs w:val="24"/>
          <w:lang w:val="en-IN"/>
          <w14:textFill>
            <w14:solidFill>
              <w14:schemeClr w14:val="tx1"/>
            </w14:solidFill>
          </w14:textFill>
        </w:rPr>
      </w:pPr>
      <w:r>
        <w:rPr>
          <w:color w:val="000000" w:themeColor="text1"/>
          <w:sz w:val="24"/>
          <w:szCs w:val="24"/>
          <w:lang w:val="en-IN"/>
          <w14:textFill>
            <w14:solidFill>
              <w14:schemeClr w14:val="tx1"/>
            </w14:solidFill>
          </w14:textFill>
        </w:rPr>
        <w:t>The analysis shows that there is a high level of AI use at M&amp;S but evidence of the impact of the use of AI is not consistently linked in a way that is truly causal. It suggests a framework for dedicated KPIs, the necessity for human oversight in forecasting decisions, improved cybersecurity and vendor control, and the use of the Dynamic Capabilities View in combination with the Technology-Organisation-Environment framework for better understanding the technology-organisation-environment gap. Some limitations are: the design is single case and secondary data which limit generalisability. A longitudinal and multi-retailer design, using primary interviews, should be used in future research.</w:t>
      </w:r>
      <w:r>
        <w:rPr>
          <w:color w:val="000000" w:themeColor="text1"/>
          <w:lang w:val="en-GB"/>
          <w14:textFill>
            <w14:solidFill>
              <w14:schemeClr w14:val="tx1"/>
            </w14:solidFill>
          </w14:textFill>
        </w:rPr>
        <w:br w:type="page"/>
      </w:r>
    </w:p>
    <w:p w14:paraId="11667203">
      <w:pPr>
        <w:rPr>
          <w:color w:val="000000" w:themeColor="text1"/>
          <w:lang w:val="en-GB"/>
          <w14:textFill>
            <w14:solidFill>
              <w14:schemeClr w14:val="tx1"/>
            </w14:solidFill>
          </w14:textFill>
        </w:rPr>
      </w:pPr>
    </w:p>
    <w:p w14:paraId="416B0CDD">
      <w:pPr>
        <w:spacing w:line="360" w:lineRule="auto"/>
        <w:jc w:val="both"/>
        <w:rPr>
          <w:b/>
          <w:bCs/>
          <w:color w:val="000000" w:themeColor="text1"/>
          <w:sz w:val="24"/>
          <w:szCs w:val="24"/>
          <w:lang w:val="en-GB"/>
          <w14:textFill>
            <w14:solidFill>
              <w14:schemeClr w14:val="tx1"/>
            </w14:solidFill>
          </w14:textFill>
        </w:rPr>
      </w:pPr>
      <w:r>
        <w:rPr>
          <w:b/>
          <w:bCs/>
          <w:color w:val="000000" w:themeColor="text1"/>
          <w:sz w:val="24"/>
          <w:szCs w:val="24"/>
          <w:lang w:val="en-GB"/>
          <w14:textFill>
            <w14:solidFill>
              <w14:schemeClr w14:val="tx1"/>
            </w14:solidFill>
          </w14:textFill>
        </w:rPr>
        <w:t xml:space="preserve">DECLARATATION </w:t>
      </w:r>
    </w:p>
    <w:p w14:paraId="25C80972">
      <w:pPr>
        <w:pStyle w:val="21"/>
        <w:spacing w:before="0" w:beforeAutospacing="0" w:after="0" w:afterAutospacing="0" w:line="360" w:lineRule="auto"/>
        <w:jc w:val="both"/>
        <w:textAlignment w:val="baseline"/>
        <w:rPr>
          <w:rFonts w:ascii="Arial" w:hAnsi="Arial" w:cs="Arial"/>
          <w:color w:val="000000" w:themeColor="text1"/>
          <w14:textFill>
            <w14:solidFill>
              <w14:schemeClr w14:val="tx1"/>
            </w14:solidFill>
          </w14:textFill>
        </w:rPr>
      </w:pPr>
      <w:r>
        <w:rPr>
          <w:rStyle w:val="22"/>
          <w:rFonts w:ascii="Arial" w:hAnsi="Arial" w:cs="Arial"/>
          <w:color w:val="000000" w:themeColor="text1"/>
          <w14:textFill>
            <w14:solidFill>
              <w14:schemeClr w14:val="tx1"/>
            </w14:solidFill>
          </w14:textFill>
        </w:rPr>
        <w:t xml:space="preserve">I, </w:t>
      </w:r>
      <w:r>
        <w:rPr>
          <w:rStyle w:val="22"/>
          <w:rFonts w:hint="default" w:ascii="Arial" w:hAnsi="Arial" w:cs="Arial"/>
          <w:color w:val="000000" w:themeColor="text1"/>
          <w:lang w:val="en-GB"/>
          <w14:textFill>
            <w14:solidFill>
              <w14:schemeClr w14:val="tx1"/>
            </w14:solidFill>
          </w14:textFill>
        </w:rPr>
        <w:t>Krisha Navapara</w:t>
      </w:r>
      <w:r>
        <w:rPr>
          <w:rStyle w:val="22"/>
          <w:rFonts w:ascii="Arial" w:hAnsi="Arial" w:cs="Arial"/>
          <w:color w:val="000000" w:themeColor="text1"/>
          <w14:textFill>
            <w14:solidFill>
              <w14:schemeClr w14:val="tx1"/>
            </w14:solidFill>
          </w14:textFil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Pr>
          <w:rStyle w:val="23"/>
          <w:rFonts w:ascii="Arial" w:hAnsi="Arial" w:cs="Arial"/>
          <w:color w:val="000000" w:themeColor="text1"/>
          <w14:textFill>
            <w14:solidFill>
              <w14:schemeClr w14:val="tx1"/>
            </w14:solidFill>
          </w14:textFill>
        </w:rPr>
        <w:t> </w:t>
      </w:r>
    </w:p>
    <w:p w14:paraId="061F2AE4">
      <w:pPr>
        <w:pStyle w:val="21"/>
        <w:spacing w:before="0" w:beforeAutospacing="0" w:after="0" w:afterAutospacing="0" w:line="360" w:lineRule="auto"/>
        <w:jc w:val="both"/>
        <w:textAlignment w:val="baseline"/>
        <w:rPr>
          <w:rFonts w:ascii="Arial" w:hAnsi="Arial" w:cs="Arial"/>
          <w:color w:val="000000" w:themeColor="text1"/>
          <w14:textFill>
            <w14:solidFill>
              <w14:schemeClr w14:val="tx1"/>
            </w14:solidFill>
          </w14:textFill>
        </w:rPr>
      </w:pPr>
      <w:r>
        <w:rPr>
          <w:rStyle w:val="23"/>
          <w:rFonts w:ascii="Arial" w:hAnsi="Arial" w:cs="Arial"/>
          <w:color w:val="000000" w:themeColor="text1"/>
          <w14:textFill>
            <w14:solidFill>
              <w14:schemeClr w14:val="tx1"/>
            </w14:solidFill>
          </w14:textFill>
        </w:rPr>
        <w:t> </w:t>
      </w:r>
    </w:p>
    <w:p w14:paraId="1705DC94">
      <w:pPr>
        <w:pStyle w:val="21"/>
        <w:spacing w:before="0" w:beforeAutospacing="0" w:after="0" w:afterAutospacing="0" w:line="360" w:lineRule="auto"/>
        <w:jc w:val="both"/>
        <w:textAlignment w:val="baseline"/>
        <w:rPr>
          <w:rStyle w:val="22"/>
          <w:rFonts w:ascii="Arial" w:hAnsi="Arial" w:cs="Arial"/>
          <w:color w:val="000000" w:themeColor="text1"/>
          <w14:textFill>
            <w14:solidFill>
              <w14:schemeClr w14:val="tx1"/>
            </w14:solidFill>
          </w14:textFill>
        </w:rPr>
      </w:pPr>
      <w:r>
        <w:rPr>
          <w:rStyle w:val="22"/>
          <w:rFonts w:ascii="Arial" w:hAnsi="Arial" w:cs="Arial"/>
          <w:color w:val="000000" w:themeColor="text1"/>
          <w14:textFill>
            <w14:solidFill>
              <w14:schemeClr w14:val="tx1"/>
            </w14:solidFill>
          </w14:textFill>
        </w:rPr>
        <w:t>Signature:.</w:t>
      </w:r>
      <w:r>
        <w:rPr>
          <w:rStyle w:val="22"/>
          <w:rFonts w:hint="default" w:ascii="Arial" w:hAnsi="Arial" w:cs="Arial"/>
          <w:color w:val="000000" w:themeColor="text1"/>
          <w:lang w:val="en-GB"/>
          <w14:textFill>
            <w14:solidFill>
              <w14:schemeClr w14:val="tx1"/>
            </w14:solidFill>
          </w14:textFill>
        </w:rPr>
        <w:t>K.R.NAVAPARA</w:t>
      </w:r>
      <w:r>
        <w:rPr>
          <w:rStyle w:val="22"/>
          <w:rFonts w:ascii="Arial" w:hAnsi="Arial" w:cs="Arial"/>
          <w:color w:val="000000" w:themeColor="text1"/>
          <w14:textFill>
            <w14:solidFill>
              <w14:schemeClr w14:val="tx1"/>
            </w14:solidFill>
          </w14:textFill>
        </w:rPr>
        <w:t>..................................................…</w:t>
      </w:r>
    </w:p>
    <w:p w14:paraId="518B4053">
      <w:pPr>
        <w:pStyle w:val="21"/>
        <w:spacing w:before="0" w:beforeAutospacing="0" w:after="0" w:afterAutospacing="0" w:line="360" w:lineRule="auto"/>
        <w:jc w:val="both"/>
        <w:textAlignment w:val="baseline"/>
        <w:rPr>
          <w:rStyle w:val="22"/>
          <w:rFonts w:ascii="Arial" w:hAnsi="Arial" w:cs="Arial"/>
          <w:color w:val="000000" w:themeColor="text1"/>
          <w14:textFill>
            <w14:solidFill>
              <w14:schemeClr w14:val="tx1"/>
            </w14:solidFill>
          </w14:textFill>
        </w:rPr>
      </w:pPr>
    </w:p>
    <w:p w14:paraId="56EBDF86">
      <w:pPr>
        <w:pStyle w:val="21"/>
        <w:spacing w:before="0" w:beforeAutospacing="0" w:after="0" w:afterAutospacing="0" w:line="360" w:lineRule="auto"/>
        <w:jc w:val="both"/>
        <w:textAlignment w:val="baseline"/>
        <w:rPr>
          <w:rStyle w:val="23"/>
          <w:rFonts w:ascii="Arial" w:hAnsi="Arial" w:cs="Arial"/>
          <w:color w:val="000000" w:themeColor="text1"/>
          <w14:textFill>
            <w14:solidFill>
              <w14:schemeClr w14:val="tx1"/>
            </w14:solidFill>
          </w14:textFill>
        </w:rPr>
      </w:pPr>
      <w:r>
        <w:rPr>
          <w:rStyle w:val="22"/>
          <w:rFonts w:ascii="Arial" w:hAnsi="Arial" w:cs="Arial"/>
          <w:color w:val="000000" w:themeColor="text1"/>
          <w14:textFill>
            <w14:solidFill>
              <w14:schemeClr w14:val="tx1"/>
            </w14:solidFill>
          </w14:textFill>
        </w:rPr>
        <w:t>Date: …</w:t>
      </w:r>
      <w:r>
        <w:rPr>
          <w:rStyle w:val="22"/>
          <w:rFonts w:hint="default" w:ascii="Arial" w:hAnsi="Arial" w:cs="Arial"/>
          <w:color w:val="000000" w:themeColor="text1"/>
          <w:lang w:val="en-GB"/>
          <w14:textFill>
            <w14:solidFill>
              <w14:schemeClr w14:val="tx1"/>
            </w14:solidFill>
          </w14:textFill>
        </w:rPr>
        <w:t>26</w:t>
      </w:r>
      <w:r>
        <w:rPr>
          <w:rStyle w:val="22"/>
          <w:rFonts w:hint="default" w:ascii="Arial" w:hAnsi="Arial" w:cs="Arial"/>
          <w:color w:val="000000" w:themeColor="text1"/>
          <w:vertAlign w:val="superscript"/>
          <w:lang w:val="en-GB"/>
          <w14:textFill>
            <w14:solidFill>
              <w14:schemeClr w14:val="tx1"/>
            </w14:solidFill>
          </w14:textFill>
        </w:rPr>
        <w:t>th</w:t>
      </w:r>
      <w:r>
        <w:rPr>
          <w:rStyle w:val="22"/>
          <w:rFonts w:hint="default" w:ascii="Arial" w:hAnsi="Arial" w:cs="Arial"/>
          <w:color w:val="000000" w:themeColor="text1"/>
          <w:lang w:val="en-GB"/>
          <w14:textFill>
            <w14:solidFill>
              <w14:schemeClr w14:val="tx1"/>
            </w14:solidFill>
          </w14:textFill>
        </w:rPr>
        <w:t xml:space="preserve"> August 2026</w:t>
      </w:r>
      <w:bookmarkStart w:id="103" w:name="_GoBack"/>
      <w:bookmarkEnd w:id="103"/>
      <w:r>
        <w:rPr>
          <w:rStyle w:val="22"/>
          <w:rFonts w:ascii="Arial" w:hAnsi="Arial" w:cs="Arial"/>
          <w:color w:val="000000" w:themeColor="text1"/>
          <w14:textFill>
            <w14:solidFill>
              <w14:schemeClr w14:val="tx1"/>
            </w14:solidFill>
          </w14:textFill>
        </w:rPr>
        <w:t>…………………………............................</w:t>
      </w:r>
      <w:r>
        <w:rPr>
          <w:rStyle w:val="23"/>
          <w:rFonts w:ascii="Arial" w:hAnsi="Arial" w:cs="Arial"/>
          <w:color w:val="000000" w:themeColor="text1"/>
          <w14:textFill>
            <w14:solidFill>
              <w14:schemeClr w14:val="tx1"/>
            </w14:solidFill>
          </w14:textFill>
        </w:rPr>
        <w:t> </w:t>
      </w:r>
    </w:p>
    <w:p w14:paraId="6B126904">
      <w:pPr>
        <w:pStyle w:val="21"/>
        <w:spacing w:before="0" w:beforeAutospacing="0" w:after="0" w:afterAutospacing="0" w:line="360" w:lineRule="auto"/>
        <w:jc w:val="both"/>
        <w:textAlignment w:val="baseline"/>
        <w:rPr>
          <w:rStyle w:val="23"/>
          <w:rFonts w:ascii="Arial" w:hAnsi="Arial" w:cs="Arial"/>
          <w:color w:val="000000" w:themeColor="text1"/>
          <w14:textFill>
            <w14:solidFill>
              <w14:schemeClr w14:val="tx1"/>
            </w14:solidFill>
          </w14:textFill>
        </w:rPr>
      </w:pPr>
    </w:p>
    <w:p w14:paraId="1D64410E">
      <w:pPr>
        <w:rPr>
          <w:rStyle w:val="23"/>
          <w:rFonts w:eastAsia="Times New Roman"/>
          <w:color w:val="000000" w:themeColor="text1"/>
          <w:sz w:val="24"/>
          <w:szCs w:val="24"/>
          <w:lang w:val="en-GB" w:eastAsia="zh-CN"/>
          <w14:textFill>
            <w14:solidFill>
              <w14:schemeClr w14:val="tx1"/>
            </w14:solidFill>
          </w14:textFill>
        </w:rPr>
      </w:pPr>
      <w:r>
        <w:rPr>
          <w:rStyle w:val="23"/>
          <w:color w:val="000000" w:themeColor="text1"/>
          <w:lang w:val="en-GB"/>
          <w14:textFill>
            <w14:solidFill>
              <w14:schemeClr w14:val="tx1"/>
            </w14:solidFill>
          </w14:textFill>
        </w:rPr>
        <w:br w:type="page"/>
      </w:r>
    </w:p>
    <w:p w14:paraId="09EBE907">
      <w:pPr>
        <w:pStyle w:val="21"/>
        <w:spacing w:before="0" w:beforeAutospacing="0" w:after="0" w:afterAutospacing="0" w:line="360" w:lineRule="auto"/>
        <w:jc w:val="both"/>
        <w:textAlignment w:val="baseline"/>
        <w:rPr>
          <w:rStyle w:val="23"/>
          <w:rFonts w:ascii="Arial" w:hAnsi="Arial" w:cs="Arial"/>
          <w:b/>
          <w:bCs/>
          <w:color w:val="000000" w:themeColor="text1"/>
          <w14:textFill>
            <w14:solidFill>
              <w14:schemeClr w14:val="tx1"/>
            </w14:solidFill>
          </w14:textFill>
        </w:rPr>
      </w:pPr>
    </w:p>
    <w:p w14:paraId="71DD5AC3">
      <w:pPr>
        <w:pStyle w:val="21"/>
        <w:spacing w:before="0" w:beforeAutospacing="0" w:after="0" w:afterAutospacing="0" w:line="360" w:lineRule="auto"/>
        <w:jc w:val="both"/>
        <w:textAlignment w:val="baseline"/>
        <w:rPr>
          <w:rStyle w:val="23"/>
          <w:rFonts w:ascii="Arial" w:hAnsi="Arial" w:cs="Arial"/>
          <w:b/>
          <w:bCs/>
          <w:color w:val="000000" w:themeColor="text1"/>
          <w14:textFill>
            <w14:solidFill>
              <w14:schemeClr w14:val="tx1"/>
            </w14:solidFill>
          </w14:textFill>
        </w:rPr>
      </w:pPr>
      <w:r>
        <w:rPr>
          <w:rStyle w:val="23"/>
          <w:rFonts w:ascii="Arial" w:hAnsi="Arial" w:cs="Arial"/>
          <w:b/>
          <w:bCs/>
          <w:color w:val="000000" w:themeColor="text1"/>
          <w14:textFill>
            <w14:solidFill>
              <w14:schemeClr w14:val="tx1"/>
            </w14:solidFill>
          </w14:textFill>
        </w:rPr>
        <w:t xml:space="preserve">ACKNOWLEDGEMENT </w:t>
      </w:r>
    </w:p>
    <w:p w14:paraId="3E383B3B">
      <w:pPr>
        <w:pStyle w:val="21"/>
        <w:spacing w:before="0" w:beforeAutospacing="0" w:after="0" w:afterAutospacing="0" w:line="360" w:lineRule="auto"/>
        <w:jc w:val="both"/>
        <w:textAlignment w:val="baseline"/>
        <w:rPr>
          <w:rFonts w:ascii="Arial" w:hAnsi="Arial" w:cs="Arial"/>
          <w:color w:val="000000" w:themeColor="text1"/>
          <w14:textFill>
            <w14:solidFill>
              <w14:schemeClr w14:val="tx1"/>
            </w14:solidFill>
          </w14:textFill>
        </w:rPr>
      </w:pPr>
    </w:p>
    <w:p w14:paraId="1D934FA7">
      <w:pPr>
        <w:pStyle w:val="21"/>
        <w:spacing w:before="0" w:beforeAutospacing="0" w:after="0" w:afterAutospacing="0" w:line="360" w:lineRule="auto"/>
        <w:jc w:val="both"/>
        <w:textAlignment w:val="baseline"/>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I would like to thank all those who have supported and encouraged me during the MBA course all the way. I am particularly grateful to my lecturers and academic supervisors for their wonderful guidance which has helped me to learn a lot, and for their constructive feedback as well as regular encouragement. My family and friends are very patient, understanding and motivating and have always supported me in difficult times, to which I am most grateful. They are encouraging me all along and I am sticking with it to make my goals happen. Last, but not least, I thank everyone who has helped in some way, be it directly or indirectly, to make this academic path a fulfilling and enriching one.</w:t>
      </w:r>
    </w:p>
    <w:p w14:paraId="06989114">
      <w:pPr>
        <w:spacing w:line="360" w:lineRule="auto"/>
        <w:jc w:val="center"/>
        <w:rPr>
          <w:b/>
          <w:bCs/>
          <w:color w:val="000000" w:themeColor="text1"/>
          <w:sz w:val="24"/>
          <w:szCs w:val="24"/>
          <w:lang w:val="en-GB"/>
          <w14:textFill>
            <w14:solidFill>
              <w14:schemeClr w14:val="tx1"/>
            </w14:solidFill>
          </w14:textFill>
        </w:rPr>
      </w:pPr>
    </w:p>
    <w:p w14:paraId="1BA1E95E">
      <w:pPr>
        <w:rPr>
          <w:b/>
          <w:bCs/>
          <w:color w:val="000000" w:themeColor="text1"/>
          <w:sz w:val="24"/>
          <w:szCs w:val="24"/>
          <w:lang w:val="en-GB"/>
          <w14:textFill>
            <w14:solidFill>
              <w14:schemeClr w14:val="tx1"/>
            </w14:solidFill>
          </w14:textFill>
        </w:rPr>
      </w:pPr>
      <w:r>
        <w:rPr>
          <w:b/>
          <w:bCs/>
          <w:color w:val="000000" w:themeColor="text1"/>
          <w:sz w:val="24"/>
          <w:szCs w:val="24"/>
          <w:lang w:val="en-GB"/>
          <w14:textFill>
            <w14:solidFill>
              <w14:schemeClr w14:val="tx1"/>
            </w14:solidFill>
          </w14:textFill>
        </w:rPr>
        <w:br w:type="page"/>
      </w:r>
    </w:p>
    <w:p w14:paraId="00000007">
      <w:pPr>
        <w:spacing w:after="160" w:line="360" w:lineRule="auto"/>
        <w:jc w:val="both"/>
        <w:rPr>
          <w:b/>
          <w:bCs/>
          <w:color w:val="000000" w:themeColor="text1"/>
          <w:sz w:val="24"/>
          <w:szCs w:val="24"/>
          <w:lang w:val="en-GB"/>
          <w14:textFill>
            <w14:solidFill>
              <w14:schemeClr w14:val="tx1"/>
            </w14:solidFill>
          </w14:textFill>
        </w:rPr>
      </w:pPr>
      <w:r>
        <w:rPr>
          <w:b/>
          <w:bCs/>
          <w:color w:val="000000" w:themeColor="text1"/>
          <w:sz w:val="24"/>
          <w:szCs w:val="24"/>
          <w:lang w:val="en-GB"/>
          <w14:textFill>
            <w14:solidFill>
              <w14:schemeClr w14:val="tx1"/>
            </w14:solidFill>
          </w14:textFill>
        </w:rPr>
        <w:t>List of figures</w:t>
      </w:r>
    </w:p>
    <w:p w14:paraId="11EAA330">
      <w:pPr>
        <w:pStyle w:val="14"/>
        <w:tabs>
          <w:tab w:val="right" w:leader="dot" w:pos="9350"/>
        </w:tabs>
        <w:spacing w:line="360" w:lineRule="auto"/>
        <w:jc w:val="both"/>
        <w:rPr>
          <w:color w:val="000000" w:themeColor="text1"/>
          <w:sz w:val="24"/>
          <w:szCs w:val="24"/>
          <w:lang w:val="en-GB"/>
          <w14:textFill>
            <w14:solidFill>
              <w14:schemeClr w14:val="tx1"/>
            </w14:solidFill>
          </w14:textFill>
        </w:rPr>
      </w:pPr>
      <w:r>
        <w:rPr>
          <w:b/>
          <w:bCs/>
          <w:color w:val="000000" w:themeColor="text1"/>
          <w:sz w:val="24"/>
          <w:szCs w:val="24"/>
          <w:lang w:val="en-GB"/>
          <w14:textFill>
            <w14:solidFill>
              <w14:schemeClr w14:val="tx1"/>
            </w14:solidFill>
          </w14:textFill>
        </w:rPr>
        <w:fldChar w:fldCharType="begin"/>
      </w:r>
      <w:r>
        <w:rPr>
          <w:b/>
          <w:bCs/>
          <w:color w:val="000000" w:themeColor="text1"/>
          <w:sz w:val="24"/>
          <w:szCs w:val="24"/>
          <w:lang w:val="en-GB"/>
          <w14:textFill>
            <w14:solidFill>
              <w14:schemeClr w14:val="tx1"/>
            </w14:solidFill>
          </w14:textFill>
        </w:rPr>
        <w:instrText xml:space="preserve"> TOC \h \z \t "Heading 5" \c </w:instrText>
      </w:r>
      <w:r>
        <w:rPr>
          <w:b/>
          <w:bCs/>
          <w:color w:val="000000" w:themeColor="text1"/>
          <w:sz w:val="24"/>
          <w:szCs w:val="24"/>
          <w:lang w:val="en-GB"/>
          <w14:textFill>
            <w14:solidFill>
              <w14:schemeClr w14:val="tx1"/>
            </w14:solidFill>
          </w14:textFill>
        </w:rPr>
        <w:fldChar w:fldCharType="separate"/>
      </w:r>
      <w:r>
        <w:fldChar w:fldCharType="begin"/>
      </w:r>
      <w:r>
        <w:instrText xml:space="preserve"> HYPERLINK \l "_Toc237786242" </w:instrText>
      </w:r>
      <w:r>
        <w:fldChar w:fldCharType="separate"/>
      </w:r>
      <w:r>
        <w:rPr>
          <w:rStyle w:val="10"/>
          <w:color w:val="000000" w:themeColor="text1"/>
          <w:sz w:val="24"/>
          <w:szCs w:val="24"/>
          <w:lang w:val="en-GB"/>
          <w14:textFill>
            <w14:solidFill>
              <w14:schemeClr w14:val="tx1"/>
            </w14:solidFill>
          </w14:textFill>
        </w:rPr>
        <w:t>Figure 1.1: Worldwide M&amp;S revenue</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_Toc237786242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8</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71832DBE">
      <w:pPr>
        <w:pStyle w:val="14"/>
        <w:tabs>
          <w:tab w:val="right" w:leader="dot" w:pos="9350"/>
        </w:tabs>
        <w:spacing w:line="360" w:lineRule="auto"/>
        <w:jc w:val="both"/>
        <w:rPr>
          <w:color w:val="000000" w:themeColor="text1"/>
          <w:sz w:val="24"/>
          <w:szCs w:val="24"/>
          <w:lang w:val="en-GB"/>
          <w14:textFill>
            <w14:solidFill>
              <w14:schemeClr w14:val="tx1"/>
            </w14:solidFill>
          </w14:textFill>
        </w:rPr>
      </w:pPr>
      <w:r>
        <w:fldChar w:fldCharType="begin"/>
      </w:r>
      <w:r>
        <w:instrText xml:space="preserve"> HYPERLINK \l "_Toc237786243" </w:instrText>
      </w:r>
      <w:r>
        <w:fldChar w:fldCharType="separate"/>
      </w:r>
      <w:r>
        <w:rPr>
          <w:rStyle w:val="10"/>
          <w:color w:val="000000" w:themeColor="text1"/>
          <w:sz w:val="24"/>
          <w:szCs w:val="24"/>
          <w:lang w:val="en-GB"/>
          <w14:textFill>
            <w14:solidFill>
              <w14:schemeClr w14:val="tx1"/>
            </w14:solidFill>
          </w14:textFill>
        </w:rPr>
        <w:t>Figure 1.2: Dissertation structure</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_Toc237786243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13</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507ED2E6">
      <w:pPr>
        <w:pStyle w:val="14"/>
        <w:tabs>
          <w:tab w:val="right" w:leader="dot" w:pos="9350"/>
        </w:tabs>
        <w:spacing w:line="360" w:lineRule="auto"/>
        <w:jc w:val="both"/>
        <w:rPr>
          <w:color w:val="000000" w:themeColor="text1"/>
          <w:sz w:val="24"/>
          <w:szCs w:val="24"/>
          <w:lang w:val="en-GB"/>
          <w14:textFill>
            <w14:solidFill>
              <w14:schemeClr w14:val="tx1"/>
            </w14:solidFill>
          </w14:textFill>
        </w:rPr>
      </w:pPr>
      <w:r>
        <w:fldChar w:fldCharType="begin"/>
      </w:r>
      <w:r>
        <w:instrText xml:space="preserve"> HYPERLINK \l "_Toc237786244" </w:instrText>
      </w:r>
      <w:r>
        <w:fldChar w:fldCharType="separate"/>
      </w:r>
      <w:r>
        <w:rPr>
          <w:rStyle w:val="10"/>
          <w:color w:val="000000" w:themeColor="text1"/>
          <w:sz w:val="24"/>
          <w:szCs w:val="24"/>
          <w:lang w:val="en-GB"/>
          <w14:textFill>
            <w14:solidFill>
              <w14:schemeClr w14:val="tx1"/>
            </w14:solidFill>
          </w14:textFill>
        </w:rPr>
        <w:t>Figure 2.1: Ways of AI disrupting in retail sector</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_Toc237786244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15</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2C6DAB94">
      <w:pPr>
        <w:pStyle w:val="14"/>
        <w:tabs>
          <w:tab w:val="right" w:leader="dot" w:pos="9350"/>
        </w:tabs>
        <w:spacing w:line="360" w:lineRule="auto"/>
        <w:jc w:val="both"/>
        <w:rPr>
          <w:color w:val="000000" w:themeColor="text1"/>
          <w:sz w:val="24"/>
          <w:szCs w:val="24"/>
          <w:lang w:val="en-GB"/>
          <w14:textFill>
            <w14:solidFill>
              <w14:schemeClr w14:val="tx1"/>
            </w14:solidFill>
          </w14:textFill>
        </w:rPr>
      </w:pPr>
      <w:r>
        <w:fldChar w:fldCharType="begin"/>
      </w:r>
      <w:r>
        <w:instrText xml:space="preserve"> HYPERLINK \l "_Toc237786245" </w:instrText>
      </w:r>
      <w:r>
        <w:fldChar w:fldCharType="separate"/>
      </w:r>
      <w:r>
        <w:rPr>
          <w:rStyle w:val="10"/>
          <w:color w:val="000000" w:themeColor="text1"/>
          <w:sz w:val="24"/>
          <w:szCs w:val="24"/>
          <w:lang w:val="en-GB"/>
          <w14:textFill>
            <w14:solidFill>
              <w14:schemeClr w14:val="tx1"/>
            </w14:solidFill>
          </w14:textFill>
        </w:rPr>
        <w:t>Figure 2.2: Demand forecast and supply chain projection with Automation</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_Toc237786245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17</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065C276F">
      <w:pPr>
        <w:pStyle w:val="14"/>
        <w:tabs>
          <w:tab w:val="right" w:leader="dot" w:pos="9350"/>
        </w:tabs>
        <w:spacing w:line="360" w:lineRule="auto"/>
        <w:jc w:val="both"/>
        <w:rPr>
          <w:color w:val="000000" w:themeColor="text1"/>
          <w:sz w:val="24"/>
          <w:szCs w:val="24"/>
          <w:lang w:val="en-GB"/>
          <w14:textFill>
            <w14:solidFill>
              <w14:schemeClr w14:val="tx1"/>
            </w14:solidFill>
          </w14:textFill>
        </w:rPr>
      </w:pPr>
      <w:r>
        <w:fldChar w:fldCharType="begin"/>
      </w:r>
      <w:r>
        <w:instrText xml:space="preserve"> HYPERLINK \l "_Toc237786246" </w:instrText>
      </w:r>
      <w:r>
        <w:fldChar w:fldCharType="separate"/>
      </w:r>
      <w:r>
        <w:rPr>
          <w:rStyle w:val="10"/>
          <w:color w:val="000000" w:themeColor="text1"/>
          <w:sz w:val="24"/>
          <w:szCs w:val="24"/>
          <w:lang w:val="en-GB"/>
          <w14:textFill>
            <w14:solidFill>
              <w14:schemeClr w14:val="tx1"/>
            </w14:solidFill>
          </w14:textFill>
        </w:rPr>
        <w:t>Figure 2.3:  Advanced Automation action of M&amp;S</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_Toc237786246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19</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18617890">
      <w:pPr>
        <w:pStyle w:val="14"/>
        <w:tabs>
          <w:tab w:val="right" w:leader="dot" w:pos="9350"/>
        </w:tabs>
        <w:spacing w:line="360" w:lineRule="auto"/>
        <w:jc w:val="both"/>
        <w:rPr>
          <w:color w:val="000000" w:themeColor="text1"/>
          <w:sz w:val="24"/>
          <w:szCs w:val="24"/>
          <w:lang w:val="en-GB"/>
          <w14:textFill>
            <w14:solidFill>
              <w14:schemeClr w14:val="tx1"/>
            </w14:solidFill>
          </w14:textFill>
        </w:rPr>
      </w:pPr>
      <w:r>
        <w:fldChar w:fldCharType="begin"/>
      </w:r>
      <w:r>
        <w:instrText xml:space="preserve"> HYPERLINK \l "_Toc237786247" </w:instrText>
      </w:r>
      <w:r>
        <w:fldChar w:fldCharType="separate"/>
      </w:r>
      <w:r>
        <w:rPr>
          <w:rStyle w:val="10"/>
          <w:color w:val="000000" w:themeColor="text1"/>
          <w:sz w:val="24"/>
          <w:szCs w:val="24"/>
          <w:lang w:val="en-GB"/>
          <w14:textFill>
            <w14:solidFill>
              <w14:schemeClr w14:val="tx1"/>
            </w14:solidFill>
          </w14:textFill>
        </w:rPr>
        <w:t>Figure 2.4: SymphonyAI practices in finance management</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_Toc237786247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21</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6E5AD85E">
      <w:pPr>
        <w:pStyle w:val="14"/>
        <w:tabs>
          <w:tab w:val="right" w:leader="dot" w:pos="9350"/>
        </w:tabs>
        <w:spacing w:line="360" w:lineRule="auto"/>
        <w:jc w:val="both"/>
        <w:rPr>
          <w:color w:val="000000" w:themeColor="text1"/>
          <w:sz w:val="24"/>
          <w:szCs w:val="24"/>
          <w:lang w:val="en-GB"/>
          <w14:textFill>
            <w14:solidFill>
              <w14:schemeClr w14:val="tx1"/>
            </w14:solidFill>
          </w14:textFill>
        </w:rPr>
      </w:pPr>
      <w:r>
        <w:fldChar w:fldCharType="begin"/>
      </w:r>
      <w:r>
        <w:instrText xml:space="preserve"> HYPERLINK \l "_Toc237786248" </w:instrText>
      </w:r>
      <w:r>
        <w:fldChar w:fldCharType="separate"/>
      </w:r>
      <w:r>
        <w:rPr>
          <w:rStyle w:val="10"/>
          <w:color w:val="000000" w:themeColor="text1"/>
          <w:sz w:val="24"/>
          <w:szCs w:val="24"/>
          <w:lang w:val="en-GB"/>
          <w14:textFill>
            <w14:solidFill>
              <w14:schemeClr w14:val="tx1"/>
            </w14:solidFill>
          </w14:textFill>
        </w:rPr>
        <w:t>Figure 2.5: Flowchart of Dynamic Capabilities theory</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_Toc237786248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25</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2E2B86DC">
      <w:pPr>
        <w:pStyle w:val="14"/>
        <w:tabs>
          <w:tab w:val="right" w:leader="dot" w:pos="9350"/>
        </w:tabs>
        <w:spacing w:line="360" w:lineRule="auto"/>
        <w:jc w:val="both"/>
        <w:rPr>
          <w:color w:val="000000" w:themeColor="text1"/>
          <w:sz w:val="24"/>
          <w:szCs w:val="24"/>
          <w:lang w:val="en-GB"/>
          <w14:textFill>
            <w14:solidFill>
              <w14:schemeClr w14:val="tx1"/>
            </w14:solidFill>
          </w14:textFill>
        </w:rPr>
      </w:pPr>
      <w:r>
        <w:fldChar w:fldCharType="begin"/>
      </w:r>
      <w:r>
        <w:instrText xml:space="preserve"> HYPERLINK \l "_Toc237786249" </w:instrText>
      </w:r>
      <w:r>
        <w:fldChar w:fldCharType="separate"/>
      </w:r>
      <w:r>
        <w:rPr>
          <w:rStyle w:val="10"/>
          <w:color w:val="000000" w:themeColor="text1"/>
          <w:sz w:val="24"/>
          <w:szCs w:val="24"/>
          <w:lang w:val="en-GB"/>
          <w14:textFill>
            <w14:solidFill>
              <w14:schemeClr w14:val="tx1"/>
            </w14:solidFill>
          </w14:textFill>
        </w:rPr>
        <w:t>Figure 3.1: Research onion</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_Toc237786249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28</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56E17160">
      <w:pPr>
        <w:pStyle w:val="14"/>
        <w:tabs>
          <w:tab w:val="right" w:leader="dot" w:pos="9350"/>
        </w:tabs>
        <w:spacing w:line="360" w:lineRule="auto"/>
        <w:jc w:val="both"/>
        <w:rPr>
          <w:color w:val="000000" w:themeColor="text1"/>
          <w:sz w:val="24"/>
          <w:szCs w:val="24"/>
          <w:lang w:val="en-GB"/>
          <w14:textFill>
            <w14:solidFill>
              <w14:schemeClr w14:val="tx1"/>
            </w14:solidFill>
          </w14:textFill>
        </w:rPr>
      </w:pPr>
      <w:r>
        <w:fldChar w:fldCharType="begin"/>
      </w:r>
      <w:r>
        <w:instrText xml:space="preserve"> HYPERLINK \l "_Toc237786250" </w:instrText>
      </w:r>
      <w:r>
        <w:fldChar w:fldCharType="separate"/>
      </w:r>
      <w:r>
        <w:rPr>
          <w:rStyle w:val="10"/>
          <w:color w:val="000000" w:themeColor="text1"/>
          <w:sz w:val="24"/>
          <w:szCs w:val="24"/>
          <w:lang w:val="en-GB"/>
          <w14:textFill>
            <w14:solidFill>
              <w14:schemeClr w14:val="tx1"/>
            </w14:solidFill>
          </w14:textFill>
        </w:rPr>
        <w:t>Figure 3.2: Inductive research approach</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_Toc237786250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30</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21C74658">
      <w:pPr>
        <w:pStyle w:val="14"/>
        <w:tabs>
          <w:tab w:val="right" w:leader="dot" w:pos="9350"/>
        </w:tabs>
        <w:spacing w:line="360" w:lineRule="auto"/>
        <w:jc w:val="both"/>
        <w:rPr>
          <w:color w:val="000000" w:themeColor="text1"/>
          <w:sz w:val="24"/>
          <w:szCs w:val="24"/>
          <w:lang w:val="en-GB"/>
          <w14:textFill>
            <w14:solidFill>
              <w14:schemeClr w14:val="tx1"/>
            </w14:solidFill>
          </w14:textFill>
        </w:rPr>
      </w:pPr>
      <w:r>
        <w:fldChar w:fldCharType="begin"/>
      </w:r>
      <w:r>
        <w:instrText xml:space="preserve"> HYPERLINK \l "_Toc237786251" </w:instrText>
      </w:r>
      <w:r>
        <w:fldChar w:fldCharType="separate"/>
      </w:r>
      <w:r>
        <w:rPr>
          <w:rStyle w:val="10"/>
          <w:color w:val="000000" w:themeColor="text1"/>
          <w:sz w:val="24"/>
          <w:szCs w:val="24"/>
          <w:lang w:val="en-GB"/>
          <w14:textFill>
            <w14:solidFill>
              <w14:schemeClr w14:val="tx1"/>
            </w14:solidFill>
          </w14:textFill>
        </w:rPr>
        <w:t>Figure 4.1: Revenue of food division of M&amp;S</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_Toc237786251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44</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74E268F8">
      <w:pPr>
        <w:pStyle w:val="14"/>
        <w:tabs>
          <w:tab w:val="right" w:leader="dot" w:pos="9350"/>
        </w:tabs>
        <w:spacing w:line="360" w:lineRule="auto"/>
        <w:jc w:val="both"/>
        <w:rPr>
          <w:color w:val="000000" w:themeColor="text1"/>
          <w:sz w:val="24"/>
          <w:szCs w:val="24"/>
          <w:lang w:val="en-GB"/>
          <w14:textFill>
            <w14:solidFill>
              <w14:schemeClr w14:val="tx1"/>
            </w14:solidFill>
          </w14:textFill>
        </w:rPr>
      </w:pPr>
      <w:r>
        <w:fldChar w:fldCharType="begin"/>
      </w:r>
      <w:r>
        <w:instrText xml:space="preserve"> HYPERLINK \l "_Toc237786252" </w:instrText>
      </w:r>
      <w:r>
        <w:fldChar w:fldCharType="separate"/>
      </w:r>
      <w:r>
        <w:rPr>
          <w:rStyle w:val="10"/>
          <w:color w:val="000000" w:themeColor="text1"/>
          <w:sz w:val="24"/>
          <w:szCs w:val="24"/>
          <w:lang w:val="en-GB"/>
          <w14:textFill>
            <w14:solidFill>
              <w14:schemeClr w14:val="tx1"/>
            </w14:solidFill>
          </w14:textFill>
        </w:rPr>
        <w:t>Figure 4.2: Inventory optimisation using AI</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_Toc237786252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46</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2CE1EB7B">
      <w:pPr>
        <w:pStyle w:val="14"/>
        <w:tabs>
          <w:tab w:val="right" w:leader="dot" w:pos="9350"/>
        </w:tabs>
        <w:spacing w:line="360" w:lineRule="auto"/>
        <w:jc w:val="both"/>
        <w:rPr>
          <w:color w:val="000000" w:themeColor="text1"/>
          <w:sz w:val="24"/>
          <w:szCs w:val="24"/>
          <w:lang w:val="en-GB"/>
          <w14:textFill>
            <w14:solidFill>
              <w14:schemeClr w14:val="tx1"/>
            </w14:solidFill>
          </w14:textFill>
        </w:rPr>
      </w:pPr>
      <w:r>
        <w:fldChar w:fldCharType="begin"/>
      </w:r>
      <w:r>
        <w:instrText xml:space="preserve"> HYPERLINK \l "_Toc237786253" </w:instrText>
      </w:r>
      <w:r>
        <w:fldChar w:fldCharType="separate"/>
      </w:r>
      <w:r>
        <w:rPr>
          <w:rStyle w:val="10"/>
          <w:color w:val="000000" w:themeColor="text1"/>
          <w:sz w:val="24"/>
          <w:szCs w:val="24"/>
          <w:lang w:val="en-GB"/>
          <w14:textFill>
            <w14:solidFill>
              <w14:schemeClr w14:val="tx1"/>
            </w14:solidFill>
          </w14:textFill>
        </w:rPr>
        <w:t>Figure 4.3: M&amp;S’s Approach to net zero</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_Toc237786253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47</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72138B0C">
      <w:pPr>
        <w:pStyle w:val="14"/>
        <w:tabs>
          <w:tab w:val="right" w:leader="dot" w:pos="9350"/>
        </w:tabs>
        <w:spacing w:line="360" w:lineRule="auto"/>
        <w:jc w:val="both"/>
        <w:rPr>
          <w:color w:val="000000" w:themeColor="text1"/>
          <w:sz w:val="24"/>
          <w:szCs w:val="24"/>
          <w:lang w:val="en-GB"/>
          <w14:textFill>
            <w14:solidFill>
              <w14:schemeClr w14:val="tx1"/>
            </w14:solidFill>
          </w14:textFill>
        </w:rPr>
      </w:pPr>
      <w:r>
        <w:fldChar w:fldCharType="begin"/>
      </w:r>
      <w:r>
        <w:instrText xml:space="preserve"> HYPERLINK \l "_Toc237786254" </w:instrText>
      </w:r>
      <w:r>
        <w:fldChar w:fldCharType="separate"/>
      </w:r>
      <w:r>
        <w:rPr>
          <w:rStyle w:val="10"/>
          <w:color w:val="000000" w:themeColor="text1"/>
          <w:sz w:val="24"/>
          <w:szCs w:val="24"/>
          <w:lang w:val="en-GB"/>
          <w14:textFill>
            <w14:solidFill>
              <w14:schemeClr w14:val="tx1"/>
            </w14:solidFill>
          </w14:textFill>
        </w:rPr>
        <w:t>Figure 4.4: Ocado and M&amp;S venture</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_Toc237786254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49</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72CA427E">
      <w:pPr>
        <w:pStyle w:val="14"/>
        <w:tabs>
          <w:tab w:val="right" w:leader="dot" w:pos="9350"/>
        </w:tabs>
        <w:spacing w:line="360" w:lineRule="auto"/>
        <w:jc w:val="both"/>
        <w:rPr>
          <w:color w:val="000000" w:themeColor="text1"/>
          <w:sz w:val="24"/>
          <w:szCs w:val="24"/>
          <w:lang w:val="en-GB"/>
          <w14:textFill>
            <w14:solidFill>
              <w14:schemeClr w14:val="tx1"/>
            </w14:solidFill>
          </w14:textFill>
        </w:rPr>
      </w:pPr>
      <w:r>
        <w:fldChar w:fldCharType="begin"/>
      </w:r>
      <w:r>
        <w:instrText xml:space="preserve"> HYPERLINK \l "_Toc237786255" </w:instrText>
      </w:r>
      <w:r>
        <w:fldChar w:fldCharType="separate"/>
      </w:r>
      <w:r>
        <w:rPr>
          <w:rStyle w:val="10"/>
          <w:color w:val="000000" w:themeColor="text1"/>
          <w:sz w:val="24"/>
          <w:szCs w:val="24"/>
          <w:lang w:val="en-GB"/>
          <w14:textFill>
            <w14:solidFill>
              <w14:schemeClr w14:val="tx1"/>
            </w14:solidFill>
          </w14:textFill>
        </w:rPr>
        <w:t>Figure 4.5: GenAI application architecture</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_Toc237786255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51</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5465D4C8">
      <w:pPr>
        <w:pStyle w:val="14"/>
        <w:tabs>
          <w:tab w:val="right" w:leader="dot" w:pos="9350"/>
        </w:tabs>
        <w:spacing w:line="360" w:lineRule="auto"/>
        <w:jc w:val="both"/>
        <w:rPr>
          <w:color w:val="000000" w:themeColor="text1"/>
          <w:sz w:val="24"/>
          <w:szCs w:val="24"/>
          <w:lang w:val="en-GB"/>
          <w14:textFill>
            <w14:solidFill>
              <w14:schemeClr w14:val="tx1"/>
            </w14:solidFill>
          </w14:textFill>
        </w:rPr>
      </w:pPr>
      <w:r>
        <w:fldChar w:fldCharType="begin"/>
      </w:r>
      <w:r>
        <w:instrText xml:space="preserve"> HYPERLINK \l "_Toc237786256" </w:instrText>
      </w:r>
      <w:r>
        <w:fldChar w:fldCharType="separate"/>
      </w:r>
      <w:r>
        <w:rPr>
          <w:rStyle w:val="10"/>
          <w:color w:val="000000" w:themeColor="text1"/>
          <w:sz w:val="24"/>
          <w:szCs w:val="24"/>
          <w:lang w:val="en-GB"/>
          <w14:textFill>
            <w14:solidFill>
              <w14:schemeClr w14:val="tx1"/>
            </w14:solidFill>
          </w14:textFill>
        </w:rPr>
        <w:t>Figure 4.6: Hike on share price for M&amp;S</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_Toc237786256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53</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61A0E3FB">
      <w:pPr>
        <w:pStyle w:val="14"/>
        <w:tabs>
          <w:tab w:val="right" w:leader="dot" w:pos="9350"/>
        </w:tabs>
        <w:spacing w:line="360" w:lineRule="auto"/>
        <w:jc w:val="both"/>
        <w:rPr>
          <w:color w:val="000000" w:themeColor="text1"/>
          <w:sz w:val="24"/>
          <w:szCs w:val="24"/>
          <w:lang w:val="en-GB"/>
          <w14:textFill>
            <w14:solidFill>
              <w14:schemeClr w14:val="tx1"/>
            </w14:solidFill>
          </w14:textFill>
        </w:rPr>
      </w:pPr>
      <w:r>
        <w:fldChar w:fldCharType="begin"/>
      </w:r>
      <w:r>
        <w:instrText xml:space="preserve"> HYPERLINK \l "_Toc237786257" </w:instrText>
      </w:r>
      <w:r>
        <w:fldChar w:fldCharType="separate"/>
      </w:r>
      <w:r>
        <w:rPr>
          <w:rStyle w:val="10"/>
          <w:color w:val="000000" w:themeColor="text1"/>
          <w:sz w:val="24"/>
          <w:szCs w:val="24"/>
          <w:lang w:val="en-GB"/>
          <w14:textFill>
            <w14:solidFill>
              <w14:schemeClr w14:val="tx1"/>
            </w14:solidFill>
          </w14:textFill>
        </w:rPr>
        <w:t>Figure 4.7: Advantages and dis-advantages of using GenAI</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_Toc237786257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55</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4B387E3E">
      <w:pPr>
        <w:spacing w:after="160" w:line="360" w:lineRule="auto"/>
        <w:jc w:val="both"/>
        <w:rPr>
          <w:b/>
          <w:bCs/>
          <w:color w:val="000000" w:themeColor="text1"/>
          <w:sz w:val="24"/>
          <w:szCs w:val="24"/>
          <w:lang w:val="en-GB"/>
          <w14:textFill>
            <w14:solidFill>
              <w14:schemeClr w14:val="tx1"/>
            </w14:solidFill>
          </w14:textFill>
        </w:rPr>
      </w:pPr>
      <w:r>
        <w:rPr>
          <w:b/>
          <w:bCs/>
          <w:color w:val="000000" w:themeColor="text1"/>
          <w:sz w:val="24"/>
          <w:szCs w:val="24"/>
          <w:lang w:val="en-GB"/>
          <w14:textFill>
            <w14:solidFill>
              <w14:schemeClr w14:val="tx1"/>
            </w14:solidFill>
          </w14:textFill>
        </w:rPr>
        <w:fldChar w:fldCharType="end"/>
      </w:r>
    </w:p>
    <w:p w14:paraId="037F7A12">
      <w:pPr>
        <w:rPr>
          <w:b/>
          <w:bCs/>
          <w:color w:val="000000" w:themeColor="text1"/>
          <w:sz w:val="24"/>
          <w:szCs w:val="24"/>
          <w:lang w:val="en-GB"/>
          <w14:textFill>
            <w14:solidFill>
              <w14:schemeClr w14:val="tx1"/>
            </w14:solidFill>
          </w14:textFill>
        </w:rPr>
      </w:pPr>
      <w:r>
        <w:rPr>
          <w:b/>
          <w:bCs/>
          <w:color w:val="000000" w:themeColor="text1"/>
          <w:sz w:val="24"/>
          <w:szCs w:val="24"/>
          <w:lang w:val="en-GB"/>
          <w14:textFill>
            <w14:solidFill>
              <w14:schemeClr w14:val="tx1"/>
            </w14:solidFill>
          </w14:textFill>
        </w:rPr>
        <w:br w:type="page"/>
      </w:r>
    </w:p>
    <w:p w14:paraId="35A09521">
      <w:pPr>
        <w:spacing w:after="160" w:line="360" w:lineRule="auto"/>
        <w:jc w:val="both"/>
        <w:rPr>
          <w:b/>
          <w:bCs/>
          <w:color w:val="000000" w:themeColor="text1"/>
          <w:sz w:val="24"/>
          <w:szCs w:val="24"/>
          <w:lang w:val="en-GB"/>
          <w14:textFill>
            <w14:solidFill>
              <w14:schemeClr w14:val="tx1"/>
            </w14:solidFill>
          </w14:textFill>
        </w:rPr>
      </w:pPr>
      <w:r>
        <w:rPr>
          <w:b/>
          <w:bCs/>
          <w:color w:val="000000" w:themeColor="text1"/>
          <w:sz w:val="24"/>
          <w:szCs w:val="24"/>
          <w:lang w:val="en-GB"/>
          <w14:textFill>
            <w14:solidFill>
              <w14:schemeClr w14:val="tx1"/>
            </w14:solidFill>
          </w14:textFill>
        </w:rPr>
        <w:t xml:space="preserve">List of tables </w:t>
      </w:r>
    </w:p>
    <w:p w14:paraId="1146B08D">
      <w:pPr>
        <w:pStyle w:val="14"/>
        <w:tabs>
          <w:tab w:val="right" w:leader="dot" w:pos="9350"/>
        </w:tabs>
        <w:spacing w:line="360" w:lineRule="auto"/>
        <w:jc w:val="both"/>
        <w:rPr>
          <w:rFonts w:asciiTheme="minorHAnsi" w:hAnsiTheme="minorHAnsi" w:eastAsiaTheme="minorEastAsia" w:cstheme="minorBidi"/>
          <w:color w:val="000000" w:themeColor="text1"/>
          <w:kern w:val="2"/>
          <w:sz w:val="24"/>
          <w:szCs w:val="24"/>
          <w:lang w:val="en-GB"/>
          <w14:textFill>
            <w14:solidFill>
              <w14:schemeClr w14:val="tx1"/>
            </w14:solidFill>
          </w14:textFill>
          <w14:ligatures w14:val="standardContextual"/>
        </w:rPr>
      </w:pPr>
      <w:r>
        <w:rPr>
          <w:b/>
          <w:bCs/>
          <w:color w:val="000000" w:themeColor="text1"/>
          <w:sz w:val="24"/>
          <w:szCs w:val="24"/>
          <w:lang w:val="en-GB"/>
          <w14:textFill>
            <w14:solidFill>
              <w14:schemeClr w14:val="tx1"/>
            </w14:solidFill>
          </w14:textFill>
        </w:rPr>
        <w:fldChar w:fldCharType="begin"/>
      </w:r>
      <w:r>
        <w:rPr>
          <w:b/>
          <w:bCs/>
          <w:color w:val="000000" w:themeColor="text1"/>
          <w:sz w:val="24"/>
          <w:szCs w:val="24"/>
          <w:lang w:val="en-GB"/>
          <w14:textFill>
            <w14:solidFill>
              <w14:schemeClr w14:val="tx1"/>
            </w14:solidFill>
          </w14:textFill>
        </w:rPr>
        <w:instrText xml:space="preserve"> TOC \h \z \t "Heading 6" \c </w:instrText>
      </w:r>
      <w:r>
        <w:rPr>
          <w:b/>
          <w:bCs/>
          <w:color w:val="000000" w:themeColor="text1"/>
          <w:sz w:val="24"/>
          <w:szCs w:val="24"/>
          <w:lang w:val="en-GB"/>
          <w14:textFill>
            <w14:solidFill>
              <w14:schemeClr w14:val="tx1"/>
            </w14:solidFill>
          </w14:textFill>
        </w:rPr>
        <w:fldChar w:fldCharType="separate"/>
      </w:r>
      <w:r>
        <w:fldChar w:fldCharType="begin"/>
      </w:r>
      <w:r>
        <w:instrText xml:space="preserve"> HYPERLINK \l "_Toc237786280" </w:instrText>
      </w:r>
      <w:r>
        <w:fldChar w:fldCharType="separate"/>
      </w:r>
      <w:r>
        <w:rPr>
          <w:rStyle w:val="10"/>
          <w:color w:val="000000" w:themeColor="text1"/>
          <w:sz w:val="24"/>
          <w:szCs w:val="24"/>
          <w:lang w:val="en-GB"/>
          <w14:textFill>
            <w14:solidFill>
              <w14:schemeClr w14:val="tx1"/>
            </w14:solidFill>
          </w14:textFill>
        </w:rPr>
        <w:t>Table 3.1: Boolean search table</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_Toc237786280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34</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5FEFCA9E">
      <w:pPr>
        <w:pStyle w:val="14"/>
        <w:tabs>
          <w:tab w:val="right" w:leader="dot" w:pos="9350"/>
        </w:tabs>
        <w:spacing w:line="360" w:lineRule="auto"/>
        <w:jc w:val="both"/>
        <w:rPr>
          <w:rFonts w:asciiTheme="minorHAnsi" w:hAnsiTheme="minorHAnsi" w:eastAsiaTheme="minorEastAsia" w:cstheme="minorBidi"/>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"_Toc237786281" </w:instrText>
      </w:r>
      <w:r>
        <w:fldChar w:fldCharType="separate"/>
      </w:r>
      <w:r>
        <w:rPr>
          <w:rStyle w:val="10"/>
          <w:color w:val="000000" w:themeColor="text1"/>
          <w:sz w:val="24"/>
          <w:szCs w:val="24"/>
          <w:lang w:val="en-GB"/>
          <w14:textFill>
            <w14:solidFill>
              <w14:schemeClr w14:val="tx1"/>
            </w14:solidFill>
          </w14:textFill>
        </w:rPr>
        <w:t>Table 4.1: Data summary table</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_Toc237786281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44</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183202D0">
      <w:pPr>
        <w:spacing w:after="160" w:line="360" w:lineRule="auto"/>
        <w:jc w:val="both"/>
        <w:rPr>
          <w:b/>
          <w:bCs/>
          <w:color w:val="000000" w:themeColor="text1"/>
          <w:sz w:val="24"/>
          <w:szCs w:val="24"/>
          <w:lang w:val="en-GB"/>
          <w14:textFill>
            <w14:solidFill>
              <w14:schemeClr w14:val="tx1"/>
            </w14:solidFill>
          </w14:textFill>
        </w:rPr>
      </w:pPr>
      <w:r>
        <w:rPr>
          <w:b/>
          <w:bCs/>
          <w:color w:val="000000" w:themeColor="text1"/>
          <w:sz w:val="24"/>
          <w:szCs w:val="24"/>
          <w:lang w:val="en-GB"/>
          <w14:textFill>
            <w14:solidFill>
              <w14:schemeClr w14:val="tx1"/>
            </w14:solidFill>
          </w14:textFill>
        </w:rPr>
        <w:fldChar w:fldCharType="end"/>
      </w:r>
    </w:p>
    <w:p w14:paraId="2320A78E">
      <w:pPr>
        <w:spacing w:after="160" w:line="256" w:lineRule="auto"/>
        <w:rPr>
          <w:b/>
          <w:bCs/>
          <w:color w:val="000000" w:themeColor="text1"/>
          <w:sz w:val="24"/>
          <w:szCs w:val="24"/>
          <w:lang w:val="en-GB"/>
          <w14:textFill>
            <w14:solidFill>
              <w14:schemeClr w14:val="tx1"/>
            </w14:solidFill>
          </w14:textFill>
        </w:rPr>
      </w:pPr>
    </w:p>
    <w:p w14:paraId="4A03E7FD">
      <w:pPr>
        <w:spacing w:after="160" w:line="256" w:lineRule="auto"/>
        <w:rPr>
          <w:b/>
          <w:bCs/>
          <w:color w:val="000000" w:themeColor="text1"/>
          <w:sz w:val="24"/>
          <w:szCs w:val="24"/>
          <w:lang w:val="en-GB"/>
          <w14:textFill>
            <w14:solidFill>
              <w14:schemeClr w14:val="tx1"/>
            </w14:solidFill>
          </w14:textFill>
        </w:rPr>
      </w:pPr>
    </w:p>
    <w:p w14:paraId="043A5701">
      <w:pPr>
        <w:spacing w:after="160" w:line="256" w:lineRule="auto"/>
        <w:jc w:val="center"/>
        <w:rPr>
          <w:b/>
          <w:bCs/>
          <w:color w:val="000000" w:themeColor="text1"/>
          <w:sz w:val="24"/>
          <w:szCs w:val="24"/>
          <w:lang w:val="en-GB"/>
          <w14:textFill>
            <w14:solidFill>
              <w14:schemeClr w14:val="tx1"/>
            </w14:solidFill>
          </w14:textFill>
        </w:rPr>
      </w:pPr>
    </w:p>
    <w:p w14:paraId="0000000A">
      <w:pPr>
        <w:rPr>
          <w:color w:val="000000" w:themeColor="text1"/>
          <w:lang w:val="en-GB"/>
          <w14:textFill>
            <w14:solidFill>
              <w14:schemeClr w14:val="tx1"/>
            </w14:solidFill>
          </w14:textFill>
        </w:rPr>
      </w:pPr>
      <w:r>
        <w:rPr>
          <w:color w:val="000000" w:themeColor="text1"/>
          <w:lang w:val="en-GB"/>
          <w14:textFill>
            <w14:solidFill>
              <w14:schemeClr w14:val="tx1"/>
            </w14:solidFill>
          </w14:textFill>
        </w:rPr>
        <w:br w:type="page"/>
      </w:r>
    </w:p>
    <w:p w14:paraId="73A696EB">
      <w:pPr>
        <w:tabs>
          <w:tab w:val="left" w:pos="3168"/>
        </w:tabs>
        <w:spacing w:line="360" w:lineRule="auto"/>
        <w:jc w:val="both"/>
        <w:rPr>
          <w:color w:val="000000" w:themeColor="text1"/>
          <w:sz w:val="24"/>
          <w:szCs w:val="24"/>
          <w:lang w:val="en-GB"/>
          <w14:textFill>
            <w14:solidFill>
              <w14:schemeClr w14:val="tx1"/>
            </w14:solidFill>
          </w14:textFill>
        </w:rPr>
      </w:pPr>
      <w:r>
        <w:rPr>
          <w:color w:val="000000" w:themeColor="text1"/>
          <w:lang w:val="en-GB"/>
          <w14:textFill>
            <w14:solidFill>
              <w14:schemeClr w14:val="tx1"/>
            </w14:solidFill>
          </w14:textFill>
        </w:rPr>
        <w:tab/>
      </w:r>
      <w:r>
        <w:rPr>
          <w:color w:val="000000" w:themeColor="text1"/>
          <w:lang w:val="en-GB"/>
          <w14:textFill>
            <w14:solidFill>
              <w14:schemeClr w14:val="tx1"/>
            </w14:solidFill>
          </w14:textFill>
        </w:rPr>
        <w:tab/>
      </w:r>
    </w:p>
    <w:sdt>
      <w:sdtPr>
        <w:rPr>
          <w:rFonts w:ascii="Arial" w:hAnsi="Arial" w:eastAsia="Arial" w:cs="Arial"/>
          <w:color w:val="000000" w:themeColor="text1"/>
          <w:sz w:val="24"/>
          <w:szCs w:val="24"/>
          <w:lang w:val="en-GB" w:eastAsia="en-IN"/>
          <w14:textFill>
            <w14:solidFill>
              <w14:schemeClr w14:val="tx1"/>
            </w14:solidFill>
          </w14:textFill>
        </w:rPr>
        <w:id w:val="1712447536"/>
        <w:docPartObj>
          <w:docPartGallery w:val="Table of Contents"/>
          <w:docPartUnique/>
        </w:docPartObj>
      </w:sdtPr>
      <w:sdtEndPr>
        <w:rPr>
          <w:rFonts w:ascii="Arial" w:hAnsi="Arial" w:eastAsia="Arial" w:cs="Arial"/>
          <w:b/>
          <w:bCs/>
          <w:color w:val="000000" w:themeColor="text1"/>
          <w:sz w:val="24"/>
          <w:szCs w:val="24"/>
          <w:lang w:val="en-GB" w:eastAsia="en-IN"/>
          <w14:textFill>
            <w14:solidFill>
              <w14:schemeClr w14:val="tx1"/>
            </w14:solidFill>
          </w14:textFill>
        </w:rPr>
      </w:sdtEndPr>
      <w:sdtContent>
        <w:p w14:paraId="58F89C52">
          <w:pPr>
            <w:pStyle w:val="20"/>
            <w:spacing w:line="360" w:lineRule="auto"/>
            <w:jc w:val="center"/>
            <w:rPr>
              <w:rFonts w:ascii="Arial" w:hAnsi="Arial" w:cs="Arial"/>
              <w:b/>
              <w:bCs/>
              <w:color w:val="000000" w:themeColor="text1"/>
              <w:sz w:val="24"/>
              <w:szCs w:val="24"/>
              <w:lang w:val="en-GB"/>
              <w14:textFill>
                <w14:solidFill>
                  <w14:schemeClr w14:val="tx1"/>
                </w14:solidFill>
              </w14:textFill>
            </w:rPr>
          </w:pPr>
          <w:r>
            <w:rPr>
              <w:rFonts w:ascii="Arial" w:hAnsi="Arial" w:cs="Arial"/>
              <w:b/>
              <w:bCs/>
              <w:color w:val="000000" w:themeColor="text1"/>
              <w:sz w:val="24"/>
              <w:szCs w:val="24"/>
              <w:lang w:val="en-GB"/>
              <w14:textFill>
                <w14:solidFill>
                  <w14:schemeClr w14:val="tx1"/>
                </w14:solidFill>
              </w14:textFill>
            </w:rPr>
            <w:t>Table of Contents</w:t>
          </w:r>
        </w:p>
        <w:p w14:paraId="7C9F47A8">
          <w:pPr>
            <w:pStyle w:val="16"/>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TOC \o "1-3" \h \z \u </w:instrText>
          </w:r>
          <w:r>
            <w:rPr>
              <w:color w:val="000000" w:themeColor="text1"/>
              <w:sz w:val="24"/>
              <w:szCs w:val="24"/>
              <w:lang w:val="en-GB"/>
              <w14:textFill>
                <w14:solidFill>
                  <w14:schemeClr w14:val="tx1"/>
                </w14:solidFill>
              </w14:textFill>
            </w:rPr>
            <w:fldChar w:fldCharType="separate"/>
          </w:r>
          <w:r>
            <w:fldChar w:fldCharType="begin"/>
          </w:r>
          <w:r>
            <w:instrText xml:space="preserve"> HYPERLINK \l "_Toc237357907" </w:instrText>
          </w:r>
          <w:r>
            <w:fldChar w:fldCharType="separate"/>
          </w:r>
          <w:r>
            <w:rPr>
              <w:rStyle w:val="10"/>
              <w:color w:val="000000" w:themeColor="text1"/>
              <w:sz w:val="24"/>
              <w:szCs w:val="24"/>
              <w:lang w:val="en-GB"/>
              <w14:textFill>
                <w14:solidFill>
                  <w14:schemeClr w14:val="tx1"/>
                </w14:solidFill>
              </w14:textFill>
            </w:rPr>
            <w:t>Chapter 1: Introduction</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_Toc237357907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4</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058CF6BD">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"_Toc237357908" </w:instrText>
          </w:r>
          <w:r>
            <w:fldChar w:fldCharType="separate"/>
          </w:r>
          <w:r>
            <w:rPr>
              <w:rStyle w:val="10"/>
              <w:color w:val="000000" w:themeColor="text1"/>
              <w:sz w:val="24"/>
              <w:szCs w:val="24"/>
              <w:lang w:val="en-GB"/>
              <w14:textFill>
                <w14:solidFill>
                  <w14:schemeClr w14:val="tx1"/>
                </w14:solidFill>
              </w14:textFill>
            </w:rPr>
            <w:t>1.1 Background to the Study</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_Toc237357908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4</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0BE26A22">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"_Toc237357909" </w:instrText>
          </w:r>
          <w:r>
            <w:fldChar w:fldCharType="separate"/>
          </w:r>
          <w:r>
            <w:rPr>
              <w:rStyle w:val="10"/>
              <w:color w:val="000000" w:themeColor="text1"/>
              <w:sz w:val="24"/>
              <w:szCs w:val="24"/>
              <w:lang w:val="en-GB"/>
              <w14:textFill>
                <w14:solidFill>
                  <w14:schemeClr w14:val="tx1"/>
                </w14:solidFill>
              </w14:textFill>
            </w:rPr>
            <w:t>1.2 The Research Problem</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_Toc237357909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6</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080E5A0B">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"_Toc237357910" </w:instrText>
          </w:r>
          <w:r>
            <w:fldChar w:fldCharType="separate"/>
          </w:r>
          <w:r>
            <w:rPr>
              <w:rStyle w:val="10"/>
              <w:color w:val="000000" w:themeColor="text1"/>
              <w:sz w:val="24"/>
              <w:szCs w:val="24"/>
              <w:lang w:val="en-GB"/>
              <w14:textFill>
                <w14:solidFill>
                  <w14:schemeClr w14:val="tx1"/>
                </w14:solidFill>
              </w14:textFill>
            </w:rPr>
            <w:t>1.3 Research Aim and Objectives</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_Toc237357910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6</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29A11A9C">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"_Toc237357911" </w:instrText>
          </w:r>
          <w:r>
            <w:fldChar w:fldCharType="separate"/>
          </w:r>
          <w:r>
            <w:rPr>
              <w:rStyle w:val="10"/>
              <w:color w:val="000000" w:themeColor="text1"/>
              <w:sz w:val="24"/>
              <w:szCs w:val="24"/>
              <w:lang w:val="en-GB"/>
              <w14:textFill>
                <w14:solidFill>
                  <w14:schemeClr w14:val="tx1"/>
                </w14:solidFill>
              </w14:textFill>
            </w:rPr>
            <w:t>1.4 Research Question</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_Toc237357911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7</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24869882">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"_Toc237357912" </w:instrText>
          </w:r>
          <w:r>
            <w:fldChar w:fldCharType="separate"/>
          </w:r>
          <w:r>
            <w:rPr>
              <w:rStyle w:val="10"/>
              <w:color w:val="000000" w:themeColor="text1"/>
              <w:sz w:val="24"/>
              <w:szCs w:val="24"/>
              <w:lang w:val="en-GB"/>
              <w14:textFill>
                <w14:solidFill>
                  <w14:schemeClr w14:val="tx1"/>
                </w14:solidFill>
              </w14:textFill>
            </w:rPr>
            <w:t>1.5 Importance of the study and identifying the gaps</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_Toc237357912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7</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5A9571CA">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"_Toc237357913" </w:instrText>
          </w:r>
          <w:r>
            <w:fldChar w:fldCharType="separate"/>
          </w:r>
          <w:r>
            <w:rPr>
              <w:rStyle w:val="10"/>
              <w:color w:val="000000" w:themeColor="text1"/>
              <w:sz w:val="24"/>
              <w:szCs w:val="24"/>
              <w:lang w:val="en-GB"/>
              <w14:textFill>
                <w14:solidFill>
                  <w14:schemeClr w14:val="tx1"/>
                </w14:solidFill>
              </w14:textFill>
            </w:rPr>
            <w:t>1.6 Research Methodology Overview</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_Toc237357913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8</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323B45EC">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"_Toc237357914" </w:instrText>
          </w:r>
          <w:r>
            <w:fldChar w:fldCharType="separate"/>
          </w:r>
          <w:r>
            <w:rPr>
              <w:rStyle w:val="10"/>
              <w:color w:val="000000" w:themeColor="text1"/>
              <w:sz w:val="24"/>
              <w:szCs w:val="24"/>
              <w:lang w:val="en-GB"/>
              <w14:textFill>
                <w14:solidFill>
                  <w14:schemeClr w14:val="tx1"/>
                </w14:solidFill>
              </w14:textFill>
            </w:rPr>
            <w:t>1.7 Future implication</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_Toc237357914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9</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26F64C06">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"_Toc237357915" </w:instrText>
          </w:r>
          <w:r>
            <w:fldChar w:fldCharType="separate"/>
          </w:r>
          <w:r>
            <w:rPr>
              <w:rStyle w:val="10"/>
              <w:color w:val="000000" w:themeColor="text1"/>
              <w:sz w:val="24"/>
              <w:szCs w:val="24"/>
              <w:lang w:val="en-GB"/>
              <w14:textFill>
                <w14:solidFill>
                  <w14:schemeClr w14:val="tx1"/>
                </w14:solidFill>
              </w14:textFill>
            </w:rPr>
            <w:t>1.8 Dissertation structure</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_Toc237357915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10</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51CF3B20">
          <w:pPr>
            <w:pStyle w:val="16"/>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"_Toc237357916" </w:instrText>
          </w:r>
          <w:r>
            <w:fldChar w:fldCharType="separate"/>
          </w:r>
          <w:r>
            <w:rPr>
              <w:rStyle w:val="10"/>
              <w:color w:val="000000" w:themeColor="text1"/>
              <w:sz w:val="24"/>
              <w:szCs w:val="24"/>
              <w:lang w:val="en-GB"/>
              <w14:textFill>
                <w14:solidFill>
                  <w14:schemeClr w14:val="tx1"/>
                </w14:solidFill>
              </w14:textFill>
            </w:rPr>
            <w:t>Chapter 2: Literature Review</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_Toc237357916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11</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161C1644">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"_Toc237357917" </w:instrText>
          </w:r>
          <w:r>
            <w:fldChar w:fldCharType="separate"/>
          </w:r>
          <w:r>
            <w:rPr>
              <w:rStyle w:val="10"/>
              <w:color w:val="000000" w:themeColor="text1"/>
              <w:sz w:val="24"/>
              <w:szCs w:val="24"/>
              <w:lang w:val="en-GB"/>
              <w14:textFill>
                <w14:solidFill>
                  <w14:schemeClr w14:val="tx1"/>
                </w14:solidFill>
              </w14:textFill>
            </w:rPr>
            <w:t>2.1 Introduction</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_Toc237357917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11</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4E8EE7CC">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"_Toc237357918" </w:instrText>
          </w:r>
          <w:r>
            <w:fldChar w:fldCharType="separate"/>
          </w:r>
          <w:r>
            <w:rPr>
              <w:rStyle w:val="10"/>
              <w:color w:val="000000" w:themeColor="text1"/>
              <w:sz w:val="24"/>
              <w:szCs w:val="24"/>
              <w:lang w:val="en-GB"/>
              <w14:textFill>
                <w14:solidFill>
                  <w14:schemeClr w14:val="tx1"/>
                </w14:solidFill>
              </w14:textFill>
            </w:rPr>
            <w:t>2.2 Theme 1: Traditional Forecasting to Generative AI-Driven Demand Prediction</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_Toc237357918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11</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5B5F66AF">
          <w:pPr>
            <w:pStyle w:val="18"/>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"_Toc237357919" </w:instrText>
          </w:r>
          <w:r>
            <w:fldChar w:fldCharType="separate"/>
          </w:r>
          <w:r>
            <w:rPr>
              <w:rStyle w:val="10"/>
              <w:color w:val="000000" w:themeColor="text1"/>
              <w:sz w:val="24"/>
              <w:szCs w:val="24"/>
              <w:lang w:val="en-GB"/>
              <w14:textFill>
                <w14:solidFill>
                  <w14:schemeClr w14:val="tx1"/>
                </w14:solidFill>
              </w14:textFill>
            </w:rPr>
            <w:t>2.2.1 Traditional forecasting models and limitations</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_Toc237357919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11</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75F31ECA">
          <w:pPr>
            <w:pStyle w:val="18"/>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"_Toc237357920" </w:instrText>
          </w:r>
          <w:r>
            <w:fldChar w:fldCharType="separate"/>
          </w:r>
          <w:r>
            <w:rPr>
              <w:rStyle w:val="10"/>
              <w:color w:val="000000" w:themeColor="text1"/>
              <w:sz w:val="24"/>
              <w:szCs w:val="24"/>
              <w:lang w:val="en-GB"/>
              <w14:textFill>
                <w14:solidFill>
                  <w14:schemeClr w14:val="tx1"/>
                </w14:solidFill>
              </w14:textFill>
            </w:rPr>
            <w:t>2.2.2 Adoption of generative and predictive techniques in the UK retail sector</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_Toc237357920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12</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0AF115B6">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"_Toc237357921" </w:instrText>
          </w:r>
          <w:r>
            <w:fldChar w:fldCharType="separate"/>
          </w:r>
          <w:r>
            <w:rPr>
              <w:rStyle w:val="10"/>
              <w:color w:val="000000" w:themeColor="text1"/>
              <w:sz w:val="24"/>
              <w:szCs w:val="24"/>
              <w:lang w:val="en-GB"/>
              <w14:textFill>
                <w14:solidFill>
                  <w14:schemeClr w14:val="tx1"/>
                </w14:solidFill>
              </w14:textFill>
            </w:rPr>
            <w:t>2.3 Theme 2: Optimising Inventory Using AI at M&amp;S</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_Toc237357921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14</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5DDA9100">
          <w:pPr>
            <w:pStyle w:val="18"/>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"_Toc237357922" </w:instrText>
          </w:r>
          <w:r>
            <w:fldChar w:fldCharType="separate"/>
          </w:r>
          <w:r>
            <w:rPr>
              <w:rStyle w:val="10"/>
              <w:color w:val="000000" w:themeColor="text1"/>
              <w:sz w:val="24"/>
              <w:szCs w:val="24"/>
              <w:lang w:val="en-GB"/>
              <w14:textFill>
                <w14:solidFill>
                  <w14:schemeClr w14:val="tx1"/>
                </w14:solidFill>
              </w14:textFill>
            </w:rPr>
            <w:t>2.3.1 Taking the next step with inventory systems</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_Toc237357922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14</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24F99B72">
          <w:pPr>
            <w:pStyle w:val="18"/>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"_Toc237357923" </w:instrText>
          </w:r>
          <w:r>
            <w:fldChar w:fldCharType="separate"/>
          </w:r>
          <w:r>
            <w:rPr>
              <w:rStyle w:val="10"/>
              <w:color w:val="000000" w:themeColor="text1"/>
              <w:sz w:val="24"/>
              <w:szCs w:val="24"/>
              <w:lang w:val="en-GB"/>
              <w14:textFill>
                <w14:solidFill>
                  <w14:schemeClr w14:val="tx1"/>
                </w14:solidFill>
              </w14:textFill>
            </w:rPr>
            <w:t>2.3.2 A word of caution: pilot vs scaled implementation</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_Toc237357923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15</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16CD3437">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"_Toc237357924" </w:instrText>
          </w:r>
          <w:r>
            <w:fldChar w:fldCharType="separate"/>
          </w:r>
          <w:r>
            <w:rPr>
              <w:rStyle w:val="10"/>
              <w:color w:val="000000" w:themeColor="text1"/>
              <w:sz w:val="24"/>
              <w:szCs w:val="24"/>
              <w:lang w:val="en-GB"/>
              <w14:textFill>
                <w14:solidFill>
                  <w14:schemeClr w14:val="tx1"/>
                </w14:solidFill>
              </w14:textFill>
            </w:rPr>
            <w:t>2.4 Theme 3: The application of GenAI within M&amp;S in their retail context</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_Toc237357924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17</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5958E69D">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"_Toc237357925" </w:instrText>
          </w:r>
          <w:r>
            <w:fldChar w:fldCharType="separate"/>
          </w:r>
          <w:r>
            <w:rPr>
              <w:rStyle w:val="10"/>
              <w:color w:val="000000" w:themeColor="text1"/>
              <w:sz w:val="24"/>
              <w:szCs w:val="24"/>
              <w:lang w:val="en-GB"/>
              <w14:textFill>
                <w14:solidFill>
                  <w14:schemeClr w14:val="tx1"/>
                </w14:solidFill>
              </w14:textFill>
            </w:rPr>
            <w:t>2.5 Theme 4: Exploring the opportunities and challenges arise from the use of GenAI in M&amp;S</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_Toc237357925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19</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4293FD8F">
          <w:pPr>
            <w:pStyle w:val="18"/>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"_Toc237357926" </w:instrText>
          </w:r>
          <w:r>
            <w:fldChar w:fldCharType="separate"/>
          </w:r>
          <w:r>
            <w:rPr>
              <w:rStyle w:val="10"/>
              <w:color w:val="000000" w:themeColor="text1"/>
              <w:sz w:val="24"/>
              <w:szCs w:val="24"/>
              <w:lang w:val="en-GB"/>
              <w14:textFill>
                <w14:solidFill>
                  <w14:schemeClr w14:val="tx1"/>
                </w14:solidFill>
              </w14:textFill>
            </w:rPr>
            <w:t>2.5.1 Opportunities</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_Toc237357926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19</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42733FB3">
          <w:pPr>
            <w:pStyle w:val="18"/>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"_Toc237357927" </w:instrText>
          </w:r>
          <w:r>
            <w:fldChar w:fldCharType="separate"/>
          </w:r>
          <w:r>
            <w:rPr>
              <w:rStyle w:val="10"/>
              <w:color w:val="000000" w:themeColor="text1"/>
              <w:sz w:val="24"/>
              <w:szCs w:val="24"/>
              <w:lang w:val="en-GB"/>
              <w14:textFill>
                <w14:solidFill>
                  <w14:schemeClr w14:val="tx1"/>
                </w14:solidFill>
              </w14:textFill>
            </w:rPr>
            <w:t>2.5.2 Barriers and constraints</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_Toc237357927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20</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5A5F8D51">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"_Toc237357928" </w:instrText>
          </w:r>
          <w:r>
            <w:fldChar w:fldCharType="separate"/>
          </w:r>
          <w:r>
            <w:rPr>
              <w:rStyle w:val="10"/>
              <w:color w:val="000000" w:themeColor="text1"/>
              <w:sz w:val="24"/>
              <w:szCs w:val="24"/>
              <w:lang w:val="en-GB"/>
              <w14:textFill>
                <w14:solidFill>
                  <w14:schemeClr w14:val="tx1"/>
                </w14:solidFill>
              </w14:textFill>
            </w:rPr>
            <w:t>2.6 Theoretical Underpinning</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_Toc237357928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21</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1EBD4DB8">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"_Toc237357929" </w:instrText>
          </w:r>
          <w:r>
            <w:fldChar w:fldCharType="separate"/>
          </w:r>
          <w:r>
            <w:rPr>
              <w:rStyle w:val="10"/>
              <w:color w:val="000000" w:themeColor="text1"/>
              <w:sz w:val="24"/>
              <w:szCs w:val="24"/>
              <w:lang w:val="en-GB"/>
              <w14:textFill>
                <w14:solidFill>
                  <w14:schemeClr w14:val="tx1"/>
                </w14:solidFill>
              </w14:textFill>
            </w:rPr>
            <w:t>2.7 Research Gap</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_Toc237357929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22</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5F5B57E5">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"_Toc237357930" </w:instrText>
          </w:r>
          <w:r>
            <w:fldChar w:fldCharType="separate"/>
          </w:r>
          <w:r>
            <w:rPr>
              <w:rStyle w:val="10"/>
              <w:color w:val="000000" w:themeColor="text1"/>
              <w:sz w:val="24"/>
              <w:szCs w:val="24"/>
              <w:lang w:val="en-GB"/>
              <w14:textFill>
                <w14:solidFill>
                  <w14:schemeClr w14:val="tx1"/>
                </w14:solidFill>
              </w14:textFill>
            </w:rPr>
            <w:t>2.8 Chapter Summary</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_Toc237357930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23</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4E47D40B">
          <w:pPr>
            <w:pStyle w:val="16"/>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"_Toc237357931" </w:instrText>
          </w:r>
          <w:r>
            <w:fldChar w:fldCharType="separate"/>
          </w:r>
          <w:r>
            <w:rPr>
              <w:rStyle w:val="10"/>
              <w:color w:val="000000" w:themeColor="text1"/>
              <w:sz w:val="24"/>
              <w:szCs w:val="24"/>
              <w:lang w:val="en-GB"/>
              <w14:textFill>
                <w14:solidFill>
                  <w14:schemeClr w14:val="tx1"/>
                </w14:solidFill>
              </w14:textFill>
            </w:rPr>
            <w:t>Chapter 3: Methodology</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_Toc237357931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24</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349E7A65">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"_Toc237357932" </w:instrText>
          </w:r>
          <w:r>
            <w:fldChar w:fldCharType="separate"/>
          </w:r>
          <w:r>
            <w:rPr>
              <w:rStyle w:val="10"/>
              <w:color w:val="000000" w:themeColor="text1"/>
              <w:sz w:val="24"/>
              <w:szCs w:val="24"/>
              <w:lang w:val="en-GB"/>
              <w14:textFill>
                <w14:solidFill>
                  <w14:schemeClr w14:val="tx1"/>
                </w14:solidFill>
              </w14:textFill>
            </w:rPr>
            <w:t>3.1 Introduction</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_Toc237357932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24</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3ECA4AB6">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"_Toc237357933" </w:instrText>
          </w:r>
          <w:r>
            <w:fldChar w:fldCharType="separate"/>
          </w:r>
          <w:r>
            <w:rPr>
              <w:rStyle w:val="10"/>
              <w:color w:val="000000" w:themeColor="text1"/>
              <w:sz w:val="24"/>
              <w:szCs w:val="24"/>
              <w:lang w:val="en-GB"/>
              <w14:textFill>
                <w14:solidFill>
                  <w14:schemeClr w14:val="tx1"/>
                </w14:solidFill>
              </w14:textFill>
            </w:rPr>
            <w:t>3.2 Research Philosophy</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_Toc237357933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24</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71A0EFAC">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"_Toc237357934" </w:instrText>
          </w:r>
          <w:r>
            <w:fldChar w:fldCharType="separate"/>
          </w:r>
          <w:r>
            <w:rPr>
              <w:rStyle w:val="10"/>
              <w:color w:val="000000" w:themeColor="text1"/>
              <w:sz w:val="24"/>
              <w:szCs w:val="24"/>
              <w:lang w:val="en-GB"/>
              <w14:textFill>
                <w14:solidFill>
                  <w14:schemeClr w14:val="tx1"/>
                </w14:solidFill>
              </w14:textFill>
            </w:rPr>
            <w:t>3.3 Research Approach</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_Toc237357934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26</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4617853B">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"_Toc237357935" </w:instrText>
          </w:r>
          <w:r>
            <w:fldChar w:fldCharType="separate"/>
          </w:r>
          <w:r>
            <w:rPr>
              <w:rStyle w:val="10"/>
              <w:color w:val="000000" w:themeColor="text1"/>
              <w:sz w:val="24"/>
              <w:szCs w:val="24"/>
              <w:lang w:val="en-GB"/>
              <w14:textFill>
                <w14:solidFill>
                  <w14:schemeClr w14:val="tx1"/>
                </w14:solidFill>
              </w14:textFill>
            </w:rPr>
            <w:t>3.4 Research Design</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_Toc237357935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27</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0F5F0A12">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"_Toc237357936" </w:instrText>
          </w:r>
          <w:r>
            <w:fldChar w:fldCharType="separate"/>
          </w:r>
          <w:r>
            <w:rPr>
              <w:rStyle w:val="10"/>
              <w:color w:val="000000" w:themeColor="text1"/>
              <w:sz w:val="24"/>
              <w:szCs w:val="24"/>
              <w:lang w:val="en-GB"/>
              <w14:textFill>
                <w14:solidFill>
                  <w14:schemeClr w14:val="tx1"/>
                </w14:solidFill>
              </w14:textFill>
            </w:rPr>
            <w:t>3.5 Data Collection Methods</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_Toc237357936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27</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4C11FBA7">
          <w:pPr>
            <w:pStyle w:val="18"/>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"_Toc237357937" </w:instrText>
          </w:r>
          <w:r>
            <w:fldChar w:fldCharType="separate"/>
          </w:r>
          <w:r>
            <w:rPr>
              <w:rStyle w:val="10"/>
              <w:color w:val="000000" w:themeColor="text1"/>
              <w:sz w:val="24"/>
              <w:szCs w:val="24"/>
              <w:lang w:val="en-GB"/>
              <w14:textFill>
                <w14:solidFill>
                  <w14:schemeClr w14:val="tx1"/>
                </w14:solidFill>
              </w14:textFill>
            </w:rPr>
            <w:t>3.5.1 Search strategy and Boolean keyword</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_Toc237357937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28</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68F00876">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"_Toc237357938" </w:instrText>
          </w:r>
          <w:r>
            <w:fldChar w:fldCharType="separate"/>
          </w:r>
          <w:r>
            <w:rPr>
              <w:rStyle w:val="10"/>
              <w:color w:val="000000" w:themeColor="text1"/>
              <w:sz w:val="24"/>
              <w:szCs w:val="24"/>
              <w:lang w:val="en-GB"/>
              <w14:textFill>
                <w14:solidFill>
                  <w14:schemeClr w14:val="tx1"/>
                </w14:solidFill>
              </w14:textFill>
            </w:rPr>
            <w:t>3.6 Data Analysis</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_Toc237357938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29</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5B818C0E">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"_Toc237357939" </w:instrText>
          </w:r>
          <w:r>
            <w:fldChar w:fldCharType="separate"/>
          </w:r>
          <w:r>
            <w:rPr>
              <w:rStyle w:val="10"/>
              <w:color w:val="000000" w:themeColor="text1"/>
              <w:sz w:val="24"/>
              <w:szCs w:val="24"/>
              <w:lang w:val="en-GB"/>
              <w14:textFill>
                <w14:solidFill>
                  <w14:schemeClr w14:val="tx1"/>
                </w14:solidFill>
              </w14:textFill>
            </w:rPr>
            <w:t>3.7 Ethical Considerations</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_Toc237357939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30</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13E6D23A">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"_Toc237357940" </w:instrText>
          </w:r>
          <w:r>
            <w:fldChar w:fldCharType="separate"/>
          </w:r>
          <w:r>
            <w:rPr>
              <w:rStyle w:val="10"/>
              <w:color w:val="000000" w:themeColor="text1"/>
              <w:sz w:val="24"/>
              <w:szCs w:val="24"/>
              <w:lang w:val="en-GB"/>
              <w14:textFill>
                <w14:solidFill>
                  <w14:schemeClr w14:val="tx1"/>
                </w14:solidFill>
              </w14:textFill>
            </w:rPr>
            <w:t>3.8 Limitations of the Methodology</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_Toc237357940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30</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191BA615">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"_Toc237357941" </w:instrText>
          </w:r>
          <w:r>
            <w:fldChar w:fldCharType="separate"/>
          </w:r>
          <w:r>
            <w:rPr>
              <w:rStyle w:val="10"/>
              <w:color w:val="000000" w:themeColor="text1"/>
              <w:sz w:val="24"/>
              <w:szCs w:val="24"/>
              <w:lang w:val="en-GB"/>
              <w14:textFill>
                <w14:solidFill>
                  <w14:schemeClr w14:val="tx1"/>
                </w14:solidFill>
              </w14:textFill>
            </w:rPr>
            <w:t>3.9 Chapter summary</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_Toc237357941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31</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54BF3125">
          <w:pPr>
            <w:pStyle w:val="16"/>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"_Toc237357942" </w:instrText>
          </w:r>
          <w:r>
            <w:fldChar w:fldCharType="separate"/>
          </w:r>
          <w:r>
            <w:rPr>
              <w:rStyle w:val="10"/>
              <w:color w:val="000000" w:themeColor="text1"/>
              <w:sz w:val="24"/>
              <w:szCs w:val="24"/>
              <w:lang w:val="en-GB"/>
              <w14:textFill>
                <w14:solidFill>
                  <w14:schemeClr w14:val="tx1"/>
                </w14:solidFill>
              </w14:textFill>
            </w:rPr>
            <w:t>Chapter 4: Findings / Results, Analysis and Discussion</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_Toc237357942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32</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45CD3727">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"_Toc237357943" </w:instrText>
          </w:r>
          <w:r>
            <w:fldChar w:fldCharType="separate"/>
          </w:r>
          <w:r>
            <w:rPr>
              <w:rStyle w:val="10"/>
              <w:color w:val="000000" w:themeColor="text1"/>
              <w:sz w:val="24"/>
              <w:szCs w:val="24"/>
              <w:lang w:val="en-GB"/>
              <w14:textFill>
                <w14:solidFill>
                  <w14:schemeClr w14:val="tx1"/>
                </w14:solidFill>
              </w14:textFill>
            </w:rPr>
            <w:t>4.1 Chapter Introduction</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_Toc237357943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32</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6CC99D6B">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"_Toc237357944" </w:instrText>
          </w:r>
          <w:r>
            <w:fldChar w:fldCharType="separate"/>
          </w:r>
          <w:r>
            <w:rPr>
              <w:rStyle w:val="10"/>
              <w:color w:val="000000" w:themeColor="text1"/>
              <w:sz w:val="24"/>
              <w:szCs w:val="24"/>
              <w:lang w:val="en-GB"/>
              <w14:textFill>
                <w14:solidFill>
                  <w14:schemeClr w14:val="tx1"/>
                </w14:solidFill>
              </w14:textFill>
            </w:rPr>
            <w:t>4.2 Data summary and findings</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_Toc237357944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33</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0DA9124D">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"_Toc237357945" </w:instrText>
          </w:r>
          <w:r>
            <w:fldChar w:fldCharType="separate"/>
          </w:r>
          <w:r>
            <w:rPr>
              <w:rStyle w:val="10"/>
              <w:color w:val="000000" w:themeColor="text1"/>
              <w:sz w:val="24"/>
              <w:szCs w:val="24"/>
              <w:lang w:val="en-GB"/>
              <w14:textFill>
                <w14:solidFill>
                  <w14:schemeClr w14:val="tx1"/>
                </w14:solidFill>
              </w14:textFill>
            </w:rPr>
            <w:t>4.3 The results of the findings</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_Toc237357945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40</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2A2FD456">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"_Toc237357946" </w:instrText>
          </w:r>
          <w:r>
            <w:fldChar w:fldCharType="separate"/>
          </w:r>
          <w:r>
            <w:rPr>
              <w:rStyle w:val="10"/>
              <w:color w:val="000000" w:themeColor="text1"/>
              <w:sz w:val="24"/>
              <w:szCs w:val="24"/>
              <w:lang w:val="en-GB"/>
              <w14:textFill>
                <w14:solidFill>
                  <w14:schemeClr w14:val="tx1"/>
                </w14:solidFill>
              </w14:textFill>
            </w:rPr>
            <w:t>4.4 Thematic Analysis</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_Toc237357946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41</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07F1C235">
          <w:pPr>
            <w:pStyle w:val="18"/>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"_Toc237357947" </w:instrText>
          </w:r>
          <w:r>
            <w:fldChar w:fldCharType="separate"/>
          </w:r>
          <w:r>
            <w:rPr>
              <w:rStyle w:val="10"/>
              <w:color w:val="000000" w:themeColor="text1"/>
              <w:sz w:val="24"/>
              <w:szCs w:val="24"/>
              <w:lang w:val="en-GB"/>
              <w14:textFill>
                <w14:solidFill>
                  <w14:schemeClr w14:val="tx1"/>
                </w14:solidFill>
              </w14:textFill>
            </w:rPr>
            <w:t>4.4.1 Theme One: Traditional Forecasting to Generative AI-Driven Demand Prediction</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_Toc237357947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41</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60B4325C">
          <w:pPr>
            <w:pStyle w:val="18"/>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"_Toc237357948" </w:instrText>
          </w:r>
          <w:r>
            <w:fldChar w:fldCharType="separate"/>
          </w:r>
          <w:r>
            <w:rPr>
              <w:rStyle w:val="10"/>
              <w:color w:val="000000" w:themeColor="text1"/>
              <w:sz w:val="24"/>
              <w:szCs w:val="24"/>
              <w:lang w:val="en-GB"/>
              <w14:textFill>
                <w14:solidFill>
                  <w14:schemeClr w14:val="tx1"/>
                </w14:solidFill>
              </w14:textFill>
            </w:rPr>
            <w:t>4.4.2 Theme Two: Optimising Inventory Using AI at M&amp;S</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_Toc237357948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43</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7BFCDBB8">
          <w:pPr>
            <w:pStyle w:val="18"/>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"_Toc237357949" </w:instrText>
          </w:r>
          <w:r>
            <w:fldChar w:fldCharType="separate"/>
          </w:r>
          <w:r>
            <w:rPr>
              <w:rStyle w:val="10"/>
              <w:color w:val="000000" w:themeColor="text1"/>
              <w:sz w:val="24"/>
              <w:szCs w:val="24"/>
              <w:lang w:val="en-GB"/>
              <w14:textFill>
                <w14:solidFill>
                  <w14:schemeClr w14:val="tx1"/>
                </w14:solidFill>
              </w14:textFill>
            </w:rPr>
            <w:t>4.4.3 Theme Three: The Organisational Breadth of GenAI Application at M&amp;S</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_Toc237357949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46</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2E861C0E">
          <w:pPr>
            <w:pStyle w:val="18"/>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"_Toc237357950" </w:instrText>
          </w:r>
          <w:r>
            <w:fldChar w:fldCharType="separate"/>
          </w:r>
          <w:r>
            <w:rPr>
              <w:rStyle w:val="10"/>
              <w:color w:val="000000" w:themeColor="text1"/>
              <w:sz w:val="24"/>
              <w:szCs w:val="24"/>
              <w:lang w:val="en-GB"/>
              <w14:textFill>
                <w14:solidFill>
                  <w14:schemeClr w14:val="tx1"/>
                </w14:solidFill>
              </w14:textFill>
            </w:rPr>
            <w:t>4.4.4 Theme Four: Opportunities and Challenges Arising from the Use of GenAI</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_Toc237357950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50</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69EF0273">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"_Toc237357951" </w:instrText>
          </w:r>
          <w:r>
            <w:fldChar w:fldCharType="separate"/>
          </w:r>
          <w:r>
            <w:rPr>
              <w:rStyle w:val="10"/>
              <w:color w:val="000000" w:themeColor="text1"/>
              <w:sz w:val="24"/>
              <w:szCs w:val="24"/>
              <w:lang w:val="en-GB"/>
              <w14:textFill>
                <w14:solidFill>
                  <w14:schemeClr w14:val="tx1"/>
                </w14:solidFill>
              </w14:textFill>
            </w:rPr>
            <w:t>4.5 Discussion</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_Toc237357951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52</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113DECEB">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"_Toc237357952" </w:instrText>
          </w:r>
          <w:r>
            <w:fldChar w:fldCharType="separate"/>
          </w:r>
          <w:r>
            <w:rPr>
              <w:rStyle w:val="10"/>
              <w:color w:val="000000" w:themeColor="text1"/>
              <w:sz w:val="24"/>
              <w:szCs w:val="24"/>
              <w:lang w:val="en-GB"/>
              <w14:textFill>
                <w14:solidFill>
                  <w14:schemeClr w14:val="tx1"/>
                </w14:solidFill>
              </w14:textFill>
            </w:rPr>
            <w:t>4.6 Integrated Synthesis</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_Toc237357952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53</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0FB69F82">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"_Toc237357953" </w:instrText>
          </w:r>
          <w:r>
            <w:fldChar w:fldCharType="separate"/>
          </w:r>
          <w:r>
            <w:rPr>
              <w:rStyle w:val="10"/>
              <w:color w:val="000000" w:themeColor="text1"/>
              <w:sz w:val="24"/>
              <w:szCs w:val="24"/>
              <w:lang w:val="en-GB"/>
              <w14:textFill>
                <w14:solidFill>
                  <w14:schemeClr w14:val="tx1"/>
                </w14:solidFill>
              </w14:textFill>
            </w:rPr>
            <w:t>4.7 Chapter Summary</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_Toc237357953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54</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6C11F12D">
          <w:pPr>
            <w:pStyle w:val="16"/>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"_Toc237357954" </w:instrText>
          </w:r>
          <w:r>
            <w:fldChar w:fldCharType="separate"/>
          </w:r>
          <w:r>
            <w:rPr>
              <w:rStyle w:val="10"/>
              <w:color w:val="000000" w:themeColor="text1"/>
              <w:sz w:val="24"/>
              <w:szCs w:val="24"/>
              <w:lang w:val="en-GB"/>
              <w14:textFill>
                <w14:solidFill>
                  <w14:schemeClr w14:val="tx1"/>
                </w14:solidFill>
              </w14:textFill>
            </w:rPr>
            <w:t>Chapter 5: Conclusions and recommendations</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_Toc237357954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56</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075E38F9">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"_Toc237357955" </w:instrText>
          </w:r>
          <w:r>
            <w:fldChar w:fldCharType="separate"/>
          </w:r>
          <w:r>
            <w:rPr>
              <w:rStyle w:val="10"/>
              <w:color w:val="000000" w:themeColor="text1"/>
              <w:sz w:val="24"/>
              <w:szCs w:val="24"/>
              <w:lang w:val="en-GB"/>
              <w14:textFill>
                <w14:solidFill>
                  <w14:schemeClr w14:val="tx1"/>
                </w14:solidFill>
              </w14:textFill>
            </w:rPr>
            <w:t>5.1 Main findings</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_Toc237357955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56</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44BC520B">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"_Toc237357956" </w:instrText>
          </w:r>
          <w:r>
            <w:fldChar w:fldCharType="separate"/>
          </w:r>
          <w:r>
            <w:rPr>
              <w:rStyle w:val="10"/>
              <w:color w:val="000000" w:themeColor="text1"/>
              <w:sz w:val="24"/>
              <w:szCs w:val="24"/>
              <w:lang w:val="en-GB"/>
              <w14:textFill>
                <w14:solidFill>
                  <w14:schemeClr w14:val="tx1"/>
                </w14:solidFill>
              </w14:textFill>
            </w:rPr>
            <w:t>5.2 Answer to research objectives</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_Toc237357956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57</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07A44292">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"_Toc237357957" </w:instrText>
          </w:r>
          <w:r>
            <w:fldChar w:fldCharType="separate"/>
          </w:r>
          <w:r>
            <w:rPr>
              <w:rStyle w:val="10"/>
              <w:color w:val="000000" w:themeColor="text1"/>
              <w:sz w:val="24"/>
              <w:szCs w:val="24"/>
              <w:lang w:val="en-GB"/>
              <w14:textFill>
                <w14:solidFill>
                  <w14:schemeClr w14:val="tx1"/>
                </w14:solidFill>
              </w14:textFill>
            </w:rPr>
            <w:t>5.3 Recommendation (Practical and Theoretical)</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_Toc237357957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58</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439A94F5">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"_Toc237357958" </w:instrText>
          </w:r>
          <w:r>
            <w:fldChar w:fldCharType="separate"/>
          </w:r>
          <w:r>
            <w:rPr>
              <w:rStyle w:val="10"/>
              <w:color w:val="000000" w:themeColor="text1"/>
              <w:sz w:val="24"/>
              <w:szCs w:val="24"/>
              <w:lang w:val="en-GB"/>
              <w14:textFill>
                <w14:solidFill>
                  <w14:schemeClr w14:val="tx1"/>
                </w14:solidFill>
              </w14:textFill>
            </w:rPr>
            <w:t>5.4 Limitation of the study</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_Toc237357958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58</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1C516481">
          <w:pPr>
            <w:pStyle w:val="17"/>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"_Toc237357959" </w:instrText>
          </w:r>
          <w:r>
            <w:fldChar w:fldCharType="separate"/>
          </w:r>
          <w:r>
            <w:rPr>
              <w:rStyle w:val="10"/>
              <w:color w:val="000000" w:themeColor="text1"/>
              <w:sz w:val="24"/>
              <w:szCs w:val="24"/>
              <w:lang w:val="en-GB"/>
              <w14:textFill>
                <w14:solidFill>
                  <w14:schemeClr w14:val="tx1"/>
                </w14:solidFill>
              </w14:textFill>
            </w:rPr>
            <w:t>5.5 Recommendation for Future Work</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_Toc237357959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59</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7989791C">
          <w:pPr>
            <w:pStyle w:val="16"/>
            <w:tabs>
              <w:tab w:val="right" w:leader="dot" w:pos="9350"/>
            </w:tabs>
            <w:spacing w:line="360" w:lineRule="auto"/>
            <w:jc w:val="both"/>
            <w:rPr>
              <w:rFonts w:eastAsiaTheme="minorEastAsia"/>
              <w:color w:val="000000" w:themeColor="text1"/>
              <w:kern w:val="2"/>
              <w:sz w:val="24"/>
              <w:szCs w:val="24"/>
              <w:lang w:val="en-GB"/>
              <w14:textFill>
                <w14:solidFill>
                  <w14:schemeClr w14:val="tx1"/>
                </w14:solidFill>
              </w14:textFill>
              <w14:ligatures w14:val="standardContextual"/>
            </w:rPr>
          </w:pPr>
          <w:r>
            <w:fldChar w:fldCharType="begin"/>
          </w:r>
          <w:r>
            <w:instrText xml:space="preserve"> HYPERLINK \l "_Toc237357960" </w:instrText>
          </w:r>
          <w:r>
            <w:fldChar w:fldCharType="separate"/>
          </w:r>
          <w:r>
            <w:rPr>
              <w:rStyle w:val="10"/>
              <w:color w:val="000000" w:themeColor="text1"/>
              <w:sz w:val="24"/>
              <w:szCs w:val="24"/>
              <w:lang w:val="en-GB"/>
              <w14:textFill>
                <w14:solidFill>
                  <w14:schemeClr w14:val="tx1"/>
                </w14:solidFill>
              </w14:textFill>
            </w:rPr>
            <w:t>Reference list</w:t>
          </w:r>
          <w:r>
            <w:rPr>
              <w:color w:val="000000" w:themeColor="text1"/>
              <w:sz w:val="24"/>
              <w:szCs w:val="24"/>
              <w:lang w:val="en-GB"/>
              <w14:textFill>
                <w14:solidFill>
                  <w14:schemeClr w14:val="tx1"/>
                </w14:solidFill>
              </w14:textFill>
            </w:rPr>
            <w:tab/>
          </w:r>
          <w:r>
            <w:rPr>
              <w:color w:val="000000" w:themeColor="text1"/>
              <w:sz w:val="24"/>
              <w:szCs w:val="24"/>
              <w:lang w:val="en-GB"/>
              <w14:textFill>
                <w14:solidFill>
                  <w14:schemeClr w14:val="tx1"/>
                </w14:solidFill>
              </w14:textFill>
            </w:rPr>
            <w:fldChar w:fldCharType="begin"/>
          </w:r>
          <w:r>
            <w:rPr>
              <w:color w:val="000000" w:themeColor="text1"/>
              <w:sz w:val="24"/>
              <w:szCs w:val="24"/>
              <w:lang w:val="en-GB"/>
              <w14:textFill>
                <w14:solidFill>
                  <w14:schemeClr w14:val="tx1"/>
                </w14:solidFill>
              </w14:textFill>
            </w:rPr>
            <w:instrText xml:space="preserve"> PAGEREF _Toc237357960 \h </w:instrText>
          </w:r>
          <w:r>
            <w:rPr>
              <w:color w:val="000000" w:themeColor="text1"/>
              <w:sz w:val="24"/>
              <w:szCs w:val="24"/>
              <w:lang w:val="en-GB"/>
              <w14:textFill>
                <w14:solidFill>
                  <w14:schemeClr w14:val="tx1"/>
                </w14:solidFill>
              </w14:textFill>
            </w:rPr>
            <w:fldChar w:fldCharType="separate"/>
          </w:r>
          <w:r>
            <w:rPr>
              <w:color w:val="000000" w:themeColor="text1"/>
              <w:sz w:val="24"/>
              <w:szCs w:val="24"/>
              <w:lang w:val="en-GB"/>
              <w14:textFill>
                <w14:solidFill>
                  <w14:schemeClr w14:val="tx1"/>
                </w14:solidFill>
              </w14:textFill>
            </w:rPr>
            <w:t>60</w:t>
          </w:r>
          <w:r>
            <w:rPr>
              <w:color w:val="000000" w:themeColor="text1"/>
              <w:sz w:val="24"/>
              <w:szCs w:val="24"/>
              <w:lang w:val="en-GB"/>
              <w14:textFill>
                <w14:solidFill>
                  <w14:schemeClr w14:val="tx1"/>
                </w14:solidFill>
              </w14:textFill>
            </w:rPr>
            <w:fldChar w:fldCharType="end"/>
          </w:r>
          <w:r>
            <w:rPr>
              <w:color w:val="000000" w:themeColor="text1"/>
              <w:sz w:val="24"/>
              <w:szCs w:val="24"/>
              <w:lang w:val="en-GB"/>
              <w14:textFill>
                <w14:solidFill>
                  <w14:schemeClr w14:val="tx1"/>
                </w14:solidFill>
              </w14:textFill>
            </w:rPr>
            <w:fldChar w:fldCharType="end"/>
          </w:r>
        </w:p>
        <w:p w14:paraId="5491E5CE">
          <w:pPr>
            <w:spacing w:line="360" w:lineRule="auto"/>
            <w:jc w:val="both"/>
            <w:rPr>
              <w:color w:val="000000" w:themeColor="text1"/>
              <w:sz w:val="24"/>
              <w:szCs w:val="24"/>
              <w:lang w:val="en-GB"/>
              <w14:textFill>
                <w14:solidFill>
                  <w14:schemeClr w14:val="tx1"/>
                </w14:solidFill>
              </w14:textFill>
            </w:rPr>
          </w:pPr>
          <w:r>
            <w:rPr>
              <w:b/>
              <w:bCs/>
              <w:color w:val="000000" w:themeColor="text1"/>
              <w:sz w:val="24"/>
              <w:szCs w:val="24"/>
              <w:lang w:val="en-GB"/>
              <w14:textFill>
                <w14:solidFill>
                  <w14:schemeClr w14:val="tx1"/>
                </w14:solidFill>
              </w14:textFill>
            </w:rPr>
            <w:fldChar w:fldCharType="end"/>
          </w:r>
        </w:p>
      </w:sdtContent>
    </w:sdt>
    <w:p w14:paraId="0000000B">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br w:type="page"/>
      </w:r>
    </w:p>
    <w:p w14:paraId="6CDEE068">
      <w:pPr>
        <w:spacing w:line="360" w:lineRule="auto"/>
        <w:jc w:val="both"/>
        <w:rPr>
          <w:color w:val="000000" w:themeColor="text1"/>
          <w:sz w:val="24"/>
          <w:szCs w:val="24"/>
          <w:lang w:val="en-GB"/>
          <w14:textFill>
            <w14:solidFill>
              <w14:schemeClr w14:val="tx1"/>
            </w14:solidFill>
          </w14:textFill>
        </w:rPr>
      </w:pPr>
    </w:p>
    <w:p w14:paraId="55435581">
      <w:pPr>
        <w:pStyle w:val="2"/>
      </w:pPr>
      <w:bookmarkStart w:id="0" w:name="_3ho4e83up8y3" w:colFirst="0" w:colLast="0"/>
      <w:bookmarkEnd w:id="0"/>
      <w:bookmarkStart w:id="1" w:name="_Toc233845378"/>
      <w:bookmarkStart w:id="2" w:name="_Toc237357907"/>
      <w:r>
        <w:t>Chapter 1: Introduction</w:t>
      </w:r>
      <w:bookmarkEnd w:id="1"/>
      <w:bookmarkEnd w:id="2"/>
    </w:p>
    <w:p w14:paraId="133425CF">
      <w:pPr>
        <w:pStyle w:val="3"/>
        <w:rPr>
          <w:lang w:val="en-GB"/>
        </w:rPr>
      </w:pPr>
      <w:bookmarkStart w:id="3" w:name="_Toc233845379"/>
      <w:bookmarkStart w:id="4" w:name="_Toc237357908"/>
      <w:r>
        <w:rPr>
          <w:lang w:val="en-GB"/>
        </w:rPr>
        <w:t>1.1 Background to the Study</w:t>
      </w:r>
      <w:bookmarkEnd w:id="3"/>
      <w:bookmarkEnd w:id="4"/>
    </w:p>
    <w:p w14:paraId="529B37E9">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Artificial Intelligence (AI), Machine Learning (ML), and predictive analytics are transforming the retail industry all over the world at an unprecedented pace. Among all the parts of the transformation, two operational areas, demand forecasting and inventory optimisation, are among the most strategic ones, especially in a context of fast-moving high-volume retail supply chains. Historical sales data and traditional forecasting cycles used to be the primary tools for forecasting, these are increasingly insufficient in a retail business environment beset by consumer demand volatility, disruptions to suppliers and rapidly shifting product life cycles (Chowdhury, Paul and Rozony, 2025). Today, retailers have a new capability at their disposal: predictive analytics tools, powered by Generative AI (GenAI), can predict demand trends more accurately, minimise inventory waste and dynamically adjust supply chain decisions based on current market signals.</w:t>
      </w:r>
    </w:p>
    <w:p w14:paraId="27BCCAF3">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It has been estimated that AI could add USD 1.3 trillion to USD 2.0 trillion in value globally to operations across the supply chain, with demand forecasting and inventory management among the two areas with the highest value (McKinsey &amp; Company, 2023). Within the UK retail industry alone, the losses that are attributed to inventory inefficiencies cost retailers around £11 billion every year, due to stockouts, overstocking, and related markdowns (Reuters, 2026). The statistics underscore the desperate need of key retailers in the UK to delve into AI solutions to efficiently manage their supply chain operations.</w:t>
      </w:r>
    </w:p>
    <w:p w14:paraId="120AE232">
      <w:pPr>
        <w:spacing w:line="360" w:lineRule="auto"/>
        <w:jc w:val="center"/>
        <w:rPr>
          <w:color w:val="000000" w:themeColor="text1"/>
          <w:sz w:val="24"/>
          <w:szCs w:val="24"/>
          <w:lang w:val="en-GB"/>
          <w14:textFill>
            <w14:solidFill>
              <w14:schemeClr w14:val="tx1"/>
            </w14:solidFill>
          </w14:textFill>
        </w:rPr>
      </w:pPr>
      <w:r>
        <w:rPr>
          <w:color w:val="000000" w:themeColor="text1"/>
          <w:lang w:val="en-GB"/>
          <w14:textFill>
            <w14:solidFill>
              <w14:schemeClr w14:val="tx1"/>
            </w14:solidFill>
          </w14:textFill>
        </w:rPr>
        <w:drawing>
          <wp:inline distT="0" distB="0" distL="0" distR="0">
            <wp:extent cx="5943600" cy="3764915"/>
            <wp:effectExtent l="0" t="0" r="0" b="6985"/>
            <wp:docPr id="1274583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583009" name="Picture 1"/>
                    <pic:cNvPicPr>
                      <a:picLocks noChangeAspect="1"/>
                    </pic:cNvPicPr>
                  </pic:nvPicPr>
                  <pic:blipFill>
                    <a:blip r:embed="rId8"/>
                    <a:stretch>
                      <a:fillRect/>
                    </a:stretch>
                  </pic:blipFill>
                  <pic:spPr>
                    <a:xfrm>
                      <a:off x="0" y="0"/>
                      <a:ext cx="5943600" cy="3764915"/>
                    </a:xfrm>
                    <a:prstGeom prst="rect">
                      <a:avLst/>
                    </a:prstGeom>
                  </pic:spPr>
                </pic:pic>
              </a:graphicData>
            </a:graphic>
          </wp:inline>
        </w:drawing>
      </w:r>
    </w:p>
    <w:p w14:paraId="41474BD5">
      <w:pPr>
        <w:pStyle w:val="6"/>
        <w:rPr>
          <w:lang w:val="en-GB"/>
        </w:rPr>
      </w:pPr>
      <w:bookmarkStart w:id="5" w:name="_Toc237786242"/>
      <w:r>
        <w:rPr>
          <w:lang w:val="en-GB"/>
        </w:rPr>
        <w:t>Figure 1.1: Worldwide M&amp;S revenue</w:t>
      </w:r>
      <w:bookmarkEnd w:id="5"/>
    </w:p>
    <w:p w14:paraId="4CA9A690">
      <w:pPr>
        <w:spacing w:line="360" w:lineRule="auto"/>
        <w:jc w:val="cente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(Source: statista, 2025)</w:t>
      </w:r>
    </w:p>
    <w:p w14:paraId="10C295EF">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 case study chosen relates to Marks &amp; Spencer (M&amp;S), one of the most recognisable and established retail organisations in the United Kingdom, and is particularly relevant in the context of this transition. M&amp;S has a big digital transformation plan and has admitted in public that it will undertake this change across all areas of the business including clothing, food and homeware, with more than 1,400 stores worldwide and a growing e-commerce channel (corporate.marksandspencer, 2025). In response to the many challenges that faced the company during the COVID-19 pandemic, the company embarked on a multi-year transformation programme, known as ‘Never the Same Again’, to begin transforming its supply chain, with the explicit recognition of AI and data analytics as key elements of its supply chain renewal programme. In particular, M&amp;S food revenue grew 17.5% when compared with fiscal year 2021/22 and clothing and home revenue increased by 11.4% in the same period, which was partly due to better demand management and supply chain agility (M&amp;S, 2024). This performance offers an empirically informed starting point to assess the impact of generative AI and predictive analytics on achieving tangible results across the supply chain.</w:t>
      </w:r>
    </w:p>
    <w:p w14:paraId="13FEBA82">
      <w:pPr>
        <w:pStyle w:val="3"/>
        <w:rPr>
          <w:lang w:val="en-GB"/>
        </w:rPr>
      </w:pPr>
      <w:bookmarkStart w:id="6" w:name="_Toc233845380"/>
      <w:bookmarkStart w:id="7" w:name="_Toc237357909"/>
      <w:r>
        <w:rPr>
          <w:lang w:val="en-GB"/>
        </w:rPr>
        <w:t>1.2 The Research Problem</w:t>
      </w:r>
      <w:bookmarkEnd w:id="6"/>
      <w:bookmarkEnd w:id="7"/>
    </w:p>
    <w:p w14:paraId="2E45C80C">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There is a significant amount of literature in AI in the SCM field, most of it has been either algorithmic or conceptual with only limited attention paid to the case-specific, organisational-level dynamics in which these technologies are used in operational decision-making (Culot, Podrecca and Nassimbeni, 2024). This is a significant gap that brings together aspects of technology management, supply chain research and retail strategy.</w:t>
      </w:r>
    </w:p>
    <w:p w14:paraId="46183E63">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Moreover, generative AI is a qualitatively new technological capability than the previous generations of predictive analytics tools. While traditional machine learning models in supply chain management have been traditionally developed using structured historical information and are primarily used to generate demand forecasts. Generative AI models can generate scenario-based demand forecasts by utilising unstructured data sources, such as social media sentiment, macro-economic narratives, and weather pattern projections (Hassani and Silva, 2024). Theoretically and practically relevant, it has not been sufficiently considered in the supply chain management literature especially in the UK food and fashion retail sector where demand volatility is high. Although 58% of supply chain leaders worldwide had implemented pilot AI forecasting tools by 2023, just 22% had rolled out the same beyond the pilot stage, highlighting that technology is not yet being fully adopted in supply chains (Culot, Podrecca and Nassimbeni, 2024).</w:t>
      </w:r>
    </w:p>
    <w:p w14:paraId="2B1E477D">
      <w:pPr>
        <w:pStyle w:val="3"/>
        <w:rPr>
          <w:lang w:val="en-GB"/>
        </w:rPr>
      </w:pPr>
      <w:bookmarkStart w:id="8" w:name="_Toc233845381"/>
      <w:bookmarkStart w:id="9" w:name="_Toc237357910"/>
      <w:r>
        <w:rPr>
          <w:lang w:val="en-GB"/>
        </w:rPr>
        <w:t>1.3 Research Aim and Objectives</w:t>
      </w:r>
      <w:bookmarkEnd w:id="8"/>
      <w:bookmarkEnd w:id="9"/>
      <w:r>
        <w:rPr>
          <w:lang w:val="en-GB"/>
        </w:rPr>
        <w:t xml:space="preserve"> </w:t>
      </w:r>
    </w:p>
    <w:p w14:paraId="43A952FD">
      <w:pPr>
        <w:spacing w:line="360" w:lineRule="auto"/>
        <w:jc w:val="both"/>
        <w:rPr>
          <w:b/>
          <w:bCs/>
          <w:i/>
          <w:iCs/>
          <w:color w:val="000000" w:themeColor="text1"/>
          <w:sz w:val="24"/>
          <w:szCs w:val="24"/>
          <w:lang w:val="en-GB"/>
          <w14:textFill>
            <w14:solidFill>
              <w14:schemeClr w14:val="tx1"/>
            </w14:solidFill>
          </w14:textFill>
        </w:rPr>
      </w:pPr>
      <w:r>
        <w:rPr>
          <w:b/>
          <w:bCs/>
          <w:i/>
          <w:iCs/>
          <w:color w:val="000000" w:themeColor="text1"/>
          <w:sz w:val="24"/>
          <w:szCs w:val="24"/>
          <w:lang w:val="en-GB"/>
          <w14:textFill>
            <w14:solidFill>
              <w14:schemeClr w14:val="tx1"/>
            </w14:solidFill>
          </w14:textFill>
        </w:rPr>
        <w:t xml:space="preserve">Aim </w:t>
      </w:r>
    </w:p>
    <w:p w14:paraId="51E17FD0">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To explore the impact of Generative AI and predictive analytics on enhancing the demand forecast and inventory optimisation in the UK retail supply chain, with a case study example of Marks &amp; Spencer.</w:t>
      </w:r>
    </w:p>
    <w:p w14:paraId="52F1287A">
      <w:pPr>
        <w:spacing w:line="360" w:lineRule="auto"/>
        <w:jc w:val="both"/>
        <w:rPr>
          <w:b/>
          <w:bCs/>
          <w:i/>
          <w:iCs/>
          <w:color w:val="000000" w:themeColor="text1"/>
          <w:sz w:val="24"/>
          <w:szCs w:val="24"/>
          <w:lang w:val="en-GB"/>
          <w14:textFill>
            <w14:solidFill>
              <w14:schemeClr w14:val="tx1"/>
            </w14:solidFill>
          </w14:textFill>
        </w:rPr>
      </w:pPr>
      <w:r>
        <w:rPr>
          <w:b/>
          <w:bCs/>
          <w:i/>
          <w:iCs/>
          <w:color w:val="000000" w:themeColor="text1"/>
          <w:sz w:val="24"/>
          <w:szCs w:val="24"/>
          <w:lang w:val="en-GB"/>
          <w14:textFill>
            <w14:solidFill>
              <w14:schemeClr w14:val="tx1"/>
            </w14:solidFill>
          </w14:textFill>
        </w:rPr>
        <w:t>Objectives</w:t>
      </w:r>
    </w:p>
    <w:p w14:paraId="08AAA8F7">
      <w:pPr>
        <w:numPr>
          <w:ilvl w:val="0"/>
          <w:numId w:val="1"/>
        </w:num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To explore the use of Generative AI and predictive analytics for demand forecasting and inventory optimisation in the retail supply chain.</w:t>
      </w:r>
    </w:p>
    <w:p w14:paraId="1620BAA3">
      <w:pPr>
        <w:numPr>
          <w:ilvl w:val="0"/>
          <w:numId w:val="1"/>
        </w:num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To assess the use of Generative AI and predictive analytics at Marks &amp; Spencer, and how it is helping to improve forecasting accuracy and inventory performance.</w:t>
      </w:r>
    </w:p>
    <w:p w14:paraId="00A4CDD2">
      <w:pPr>
        <w:numPr>
          <w:ilvl w:val="0"/>
          <w:numId w:val="1"/>
        </w:num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To understand the opportunities and obstacles for the use of Generative AI and predictive analytics to improve the efficiency and competitiveness of the supply chain at Marks &amp; Spencer.</w:t>
      </w:r>
    </w:p>
    <w:p w14:paraId="4D789328">
      <w:pPr>
        <w:pStyle w:val="3"/>
        <w:rPr>
          <w:lang w:val="en-GB"/>
        </w:rPr>
      </w:pPr>
      <w:bookmarkStart w:id="10" w:name="_Toc233845382"/>
      <w:bookmarkStart w:id="11" w:name="_Toc237357911"/>
      <w:r>
        <w:rPr>
          <w:lang w:val="en-GB"/>
        </w:rPr>
        <w:t>1.4 Research Question</w:t>
      </w:r>
      <w:bookmarkEnd w:id="10"/>
      <w:bookmarkEnd w:id="11"/>
    </w:p>
    <w:p w14:paraId="25B24345">
      <w:pPr>
        <w:numPr>
          <w:ilvl w:val="0"/>
          <w:numId w:val="2"/>
        </w:num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In retail supply chains, how is Generative AI and predictive analytics used in demand forecasting &amp; inventory optimisation?</w:t>
      </w:r>
    </w:p>
    <w:p w14:paraId="42CB75EC">
      <w:pPr>
        <w:numPr>
          <w:ilvl w:val="0"/>
          <w:numId w:val="2"/>
        </w:num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How has M&amp;S applied Generative AI and predictive analytics to enhance its demand forecasting and inventory performance?</w:t>
      </w:r>
    </w:p>
    <w:p w14:paraId="1277BFFF">
      <w:pPr>
        <w:numPr>
          <w:ilvl w:val="0"/>
          <w:numId w:val="2"/>
        </w:num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What are the opportunities and challenges of implementing predictive analytics and Generative AI in enhancing the efficiency and competitiveness of the supply chain at Marks &amp; Spencer?</w:t>
      </w:r>
    </w:p>
    <w:p w14:paraId="170D4446">
      <w:pPr>
        <w:pStyle w:val="3"/>
        <w:rPr>
          <w:lang w:val="en-GB"/>
        </w:rPr>
      </w:pPr>
      <w:bookmarkStart w:id="12" w:name="_Toc233845383"/>
      <w:bookmarkStart w:id="13" w:name="_Toc237357912"/>
      <w:r>
        <w:rPr>
          <w:lang w:val="en-GB"/>
        </w:rPr>
        <w:t>1.5 Importance of the study and identifying the gaps</w:t>
      </w:r>
      <w:bookmarkEnd w:id="12"/>
      <w:bookmarkEnd w:id="13"/>
    </w:p>
    <w:p w14:paraId="7300F277">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This study is important on both theoretical and practical levels. Academically, it explores the documented gap in the supply chain management literature between the adoption of generative AI and the inventory strategy in the retail sector. Previous research, like Claudia, Francisco and Alexandre, (2025) has investigated the use of AI in supply chain resilience, yet the operational and organisational dynamics of the application of GenAI in demand forecasting within a larger UK retail context has not been explored sufficiently. The case study of M&amp;S is unique because it provides a chance to observe a digitally transforming retailer with a food and general merchandise retailer supply chain that are very different when it comes to the degree of volatility, perishability and complexity in forecasting demand.</w:t>
      </w:r>
    </w:p>
    <w:p w14:paraId="0662B28D">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On a practical level, the insights gained from this research are applicable to supply chain managers, digital transformation leaders, and retail strategists who want to assess the readiness demands and outcomes for organisations in the implementations of AI-based forecasting. The pressure on retail margins is growing – the UK retail price inflation reached a peak of 14.4% in March 2023, according to ONS, an even greater emphasis on the need for retailers to reduce inventory waste and enhance forecast-driven replenishment cycles (Clark, 2025). The study also fits into an emerging debate about the responsible and effective way in which generative AI can be used in the business world, given the recent publication of the UK Government's AI Safety and Innovation Framework in 2023.</w:t>
      </w:r>
    </w:p>
    <w:p w14:paraId="13686D51">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While there is existing literature that has addressed the role of AI, machine learning, and predictive analytics in the supply chain, much of this work has been technical in nature, focused on the creation of AI models for forecasting or on algorithm development or industry-wide supply chain use. There is a lack of research that has examined the practical organisational implementation of Generative AI in the context of demand forecasting and inventory optimisation within specific UK retail organisations. Moreover, the qualitative evidence of how Generative AI is impacting decision-making, inventory planning, and operations in a large omnichannel retailer is lacking. This study helps fill this gap by delivering an in-depth case study of Marks &amp; Spencer, exploring both the potential opportunities and challenges when implementing Generative AI and predictive analytics in the retail supply chain.</w:t>
      </w:r>
    </w:p>
    <w:p w14:paraId="283688B4">
      <w:pPr>
        <w:pStyle w:val="3"/>
        <w:rPr>
          <w:lang w:val="en-GB"/>
        </w:rPr>
      </w:pPr>
      <w:bookmarkStart w:id="14" w:name="_Toc233845384"/>
      <w:bookmarkStart w:id="15" w:name="_Toc237357913"/>
      <w:r>
        <w:rPr>
          <w:lang w:val="en-GB"/>
        </w:rPr>
        <w:t>1.6 Research Methodology Overview</w:t>
      </w:r>
      <w:bookmarkEnd w:id="14"/>
      <w:bookmarkEnd w:id="15"/>
    </w:p>
    <w:p w14:paraId="4F2737C8">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 research design used in this research is secondary qualitative case study. The research does not involve collecting primary empirical data by conducting interviews or surveys but rather systematically consolidates and synthesises secondary data to build a very contextualised case study analysis. This is based on published M&amp;S annual reports, industry analyst reports and company press releases. This approach is suitable for the scope and depth of publicly accessible documentation related to M&amp;S's digital and supply chain transformation and adoption, allowing a targeted critical examination of the use of AI tools within the context of a specific organisation.</w:t>
      </w:r>
    </w:p>
    <w:p w14:paraId="2E93DE0E">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 philosophical approach of the study is interpretivist, which acknowledges that the incorporation of generative AI in a retail supply chain does not solely depend on a technical aspect but is influenced by organisational culture, leadership choices, supplier partnerships, and strategic goals. An inductive analytical method will be used, which means themes and insights will be induced from the secondary evidence, without being tested against predetermined hypotheses. This method has been used in the qualitative case study tradition as described by Plano, Foote and Walton, (2023), and it is appropriate for the purpose of developing an understanding of an emergent and complex phenomenon set in its context.</w:t>
      </w:r>
    </w:p>
    <w:p w14:paraId="79BA9639">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 thematic analysis process comprises four phases. Firstly, secondary data sources such as annual reports, company publications, industry reports and academic literature will be gathered and analysed. Second, recurring patterns and ideas that emerged in the area of Generative AI adoption, demand forecasting, inventory optimisation, organisational enablers and implementation challenges will be identified through coding. Third, the codes that are similar will be clustered into themes and sub-themes. Last, themes will be interpreted and analysed to gain insights into the role of Generative AI and predictive analytics in improving the performance of the supply chain at Marks &amp; Spencer. This thematic approach is systematic and will guarantee transparency and consistency in the data analysis process.</w:t>
      </w:r>
    </w:p>
    <w:p w14:paraId="0622126E">
      <w:pPr>
        <w:pStyle w:val="3"/>
        <w:rPr>
          <w:lang w:val="en-GB"/>
        </w:rPr>
      </w:pPr>
      <w:bookmarkStart w:id="16" w:name="_Toc237357914"/>
      <w:bookmarkStart w:id="17" w:name="_Toc233845385"/>
      <w:r>
        <w:rPr>
          <w:lang w:val="en-GB"/>
        </w:rPr>
        <w:t>1.7 Future implication</w:t>
      </w:r>
      <w:bookmarkEnd w:id="16"/>
      <w:bookmarkEnd w:id="17"/>
    </w:p>
    <w:p w14:paraId="6429B40A">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 findings of this research can be applied beyond the context of Marks &amp; Spencer. The findings from this study can help inform industry understanding of the scenario in which generative AI can bring measurable benefits in terms of demand forecasting and inventory performance as UK retailers collectively struggle to transform into digital businesses and to manage their supply chains. The study offers guidance for the evidence-based debates on incentives for AI adoption and regulatory regimes suitable for AI applications in the supply chain by policymakers. The study provides a methodological framework for qualitative case study analysis of AI integration in the retail context for academic researchers and a set of fruitful directions for primary research.</w:t>
      </w:r>
    </w:p>
    <w:p w14:paraId="2EECD8AC">
      <w:pPr>
        <w:pStyle w:val="3"/>
        <w:rPr>
          <w:lang w:val="en-GB"/>
        </w:rPr>
      </w:pPr>
      <w:bookmarkStart w:id="18" w:name="_Toc233845386"/>
      <w:bookmarkStart w:id="19" w:name="_Toc237357915"/>
      <w:r>
        <w:rPr>
          <w:lang w:val="en-GB"/>
        </w:rPr>
        <w:t>1.8 Dissertation structure</w:t>
      </w:r>
      <w:bookmarkEnd w:id="18"/>
      <w:bookmarkEnd w:id="19"/>
      <w:r>
        <w:rPr>
          <w:lang w:val="en-GB"/>
        </w:rPr>
        <w:t xml:space="preserve"> </w:t>
      </w:r>
    </w:p>
    <w:p w14:paraId="4F410DAF">
      <w:pPr>
        <w:jc w:val="center"/>
        <w:rPr>
          <w:color w:val="000000" w:themeColor="text1"/>
          <w:lang w:val="en-GB"/>
          <w14:textFill>
            <w14:solidFill>
              <w14:schemeClr w14:val="tx1"/>
            </w14:solidFill>
          </w14:textFill>
        </w:rPr>
      </w:pPr>
      <w:r>
        <w:rPr>
          <w:color w:val="000000" w:themeColor="text1"/>
          <w:lang w:val="en-GB"/>
          <w14:textFill>
            <w14:solidFill>
              <w14:schemeClr w14:val="tx1"/>
            </w14:solidFill>
          </w14:textFill>
        </w:rPr>
        <w:drawing>
          <wp:inline distT="0" distB="0" distL="0" distR="0">
            <wp:extent cx="5486400" cy="3200400"/>
            <wp:effectExtent l="0" t="0" r="19050" b="0"/>
            <wp:docPr id="129888424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BC688ED">
      <w:pPr>
        <w:pStyle w:val="6"/>
        <w:rPr>
          <w:lang w:val="en-GB"/>
        </w:rPr>
      </w:pPr>
      <w:bookmarkStart w:id="20" w:name="_Toc237786243"/>
      <w:r>
        <w:rPr>
          <w:lang w:val="en-GB"/>
        </w:rPr>
        <w:t>Figure 1.2: Dissertation structure</w:t>
      </w:r>
      <w:bookmarkEnd w:id="20"/>
    </w:p>
    <w:p w14:paraId="0DB6CC31">
      <w:pPr>
        <w:spacing w:line="360" w:lineRule="auto"/>
        <w:jc w:val="both"/>
        <w:rPr>
          <w:color w:val="000000" w:themeColor="text1"/>
          <w:sz w:val="24"/>
          <w:szCs w:val="24"/>
          <w:lang w:val="en-GB"/>
          <w14:textFill>
            <w14:solidFill>
              <w14:schemeClr w14:val="tx1"/>
            </w14:solidFill>
          </w14:textFill>
        </w:rPr>
      </w:pPr>
      <w:r>
        <w:rPr>
          <w:color w:val="000000" w:themeColor="text1"/>
          <w:lang w:val="en-GB"/>
          <w14:textFill>
            <w14:solidFill>
              <w14:schemeClr w14:val="tx1"/>
            </w14:solidFill>
          </w14:textFill>
        </w:rPr>
        <w:br w:type="page"/>
      </w:r>
    </w:p>
    <w:p w14:paraId="3B424D55">
      <w:pPr>
        <w:pStyle w:val="2"/>
        <w:rPr>
          <w:sz w:val="24"/>
        </w:rPr>
      </w:pPr>
      <w:bookmarkStart w:id="21" w:name="_Toc237357916"/>
      <w:r>
        <w:t>Chapter 2: Literature Review</w:t>
      </w:r>
      <w:bookmarkEnd w:id="21"/>
    </w:p>
    <w:p w14:paraId="4DDA9440">
      <w:pPr>
        <w:pStyle w:val="3"/>
        <w:rPr>
          <w:lang w:val="en-GB"/>
        </w:rPr>
      </w:pPr>
      <w:bookmarkStart w:id="22" w:name="_Toc237357917"/>
      <w:r>
        <w:rPr>
          <w:lang w:val="en-GB"/>
        </w:rPr>
        <w:t>2.1 Introduction</w:t>
      </w:r>
      <w:bookmarkEnd w:id="22"/>
      <w:r>
        <w:rPr>
          <w:lang w:val="en-GB"/>
        </w:rPr>
        <w:t> </w:t>
      </w:r>
    </w:p>
    <w:p w14:paraId="55764C17">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 academic literature has been reviewed critically and is deliberately focused throughout this chapter on Generative AI (GenAI) and predictive analytics for demand forecasting and inventory optimisation, but not with regard to industry or international comparisons in general. After the supervisory guidance provided, there is no comparator for any company or sector other than M&amp;S and UK retail; as it sheds light on a mechanism which in turn is interpreted against the M&amp;S case. The chapter is structured thematically around four themes in line with the three research objectives with the theoretical underpinning and explicit statement on the way the review is used to create the research gap answered by Chapter Three. Theme 1 will focus mainly on Objective 1 as it assesses forecasts' accuracy while Theme 2 will link forecasts' output with inventory outcomes, supporting both Objective One and Objective Two, Theme 3 will focus on Objective Two as it will include an organisational focus on M&amp;S and Theme 4 will focus on Objective Three as it will pull together opportunities and constraints.</w:t>
      </w:r>
    </w:p>
    <w:p w14:paraId="3651FD53">
      <w:pPr>
        <w:pStyle w:val="3"/>
        <w:rPr>
          <w:lang w:val="en-GB"/>
        </w:rPr>
      </w:pPr>
      <w:bookmarkStart w:id="23" w:name="_Toc237357918"/>
      <w:r>
        <w:rPr>
          <w:lang w:val="en-GB"/>
        </w:rPr>
        <w:t>2.2 Theme 1: Traditional Forecasting to Generative AI-Driven Demand Prediction</w:t>
      </w:r>
      <w:bookmarkEnd w:id="23"/>
    </w:p>
    <w:p w14:paraId="0270335F">
      <w:pPr>
        <w:pStyle w:val="4"/>
        <w:rPr>
          <w:lang w:val="en-GB"/>
        </w:rPr>
      </w:pPr>
      <w:bookmarkStart w:id="24" w:name="_Toc237357919"/>
      <w:r>
        <w:rPr>
          <w:lang w:val="en-GB"/>
        </w:rPr>
        <w:t>2.2.1 Traditional forecasting models and limitations</w:t>
      </w:r>
      <w:bookmarkEnd w:id="24"/>
    </w:p>
    <w:p w14:paraId="256F6B4D">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Traditionally, retail forecasting has been based on the statistical time-series analysis of meaningful historical sales information. Fildes, Ma and Kolassa (2022) pointed in their now widely cited review of retail forecasting research and practice, it is pointed out that retail forecasting models are still fit when there is stability in the product line. However, they falter badly around promotions, short product life cycles and volatile demand. This restriction is directly applicable to M&amp;S as the business is made up of two parts: a food business with short shelf and high demand volatility, and a clothing and home business where demand is seasonal and trend driven. This is a reason why M&amp;S is considering GenAI based alternative approaches rather than other retail businesses.</w:t>
      </w:r>
    </w:p>
    <w:p w14:paraId="02B0FBD7">
      <w:pPr>
        <w:spacing w:after="240" w:line="360" w:lineRule="auto"/>
        <w:jc w:val="center"/>
        <w:rPr>
          <w:color w:val="000000" w:themeColor="text1"/>
          <w:sz w:val="24"/>
          <w:szCs w:val="24"/>
          <w:lang w:val="en-GB"/>
          <w14:textFill>
            <w14:solidFill>
              <w14:schemeClr w14:val="tx1"/>
            </w14:solidFill>
          </w14:textFill>
        </w:rPr>
      </w:pPr>
      <w:r>
        <w:rPr>
          <w:color w:val="000000" w:themeColor="text1"/>
          <w:lang w:val="en-GB"/>
          <w14:textFill>
            <w14:solidFill>
              <w14:schemeClr w14:val="tx1"/>
            </w14:solidFill>
          </w14:textFill>
        </w:rPr>
        <w:drawing>
          <wp:inline distT="0" distB="0" distL="0" distR="0">
            <wp:extent cx="5943600" cy="3017520"/>
            <wp:effectExtent l="0" t="0" r="0" b="0"/>
            <wp:docPr id="229599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599193" name="Picture 1"/>
                    <pic:cNvPicPr>
                      <a:picLocks noChangeAspect="1"/>
                    </pic:cNvPicPr>
                  </pic:nvPicPr>
                  <pic:blipFill>
                    <a:blip r:embed="rId14"/>
                    <a:stretch>
                      <a:fillRect/>
                    </a:stretch>
                  </pic:blipFill>
                  <pic:spPr>
                    <a:xfrm>
                      <a:off x="0" y="0"/>
                      <a:ext cx="5943600" cy="3017520"/>
                    </a:xfrm>
                    <a:prstGeom prst="rect">
                      <a:avLst/>
                    </a:prstGeom>
                  </pic:spPr>
                </pic:pic>
              </a:graphicData>
            </a:graphic>
          </wp:inline>
        </w:drawing>
      </w:r>
    </w:p>
    <w:p w14:paraId="2DD0B2F7">
      <w:pPr>
        <w:pStyle w:val="6"/>
        <w:rPr>
          <w:lang w:val="en-GB"/>
        </w:rPr>
      </w:pPr>
      <w:bookmarkStart w:id="25" w:name="_Toc237786244"/>
      <w:r>
        <w:rPr>
          <w:lang w:val="en-GB"/>
        </w:rPr>
        <w:t>Figure 2.1: Ways of AI disrupting in retail sector</w:t>
      </w:r>
      <w:bookmarkEnd w:id="25"/>
    </w:p>
    <w:p w14:paraId="59638CE1">
      <w:pPr>
        <w:spacing w:after="240" w:line="360" w:lineRule="auto"/>
        <w:jc w:val="center"/>
        <w:rPr>
          <w:b/>
          <w:bCs/>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(Source: Influenced from Fildes, Ma and Kolassa, 2022)</w:t>
      </w:r>
    </w:p>
    <w:p w14:paraId="3E742DC2">
      <w:pPr>
        <w:pStyle w:val="4"/>
        <w:rPr>
          <w:lang w:val="en-GB"/>
        </w:rPr>
      </w:pPr>
      <w:bookmarkStart w:id="26" w:name="_Toc237357920"/>
      <w:r>
        <w:rPr>
          <w:lang w:val="en-GB"/>
        </w:rPr>
        <w:t>2.2.2 Adoption of generative and predictive techniques in the UK retail sector</w:t>
      </w:r>
      <w:bookmarkEnd w:id="26"/>
    </w:p>
    <w:p w14:paraId="0A0C5295">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According to Hassani and Silva (2024), GenAI is more than just a qualitative leap from traditional machine learning models, as it can produce narrative-driven, scenario-based forecasts based on unstructured data, such as social media sentiment or even macroeconomic commentaries. The authors Chowdhury, Paul and Rozony (2025) also discover that using hybrid models, which combine deep learning with real-time external data, is more successful than just using statistical methods. However, most of the gains they report have been achieved with controlled or simulated datasets, rather than a live, multi-category retail setting such as M&amp;S. The difference in the literature is in the level of confidence that can be placed on the accuracy gains, and whether these can be replicated across a large, multi-channel retailer of the UK.</w:t>
      </w:r>
    </w:p>
    <w:p w14:paraId="78398929">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 claim by Hassani and Silva (2024) is based on a conceptual and technical analysis of the forecasting capacity of GenAI, which is not an empirical study based on controlled conditions. It is credible as evidence of the technical possibility of GenAI's forecasting capacity but has only limited evidence of reliability in a real retail environment. Chowdhury, Paul and Rozony (2025) do, however, have a systematic review, hence the findings from their hybrid-model are drawn from a number of secondary studies with varying quality of methods used and do not come from an empirical setting. This limits the generalisability to a real, multi-category retailer, like M&amp;S. That is, in both cases there is no case study evidence at the organisational level; one is conceptual and the other a synthesis of simulated evidence. This is the reason for any forecasting accuracy claims in this theme being treated with some scepticism and the reason why this should be triangulated later in the dissertation against M&amp;S's own forecasting accuracy claims.</w:t>
      </w:r>
    </w:p>
    <w:p w14:paraId="603BE296">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All of these roles imply that there is not a direct relationship between model sophistication and the accuracy of the forecast. However, data quality, deployment context and organisational size are also important factors, which are not often discussed in individual organisations. Forecast accuracy is also significantly improved, but forecast value is not sufficient to generate business value unless inventory systems can be effective in responding to changes in demand. This is why the next section will explore how AI is used for inventory optimisation at M&amp;S.</w:t>
      </w:r>
    </w:p>
    <w:p w14:paraId="7AED474E">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Together, Hassani and Silva (2024) and Chowdhury, Paul and Rozony (2025) suggest that in principle, GenAI can replace traditional statistical forecasting, but they are far from agreement on the conditions necessary to achieve. The former side by data richness and scenario diversity, the latter by hybridisation with real-time external signals. The conflict can be best understood by the fact that both studies are not tested on a live, multi-category retailer. Thus, the conflict is not a conflict of theories but evidential bases. To M&amp;S, the more immediate takeaway is that any gains in forecast accuracy reported in the technical literature are not guaranteed to be passed on to their food and clothing business. Along with this, any improvement in forecast accuracy achieved using the RELEX platform is considered to be an outcome of the organisation and thus needs to be verified, rather than being an effect of GenAI.</w:t>
      </w:r>
    </w:p>
    <w:p w14:paraId="42AF86CA">
      <w:pPr>
        <w:spacing w:after="240" w:line="360" w:lineRule="auto"/>
        <w:jc w:val="center"/>
        <w:rPr>
          <w:color w:val="000000" w:themeColor="text1"/>
          <w:sz w:val="24"/>
          <w:szCs w:val="24"/>
          <w:lang w:val="en-GB"/>
          <w14:textFill>
            <w14:solidFill>
              <w14:schemeClr w14:val="tx1"/>
            </w14:solidFill>
          </w14:textFill>
        </w:rPr>
      </w:pPr>
      <w:r>
        <w:rPr>
          <w:color w:val="000000" w:themeColor="text1"/>
          <w:lang w:val="en-GB"/>
          <w14:textFill>
            <w14:solidFill>
              <w14:schemeClr w14:val="tx1"/>
            </w14:solidFill>
          </w14:textFill>
        </w:rPr>
        <w:drawing>
          <wp:inline distT="0" distB="0" distL="0" distR="0">
            <wp:extent cx="5943600" cy="3782060"/>
            <wp:effectExtent l="0" t="0" r="0" b="8890"/>
            <wp:docPr id="1360264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264199" name="Picture 1"/>
                    <pic:cNvPicPr>
                      <a:picLocks noChangeAspect="1"/>
                    </pic:cNvPicPr>
                  </pic:nvPicPr>
                  <pic:blipFill>
                    <a:blip r:embed="rId15"/>
                    <a:stretch>
                      <a:fillRect/>
                    </a:stretch>
                  </pic:blipFill>
                  <pic:spPr>
                    <a:xfrm>
                      <a:off x="0" y="0"/>
                      <a:ext cx="5943600" cy="3782060"/>
                    </a:xfrm>
                    <a:prstGeom prst="rect">
                      <a:avLst/>
                    </a:prstGeom>
                  </pic:spPr>
                </pic:pic>
              </a:graphicData>
            </a:graphic>
          </wp:inline>
        </w:drawing>
      </w:r>
    </w:p>
    <w:p w14:paraId="360545E1">
      <w:pPr>
        <w:pStyle w:val="6"/>
        <w:rPr>
          <w:lang w:val="en-GB"/>
        </w:rPr>
      </w:pPr>
      <w:bookmarkStart w:id="27" w:name="_Toc237786245"/>
      <w:r>
        <w:rPr>
          <w:lang w:val="en-GB"/>
        </w:rPr>
        <w:t>Figure 2.2: Demand forecast and supply chain projection with Automation</w:t>
      </w:r>
      <w:bookmarkEnd w:id="27"/>
    </w:p>
    <w:p w14:paraId="0850D6BF">
      <w:pPr>
        <w:spacing w:after="240" w:line="360" w:lineRule="auto"/>
        <w:jc w:val="cente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(Source: Influenced from Chowdhury, Paul and Rozony, 2025)</w:t>
      </w:r>
    </w:p>
    <w:p w14:paraId="15C8CF36">
      <w:pPr>
        <w:pStyle w:val="3"/>
        <w:rPr>
          <w:lang w:val="en-GB"/>
        </w:rPr>
      </w:pPr>
      <w:bookmarkStart w:id="28" w:name="_Toc237357921"/>
      <w:r>
        <w:rPr>
          <w:lang w:val="en-GB"/>
        </w:rPr>
        <w:t>2.3 Theme 2: Optimising Inventory Using AI at M&amp;S</w:t>
      </w:r>
      <w:bookmarkEnd w:id="28"/>
    </w:p>
    <w:p w14:paraId="53C1FD1E">
      <w:pPr>
        <w:pStyle w:val="4"/>
        <w:rPr>
          <w:lang w:val="en-GB"/>
        </w:rPr>
      </w:pPr>
      <w:bookmarkStart w:id="29" w:name="_Toc237357922"/>
      <w:r>
        <w:rPr>
          <w:lang w:val="en-GB"/>
        </w:rPr>
        <w:t>2.3.1 Taking the next step with inventory systems</w:t>
      </w:r>
      <w:bookmarkEnd w:id="29"/>
    </w:p>
    <w:p w14:paraId="54185212">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Typical inventory methods, including constant economic order quantity, assume a constant demand and constant lead time that do not accurately represent the actual fluctuations for M&amp;S. According to a systematic review of empirical studies on AI in the supply chain by Culot, Podrecca and Nassimbeni (2024), AI-driven inventory systems that automatically adjust reorder points based on real-time demand data minimise the understocking and overstocking of products compared to traditional rule-based approaches. It is a system that is directly in use at M&amp;S, which has introduced an AI platform for its planning system developed with RELEX Solutions across over 1,000 food stores in the UK and Ireland, to enhance demand forecasting, ordering and shelf-life optimized allocation (GlobalData, 2023). This industry evidence provides a single organisation, a clear example of how the benefit of AI-powered inventory systems can be realised, rather than a blanket use of the benefit within the industry.</w:t>
      </w:r>
    </w:p>
    <w:p w14:paraId="58EEA8B5">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 conclusions of Culot, Podrecca and Nassimbeni's (2024) are a systematic literature review of empirical studies. Therefore, the finding is a secondary synthesis and not primary fieldwork and so is a strength in that it aggregates many empirical studies but is not a strength in suggesting it is the case in M&amp;S. Both sources are highly case based and neither is by itself generalisable to other organisations beyond those described so this dissertation does not consider them to be definitive for M&amp;S.</w:t>
      </w:r>
    </w:p>
    <w:p w14:paraId="44116524">
      <w:pPr>
        <w:pStyle w:val="4"/>
        <w:rPr>
          <w:lang w:val="en-GB"/>
        </w:rPr>
      </w:pPr>
      <w:bookmarkStart w:id="30" w:name="_Toc237357923"/>
      <w:r>
        <w:rPr>
          <w:lang w:val="en-GB"/>
        </w:rPr>
        <w:t>2.3.2 A word of caution: pilot vs scaled implementation</w:t>
      </w:r>
      <w:bookmarkEnd w:id="30"/>
    </w:p>
    <w:p w14:paraId="6A61DF6E">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Another significant gap in implementation is highlighted by Culot, Podrecca and Nassimbeni (2024), while AI-based inventory tools are used in some organisations for a short period of time, only a small number have been rolled out to operational scale. This validates the M&amp;S optimism and is especially significant for M&amp;S, as their parallel investment in the automated and AI-powered food distribution infrastructure is one of the few examples of an AI inventory system being rolled out across stores in the UK, having been at pilot stage (Corporate.marksandspencer, 2025). The validity of the accuracy and waste reduction gains claimed in the technical literature in this transition, as opposed to in a pilot or simulated setting. Hence, organisational questions are examined empirically in this study in M&amp;S, at the level of a single, named UK retailer, where leave their question unanswered at the level of a single named retailer in the UK (Culot, Podrecca and Nassimbeni, 2024).</w:t>
      </w:r>
    </w:p>
    <w:p w14:paraId="47C5787F">
      <w:pPr>
        <w:spacing w:after="240" w:line="360" w:lineRule="auto"/>
        <w:jc w:val="cente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drawing>
          <wp:inline distT="0" distB="0" distL="0" distR="0">
            <wp:extent cx="5943600" cy="3398520"/>
            <wp:effectExtent l="0" t="0" r="0" b="0"/>
            <wp:docPr id="12184104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410495"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a:xfrm>
                      <a:off x="0" y="0"/>
                      <a:ext cx="5943600" cy="3398520"/>
                    </a:xfrm>
                    <a:prstGeom prst="rect">
                      <a:avLst/>
                    </a:prstGeom>
                    <a:noFill/>
                    <a:ln>
                      <a:noFill/>
                    </a:ln>
                  </pic:spPr>
                </pic:pic>
              </a:graphicData>
            </a:graphic>
          </wp:inline>
        </w:drawing>
      </w:r>
    </w:p>
    <w:p w14:paraId="7DAC6B70">
      <w:pPr>
        <w:pStyle w:val="6"/>
        <w:rPr>
          <w:lang w:val="en-GB"/>
        </w:rPr>
      </w:pPr>
      <w:bookmarkStart w:id="31" w:name="_Toc237786246"/>
      <w:r>
        <w:rPr>
          <w:lang w:val="en-GB"/>
        </w:rPr>
        <w:t>Figure 2.3:  Advanced Automation action of M&amp;S</w:t>
      </w:r>
      <w:bookmarkEnd w:id="31"/>
    </w:p>
    <w:p w14:paraId="5AA29694">
      <w:pPr>
        <w:spacing w:after="240" w:line="360" w:lineRule="auto"/>
        <w:jc w:val="cente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(Source: Corporate.marksandspencer, 2025)</w:t>
      </w:r>
    </w:p>
    <w:p w14:paraId="161B8214">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This disparity is significant because it isn't just a technical hurdle to scale AI-driven inventory solutions from pilot to store-wide deployment. It requires infrastructure investments, the expense of integrating AI-generated insights with legacy warehouse and till systems, and the acceptance of automated reorder processes by store and distribution teams, rather than traditional, manual methods. The key elements of these organisational factors will be what makes the difference in whether or not M&amp;S's automation investment pays off as promised.</w:t>
      </w:r>
    </w:p>
    <w:p w14:paraId="3CA0A751">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 first constraint is infrastructure – the automated systems that support AI-based inventory tools rely on the accuracy and timeliness of data feeds from delivery networks and warehouses. However, these are prone to disruption when a large retailer has not fully converted to digital. The gaps or delays in this data pipeline impact the reliability of automated reorder decisions, often when a large retailer is only part of the way towards digital transformation. The second constraint is that the cost of a store-wide roll-out is far greater than the cost of a contained pilot due to the cost of hardware, cloud infrastructure and system integration for hundreds of stores. This is exacerbated by the need for integration with M&amp;S's existing warehouse management and till systems, which were not designed to communicate with AI recommendations from the start. The final, and likely most important, constraint, is the organisational change and acceptance of the store and distribution staff of the automated reorder recommendations. Although Culot, Podrecca and Nassimbeni (2024) recognise the gap, they fail to provide any specifics at a retailer level; this is the area where the case study presented in this dissertation aims to contribute.</w:t>
      </w:r>
    </w:p>
    <w:p w14:paraId="4E56296D">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Culot, Podrecca and Nassimbeni (2024) draw up a cautionary flag for the difficulty of scaling up AI-based inventory tools. While M&amp;S disseminates the named £340m investment in such tools (Corporate.marksandspencer, 2025). The implication for M&amp;S is that the benefits of inventory-optimisation should not be assumed because investments have been placed, but rather the level of reorder accuracy and reduction in inventory waste will be driven by the above infrastructure, cost and staff-acceptance constraints and it is this aspect of inventory optimisation that will most directly impact the inventory-related aspect of Objective Two and the second research gap in Section 2.7.</w:t>
      </w:r>
    </w:p>
    <w:p w14:paraId="2A77A560">
      <w:pPr>
        <w:pStyle w:val="3"/>
        <w:rPr>
          <w:lang w:val="en-GB"/>
        </w:rPr>
      </w:pPr>
      <w:bookmarkStart w:id="32" w:name="_Toc237357924"/>
      <w:r>
        <w:rPr>
          <w:lang w:val="en-GB"/>
        </w:rPr>
        <w:t>2.4 Theme 3: The application of GenAI within M&amp;S in their retail context</w:t>
      </w:r>
      <w:bookmarkEnd w:id="32"/>
    </w:p>
    <w:p w14:paraId="4B102625">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This research dedicated to the specific use of GenAI in a retail organisation for forecasting and inventory, which is directly related to Objective Two, is sparse in the technical literature. In the Journal of Business Logistics, Richey </w:t>
      </w:r>
      <w:r>
        <w:rPr>
          <w:i/>
          <w:iCs/>
          <w:color w:val="000000" w:themeColor="text1"/>
          <w:sz w:val="24"/>
          <w:szCs w:val="24"/>
          <w:lang w:val="en-GB"/>
          <w14:textFill>
            <w14:solidFill>
              <w14:schemeClr w14:val="tx1"/>
            </w14:solidFill>
          </w14:textFill>
        </w:rPr>
        <w:t>et al.</w:t>
      </w:r>
      <w:r>
        <w:rPr>
          <w:color w:val="000000" w:themeColor="text1"/>
          <w:sz w:val="24"/>
          <w:szCs w:val="24"/>
          <w:lang w:val="en-GB"/>
          <w14:textFill>
            <w14:solidFill>
              <w14:schemeClr w14:val="tx1"/>
            </w14:solidFill>
          </w14:textFill>
        </w:rPr>
        <w:t xml:space="preserve"> (2023) state that most of the current literature on AI in logistics is conceptual or model-based and urge further study at an organizational level of how organisations can translate their AI capabilities into operational results. Similarly, Claudia, Francisco and Alexandre (2025), come to a similar conclusion in the context of AI in supply chains. There is a lot of evidence that AI can help improve supply chain performance, but little evidence on how a particular M&amp;S uses AI. This is especially true of M&amp;S, where there is significant corporate and trade-press coverage of AI projects, including the RELEX partnership and in-store intelligence based on SymphonyAI (Zaytsev, 2023). However, this is largely uncoordinated and not synthesised as a case analysis of organisational adoption.</w:t>
      </w:r>
    </w:p>
    <w:p w14:paraId="750CC23D">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M&amp;S platform SymphonyAI is used for forecasting food distribution investment and these in-store intelligence tools from SymphonyAI are all different phases of digital transformation. It started with data-driven forecasting, moving to automated food distribution and now real-time in-store decision support. All these without being part of a unified organisational adoption path among the sources reviewed. Little is said about readiness of the organisation, adoption by employees, or the operational change management necessary to integrate the technology into the daily store and distribution practices. Hence, the gains in technology cannot yet be assessed against the cost to humans and organisations necessary to realize them. Operational capability does not necessarily mean value, so the opportunities and challenges this presents for M&amp;S are considered in the following section.</w:t>
      </w:r>
    </w:p>
    <w:p w14:paraId="7F3A96D9">
      <w:pPr>
        <w:spacing w:after="240" w:line="360" w:lineRule="auto"/>
        <w:jc w:val="center"/>
        <w:rPr>
          <w:color w:val="000000" w:themeColor="text1"/>
          <w:sz w:val="24"/>
          <w:szCs w:val="24"/>
          <w:lang w:val="en-GB"/>
          <w14:textFill>
            <w14:solidFill>
              <w14:schemeClr w14:val="tx1"/>
            </w14:solidFill>
          </w14:textFill>
        </w:rPr>
      </w:pPr>
      <w:r>
        <w:rPr>
          <w:color w:val="000000" w:themeColor="text1"/>
          <w:lang w:val="en-GB"/>
          <w14:textFill>
            <w14:solidFill>
              <w14:schemeClr w14:val="tx1"/>
            </w14:solidFill>
          </w14:textFill>
        </w:rPr>
        <w:drawing>
          <wp:inline distT="0" distB="0" distL="0" distR="0">
            <wp:extent cx="4391025" cy="4419600"/>
            <wp:effectExtent l="0" t="0" r="9525" b="0"/>
            <wp:docPr id="1744606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606403" name="Picture 1"/>
                    <pic:cNvPicPr>
                      <a:picLocks noChangeAspect="1"/>
                    </pic:cNvPicPr>
                  </pic:nvPicPr>
                  <pic:blipFill>
                    <a:blip r:embed="rId17"/>
                    <a:stretch>
                      <a:fillRect/>
                    </a:stretch>
                  </pic:blipFill>
                  <pic:spPr>
                    <a:xfrm>
                      <a:off x="0" y="0"/>
                      <a:ext cx="4391025" cy="4419600"/>
                    </a:xfrm>
                    <a:prstGeom prst="rect">
                      <a:avLst/>
                    </a:prstGeom>
                  </pic:spPr>
                </pic:pic>
              </a:graphicData>
            </a:graphic>
          </wp:inline>
        </w:drawing>
      </w:r>
    </w:p>
    <w:p w14:paraId="27D72A40">
      <w:pPr>
        <w:pStyle w:val="6"/>
        <w:rPr>
          <w:lang w:val="en-GB"/>
        </w:rPr>
      </w:pPr>
      <w:bookmarkStart w:id="33" w:name="_Toc237786247"/>
      <w:r>
        <w:rPr>
          <w:lang w:val="en-GB"/>
        </w:rPr>
        <w:t>Figure 2.4: SymphonyAI practices in finance management</w:t>
      </w:r>
      <w:bookmarkEnd w:id="33"/>
    </w:p>
    <w:p w14:paraId="0E078920">
      <w:pPr>
        <w:spacing w:after="240" w:line="360" w:lineRule="auto"/>
        <w:jc w:val="cente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(Source: Corporate.marksandspencer, 2025)</w:t>
      </w:r>
    </w:p>
    <w:p w14:paraId="058491C7">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 RELEX implementation, which has been described publicly by GlobalData, is an AI-based planning platform for demand forecasting, replenishment, and shelf-life optimised allocation in over 1,000 food stores of M&amp;S. However, it is not an independently tested case study and therefore claims made regarding the accuracy and efficiency gains should be treated with caution. As reported by Zaytsev (2023), in the real world, in-store, SymphonyAI's in-store intelligence tools can be used to identify stock discrepancies or to make replenishment suggestions at the point of sale (POP). When taken together, these two projects suggest that M&amp;S's digital transformation is moving along two separate tracks – forecasting and planning on one side, automation in-store on the other – but no one source brings them together as a single, integrated plan for change within the organisation.</w:t>
      </w:r>
    </w:p>
    <w:p w14:paraId="3107923E">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On the other hand, the gap has been observed by both Richey </w:t>
      </w:r>
      <w:r>
        <w:rPr>
          <w:i/>
          <w:iCs/>
          <w:color w:val="000000" w:themeColor="text1"/>
          <w:sz w:val="24"/>
          <w:szCs w:val="24"/>
          <w:lang w:val="en-GB"/>
          <w14:textFill>
            <w14:solidFill>
              <w14:schemeClr w14:val="tx1"/>
            </w14:solidFill>
          </w14:textFill>
        </w:rPr>
        <w:t>et al</w:t>
      </w:r>
      <w:r>
        <w:rPr>
          <w:color w:val="000000" w:themeColor="text1"/>
          <w:sz w:val="24"/>
          <w:szCs w:val="24"/>
          <w:lang w:val="en-GB"/>
          <w14:textFill>
            <w14:solidFill>
              <w14:schemeClr w14:val="tx1"/>
            </w14:solidFill>
          </w14:textFill>
        </w:rPr>
        <w:t>. (2023) and Claudia, Francisco and Alexandre (2025), at a general level for AI in logistics and supply chains but neither paper addresses M&amp;S specifically. The practical implication is that the technical capability described in the RELEX and SymphonyAI accounts does not on the basis of the literature reviewed, automatically translate to the organizational change, adoption of the change, and readiness to sustain it at scale that is the specific target of the organisation that the methodology of Chapter Three is meant to study.</w:t>
      </w:r>
    </w:p>
    <w:p w14:paraId="45944437">
      <w:pPr>
        <w:pStyle w:val="3"/>
        <w:rPr>
          <w:lang w:val="en-GB"/>
        </w:rPr>
      </w:pPr>
      <w:bookmarkStart w:id="34" w:name="_Toc237357925"/>
      <w:r>
        <w:rPr>
          <w:lang w:val="en-GB"/>
        </w:rPr>
        <w:t>2.5 Theme 4: Exploring the opportunities and challenges arise from the use of GenAI in M&amp;S</w:t>
      </w:r>
      <w:bookmarkEnd w:id="34"/>
    </w:p>
    <w:p w14:paraId="6409C599">
      <w:pPr>
        <w:pStyle w:val="4"/>
        <w:rPr>
          <w:lang w:val="en-GB"/>
        </w:rPr>
      </w:pPr>
      <w:bookmarkStart w:id="35" w:name="_Toc237357926"/>
      <w:r>
        <w:rPr>
          <w:lang w:val="en-GB"/>
        </w:rPr>
        <w:t>2.5.1 Opportunities</w:t>
      </w:r>
      <w:bookmarkEnd w:id="35"/>
    </w:p>
    <w:p w14:paraId="65EE73B1">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Increased forecast accuracy, reduced waste and a more agile supply chain are the main advantages that have been identified in the literature of the adoption of GenAI (Hassani and Silva, 2024; Chowdhury, Paul and Rozony, 2025). At M&amp;S, this is reflected in outcomes reported, including food revenue growth of 17.5% and clothing and home revenue growth of 11.4% compared to the 2021/22 base, partly due to better agility and demand management within their supply chain (Corporate.marksandspencer, 2024). While these are still useful to consider, they must be taken with a grain of salt, because they include numerous transformation projects that occur on an annual basis, and it's difficult to isolate the specific impact of AI forecasting from other operational changes.</w:t>
      </w:r>
    </w:p>
    <w:p w14:paraId="07D949D6">
      <w:pPr>
        <w:pStyle w:val="4"/>
        <w:rPr>
          <w:lang w:val="en-GB"/>
        </w:rPr>
      </w:pPr>
      <w:bookmarkStart w:id="36" w:name="_Toc237357927"/>
      <w:r>
        <w:rPr>
          <w:lang w:val="en-GB"/>
        </w:rPr>
        <w:t>2.5.2 Barriers and constraints</w:t>
      </w:r>
      <w:bookmarkEnd w:id="36"/>
    </w:p>
    <w:p w14:paraId="35F245DF">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Maghroor </w:t>
      </w:r>
      <w:r>
        <w:rPr>
          <w:i/>
          <w:iCs/>
          <w:color w:val="000000" w:themeColor="text1"/>
          <w:sz w:val="24"/>
          <w:szCs w:val="24"/>
          <w:lang w:val="en-GB"/>
          <w14:textFill>
            <w14:solidFill>
              <w14:schemeClr w14:val="tx1"/>
            </w14:solidFill>
          </w14:textFill>
        </w:rPr>
        <w:t>et al.</w:t>
      </w:r>
      <w:r>
        <w:rPr>
          <w:color w:val="000000" w:themeColor="text1"/>
          <w:sz w:val="24"/>
          <w:szCs w:val="24"/>
          <w:lang w:val="en-GB"/>
          <w14:textFill>
            <w14:solidFill>
              <w14:schemeClr w14:val="tx1"/>
            </w14:solidFill>
          </w14:textFill>
        </w:rPr>
        <w:t xml:space="preserve"> (2025) examine the adoption of GenAI in Sustainable Supply Chains using a Technology-Organisation-Environment framework and suggest technological readiness. Regulatory uncertainty and organisational alignment are key barriers while workforce resistance and skills gaps are symptoms of these structural issues rather than a problem in their own right for M&amp;S. This more critical perspective also challenges the opportunity-based approach and further highlights that the implementation of GenAI at M&amp;S is not a technical path but one that is socio-technical in nature (Corporate.marksandspencer, 2024). Combined, Theme Four shows that across the review, technically oriented sources focus on benefits, and organisationally oriented sources focus on constraints; both types of sources are needed to address objective three in relation to the benefit constraint of M&amp;S.</w:t>
      </w:r>
    </w:p>
    <w:p w14:paraId="70E8E8E6">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It should also be noted that Maghroor </w:t>
      </w:r>
      <w:r>
        <w:rPr>
          <w:i/>
          <w:iCs/>
          <w:color w:val="000000" w:themeColor="text1"/>
          <w:sz w:val="24"/>
          <w:szCs w:val="24"/>
          <w:lang w:val="en-GB"/>
          <w14:textFill>
            <w14:solidFill>
              <w14:schemeClr w14:val="tx1"/>
            </w14:solidFill>
          </w14:textFill>
        </w:rPr>
        <w:t xml:space="preserve">et al. </w:t>
      </w:r>
      <w:r>
        <w:rPr>
          <w:color w:val="000000" w:themeColor="text1"/>
          <w:sz w:val="24"/>
          <w:szCs w:val="24"/>
          <w:lang w:val="en-GB"/>
          <w14:textFill>
            <w14:solidFill>
              <w14:schemeClr w14:val="tx1"/>
            </w14:solidFill>
          </w14:textFill>
        </w:rPr>
        <w:t>(2025) findings are based on the sustainable supply chain literature and were not empirically tested in a single retail case for M&amp;S in this instance. Therefore, their barriers, technological readiness, regulatory uncertainty and organisational alignment are considered general propositions rather than confirmed as specific and generalisable findings for a single UK omni-channel retailer. This only highlights the organisational gap that was noted across this review. This dichotomy between the optimistic claims of technique and the organisational concerns and evidence in the context of the single case of M&amp;S is exactly what the theoretical framing and research gap developed below aims to counteract.</w:t>
      </w:r>
    </w:p>
    <w:p w14:paraId="3778E808">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The studies that focused on the opportunity (Hassani and Silva, 2024; Chowdhury, Paul and Rozony, 2025) and the constraint (Maghroor </w:t>
      </w:r>
      <w:r>
        <w:rPr>
          <w:i/>
          <w:iCs/>
          <w:color w:val="000000" w:themeColor="text1"/>
          <w:sz w:val="24"/>
          <w:szCs w:val="24"/>
          <w:lang w:val="en-GB"/>
          <w14:textFill>
            <w14:solidFill>
              <w14:schemeClr w14:val="tx1"/>
            </w14:solidFill>
          </w14:textFill>
        </w:rPr>
        <w:t>et al.</w:t>
      </w:r>
      <w:r>
        <w:rPr>
          <w:color w:val="000000" w:themeColor="text1"/>
          <w:sz w:val="24"/>
          <w:szCs w:val="24"/>
          <w:lang w:val="en-GB"/>
          <w14:textFill>
            <w14:solidFill>
              <w14:schemeClr w14:val="tx1"/>
            </w14:solidFill>
          </w14:textFill>
        </w:rPr>
        <w:t xml:space="preserve">, 2025) are not contradictory, as they have different questions. Hassani and Silva (2024) and Chowdhury, Paul and Rozony (2025) ask whether GenAI can enhance forecasting results. While, Maghroor </w:t>
      </w:r>
      <w:r>
        <w:rPr>
          <w:i/>
          <w:iCs/>
          <w:color w:val="000000" w:themeColor="text1"/>
          <w:sz w:val="24"/>
          <w:szCs w:val="24"/>
          <w:lang w:val="en-GB"/>
          <w14:textFill>
            <w14:solidFill>
              <w14:schemeClr w14:val="tx1"/>
            </w14:solidFill>
          </w14:textFill>
        </w:rPr>
        <w:t xml:space="preserve">et al. </w:t>
      </w:r>
      <w:r>
        <w:rPr>
          <w:color w:val="000000" w:themeColor="text1"/>
          <w:sz w:val="24"/>
          <w:szCs w:val="24"/>
          <w:lang w:val="en-GB"/>
          <w14:textFill>
            <w14:solidFill>
              <w14:schemeClr w14:val="tx1"/>
            </w14:solidFill>
          </w14:textFill>
        </w:rPr>
        <w:t>(2025) asks whether an organisation is prepared to absorb GenAI. The literature's tone is therefore seemingly contradictory, and that's likely because of the different disciplinary perspectives used to evaluate and discuss GenAI's potential – technical paper versus organisational paper. For M&amp;S, the takeaway is reported food and clothing revenue growth is a best estimated indicator of what agile, AI-driven forecasting can deliver, with socio-technical risk also being a significant factor to consider alongside the technology (Corporate.marksandspencer, 2024).</w:t>
      </w:r>
    </w:p>
    <w:p w14:paraId="2A6F5F85">
      <w:pPr>
        <w:pStyle w:val="3"/>
        <w:rPr>
          <w:lang w:val="en-GB"/>
        </w:rPr>
      </w:pPr>
      <w:bookmarkStart w:id="37" w:name="_Toc237357928"/>
      <w:r>
        <w:rPr>
          <w:lang w:val="en-GB"/>
        </w:rPr>
        <w:t>2.6 Theoretical Underpinning</w:t>
      </w:r>
      <w:bookmarkEnd w:id="37"/>
    </w:p>
    <w:p w14:paraId="0DB02D30">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 following two theoretical lenses can be used to support this study. First, the Dynamic Capabilities View emphasizes the importance of the organization's capacity to sense opportunities, reconfigure resources, and adapt routines, instead of just the complexity of the technology itself (Liu, 2022). This is a change in focus from GenAI being a standalone solution toward M&amp;S being an organisation that can convert GenAI into forecasting and inventory results. </w:t>
      </w:r>
    </w:p>
    <w:p w14:paraId="049CDE8F">
      <w:pPr>
        <w:spacing w:after="240" w:line="360" w:lineRule="auto"/>
        <w:jc w:val="center"/>
        <w:rPr>
          <w:color w:val="000000" w:themeColor="text1"/>
          <w:sz w:val="24"/>
          <w:szCs w:val="24"/>
          <w:lang w:val="en-GB"/>
          <w14:textFill>
            <w14:solidFill>
              <w14:schemeClr w14:val="tx1"/>
            </w14:solidFill>
          </w14:textFill>
        </w:rPr>
      </w:pPr>
      <w:r>
        <w:rPr>
          <w:color w:val="000000" w:themeColor="text1"/>
          <w:lang w:val="en-GB"/>
          <w14:textFill>
            <w14:solidFill>
              <w14:schemeClr w14:val="tx1"/>
            </w14:solidFill>
          </w14:textFill>
        </w:rPr>
        <w:drawing>
          <wp:inline distT="0" distB="0" distL="0" distR="0">
            <wp:extent cx="5943600" cy="4020185"/>
            <wp:effectExtent l="0" t="0" r="0" b="0"/>
            <wp:docPr id="2133081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081380" name="Picture 1"/>
                    <pic:cNvPicPr>
                      <a:picLocks noChangeAspect="1"/>
                    </pic:cNvPicPr>
                  </pic:nvPicPr>
                  <pic:blipFill>
                    <a:blip r:embed="rId18"/>
                    <a:stretch>
                      <a:fillRect/>
                    </a:stretch>
                  </pic:blipFill>
                  <pic:spPr>
                    <a:xfrm>
                      <a:off x="0" y="0"/>
                      <a:ext cx="5943600" cy="4020185"/>
                    </a:xfrm>
                    <a:prstGeom prst="rect">
                      <a:avLst/>
                    </a:prstGeom>
                  </pic:spPr>
                </pic:pic>
              </a:graphicData>
            </a:graphic>
          </wp:inline>
        </w:drawing>
      </w:r>
    </w:p>
    <w:p w14:paraId="1112D61D">
      <w:pPr>
        <w:pStyle w:val="6"/>
        <w:rPr>
          <w:lang w:val="en-GB"/>
        </w:rPr>
      </w:pPr>
      <w:bookmarkStart w:id="38" w:name="_Toc237786248"/>
      <w:r>
        <w:rPr>
          <w:lang w:val="en-GB"/>
        </w:rPr>
        <w:t>Figure 2.5: Flowchart of Dynamic Capabilities theory</w:t>
      </w:r>
      <w:bookmarkEnd w:id="38"/>
    </w:p>
    <w:p w14:paraId="31A81485">
      <w:pPr>
        <w:spacing w:after="240" w:line="360" w:lineRule="auto"/>
        <w:jc w:val="cente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(Source: Liu, 2022)</w:t>
      </w:r>
    </w:p>
    <w:p w14:paraId="3AC242EF">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Second, the Technology-Organisation-Environment framework, as operationalised by Xu (2025), can be used to delineate factors related to technology, organisation and environment that influence outcomes of adoption, which directly supports the analysis of Objective Three. The Technology Acceptance Model was considered but not adopted as it focuses on the user's intention to use technology, whereas the research questions of this dissertation focus on the outcomes of the system from an organisational/cause and supply chain perspective, and both models have only recently been used in the field of AI and supply chains.</w:t>
      </w:r>
    </w:p>
    <w:p w14:paraId="498EA304">
      <w:pPr>
        <w:pStyle w:val="3"/>
        <w:rPr>
          <w:lang w:val="en-GB"/>
        </w:rPr>
      </w:pPr>
      <w:bookmarkStart w:id="39" w:name="_Toc237357929"/>
      <w:r>
        <w:rPr>
          <w:lang w:val="en-GB"/>
        </w:rPr>
        <w:t>2.7 Research Gap</w:t>
      </w:r>
      <w:bookmarkEnd w:id="39"/>
    </w:p>
    <w:p w14:paraId="0010A247">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This review reveals three interrelated gaps, each of which is directly related to one of the above-described limitations. As mentioned in Section 2.2.2, empirical and technical studies on AI driven forecasting have been conducted for different settings or in a simulated context, not in a particular multi-category retail organisation (Fildes, Ma and Kolassa, 2022; Chowdhury, Paul and Rozony, 2025). This study fills this gap and considers the case of M&amp;S's real, publicly documented forecasting deployment instead of a simulated model. Secondly, as discussed in Section 2.3.2. There is a lack of specific studies on the implications of adoption barriers on a large UK omnichannel retailer in the midst of digital and supply chain transformation. This study implements a specific focus on M&amp;S's journey from pilot to store-wide deployment of AI. Third, the literature requests case research at the level of organisation but rarely provides it, which this study directly fulfils by providing a single case study, namely of M&amp;S at the level of organisation (Richey </w:t>
      </w:r>
      <w:r>
        <w:rPr>
          <w:i/>
          <w:iCs/>
          <w:color w:val="000000" w:themeColor="text1"/>
          <w:sz w:val="24"/>
          <w:szCs w:val="24"/>
          <w:lang w:val="en-GB"/>
          <w14:textFill>
            <w14:solidFill>
              <w14:schemeClr w14:val="tx1"/>
            </w14:solidFill>
          </w14:textFill>
        </w:rPr>
        <w:t>et al</w:t>
      </w:r>
      <w:r>
        <w:rPr>
          <w:color w:val="000000" w:themeColor="text1"/>
          <w:sz w:val="24"/>
          <w:szCs w:val="24"/>
          <w:lang w:val="en-GB"/>
          <w14:textFill>
            <w14:solidFill>
              <w14:schemeClr w14:val="tx1"/>
            </w14:solidFill>
          </w14:textFill>
        </w:rPr>
        <w:t>., 2023; Claudia, Francisco and Alexandre, 2025). In this way, the literature review does not just describe what has been identified before, rather it shows, one by one, how each identified limitation is followed through and addressed in the methodology and findings chapters, presented in the following M&amp;S case study. This study thus seeks to close these gaps by exploring the use of Generative AI for demand forecasting and inventory optimisation in Marks &amp; Spencer, through the lens of a single case study.</w:t>
      </w:r>
    </w:p>
    <w:p w14:paraId="63420C99">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 first gap, the lack of organisation-specific empirical evidence of AI-driven forecasting, is directly aligned with Objective One, which is to evaluate how accurate and reliable AI-based forecasting is compared to traditional forecasting at M&amp;S. The second gap relates to Objective Two, as scaling constraints determine if the forecasting benefits are realised in inventory outcomes. The third gap, lack of organisation level case research on the use of AI in retail, aligns Objective Three. As opportunities and constraints need to be explored in conjunction with one another and not independent of each other. This is an explicit mapping that also makes it possible to carry over each of the limits found in the literature into a specific, traceable element of the empirical focus of this dissertation, and not just as a general observation.</w:t>
      </w:r>
    </w:p>
    <w:p w14:paraId="192E3EC2">
      <w:pPr>
        <w:pStyle w:val="3"/>
        <w:rPr>
          <w:lang w:val="en-GB"/>
        </w:rPr>
      </w:pPr>
      <w:bookmarkStart w:id="40" w:name="_Toc237357930"/>
      <w:r>
        <w:rPr>
          <w:lang w:val="en-GB"/>
        </w:rPr>
        <w:t>2.8 Chapter Summary</w:t>
      </w:r>
      <w:bookmarkEnd w:id="40"/>
    </w:p>
    <w:p w14:paraId="1E2A5E77">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This chapter has analysed literature under four themes relating to GenAI and predictive analytics for retail demand forecasting and inventory optimisation, using a particular lens for each theme to reflect M&amp;S and the UK retail context. It has demonstrated that technical literature is generally optimistic about accuracy and efficiency benefits of AI applications, while organisational literature asks more question about implementation, scalability and socio-technical readiness of AI applications, and that the evidence for M&amp;S own AI deployments (RELEX-based forecasting, automated food distribution investment, and SymphonyAI in-store intelligence) offers a tangible but to date academically un-synthesised evidence base on which to test these competing claims. This analysis is underpinned by the theoretical frameworks of the Dynamic Capabilities View and the Technology-Organisation-Environment framework, and three gaps are explored and subsequently directly connected to the one case M&amp;S design implemented in this dissertation. A methodology is set out in the next chapter to address these gaps.</w:t>
      </w:r>
    </w:p>
    <w:p w14:paraId="56B75230">
      <w:pP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br w:type="page"/>
      </w:r>
    </w:p>
    <w:p w14:paraId="51D8E024">
      <w:pPr>
        <w:pStyle w:val="2"/>
      </w:pPr>
      <w:bookmarkStart w:id="41" w:name="_Toc237357931"/>
      <w:bookmarkStart w:id="42" w:name="_Toc234746168"/>
      <w:r>
        <w:t>Chapter 3: Methodology</w:t>
      </w:r>
      <w:bookmarkEnd w:id="41"/>
      <w:bookmarkEnd w:id="42"/>
    </w:p>
    <w:p w14:paraId="081BA3B7">
      <w:pPr>
        <w:pStyle w:val="3"/>
        <w:rPr>
          <w:lang w:val="en-GB"/>
        </w:rPr>
      </w:pPr>
      <w:bookmarkStart w:id="43" w:name="_Toc237357932"/>
      <w:bookmarkStart w:id="44" w:name="_Toc234746169"/>
      <w:r>
        <w:rPr>
          <w:lang w:val="en-GB"/>
        </w:rPr>
        <w:t>3.1 Introduction</w:t>
      </w:r>
      <w:bookmarkEnd w:id="43"/>
      <w:bookmarkEnd w:id="44"/>
    </w:p>
    <w:p w14:paraId="276466C5">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This chapter outlines and rationalises the methodological approach adopted for investigating the role of Generative AI and predictive analytics in enhancing demand forecasting and inventory optimisation at Marks &amp; Spencer (M&amp;S). It directly on the basis of the three research gaps outlined at the end of Chapter Two. The literature review showed that empirical, organisation-level evidence on one named firm was scarce in the UK, so the method used here does not aim at testing a generalised model across multiple firms but rather to fill the gap. The chapter continues by providing a rationale for the interpretivist research philosophy chosen, an explanation of the secondary qualitative case study design, the data sources and data selection, the data analysis, and ethical considerations that are relevant for a study utilizing only secondary data that is publicly available.</w:t>
      </w:r>
    </w:p>
    <w:p w14:paraId="51C74B63">
      <w:pPr>
        <w:pStyle w:val="3"/>
        <w:rPr>
          <w:lang w:val="en-GB"/>
        </w:rPr>
      </w:pPr>
      <w:bookmarkStart w:id="45" w:name="_Toc234746170"/>
      <w:bookmarkStart w:id="46" w:name="_Toc237357933"/>
      <w:r>
        <w:rPr>
          <w:lang w:val="en-GB"/>
        </w:rPr>
        <w:t>3.2 Research Philosophy</w:t>
      </w:r>
      <w:bookmarkEnd w:id="45"/>
      <w:bookmarkEnd w:id="46"/>
    </w:p>
    <w:p w14:paraId="65A3FB2A">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This study is based on interpretivist research philosophy. Interpretivism is the perspective of phenomena of organisations (Pervin and Mokhtar, 2022). For instance, the implementation of Generative AI in a particular organisation, is not measurable by only one objective criterion of predictive accuracy or stock management efficiency. As these depend on the meanings, decisions and context of the organisation itself. This position aligns with the research problem raised in Chapter One. This focuses on the adoption of GenAI technologies not just in general but at M&amp;S as a specific UK omnichannel retailer, and how these technologies have been adapted, implemented and communicated by the company in its divisions of food and clothing and home. </w:t>
      </w:r>
    </w:p>
    <w:p w14:paraId="4C35302A">
      <w:pPr>
        <w:spacing w:line="360" w:lineRule="auto"/>
        <w:jc w:val="center"/>
        <w:rPr>
          <w:color w:val="000000" w:themeColor="text1"/>
          <w:sz w:val="24"/>
          <w:szCs w:val="24"/>
          <w:lang w:val="en-GB"/>
          <w14:textFill>
            <w14:solidFill>
              <w14:schemeClr w14:val="tx1"/>
            </w14:solidFill>
          </w14:textFill>
        </w:rPr>
      </w:pPr>
      <w:r>
        <w:rPr>
          <w:color w:val="000000" w:themeColor="text1"/>
          <w:lang w:val="en-GB"/>
          <w14:textFill>
            <w14:solidFill>
              <w14:schemeClr w14:val="tx1"/>
            </w14:solidFill>
          </w14:textFill>
        </w:rPr>
        <w:drawing>
          <wp:inline distT="0" distB="0" distL="0" distR="0">
            <wp:extent cx="5943600" cy="4128770"/>
            <wp:effectExtent l="0" t="0" r="0" b="5080"/>
            <wp:docPr id="15348783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878374" name="Picture 1"/>
                    <pic:cNvPicPr>
                      <a:picLocks noChangeAspect="1"/>
                    </pic:cNvPicPr>
                  </pic:nvPicPr>
                  <pic:blipFill>
                    <a:blip r:embed="rId19"/>
                    <a:stretch>
                      <a:fillRect/>
                    </a:stretch>
                  </pic:blipFill>
                  <pic:spPr>
                    <a:xfrm>
                      <a:off x="0" y="0"/>
                      <a:ext cx="5943600" cy="4128770"/>
                    </a:xfrm>
                    <a:prstGeom prst="rect">
                      <a:avLst/>
                    </a:prstGeom>
                  </pic:spPr>
                </pic:pic>
              </a:graphicData>
            </a:graphic>
          </wp:inline>
        </w:drawing>
      </w:r>
    </w:p>
    <w:p w14:paraId="69C34BF5">
      <w:pPr>
        <w:pStyle w:val="6"/>
        <w:rPr>
          <w:lang w:val="en-GB"/>
        </w:rPr>
      </w:pPr>
      <w:bookmarkStart w:id="47" w:name="_Toc237786249"/>
      <w:r>
        <w:rPr>
          <w:lang w:val="en-GB"/>
        </w:rPr>
        <w:t>Figure 3.1: Research onion</w:t>
      </w:r>
      <w:bookmarkEnd w:id="47"/>
    </w:p>
    <w:p w14:paraId="01D5EA5A">
      <w:pPr>
        <w:spacing w:line="360" w:lineRule="auto"/>
        <w:jc w:val="cente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(Source: Saunders </w:t>
      </w:r>
      <w:r>
        <w:rPr>
          <w:i/>
          <w:iCs/>
          <w:color w:val="000000" w:themeColor="text1"/>
          <w:sz w:val="24"/>
          <w:szCs w:val="24"/>
          <w:lang w:val="en-GB"/>
          <w14:textFill>
            <w14:solidFill>
              <w14:schemeClr w14:val="tx1"/>
            </w14:solidFill>
          </w14:textFill>
        </w:rPr>
        <w:t>et al.</w:t>
      </w:r>
      <w:r>
        <w:rPr>
          <w:color w:val="000000" w:themeColor="text1"/>
          <w:sz w:val="24"/>
          <w:szCs w:val="24"/>
          <w:lang w:val="en-GB"/>
          <w14:textFill>
            <w14:solidFill>
              <w14:schemeClr w14:val="tx1"/>
            </w14:solidFill>
          </w14:textFill>
        </w:rPr>
        <w:t xml:space="preserve"> 2019)</w:t>
      </w:r>
    </w:p>
    <w:p w14:paraId="5EE7712B">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In an argument this choice is stronger when placed directly in contrast with the other alternative. In a positivist design the researcher would have to have a hypothesis on how GenAI adoption is associated with forecasting or inventory outcomes that they would test on a sample of similar retailers, and variables like the accuracy of the forecasts or reduction in waste would be considered as objective, quantifiable, and measurable quantities (Turner, 2024). This study does not do this, though: it's about what it means and what it means for a company, not data correlation. This study is about the single- named organisation M&amp;S and how it has interpreted, adapted and communicated its use of GenAI in its context of operation and reporting. This study is therefore more suited to qualitative secondary data, as it is about the nature of the implementation of GenAI at M&amp;S, and more about explaining how and why, rather than about measuring the strength of a relationship between pre-defined variables. It would not capture the organisational and contextual detail. This research is intended to capture if it were quantitative and positivist; and the requirement of multiple comparable organisations would be incompatible with the single, understood case this dissertation provides.</w:t>
      </w:r>
    </w:p>
    <w:p w14:paraId="6FED6293">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Instead, a positivist approach would involve collecting standardised and quantifiable data from several organizations that share similar characteristics (dimensions) and then comparing the data to test a hypothesis (Turner, 2024). Even suitable for this case, in which the research question is explicitly single-case and organisation-specific as defined in Chapter Two. Interpretivism is thus warranted as it enables the researcher to consider annual reports, technology-focused industry reports and financial performance disclosures as socially constructed accounts, rather than as self-evident, neutral data points, that need to be carefully interpreted and understood within the given context.</w:t>
      </w:r>
    </w:p>
    <w:p w14:paraId="00EB8716">
      <w:pPr>
        <w:pStyle w:val="3"/>
        <w:rPr>
          <w:lang w:val="en-GB"/>
        </w:rPr>
      </w:pPr>
      <w:bookmarkStart w:id="48" w:name="_Toc237357934"/>
      <w:bookmarkStart w:id="49" w:name="_Toc234746171"/>
      <w:r>
        <w:rPr>
          <w:lang w:val="en-GB"/>
        </w:rPr>
        <w:t>3.3 Research Approach</w:t>
      </w:r>
      <w:bookmarkEnd w:id="48"/>
      <w:bookmarkEnd w:id="49"/>
    </w:p>
    <w:p w14:paraId="66A9F6D6">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This research is conducted with an inductive approach, as is recommended by the Interpretivist approach of research (Locsin and Schoenhofer, 2024). The study does not start with a specific hypothesis but rather progresses through the themes identified in the literature review, namely forecasting, inventory optimisation, organisational application of opportunities and constraints and creates a contextual understanding of M&amp;S's journey with GenAI based on the qualitative evidence that was available. This is suitable since the theoretical concepts of the Dynamic Capabilities View and the </w:t>
      </w:r>
    </w:p>
    <w:p w14:paraId="216F5127">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‘Technology-Organisation-Environment’ are presented as sensitising concepts, which are used to guide and inform the analysis, not to be statistically confirmed or rejected.</w:t>
      </w:r>
    </w:p>
    <w:p w14:paraId="75027EDB">
      <w:pPr>
        <w:spacing w:line="360" w:lineRule="auto"/>
        <w:jc w:val="center"/>
        <w:rPr>
          <w:color w:val="000000" w:themeColor="text1"/>
          <w:sz w:val="24"/>
          <w:szCs w:val="24"/>
          <w:lang w:val="en-GB"/>
          <w14:textFill>
            <w14:solidFill>
              <w14:schemeClr w14:val="tx1"/>
            </w14:solidFill>
          </w14:textFill>
        </w:rPr>
      </w:pPr>
      <w:r>
        <w:rPr>
          <w:color w:val="000000" w:themeColor="text1"/>
          <w:lang w:val="en-GB"/>
          <w14:textFill>
            <w14:solidFill>
              <w14:schemeClr w14:val="tx1"/>
            </w14:solidFill>
          </w14:textFill>
        </w:rPr>
        <w:drawing>
          <wp:inline distT="0" distB="0" distL="0" distR="0">
            <wp:extent cx="5943600" cy="1858010"/>
            <wp:effectExtent l="0" t="0" r="0" b="8890"/>
            <wp:docPr id="591441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441241" name="Picture 1"/>
                    <pic:cNvPicPr>
                      <a:picLocks noChangeAspect="1"/>
                    </pic:cNvPicPr>
                  </pic:nvPicPr>
                  <pic:blipFill>
                    <a:blip r:embed="rId20"/>
                    <a:stretch>
                      <a:fillRect/>
                    </a:stretch>
                  </pic:blipFill>
                  <pic:spPr>
                    <a:xfrm>
                      <a:off x="0" y="0"/>
                      <a:ext cx="5943600" cy="1858010"/>
                    </a:xfrm>
                    <a:prstGeom prst="rect">
                      <a:avLst/>
                    </a:prstGeom>
                  </pic:spPr>
                </pic:pic>
              </a:graphicData>
            </a:graphic>
          </wp:inline>
        </w:drawing>
      </w:r>
    </w:p>
    <w:p w14:paraId="11127B84">
      <w:pPr>
        <w:pStyle w:val="6"/>
        <w:rPr>
          <w:lang w:val="en-GB"/>
        </w:rPr>
      </w:pPr>
      <w:bookmarkStart w:id="50" w:name="_Toc237786250"/>
      <w:r>
        <w:rPr>
          <w:lang w:val="en-GB"/>
        </w:rPr>
        <w:t>Figure 3.2: Inductive research approach</w:t>
      </w:r>
      <w:bookmarkEnd w:id="50"/>
    </w:p>
    <w:p w14:paraId="2D5781CA">
      <w:pPr>
        <w:spacing w:line="360" w:lineRule="auto"/>
        <w:jc w:val="cente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(Source: Influenced from Locsin and Schoenhofer, 2024)</w:t>
      </w:r>
    </w:p>
    <w:p w14:paraId="46890934">
      <w:pPr>
        <w:pStyle w:val="3"/>
        <w:rPr>
          <w:lang w:val="en-GB"/>
        </w:rPr>
      </w:pPr>
      <w:bookmarkStart w:id="51" w:name="_Toc234746172"/>
      <w:bookmarkStart w:id="52" w:name="_Toc237357935"/>
      <w:r>
        <w:rPr>
          <w:lang w:val="en-GB"/>
        </w:rPr>
        <w:t>3.4 Research Design</w:t>
      </w:r>
      <w:bookmarkEnd w:id="51"/>
      <w:bookmarkEnd w:id="52"/>
    </w:p>
    <w:p w14:paraId="1232E709">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 research design used is secondary qualitative case study with M&amp;S as the sole case being studied. As was highlighted in the research gap in section 2.7, chapter two, there is a gap in literature and this is justified as the case study design as the literature often required an organisation level analysis but this was rarely seen. The well-established reason for doing case study research for a contemporary phenomenon in its natural setting whereas, the phenomenon and the natural setting are so intimately linked that the lines cannot be drawn between them, applies here. The M&amp;S's use of GenAI in forecasting and inventory is inextricably linked to its wider digital transformation, its food and clothing divisional structure, or its UK retail market context. </w:t>
      </w:r>
    </w:p>
    <w:p w14:paraId="45D60143">
      <w:pPr>
        <w:spacing w:line="360" w:lineRule="auto"/>
        <w:jc w:val="both"/>
        <w:rPr>
          <w:color w:val="000000" w:themeColor="text1"/>
          <w:sz w:val="24"/>
          <w:szCs w:val="24"/>
          <w:lang w:val="en-GB"/>
          <w14:textFill>
            <w14:solidFill>
              <w14:schemeClr w14:val="tx1"/>
            </w14:solidFill>
          </w14:textFill>
        </w:rPr>
      </w:pPr>
    </w:p>
    <w:p w14:paraId="3DFB3BA2">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 selection of a single case design was not an accident, but was made intentionally since the goal of this study is not to contrast the adoption of GenAI across multiple retailers, but to build a deeper understanding. More critically synthesised description of one retailer whose AI projects adopt it, the forecasting via RELEX, automated food distribution, and AI-driven in-store intelligence via SymphonyAI are otherwise described in a disjointed, uncoordinated way. This design is qualitative instead of quantitative as the research questions are about how and why GenAI has been adopted and what opportunities and constraints have arisen for the organisation, rather than about statistical relationships between variables.</w:t>
      </w:r>
    </w:p>
    <w:p w14:paraId="6A2B9CF3">
      <w:pPr>
        <w:pStyle w:val="3"/>
        <w:rPr>
          <w:lang w:val="en-GB"/>
        </w:rPr>
      </w:pPr>
      <w:bookmarkStart w:id="53" w:name="_Toc237357936"/>
      <w:bookmarkStart w:id="54" w:name="_Toc234746173"/>
      <w:r>
        <w:rPr>
          <w:lang w:val="en-GB"/>
        </w:rPr>
        <w:t>3.5 Data Collection Methods</w:t>
      </w:r>
      <w:bookmarkEnd w:id="53"/>
      <w:bookmarkEnd w:id="54"/>
    </w:p>
    <w:p w14:paraId="26311415">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 study is based on secondary data, which is based on the interpretivist philosophy and there were practical limitations to access primary organisational data within M&amp;S. Two types of secondary sources are used. The first is peer-reviewed published journal articles on Generative AI, predictive analytics, demand forecast, inventory optimization and digital transformation in the retail and supply chain space. To avoid focusing the sample in a particular theme, the 20 articles selected for this study have been purposefully picked due to their direct relevance to answer the research question. Articles related to forecasting, inventory systems, organisational adoption of AI, and opportunities and constraints have been included. The second category includes organisational and industry evidence, including M&amp;S' annual reports, as well as technology-focused industry and market-intelligence reports, and financial performance disclosures, such as revenues and operational outcomes associated with investments in supply chain and AI. The technical claims of the literature can be supported by organisational and financial evidence, thus addressing the synthesis weakness highlighted in the Chapter 2 critique, and helps to check the technical claims of literature with what M&amp;S has shared with regard to implementation and outcomes.</w:t>
      </w:r>
    </w:p>
    <w:p w14:paraId="43DC427E">
      <w:pPr>
        <w:pStyle w:val="4"/>
        <w:rPr>
          <w:lang w:val="en-GB"/>
        </w:rPr>
      </w:pPr>
      <w:bookmarkStart w:id="55" w:name="_Toc237357937"/>
      <w:r>
        <w:rPr>
          <w:lang w:val="en-GB"/>
        </w:rPr>
        <w:t>3.5.1 Search strategy and Boolean keyword</w:t>
      </w:r>
      <w:bookmarkEnd w:id="55"/>
      <w:r>
        <w:rPr>
          <w:lang w:val="en-GB"/>
        </w:rPr>
        <w:t xml:space="preserve"> </w:t>
      </w:r>
    </w:p>
    <w:p w14:paraId="73EFC5F2">
      <w:pPr>
        <w:rPr>
          <w:color w:val="000000" w:themeColor="text1"/>
          <w:lang w:val="en-GB"/>
          <w14:textFill>
            <w14:solidFill>
              <w14:schemeClr w14:val="tx1"/>
            </w14:solidFill>
          </w14:textFill>
        </w:rPr>
      </w:pPr>
    </w:p>
    <w:p w14:paraId="5089BD83">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A structured Boolean search strategy was used to search across Google Scholar, Scopus and ScienceDirect to identify the 20 articles mentioned above, rather than using wordy searches with keywords. Boolean operators like "AND" and "OR" were used to combine core concept terms as outlined in Table 3.1 below.</w:t>
      </w:r>
    </w:p>
    <w:tbl>
      <w:tblPr>
        <w:tblStyle w:val="13"/>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334"/>
        <w:gridCol w:w="6242"/>
      </w:tblGrid>
      <w:tr w14:paraId="1831255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41" w:type="pct"/>
          </w:tcPr>
          <w:p w14:paraId="4F383A4F">
            <w:pPr>
              <w:spacing w:line="360" w:lineRule="auto"/>
              <w:jc w:val="center"/>
              <w:rPr>
                <w:b/>
                <w:bCs/>
                <w:color w:val="000000" w:themeColor="text1"/>
                <w:sz w:val="24"/>
                <w:szCs w:val="24"/>
                <w:lang w:val="en-GB"/>
                <w14:textFill>
                  <w14:solidFill>
                    <w14:schemeClr w14:val="tx1"/>
                  </w14:solidFill>
                </w14:textFill>
              </w:rPr>
            </w:pPr>
            <w:r>
              <w:rPr>
                <w:b/>
                <w:bCs/>
                <w:color w:val="000000" w:themeColor="text1"/>
                <w:sz w:val="24"/>
                <w:szCs w:val="24"/>
                <w:lang w:val="en-GB"/>
                <w14:textFill>
                  <w14:solidFill>
                    <w14:schemeClr w14:val="tx1"/>
                  </w14:solidFill>
                </w14:textFill>
              </w:rPr>
              <w:t>Concepts</w:t>
            </w:r>
          </w:p>
        </w:tc>
        <w:tc>
          <w:tcPr>
            <w:tcW w:w="3259" w:type="pct"/>
          </w:tcPr>
          <w:p w14:paraId="3B21BBDF">
            <w:pPr>
              <w:spacing w:line="360" w:lineRule="auto"/>
              <w:jc w:val="center"/>
              <w:rPr>
                <w:b/>
                <w:bCs/>
                <w:color w:val="000000" w:themeColor="text1"/>
                <w:sz w:val="24"/>
                <w:szCs w:val="24"/>
                <w:lang w:val="en-GB"/>
                <w14:textFill>
                  <w14:solidFill>
                    <w14:schemeClr w14:val="tx1"/>
                  </w14:solidFill>
                </w14:textFill>
              </w:rPr>
            </w:pPr>
            <w:r>
              <w:rPr>
                <w:b/>
                <w:bCs/>
                <w:color w:val="000000" w:themeColor="text1"/>
                <w:sz w:val="24"/>
                <w:szCs w:val="24"/>
                <w:lang w:val="en-GB"/>
                <w14:textFill>
                  <w14:solidFill>
                    <w14:schemeClr w14:val="tx1"/>
                  </w14:solidFill>
                </w14:textFill>
              </w:rPr>
              <w:t>Search strings using Boolean</w:t>
            </w:r>
          </w:p>
        </w:tc>
      </w:tr>
      <w:tr w14:paraId="347EC7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41" w:type="pct"/>
          </w:tcPr>
          <w:p w14:paraId="30715CF5">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Demand forecast and GenAI</w:t>
            </w:r>
          </w:p>
        </w:tc>
        <w:tc>
          <w:tcPr>
            <w:tcW w:w="3259" w:type="pct"/>
          </w:tcPr>
          <w:p w14:paraId="0807F641">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(GenAI OR Generative AI) AND (sales/demand forecast)</w:t>
            </w:r>
          </w:p>
        </w:tc>
      </w:tr>
      <w:tr w14:paraId="654A9A9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41" w:type="pct"/>
          </w:tcPr>
          <w:p w14:paraId="7EB92416">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Inventory optimisation with AI</w:t>
            </w:r>
          </w:p>
        </w:tc>
        <w:tc>
          <w:tcPr>
            <w:tcW w:w="3259" w:type="pct"/>
          </w:tcPr>
          <w:p w14:paraId="1FAA59FA">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(Inventory management OR inventory optimisation) AND (Machine learning OR Artificial intelligence)</w:t>
            </w:r>
          </w:p>
        </w:tc>
      </w:tr>
      <w:tr w14:paraId="303B21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41" w:type="pct"/>
          </w:tcPr>
          <w:p w14:paraId="7A18A934">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Digital transformation on supply chain</w:t>
            </w:r>
          </w:p>
        </w:tc>
        <w:tc>
          <w:tcPr>
            <w:tcW w:w="3259" w:type="pct"/>
          </w:tcPr>
          <w:p w14:paraId="1F202BC0">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(Supply chain OR supply chain management) AND (Digital transformation)</w:t>
            </w:r>
          </w:p>
        </w:tc>
      </w:tr>
      <w:tr w14:paraId="4ED0BF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41" w:type="pct"/>
          </w:tcPr>
          <w:p w14:paraId="6792E9ED">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AI adoption in organisation </w:t>
            </w:r>
          </w:p>
        </w:tc>
        <w:tc>
          <w:tcPr>
            <w:tcW w:w="3259" w:type="pct"/>
          </w:tcPr>
          <w:p w14:paraId="0A252A34">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(Technology adoption OR AI adoption) AND (Organisation)</w:t>
            </w:r>
          </w:p>
        </w:tc>
      </w:tr>
      <w:tr w14:paraId="33F319F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41" w:type="pct"/>
          </w:tcPr>
          <w:p w14:paraId="393FCA05">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M&amp;S evidence</w:t>
            </w:r>
          </w:p>
        </w:tc>
        <w:tc>
          <w:tcPr>
            <w:tcW w:w="3259" w:type="pct"/>
          </w:tcPr>
          <w:p w14:paraId="5F35F489">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(Marks and Spencer OR M&amp;S) AND (Automation OR Artificial intelligence)</w:t>
            </w:r>
          </w:p>
        </w:tc>
      </w:tr>
    </w:tbl>
    <w:p w14:paraId="1038E02C">
      <w:pPr>
        <w:pStyle w:val="7"/>
        <w:rPr>
          <w:lang w:val="en-GB"/>
        </w:rPr>
      </w:pPr>
      <w:bookmarkStart w:id="56" w:name="_Toc237786280"/>
      <w:r>
        <w:rPr>
          <w:lang w:val="en-GB"/>
        </w:rPr>
        <w:t>Table 3.1: Boolean search table</w:t>
      </w:r>
      <w:bookmarkEnd w:id="56"/>
    </w:p>
    <w:p w14:paraId="70FCA29E">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Using AND made sure articles retrieved focused on both fundamental concepts, such as GenAI and forecasting, or two other concepts, such as inventory and artificial intelligence, and not on either concept but not both. To avoid exclusion of relevant articles based on the choice of terms, the use of OR to capture the terminological variation in a still-emerging field in which some authors use the term “Generative AI” while others use “GenAI” etc. and other model specific terms. The above-mentioned 20 articles that were deliberately selected were identified consistently and repeatably, not by an unstructured keyword search, but through this structured Boolean strategy that adds to the methodological transparency of the secondary data collection process described in this section.</w:t>
      </w:r>
    </w:p>
    <w:p w14:paraId="26F76ECD">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All sources have been given a well-defined time frame: only resources created since 2021 have been added. Two justifications for this cut-off. The first is that the state of Generative AI in the form it has been widely used for the last few years (around 2021 and after) would be significantly different. Secondly, by filtering down to the 2021 onwards period, the organisational and financial evidence that has been reviewed is not of a period that is not representative of M&amp;S's present trading model. However, it relates to its transformation strategy as an organisation and its trading recovery from the pandemic. For this reason, sources published prior to 2021 are intentionally excluded from the main evidence base, except for earlier foundational theory (e.g., the Dynamic Capabilities View) that is still valid for its conceptual, but not empirical, contribution.</w:t>
      </w:r>
    </w:p>
    <w:p w14:paraId="7D627B6C">
      <w:pPr>
        <w:pStyle w:val="3"/>
        <w:rPr>
          <w:lang w:val="en-GB"/>
        </w:rPr>
      </w:pPr>
      <w:bookmarkStart w:id="57" w:name="_Toc237357938"/>
      <w:bookmarkStart w:id="58" w:name="_Toc234746174"/>
      <w:r>
        <w:rPr>
          <w:lang w:val="en-GB"/>
        </w:rPr>
        <w:t>3.6 Data Analysis</w:t>
      </w:r>
      <w:bookmarkEnd w:id="57"/>
      <w:bookmarkEnd w:id="58"/>
    </w:p>
    <w:p w14:paraId="4625CCFA">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 20 journal articles and the accompanying organisation and finance reports are analysed using thematic analysis. This logical progression from chapter to chapter is intentional: it lets the analysis in Chapter Four flow logically from any gaps and theoretical framing of the literature review, and not as a disjointed analytical pattern. In each theme, sources are not presented one after another in a summary but are evaluated critically, such as when there are conflicting opinions. For instance, between the more optimistic technical perspective on the potential for forecasting improvements and the more realistic organisational perspectives on the challenges of scaling up from pilot to store-wide use. Sources are not presented one after another, simply summarised at each other's strengths, but are critically contrasted, such as when there are opposing views. For example, between the more optimistic technical understanding of the potential for forecasting improvements and the more realistic organisational understanding of the difficulties of scaling from pilot to store-wide use. The financial and technology-report evidence is used specifically to test and to situate the claims in the academic literature against what M&amp;S has actually done and disclosed which directly operationalizes the single case justification set out in Section 3.4.</w:t>
      </w:r>
    </w:p>
    <w:p w14:paraId="33357EA5">
      <w:pPr>
        <w:pStyle w:val="3"/>
        <w:rPr>
          <w:lang w:val="en-GB"/>
        </w:rPr>
      </w:pPr>
      <w:bookmarkStart w:id="59" w:name="_Toc234746175"/>
      <w:bookmarkStart w:id="60" w:name="_Toc237357939"/>
      <w:r>
        <w:rPr>
          <w:lang w:val="en-GB"/>
        </w:rPr>
        <w:t>3.7 Ethical Considerations</w:t>
      </w:r>
      <w:bookmarkEnd w:id="59"/>
      <w:bookmarkEnd w:id="60"/>
    </w:p>
    <w:p w14:paraId="26484208">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Ethical risk is minimal as it is a secondary qualitative study with only publicly available reported journal articles, annual reports, industry reports and financial disclosures about technology, and not involving human participants or primary data collection or access to confidential organisational information. However, general good practice has been adhered to. All sources have been accurately attributed and referenced according to the university's Harvard referencing convention, avoiding misrepresentation of authors' findings. Where M&amp;S has provided its own corporate disclosures, these are clearly specified as part of its organisation’s agenda and if they are found in the information they are triangulated with the independent academic and industry literature, not taken on their own as evidence. No data has been fabricated, modified or selectively reported to support an a priori conclusion and the process of selecting 20 articles has been documented in a way that allows the underlying basis for inclusion and exclusion to be transparent and repeatable.</w:t>
      </w:r>
    </w:p>
    <w:p w14:paraId="3D19E853">
      <w:pPr>
        <w:pStyle w:val="3"/>
        <w:rPr>
          <w:lang w:val="en-GB"/>
        </w:rPr>
      </w:pPr>
      <w:bookmarkStart w:id="61" w:name="_Toc234746176"/>
      <w:bookmarkStart w:id="62" w:name="_Toc237357940"/>
      <w:r>
        <w:rPr>
          <w:lang w:val="en-GB"/>
        </w:rPr>
        <w:t>3.8 Limitations of the Methodology</w:t>
      </w:r>
      <w:bookmarkEnd w:id="61"/>
      <w:bookmarkEnd w:id="62"/>
    </w:p>
    <w:p w14:paraId="25F29391">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Because of the use of secondary data, this study is not able to directly assess the implementation processes used within M&amp;S, but will need to rely on the implementation processes that have been made public by the organisation and third parties, which could minimise the problems faced in the organisation or overestimate its benefits. Twenty journal articles were selected for this purpose so as to provide thematic coverage, but it is not a systematic, comprehensive review of the field, and thus includes some researcher judgement in the selection of articles. These restrictions are recognised here and reviewed in Chapter Five where the implications for the generalisability of the findings is discussed.</w:t>
      </w:r>
    </w:p>
    <w:p w14:paraId="6613EC3A">
      <w:pPr>
        <w:pStyle w:val="3"/>
        <w:rPr>
          <w:lang w:val="en-GB"/>
        </w:rPr>
      </w:pPr>
      <w:bookmarkStart w:id="63" w:name="_Toc234746177"/>
      <w:bookmarkStart w:id="64" w:name="_Toc237357941"/>
      <w:r>
        <w:rPr>
          <w:lang w:val="en-GB"/>
        </w:rPr>
        <w:t>3.9 Chapter summary</w:t>
      </w:r>
      <w:bookmarkEnd w:id="63"/>
      <w:bookmarkEnd w:id="64"/>
    </w:p>
    <w:p w14:paraId="255A6302">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 study has warranted the interpretivist and inductive nature of this secondary qualitative case study, which is based on twenty journal articles that were purposefully selected from the year 2021 to date, supplemented by M&amp;S's annual reports and industry and technology-based reports and financial statements from the same period. This design directly addresses the three research gaps outlined in Chapter Two, allowing an organisation level, critically synthesised account of M&amp;S's use of Generative AI for forecasting and inventory optimisation. The findings from the sources selected are presented and analysed using this methodology in Chapter Four.</w:t>
      </w:r>
    </w:p>
    <w:p w14:paraId="33FAA966">
      <w:pP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br w:type="page"/>
      </w:r>
    </w:p>
    <w:p w14:paraId="3241770A">
      <w:pPr>
        <w:pStyle w:val="2"/>
      </w:pPr>
      <w:bookmarkStart w:id="65" w:name="_Toc237357942"/>
      <w:bookmarkStart w:id="66" w:name="_Toc235781986"/>
      <w:r>
        <w:t>Chapter 4: Findings / Results, Analysis and Discussion</w:t>
      </w:r>
      <w:bookmarkEnd w:id="65"/>
      <w:bookmarkEnd w:id="66"/>
    </w:p>
    <w:p w14:paraId="148081F8">
      <w:pPr>
        <w:pStyle w:val="3"/>
        <w:rPr>
          <w:lang w:val="en-GB"/>
        </w:rPr>
      </w:pPr>
      <w:bookmarkStart w:id="67" w:name="_Toc237357943"/>
      <w:bookmarkStart w:id="68" w:name="_Toc235781987"/>
      <w:r>
        <w:rPr>
          <w:lang w:val="en-GB"/>
        </w:rPr>
        <w:t>4.1 Chapter Introduction</w:t>
      </w:r>
      <w:bookmarkEnd w:id="67"/>
      <w:bookmarkEnd w:id="68"/>
    </w:p>
    <w:p w14:paraId="2106B793">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 secondary qualitative evidence base outlined in Chapter Three, consisting of twenty purposefully selected journal articles, and M&amp;S's annual reports, industry and technology reports, and financial disclosures, is presented, analysed and discussed in this chapter in a critical manner. The findings are grouped under the same 4 themes which are forecasting, inventory optimisation, organisational application and opportunities and constraints, to maintain the analytical flow of the findings and to ensure that the findings are transparent and traceable. Each theme is explored in two ways: firstly, an examination of what the evidence reveals, secondly, a discussion of how the findings relate to, extend or challenge the broader literature and the theoretical lens provided in Section 2.6 (Dynamic Capabilities View and Technology-Organisation-Environment framework). Whilst doing this, the focus is on areas of agreement, disagreement and why, and each theme is summarised at the end in terms of its specific implications for M&amp;S, addressing the three Research Objectives, directly. This chapter also utilises additional, more recent peer-reviewed journal literature (published since 2021), to further enrich Theme Two (on omnichannel store operations) and Theme Three (on e-commerce). This is specifically because the findings chapter does not only rely on Chapter Two's evidence, against M&amp;S's own disclosures, but can also test these disclosures against broader, sector level academic research on omnichannel operations and AI value creation in M&amp;S.</w:t>
      </w:r>
    </w:p>
    <w:p w14:paraId="2028718B">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This chapter brings together 20 peer-reviewed articles from 2021 onwards and M&amp;S corporate evidence. The research questions are explored within four themes: forecasting, inventory optimisation, organisational application and opportunities/constraints. RELEX is AI-based predictive planning for forecasting, replenishment and allocation, it is not GenAI based forecasting, SymphonyAI is AI store intelligence, not necessarily GenAI.</w:t>
      </w:r>
    </w:p>
    <w:p w14:paraId="55DC28B4">
      <w:pPr>
        <w:pStyle w:val="3"/>
        <w:rPr>
          <w:lang w:val="en-GB"/>
        </w:rPr>
      </w:pPr>
      <w:bookmarkStart w:id="69" w:name="_Toc237357944"/>
      <w:r>
        <w:rPr>
          <w:lang w:val="en-GB"/>
        </w:rPr>
        <w:t>4.2 Data summary and findings</w:t>
      </w:r>
      <w:bookmarkEnd w:id="69"/>
      <w:r>
        <w:rPr>
          <w:lang w:val="en-GB"/>
        </w:rPr>
        <w:t xml:space="preserve"> </w:t>
      </w:r>
    </w:p>
    <w:tbl>
      <w:tblPr>
        <w:tblStyle w:val="9"/>
        <w:tblW w:w="5000" w:type="pct"/>
        <w:tblInd w:w="0" w:type="dxa"/>
        <w:tblLayout w:type="fixed"/>
        <w:tblCellMar>
          <w:top w:w="15" w:type="dxa"/>
          <w:left w:w="15" w:type="dxa"/>
          <w:bottom w:w="15" w:type="dxa"/>
          <w:right w:w="15" w:type="dxa"/>
        </w:tblCellMar>
      </w:tblPr>
      <w:tblGrid>
        <w:gridCol w:w="510"/>
        <w:gridCol w:w="1368"/>
        <w:gridCol w:w="2904"/>
        <w:gridCol w:w="1163"/>
        <w:gridCol w:w="2470"/>
        <w:gridCol w:w="1145"/>
      </w:tblGrid>
      <w:tr w14:paraId="6C6EB7C5">
        <w:tblPrEx>
          <w:tblCellMar>
            <w:top w:w="15" w:type="dxa"/>
            <w:left w:w="15" w:type="dxa"/>
            <w:bottom w:w="15" w:type="dxa"/>
            <w:right w:w="15" w:type="dxa"/>
          </w:tblCellMar>
        </w:tblPrEx>
        <w:tc>
          <w:tcPr>
            <w:tcW w:w="26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2E2E715">
            <w:pPr>
              <w:jc w:val="center"/>
              <w:rPr>
                <w:b/>
                <w:bCs/>
                <w:color w:val="000000" w:themeColor="text1"/>
                <w:sz w:val="24"/>
                <w:szCs w:val="24"/>
                <w:lang w:val="en-GB"/>
                <w14:textFill>
                  <w14:solidFill>
                    <w14:schemeClr w14:val="tx1"/>
                  </w14:solidFill>
                </w14:textFill>
              </w:rPr>
            </w:pPr>
            <w:r>
              <w:rPr>
                <w:b/>
                <w:bCs/>
                <w:color w:val="000000" w:themeColor="text1"/>
                <w:sz w:val="24"/>
                <w:szCs w:val="24"/>
                <w:lang w:val="en-GB"/>
                <w14:textFill>
                  <w14:solidFill>
                    <w14:schemeClr w14:val="tx1"/>
                  </w14:solidFill>
                </w14:textFill>
              </w:rPr>
              <w:t>Sl. no</w:t>
            </w:r>
          </w:p>
        </w:tc>
        <w:tc>
          <w:tcPr>
            <w:tcW w:w="71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5C7E453">
            <w:pPr>
              <w:jc w:val="center"/>
              <w:rPr>
                <w:b/>
                <w:bCs/>
                <w:color w:val="000000" w:themeColor="text1"/>
                <w:sz w:val="24"/>
                <w:szCs w:val="24"/>
                <w:lang w:val="en-GB"/>
                <w14:textFill>
                  <w14:solidFill>
                    <w14:schemeClr w14:val="tx1"/>
                  </w14:solidFill>
                </w14:textFill>
              </w:rPr>
            </w:pPr>
            <w:r>
              <w:rPr>
                <w:b/>
                <w:bCs/>
                <w:color w:val="000000" w:themeColor="text1"/>
                <w:sz w:val="24"/>
                <w:szCs w:val="24"/>
                <w:lang w:val="en-GB"/>
                <w14:textFill>
                  <w14:solidFill>
                    <w14:schemeClr w14:val="tx1"/>
                  </w14:solidFill>
                </w14:textFill>
              </w:rPr>
              <w:t>Author, year</w:t>
            </w:r>
          </w:p>
        </w:tc>
        <w:tc>
          <w:tcPr>
            <w:tcW w:w="1519"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08F19DF">
            <w:pPr>
              <w:jc w:val="center"/>
              <w:rPr>
                <w:b/>
                <w:bCs/>
                <w:color w:val="000000" w:themeColor="text1"/>
                <w:sz w:val="24"/>
                <w:szCs w:val="24"/>
                <w:lang w:val="en-GB"/>
                <w14:textFill>
                  <w14:solidFill>
                    <w14:schemeClr w14:val="tx1"/>
                  </w14:solidFill>
                </w14:textFill>
              </w:rPr>
            </w:pPr>
            <w:r>
              <w:rPr>
                <w:b/>
                <w:bCs/>
                <w:color w:val="000000" w:themeColor="text1"/>
                <w:sz w:val="24"/>
                <w:szCs w:val="24"/>
                <w:lang w:val="en-GB"/>
                <w14:textFill>
                  <w14:solidFill>
                    <w14:schemeClr w14:val="tx1"/>
                  </w14:solidFill>
                </w14:textFill>
              </w:rPr>
              <w:t>Title</w:t>
            </w:r>
          </w:p>
        </w:tc>
        <w:tc>
          <w:tcPr>
            <w:tcW w:w="608"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CE0520F">
            <w:pPr>
              <w:jc w:val="center"/>
              <w:rPr>
                <w:b/>
                <w:bCs/>
                <w:color w:val="000000" w:themeColor="text1"/>
                <w:sz w:val="24"/>
                <w:szCs w:val="24"/>
                <w:lang w:val="en-GB"/>
                <w14:textFill>
                  <w14:solidFill>
                    <w14:schemeClr w14:val="tx1"/>
                  </w14:solidFill>
                </w14:textFill>
              </w:rPr>
            </w:pPr>
            <w:r>
              <w:rPr>
                <w:b/>
                <w:bCs/>
                <w:color w:val="000000" w:themeColor="text1"/>
                <w:sz w:val="24"/>
                <w:szCs w:val="24"/>
                <w:lang w:val="en-GB"/>
                <w14:textFill>
                  <w14:solidFill>
                    <w14:schemeClr w14:val="tx1"/>
                  </w14:solidFill>
                </w14:textFill>
              </w:rPr>
              <w:t>Method</w:t>
            </w:r>
          </w:p>
        </w:tc>
        <w:tc>
          <w:tcPr>
            <w:tcW w:w="1292"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4B8DF51">
            <w:pPr>
              <w:jc w:val="center"/>
              <w:rPr>
                <w:b/>
                <w:bCs/>
                <w:color w:val="000000" w:themeColor="text1"/>
                <w:sz w:val="24"/>
                <w:szCs w:val="24"/>
                <w:lang w:val="en-GB"/>
                <w14:textFill>
                  <w14:solidFill>
                    <w14:schemeClr w14:val="tx1"/>
                  </w14:solidFill>
                </w14:textFill>
              </w:rPr>
            </w:pPr>
            <w:r>
              <w:rPr>
                <w:b/>
                <w:bCs/>
                <w:color w:val="000000" w:themeColor="text1"/>
                <w:sz w:val="24"/>
                <w:szCs w:val="24"/>
                <w:lang w:val="en-GB"/>
                <w14:textFill>
                  <w14:solidFill>
                    <w14:schemeClr w14:val="tx1"/>
                  </w14:solidFill>
                </w14:textFill>
              </w:rPr>
              <w:t>Finding</w:t>
            </w:r>
          </w:p>
        </w:tc>
        <w:tc>
          <w:tcPr>
            <w:tcW w:w="600"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35C0669">
            <w:pPr>
              <w:jc w:val="center"/>
              <w:rPr>
                <w:b/>
                <w:bCs/>
                <w:color w:val="000000" w:themeColor="text1"/>
                <w:sz w:val="24"/>
                <w:szCs w:val="24"/>
                <w:lang w:val="en-GB"/>
                <w14:textFill>
                  <w14:solidFill>
                    <w14:schemeClr w14:val="tx1"/>
                  </w14:solidFill>
                </w14:textFill>
              </w:rPr>
            </w:pPr>
            <w:r>
              <w:rPr>
                <w:b/>
                <w:bCs/>
                <w:color w:val="000000" w:themeColor="text1"/>
                <w:sz w:val="24"/>
                <w:szCs w:val="24"/>
                <w:lang w:val="en-GB"/>
                <w14:textFill>
                  <w14:solidFill>
                    <w14:schemeClr w14:val="tx1"/>
                  </w14:solidFill>
                </w14:textFill>
              </w:rPr>
              <w:t>1st order theme</w:t>
            </w:r>
          </w:p>
        </w:tc>
      </w:tr>
      <w:tr w14:paraId="4B8D04E3">
        <w:tblPrEx>
          <w:tblCellMar>
            <w:top w:w="15" w:type="dxa"/>
            <w:left w:w="15" w:type="dxa"/>
            <w:bottom w:w="15" w:type="dxa"/>
            <w:right w:w="15" w:type="dxa"/>
          </w:tblCellMar>
        </w:tblPrEx>
        <w:tc>
          <w:tcPr>
            <w:tcW w:w="26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E8CE14C">
            <w:pP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1</w:t>
            </w:r>
          </w:p>
        </w:tc>
        <w:tc>
          <w:tcPr>
            <w:tcW w:w="71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DAC0DA2">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Cao, 2021</w:t>
            </w:r>
          </w:p>
        </w:tc>
        <w:tc>
          <w:tcPr>
            <w:tcW w:w="1519"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C93BE6B">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Artificial intelligence in retail: Applications and value creation logics. International journal of Retail &amp; distribution management</w:t>
            </w:r>
          </w:p>
        </w:tc>
        <w:tc>
          <w:tcPr>
            <w:tcW w:w="608"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AFCDC0D">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Primary method </w:t>
            </w:r>
          </w:p>
        </w:tc>
        <w:tc>
          <w:tcPr>
            <w:tcW w:w="1292"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19295A6">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 54 retailers are ones that generate AI value through automation, personalisation, complementarity and innovation.</w:t>
            </w:r>
          </w:p>
        </w:tc>
        <w:tc>
          <w:tcPr>
            <w:tcW w:w="600"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F83BA41">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Valuing AI</w:t>
            </w:r>
          </w:p>
        </w:tc>
      </w:tr>
      <w:tr w14:paraId="5B0E94D1">
        <w:tblPrEx>
          <w:tblCellMar>
            <w:top w:w="15" w:type="dxa"/>
            <w:left w:w="15" w:type="dxa"/>
            <w:bottom w:w="15" w:type="dxa"/>
            <w:right w:w="15" w:type="dxa"/>
          </w:tblCellMar>
        </w:tblPrEx>
        <w:tc>
          <w:tcPr>
            <w:tcW w:w="26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C0157EC">
            <w:pP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2</w:t>
            </w:r>
          </w:p>
        </w:tc>
        <w:tc>
          <w:tcPr>
            <w:tcW w:w="71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A96E24F">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Guha</w:t>
            </w:r>
            <w:r>
              <w:rPr>
                <w:i/>
                <w:iCs/>
                <w:color w:val="000000" w:themeColor="text1"/>
                <w:sz w:val="24"/>
                <w:szCs w:val="24"/>
                <w:lang w:val="en-GB"/>
                <w14:textFill>
                  <w14:solidFill>
                    <w14:schemeClr w14:val="tx1"/>
                  </w14:solidFill>
                </w14:textFill>
              </w:rPr>
              <w:t xml:space="preserve"> et al. </w:t>
            </w:r>
            <w:r>
              <w:rPr>
                <w:color w:val="000000" w:themeColor="text1"/>
                <w:sz w:val="24"/>
                <w:szCs w:val="24"/>
                <w:lang w:val="en-GB"/>
                <w14:textFill>
                  <w14:solidFill>
                    <w14:schemeClr w14:val="tx1"/>
                  </w14:solidFill>
                </w14:textFill>
              </w:rPr>
              <w:t>2021</w:t>
            </w:r>
          </w:p>
        </w:tc>
        <w:tc>
          <w:tcPr>
            <w:tcW w:w="1519"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974C7FD">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How artificial intelligence will affect the future of Retailing</w:t>
            </w:r>
          </w:p>
        </w:tc>
        <w:tc>
          <w:tcPr>
            <w:tcW w:w="608"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0292634">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Primary interview </w:t>
            </w:r>
          </w:p>
        </w:tc>
        <w:tc>
          <w:tcPr>
            <w:tcW w:w="1292"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5AB64F2">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 value of the customer-facing use, the online context and ethics of using AI matter.</w:t>
            </w:r>
          </w:p>
        </w:tc>
        <w:tc>
          <w:tcPr>
            <w:tcW w:w="600"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B4C5967">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GenAI adoption</w:t>
            </w:r>
          </w:p>
        </w:tc>
      </w:tr>
      <w:tr w14:paraId="0488D467">
        <w:tblPrEx>
          <w:tblCellMar>
            <w:top w:w="15" w:type="dxa"/>
            <w:left w:w="15" w:type="dxa"/>
            <w:bottom w:w="15" w:type="dxa"/>
            <w:right w:w="15" w:type="dxa"/>
          </w:tblCellMar>
        </w:tblPrEx>
        <w:tc>
          <w:tcPr>
            <w:tcW w:w="26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96FEBF1">
            <w:pP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3</w:t>
            </w:r>
          </w:p>
        </w:tc>
        <w:tc>
          <w:tcPr>
            <w:tcW w:w="71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5BB6A79">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Fildes, Ma and Kolassa, 2022</w:t>
            </w:r>
          </w:p>
        </w:tc>
        <w:tc>
          <w:tcPr>
            <w:tcW w:w="1519"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1F06957">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Retail forecasting: Research and Practice</w:t>
            </w:r>
          </w:p>
        </w:tc>
        <w:tc>
          <w:tcPr>
            <w:tcW w:w="608"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F061017">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Literature review </w:t>
            </w:r>
          </w:p>
        </w:tc>
        <w:tc>
          <w:tcPr>
            <w:tcW w:w="1292"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6A401F9">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Traditional models lack the ability to cope with promotions, short product cycles and fluctuating retail demand.</w:t>
            </w:r>
          </w:p>
        </w:tc>
        <w:tc>
          <w:tcPr>
            <w:tcW w:w="600"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CEC691A">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Demand forecasting</w:t>
            </w:r>
          </w:p>
        </w:tc>
      </w:tr>
      <w:tr w14:paraId="2427FA71">
        <w:tblPrEx>
          <w:tblCellMar>
            <w:top w:w="15" w:type="dxa"/>
            <w:left w:w="15" w:type="dxa"/>
            <w:bottom w:w="15" w:type="dxa"/>
            <w:right w:w="15" w:type="dxa"/>
          </w:tblCellMar>
        </w:tblPrEx>
        <w:tc>
          <w:tcPr>
            <w:tcW w:w="26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049319D">
            <w:pP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4</w:t>
            </w:r>
          </w:p>
        </w:tc>
        <w:tc>
          <w:tcPr>
            <w:tcW w:w="71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300FE5E">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Hübner, Hense and Dethlefs, 2022</w:t>
            </w:r>
          </w:p>
        </w:tc>
        <w:tc>
          <w:tcPr>
            <w:tcW w:w="1519"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82B4E0A">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 revival of retail stores via omnichannel operations: A literature review and research framework.</w:t>
            </w:r>
          </w:p>
        </w:tc>
        <w:tc>
          <w:tcPr>
            <w:tcW w:w="608"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05DB311">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Literature review </w:t>
            </w:r>
          </w:p>
        </w:tc>
        <w:tc>
          <w:tcPr>
            <w:tcW w:w="1292"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5AB806C">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Appropriate demand forecasting, fulfilment location and inventory </w:t>
            </w:r>
          </w:p>
        </w:tc>
        <w:tc>
          <w:tcPr>
            <w:tcW w:w="600"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F6A82C8">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Omnichannel market assumptions</w:t>
            </w:r>
          </w:p>
        </w:tc>
      </w:tr>
      <w:tr w14:paraId="765F6E22">
        <w:tblPrEx>
          <w:tblCellMar>
            <w:top w:w="15" w:type="dxa"/>
            <w:left w:w="15" w:type="dxa"/>
            <w:bottom w:w="15" w:type="dxa"/>
            <w:right w:w="15" w:type="dxa"/>
          </w:tblCellMar>
        </w:tblPrEx>
        <w:tc>
          <w:tcPr>
            <w:tcW w:w="26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CBF74FA">
            <w:pP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5</w:t>
            </w:r>
          </w:p>
        </w:tc>
        <w:tc>
          <w:tcPr>
            <w:tcW w:w="71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7F76FF0">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Richey </w:t>
            </w:r>
            <w:r>
              <w:rPr>
                <w:i/>
                <w:iCs/>
                <w:color w:val="000000" w:themeColor="text1"/>
                <w:sz w:val="24"/>
                <w:szCs w:val="24"/>
                <w:lang w:val="en-GB"/>
                <w14:textFill>
                  <w14:solidFill>
                    <w14:schemeClr w14:val="tx1"/>
                  </w14:solidFill>
                </w14:textFill>
              </w:rPr>
              <w:t xml:space="preserve">et al. </w:t>
            </w:r>
            <w:r>
              <w:rPr>
                <w:color w:val="000000" w:themeColor="text1"/>
                <w:sz w:val="24"/>
                <w:szCs w:val="24"/>
                <w:lang w:val="en-GB"/>
                <w14:textFill>
                  <w14:solidFill>
                    <w14:schemeClr w14:val="tx1"/>
                  </w14:solidFill>
                </w14:textFill>
              </w:rPr>
              <w:t>2023</w:t>
            </w:r>
          </w:p>
        </w:tc>
        <w:tc>
          <w:tcPr>
            <w:tcW w:w="1519"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A8E3136">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Artificial Intelligence in Logistics and Supply Chain management: A Primer and Roadmap for Research.</w:t>
            </w:r>
          </w:p>
        </w:tc>
        <w:tc>
          <w:tcPr>
            <w:tcW w:w="608"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C02DB74">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Literature review </w:t>
            </w:r>
          </w:p>
        </w:tc>
        <w:tc>
          <w:tcPr>
            <w:tcW w:w="1292"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4A9CE47">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Outcome of the study for AI research, with some evidence of implementation at organisation level.</w:t>
            </w:r>
          </w:p>
        </w:tc>
        <w:tc>
          <w:tcPr>
            <w:tcW w:w="600"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15B4B2B">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Implementation of AI is widespread</w:t>
            </w:r>
          </w:p>
        </w:tc>
      </w:tr>
      <w:tr w14:paraId="575B9E27">
        <w:tblPrEx>
          <w:tblCellMar>
            <w:top w:w="15" w:type="dxa"/>
            <w:left w:w="15" w:type="dxa"/>
            <w:bottom w:w="15" w:type="dxa"/>
            <w:right w:w="15" w:type="dxa"/>
          </w:tblCellMar>
        </w:tblPrEx>
        <w:tc>
          <w:tcPr>
            <w:tcW w:w="26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611136D">
            <w:pP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6</w:t>
            </w:r>
          </w:p>
        </w:tc>
        <w:tc>
          <w:tcPr>
            <w:tcW w:w="71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82306DB">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Culot, Podrecca and Nassimbeni, 2024</w:t>
            </w:r>
          </w:p>
        </w:tc>
        <w:tc>
          <w:tcPr>
            <w:tcW w:w="1519"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2CAB343">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Artificial Intelligence in Supply Chain management: a Systematic Literature Review of Empirical Studies and Research Directions</w:t>
            </w:r>
          </w:p>
        </w:tc>
        <w:tc>
          <w:tcPr>
            <w:tcW w:w="608"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54BD18F">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Systematic literature review </w:t>
            </w:r>
          </w:p>
        </w:tc>
        <w:tc>
          <w:tcPr>
            <w:tcW w:w="1292"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8B3019D">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AI promises are great but it's not yet easy to implement.</w:t>
            </w:r>
          </w:p>
        </w:tc>
        <w:tc>
          <w:tcPr>
            <w:tcW w:w="600"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651B363">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Scale-up GenAI</w:t>
            </w:r>
          </w:p>
        </w:tc>
      </w:tr>
      <w:tr w14:paraId="3FBA829B">
        <w:tblPrEx>
          <w:tblCellMar>
            <w:top w:w="15" w:type="dxa"/>
            <w:left w:w="15" w:type="dxa"/>
            <w:bottom w:w="15" w:type="dxa"/>
            <w:right w:w="15" w:type="dxa"/>
          </w:tblCellMar>
        </w:tblPrEx>
        <w:tc>
          <w:tcPr>
            <w:tcW w:w="26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0CF190E">
            <w:pP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7</w:t>
            </w:r>
          </w:p>
        </w:tc>
        <w:tc>
          <w:tcPr>
            <w:tcW w:w="71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4011496">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Hassani, and Silva, 2024</w:t>
            </w:r>
          </w:p>
        </w:tc>
        <w:tc>
          <w:tcPr>
            <w:tcW w:w="1519"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87FAAEA">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Predictions from Generative Artificial Intelligence Models: Towards a New Benchmark in Forecasting Practice</w:t>
            </w:r>
          </w:p>
        </w:tc>
        <w:tc>
          <w:tcPr>
            <w:tcW w:w="608"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4CCA67A">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Primary conceptual framework </w:t>
            </w:r>
          </w:p>
        </w:tc>
        <w:tc>
          <w:tcPr>
            <w:tcW w:w="1292"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A1B7D80">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There is a lack of experience with GenAI supporting scenario forecasting from richer information, in live-retail.</w:t>
            </w:r>
          </w:p>
        </w:tc>
        <w:tc>
          <w:tcPr>
            <w:tcW w:w="600"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BAA4F8C">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Adoption of GenAI</w:t>
            </w:r>
          </w:p>
        </w:tc>
      </w:tr>
      <w:tr w14:paraId="0ECD5CA8">
        <w:tblPrEx>
          <w:tblCellMar>
            <w:top w:w="15" w:type="dxa"/>
            <w:left w:w="15" w:type="dxa"/>
            <w:bottom w:w="15" w:type="dxa"/>
            <w:right w:w="15" w:type="dxa"/>
          </w:tblCellMar>
        </w:tblPrEx>
        <w:tc>
          <w:tcPr>
            <w:tcW w:w="26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131387E">
            <w:pP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8</w:t>
            </w:r>
          </w:p>
        </w:tc>
        <w:tc>
          <w:tcPr>
            <w:tcW w:w="71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8511EDB">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Maghroor </w:t>
            </w:r>
            <w:r>
              <w:rPr>
                <w:i/>
                <w:iCs/>
                <w:color w:val="000000" w:themeColor="text1"/>
                <w:sz w:val="24"/>
                <w:szCs w:val="24"/>
                <w:lang w:val="en-GB"/>
                <w14:textFill>
                  <w14:solidFill>
                    <w14:schemeClr w14:val="tx1"/>
                  </w14:solidFill>
                </w14:textFill>
              </w:rPr>
              <w:t>et al</w:t>
            </w:r>
            <w:r>
              <w:rPr>
                <w:color w:val="000000" w:themeColor="text1"/>
                <w:sz w:val="24"/>
                <w:szCs w:val="24"/>
                <w:lang w:val="en-GB"/>
                <w14:textFill>
                  <w14:solidFill>
                    <w14:schemeClr w14:val="tx1"/>
                  </w14:solidFill>
                </w14:textFill>
              </w:rPr>
              <w:t>. 2025</w:t>
            </w:r>
          </w:p>
        </w:tc>
        <w:tc>
          <w:tcPr>
            <w:tcW w:w="1519"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B196C62">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Leveraging Generative AI for sustainable supply chain: Adoption challenges and strategic insights.</w:t>
            </w:r>
          </w:p>
        </w:tc>
        <w:tc>
          <w:tcPr>
            <w:tcW w:w="608"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95FC79E">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Secondary conceptual </w:t>
            </w:r>
          </w:p>
        </w:tc>
        <w:tc>
          <w:tcPr>
            <w:tcW w:w="1292"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A79ADF9">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 barriers to GenAI adoption are: Readiness, regulation and organisational alignment.</w:t>
            </w:r>
          </w:p>
          <w:p w14:paraId="6913FE6C">
            <w:pPr>
              <w:spacing w:line="360" w:lineRule="auto"/>
              <w:jc w:val="both"/>
              <w:rPr>
                <w:color w:val="000000" w:themeColor="text1"/>
                <w:sz w:val="24"/>
                <w:szCs w:val="24"/>
                <w:lang w:val="en-GB"/>
                <w14:textFill>
                  <w14:solidFill>
                    <w14:schemeClr w14:val="tx1"/>
                  </w14:solidFill>
                </w14:textFill>
              </w:rPr>
            </w:pPr>
          </w:p>
        </w:tc>
        <w:tc>
          <w:tcPr>
            <w:tcW w:w="600"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F1474B0">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Constraints for GenAI adoption</w:t>
            </w:r>
          </w:p>
        </w:tc>
      </w:tr>
      <w:tr w14:paraId="4C228EB7">
        <w:tblPrEx>
          <w:tblCellMar>
            <w:top w:w="15" w:type="dxa"/>
            <w:left w:w="15" w:type="dxa"/>
            <w:bottom w:w="15" w:type="dxa"/>
            <w:right w:w="15" w:type="dxa"/>
          </w:tblCellMar>
        </w:tblPrEx>
        <w:tc>
          <w:tcPr>
            <w:tcW w:w="26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7684EE7">
            <w:pP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9</w:t>
            </w:r>
          </w:p>
        </w:tc>
        <w:tc>
          <w:tcPr>
            <w:tcW w:w="71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7A7E4C2">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Claudia, Francisco and Alexandre, 2025</w:t>
            </w:r>
          </w:p>
        </w:tc>
        <w:tc>
          <w:tcPr>
            <w:tcW w:w="1519"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EFFD597">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 use of artificial intelligence in supply chain management: systematic literature review and future research directions.</w:t>
            </w:r>
          </w:p>
        </w:tc>
        <w:tc>
          <w:tcPr>
            <w:tcW w:w="608"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7B21072">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Systematic literature review </w:t>
            </w:r>
          </w:p>
        </w:tc>
        <w:tc>
          <w:tcPr>
            <w:tcW w:w="1292"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52DB25E">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AI has the potential to enhance the supply-chain. </w:t>
            </w:r>
          </w:p>
        </w:tc>
        <w:tc>
          <w:tcPr>
            <w:tcW w:w="600"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5208888">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GenAi implementation </w:t>
            </w:r>
          </w:p>
        </w:tc>
      </w:tr>
      <w:tr w14:paraId="28E0EDA5">
        <w:tblPrEx>
          <w:tblCellMar>
            <w:top w:w="15" w:type="dxa"/>
            <w:left w:w="15" w:type="dxa"/>
            <w:bottom w:w="15" w:type="dxa"/>
            <w:right w:w="15" w:type="dxa"/>
          </w:tblCellMar>
        </w:tblPrEx>
        <w:tc>
          <w:tcPr>
            <w:tcW w:w="26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4C9DCFE">
            <w:pP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10</w:t>
            </w:r>
          </w:p>
        </w:tc>
        <w:tc>
          <w:tcPr>
            <w:tcW w:w="71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F2FE64C">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Chowdhury, Paul and Rozony, 2025</w:t>
            </w:r>
          </w:p>
        </w:tc>
        <w:tc>
          <w:tcPr>
            <w:tcW w:w="1519"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BA2CC45">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A SYSTEMATIC REVIEW OF DEMAND FORECASTING MODELS FOR RETAIL E-COMMERCE ENHANCING ACCURACY IN INVENTORY AND DELIVERY PLANNING.</w:t>
            </w:r>
          </w:p>
        </w:tc>
        <w:tc>
          <w:tcPr>
            <w:tcW w:w="608"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F836B08">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Systematic literature review</w:t>
            </w:r>
          </w:p>
        </w:tc>
        <w:tc>
          <w:tcPr>
            <w:tcW w:w="1292"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FADBDF7">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Hybrid forecasting can help increase accuracy, but is not necessarily transferable to live retailers.</w:t>
            </w:r>
          </w:p>
        </w:tc>
        <w:tc>
          <w:tcPr>
            <w:tcW w:w="600"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75D7F15">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Demand forecasting </w:t>
            </w:r>
          </w:p>
        </w:tc>
      </w:tr>
      <w:tr w14:paraId="486CA63E">
        <w:tblPrEx>
          <w:tblCellMar>
            <w:top w:w="15" w:type="dxa"/>
            <w:left w:w="15" w:type="dxa"/>
            <w:bottom w:w="15" w:type="dxa"/>
            <w:right w:w="15" w:type="dxa"/>
          </w:tblCellMar>
        </w:tblPrEx>
        <w:tc>
          <w:tcPr>
            <w:tcW w:w="26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809A270">
            <w:pP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11</w:t>
            </w:r>
          </w:p>
        </w:tc>
        <w:tc>
          <w:tcPr>
            <w:tcW w:w="71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4A9982E">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Xu, 2025</w:t>
            </w:r>
          </w:p>
        </w:tc>
        <w:tc>
          <w:tcPr>
            <w:tcW w:w="1519"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93FC8FE">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Promotion path of digital transformation in retail industry based on technology-organisation-environment framework.</w:t>
            </w:r>
          </w:p>
        </w:tc>
        <w:tc>
          <w:tcPr>
            <w:tcW w:w="608"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F0E9F87">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Secondary framework analysis</w:t>
            </w:r>
          </w:p>
        </w:tc>
        <w:tc>
          <w:tcPr>
            <w:tcW w:w="1292"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F0ABD36">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Retail transformation is reliant on technology, organizational readiness and environmental conditions.</w:t>
            </w:r>
          </w:p>
        </w:tc>
        <w:tc>
          <w:tcPr>
            <w:tcW w:w="600"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A0978D1">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Application of TOE framework</w:t>
            </w:r>
          </w:p>
        </w:tc>
      </w:tr>
      <w:tr w14:paraId="1B2594C9">
        <w:tblPrEx>
          <w:tblCellMar>
            <w:top w:w="15" w:type="dxa"/>
            <w:left w:w="15" w:type="dxa"/>
            <w:bottom w:w="15" w:type="dxa"/>
            <w:right w:w="15" w:type="dxa"/>
          </w:tblCellMar>
        </w:tblPrEx>
        <w:tc>
          <w:tcPr>
            <w:tcW w:w="26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B327AD5">
            <w:pP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12</w:t>
            </w:r>
          </w:p>
        </w:tc>
        <w:tc>
          <w:tcPr>
            <w:tcW w:w="71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A9EFCD8">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Abouelrous, Gabor and Zhang, 2022</w:t>
            </w:r>
          </w:p>
        </w:tc>
        <w:tc>
          <w:tcPr>
            <w:tcW w:w="1519"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056BE8A">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Optimizing the inventory and fulfillment of an omnichannel retailer: A stochastic approach with scenario clustering</w:t>
            </w:r>
          </w:p>
        </w:tc>
        <w:tc>
          <w:tcPr>
            <w:tcW w:w="608"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AD88655">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Primary framework analysis </w:t>
            </w:r>
          </w:p>
        </w:tc>
        <w:tc>
          <w:tcPr>
            <w:tcW w:w="1292"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FA62852">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Allocating store-online can result in reduced expected cost for integrated inventory/fulfilment decisions.</w:t>
            </w:r>
          </w:p>
        </w:tc>
        <w:tc>
          <w:tcPr>
            <w:tcW w:w="600"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465A988">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Omnichannel  market customisation </w:t>
            </w:r>
          </w:p>
        </w:tc>
      </w:tr>
      <w:tr w14:paraId="0A9B6A58">
        <w:tblPrEx>
          <w:tblCellMar>
            <w:top w:w="15" w:type="dxa"/>
            <w:left w:w="15" w:type="dxa"/>
            <w:bottom w:w="15" w:type="dxa"/>
            <w:right w:w="15" w:type="dxa"/>
          </w:tblCellMar>
        </w:tblPrEx>
        <w:tc>
          <w:tcPr>
            <w:tcW w:w="26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BC99659">
            <w:pP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13</w:t>
            </w:r>
          </w:p>
        </w:tc>
        <w:tc>
          <w:tcPr>
            <w:tcW w:w="71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F999811">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Mejía and Aguilar, 2024</w:t>
            </w:r>
          </w:p>
        </w:tc>
        <w:tc>
          <w:tcPr>
            <w:tcW w:w="1519"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26BA5CE">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A demand forecasting system of product categories defined by their time series using a hybrid approach of ensemble learning with feature engineering</w:t>
            </w:r>
          </w:p>
        </w:tc>
        <w:tc>
          <w:tcPr>
            <w:tcW w:w="608"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6C4C3AE">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Empirical methodology </w:t>
            </w:r>
          </w:p>
        </w:tc>
        <w:tc>
          <w:tcPr>
            <w:tcW w:w="1292"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59396A5">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Hybrid models are used to deal with heterogeneous product demand, and the choice of model should reflect series behaviour.</w:t>
            </w:r>
          </w:p>
        </w:tc>
        <w:tc>
          <w:tcPr>
            <w:tcW w:w="600"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A0706C4">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Fitting into GenAI model</w:t>
            </w:r>
          </w:p>
        </w:tc>
      </w:tr>
      <w:tr w14:paraId="4AF428D1">
        <w:tblPrEx>
          <w:tblCellMar>
            <w:top w:w="15" w:type="dxa"/>
            <w:left w:w="15" w:type="dxa"/>
            <w:bottom w:w="15" w:type="dxa"/>
            <w:right w:w="15" w:type="dxa"/>
          </w:tblCellMar>
        </w:tblPrEx>
        <w:tc>
          <w:tcPr>
            <w:tcW w:w="26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74B5CFB">
            <w:pP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14</w:t>
            </w:r>
          </w:p>
        </w:tc>
        <w:tc>
          <w:tcPr>
            <w:tcW w:w="71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13AC6B2">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Perez </w:t>
            </w:r>
            <w:r>
              <w:rPr>
                <w:i/>
                <w:iCs/>
                <w:color w:val="000000" w:themeColor="text1"/>
                <w:sz w:val="24"/>
                <w:szCs w:val="24"/>
                <w:lang w:val="en-GB"/>
                <w14:textFill>
                  <w14:solidFill>
                    <w14:schemeClr w14:val="tx1"/>
                  </w14:solidFill>
                </w14:textFill>
              </w:rPr>
              <w:t>et al.,</w:t>
            </w:r>
            <w:r>
              <w:rPr>
                <w:color w:val="000000" w:themeColor="text1"/>
                <w:sz w:val="24"/>
                <w:szCs w:val="24"/>
                <w:lang w:val="en-GB"/>
                <w14:textFill>
                  <w14:solidFill>
                    <w14:schemeClr w14:val="tx1"/>
                  </w14:solidFill>
                </w14:textFill>
              </w:rPr>
              <w:t xml:space="preserve"> 2021</w:t>
            </w:r>
          </w:p>
        </w:tc>
        <w:tc>
          <w:tcPr>
            <w:tcW w:w="1519"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6E59FBC">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Algorithmic approaches to inventory management optimization</w:t>
            </w:r>
          </w:p>
        </w:tc>
        <w:tc>
          <w:tcPr>
            <w:tcW w:w="608"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22DDFEA">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Primary methodology </w:t>
            </w:r>
          </w:p>
        </w:tc>
        <w:tc>
          <w:tcPr>
            <w:tcW w:w="1292"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4F3EE26">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Algorithmic optimization deals with the problems of uncertainty in demand, lead time and capacity</w:t>
            </w:r>
          </w:p>
        </w:tc>
        <w:tc>
          <w:tcPr>
            <w:tcW w:w="600"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D03EEFC">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Inventory optimisation </w:t>
            </w:r>
          </w:p>
        </w:tc>
      </w:tr>
      <w:tr w14:paraId="45CABC28">
        <w:tblPrEx>
          <w:tblCellMar>
            <w:top w:w="15" w:type="dxa"/>
            <w:left w:w="15" w:type="dxa"/>
            <w:bottom w:w="15" w:type="dxa"/>
            <w:right w:w="15" w:type="dxa"/>
          </w:tblCellMar>
        </w:tblPrEx>
        <w:tc>
          <w:tcPr>
            <w:tcW w:w="26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3CEA9BA">
            <w:pP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15</w:t>
            </w:r>
          </w:p>
        </w:tc>
        <w:tc>
          <w:tcPr>
            <w:tcW w:w="71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A520934">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Sharma </w:t>
            </w:r>
            <w:r>
              <w:rPr>
                <w:i/>
                <w:iCs/>
                <w:color w:val="000000" w:themeColor="text1"/>
                <w:sz w:val="24"/>
                <w:szCs w:val="24"/>
                <w:lang w:val="en-GB"/>
                <w14:textFill>
                  <w14:solidFill>
                    <w14:schemeClr w14:val="tx1"/>
                  </w14:solidFill>
                </w14:textFill>
              </w:rPr>
              <w:t xml:space="preserve">et al., </w:t>
            </w:r>
            <w:r>
              <w:rPr>
                <w:color w:val="000000" w:themeColor="text1"/>
                <w:sz w:val="24"/>
                <w:szCs w:val="24"/>
                <w:lang w:val="en-GB"/>
                <w14:textFill>
                  <w14:solidFill>
                    <w14:schemeClr w14:val="tx1"/>
                  </w14:solidFill>
                </w14:textFill>
              </w:rPr>
              <w:t>2025</w:t>
            </w:r>
          </w:p>
        </w:tc>
        <w:tc>
          <w:tcPr>
            <w:tcW w:w="1519"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837F86B">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Machine learning in supply chain management</w:t>
            </w:r>
          </w:p>
        </w:tc>
        <w:tc>
          <w:tcPr>
            <w:tcW w:w="608"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641E355">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Secondary methodology </w:t>
            </w:r>
          </w:p>
        </w:tc>
        <w:tc>
          <w:tcPr>
            <w:tcW w:w="1292"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8BB1224">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ML can help with better demand forecasting, stock control, operations decision making, and respond to disruptions. These capabilities can enhance operational efficiency, customer satisfaction and competitive performance, the study states.</w:t>
            </w:r>
          </w:p>
        </w:tc>
        <w:tc>
          <w:tcPr>
            <w:tcW w:w="600"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BB3B5E2">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Using machine learning and predictive analytics for supply-chain optimisation.</w:t>
            </w:r>
          </w:p>
          <w:p w14:paraId="385591E4">
            <w:pPr>
              <w:spacing w:line="360" w:lineRule="auto"/>
              <w:jc w:val="both"/>
              <w:rPr>
                <w:color w:val="000000" w:themeColor="text1"/>
                <w:sz w:val="24"/>
                <w:szCs w:val="24"/>
                <w:lang w:val="en-GB"/>
                <w14:textFill>
                  <w14:solidFill>
                    <w14:schemeClr w14:val="tx1"/>
                  </w14:solidFill>
                </w14:textFill>
              </w:rPr>
            </w:pPr>
          </w:p>
        </w:tc>
      </w:tr>
      <w:tr w14:paraId="657716AA">
        <w:tblPrEx>
          <w:tblCellMar>
            <w:top w:w="15" w:type="dxa"/>
            <w:left w:w="15" w:type="dxa"/>
            <w:bottom w:w="15" w:type="dxa"/>
            <w:right w:w="15" w:type="dxa"/>
          </w:tblCellMar>
        </w:tblPrEx>
        <w:tc>
          <w:tcPr>
            <w:tcW w:w="26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DA12CB1">
            <w:pP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16</w:t>
            </w:r>
          </w:p>
        </w:tc>
        <w:tc>
          <w:tcPr>
            <w:tcW w:w="71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B3C33D3">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Wamba </w:t>
            </w:r>
            <w:r>
              <w:rPr>
                <w:i/>
                <w:iCs/>
                <w:color w:val="000000" w:themeColor="text1"/>
                <w:sz w:val="24"/>
                <w:szCs w:val="24"/>
                <w:lang w:val="en-GB"/>
                <w14:textFill>
                  <w14:solidFill>
                    <w14:schemeClr w14:val="tx1"/>
                  </w14:solidFill>
                </w14:textFill>
              </w:rPr>
              <w:t xml:space="preserve">et al., </w:t>
            </w:r>
            <w:r>
              <w:rPr>
                <w:color w:val="000000" w:themeColor="text1"/>
                <w:sz w:val="24"/>
                <w:szCs w:val="24"/>
                <w:lang w:val="en-GB"/>
                <w14:textFill>
                  <w14:solidFill>
                    <w14:schemeClr w14:val="tx1"/>
                  </w14:solidFill>
                </w14:textFill>
              </w:rPr>
              <w:t>2023</w:t>
            </w:r>
          </w:p>
        </w:tc>
        <w:tc>
          <w:tcPr>
            <w:tcW w:w="1519"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F9D2854">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ChatGPT and generative artificial intelligence: An exploratory study of key benefits and challenges in operations and supply chain management</w:t>
            </w:r>
          </w:p>
        </w:tc>
        <w:tc>
          <w:tcPr>
            <w:tcW w:w="608"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B20EFF6">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Primary methodology with survey design </w:t>
            </w:r>
          </w:p>
        </w:tc>
        <w:tc>
          <w:tcPr>
            <w:tcW w:w="1292"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9A29B38">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Projects vary from being proof of concept to full implementation; UK/US companies are seeing benefits in operation, but challenges around data, technology and organisation are limiting uptake.</w:t>
            </w:r>
          </w:p>
        </w:tc>
        <w:tc>
          <w:tcPr>
            <w:tcW w:w="600"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E296792">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GenAI adoption </w:t>
            </w:r>
          </w:p>
        </w:tc>
      </w:tr>
      <w:tr w14:paraId="5E7E35F8">
        <w:tblPrEx>
          <w:tblCellMar>
            <w:top w:w="15" w:type="dxa"/>
            <w:left w:w="15" w:type="dxa"/>
            <w:bottom w:w="15" w:type="dxa"/>
            <w:right w:w="15" w:type="dxa"/>
          </w:tblCellMar>
        </w:tblPrEx>
        <w:tc>
          <w:tcPr>
            <w:tcW w:w="26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4AD74AA">
            <w:pP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17</w:t>
            </w:r>
          </w:p>
        </w:tc>
        <w:tc>
          <w:tcPr>
            <w:tcW w:w="71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D616FBB">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Ye </w:t>
            </w:r>
            <w:r>
              <w:rPr>
                <w:i/>
                <w:iCs/>
                <w:color w:val="000000" w:themeColor="text1"/>
                <w:sz w:val="24"/>
                <w:szCs w:val="24"/>
                <w:lang w:val="en-GB"/>
                <w14:textFill>
                  <w14:solidFill>
                    <w14:schemeClr w14:val="tx1"/>
                  </w14:solidFill>
                </w14:textFill>
              </w:rPr>
              <w:t>et al.</w:t>
            </w:r>
            <w:r>
              <w:rPr>
                <w:color w:val="000000" w:themeColor="text1"/>
                <w:sz w:val="24"/>
                <w:szCs w:val="24"/>
                <w:lang w:val="en-GB"/>
                <w14:textFill>
                  <w14:solidFill>
                    <w14:schemeClr w14:val="tx1"/>
                  </w14:solidFill>
                </w14:textFill>
              </w:rPr>
              <w:t>, 2024</w:t>
            </w:r>
          </w:p>
        </w:tc>
        <w:tc>
          <w:tcPr>
            <w:tcW w:w="1519"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E0827D6">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Forecasting seasonal demand for retail: A fourier time-varying grey model</w:t>
            </w:r>
          </w:p>
        </w:tc>
        <w:tc>
          <w:tcPr>
            <w:tcW w:w="608"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9ECFA7B">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Empirical forecasting model </w:t>
            </w:r>
          </w:p>
        </w:tc>
        <w:tc>
          <w:tcPr>
            <w:tcW w:w="1292"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352344C">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According to data from M5, a Fourier model can beat the benchmark seasonal models.</w:t>
            </w:r>
          </w:p>
          <w:p w14:paraId="43AD2BDD">
            <w:pPr>
              <w:spacing w:line="360" w:lineRule="auto"/>
              <w:jc w:val="both"/>
              <w:rPr>
                <w:color w:val="000000" w:themeColor="text1"/>
                <w:sz w:val="24"/>
                <w:szCs w:val="24"/>
                <w:lang w:val="en-GB"/>
                <w14:textFill>
                  <w14:solidFill>
                    <w14:schemeClr w14:val="tx1"/>
                  </w14:solidFill>
                </w14:textFill>
              </w:rPr>
            </w:pPr>
          </w:p>
        </w:tc>
        <w:tc>
          <w:tcPr>
            <w:tcW w:w="600"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5789879">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Seasonality implementation </w:t>
            </w:r>
          </w:p>
        </w:tc>
      </w:tr>
      <w:tr w14:paraId="1F0CF7EA">
        <w:tblPrEx>
          <w:tblCellMar>
            <w:top w:w="15" w:type="dxa"/>
            <w:left w:w="15" w:type="dxa"/>
            <w:bottom w:w="15" w:type="dxa"/>
            <w:right w:w="15" w:type="dxa"/>
          </w:tblCellMar>
        </w:tblPrEx>
        <w:tc>
          <w:tcPr>
            <w:tcW w:w="26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AE94708">
            <w:pP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18</w:t>
            </w:r>
          </w:p>
        </w:tc>
        <w:tc>
          <w:tcPr>
            <w:tcW w:w="71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256D2E0">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Ünal, Erkayman and Usanmaz, 2023</w:t>
            </w:r>
          </w:p>
        </w:tc>
        <w:tc>
          <w:tcPr>
            <w:tcW w:w="1519"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7E4B476">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Applications of artificial intelligence in inventory management: A systematic review of the literature</w:t>
            </w:r>
          </w:p>
        </w:tc>
        <w:tc>
          <w:tcPr>
            <w:tcW w:w="608"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BEC11F2">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Systematic literature review </w:t>
            </w:r>
          </w:p>
        </w:tc>
        <w:tc>
          <w:tcPr>
            <w:tcW w:w="1292"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A794D27">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There are 59 studies documenting increasing use of AI; inventory is often done using machine learning.</w:t>
            </w:r>
          </w:p>
        </w:tc>
        <w:tc>
          <w:tcPr>
            <w:tcW w:w="600"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A919BA5">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Inventory management through AI</w:t>
            </w:r>
          </w:p>
        </w:tc>
      </w:tr>
      <w:tr w14:paraId="698845E3">
        <w:tblPrEx>
          <w:tblCellMar>
            <w:top w:w="15" w:type="dxa"/>
            <w:left w:w="15" w:type="dxa"/>
            <w:bottom w:w="15" w:type="dxa"/>
            <w:right w:w="15" w:type="dxa"/>
          </w:tblCellMar>
        </w:tblPrEx>
        <w:tc>
          <w:tcPr>
            <w:tcW w:w="26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F8F7FDC">
            <w:pP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19</w:t>
            </w:r>
          </w:p>
        </w:tc>
        <w:tc>
          <w:tcPr>
            <w:tcW w:w="71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F28E912">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Koneti, Aserkar and Bhoola, 2026</w:t>
            </w:r>
          </w:p>
        </w:tc>
        <w:tc>
          <w:tcPr>
            <w:tcW w:w="1519"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F8242AF">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AI-Based Predictive Analytics for demand forecasting and inventory efficiency</w:t>
            </w:r>
          </w:p>
        </w:tc>
        <w:tc>
          <w:tcPr>
            <w:tcW w:w="608"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3452A08">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Secondary framework modelling </w:t>
            </w:r>
          </w:p>
        </w:tc>
        <w:tc>
          <w:tcPr>
            <w:tcW w:w="1292"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F6A7BDA">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 proposed framework provides better averaged point and probabilistic forecast accuracy than typical baseline forecasts, and fewer days of supply and stockouts under lead-time and promotion scenarios. Data pipelines, governance, explainability and ERP/APS integration are also identified as implementation requirements.</w:t>
            </w:r>
          </w:p>
        </w:tc>
        <w:tc>
          <w:tcPr>
            <w:tcW w:w="600"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31E3947">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Forecasting customer demand and optimizing inventory.</w:t>
            </w:r>
          </w:p>
        </w:tc>
      </w:tr>
      <w:tr w14:paraId="2778EBEF">
        <w:tblPrEx>
          <w:tblCellMar>
            <w:top w:w="15" w:type="dxa"/>
            <w:left w:w="15" w:type="dxa"/>
            <w:bottom w:w="15" w:type="dxa"/>
            <w:right w:w="15" w:type="dxa"/>
          </w:tblCellMar>
        </w:tblPrEx>
        <w:tc>
          <w:tcPr>
            <w:tcW w:w="26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BEE014A">
            <w:pP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20</w:t>
            </w:r>
          </w:p>
        </w:tc>
        <w:tc>
          <w:tcPr>
            <w:tcW w:w="716"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4B435F8">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Karpagavigneswari and Kamali, 2025</w:t>
            </w:r>
          </w:p>
        </w:tc>
        <w:tc>
          <w:tcPr>
            <w:tcW w:w="1519"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0874CDF">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Intelligent inventory demand forecasting: Using chaos theory and optimization for supply chain resilience</w:t>
            </w:r>
          </w:p>
        </w:tc>
        <w:tc>
          <w:tcPr>
            <w:tcW w:w="608"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19D08CA">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Secondary quantitative methodology </w:t>
            </w:r>
          </w:p>
        </w:tc>
        <w:tc>
          <w:tcPr>
            <w:tcW w:w="1292"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066F7F0">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 RPO-LM model is an advanced model for the problem of forecasting uncertain demand, variable lead times and supply disruptions. The study shows how optimisation-based forecasting can aid in making informed inventory decisions and ensuring the robust supply chain.</w:t>
            </w:r>
          </w:p>
        </w:tc>
        <w:tc>
          <w:tcPr>
            <w:tcW w:w="600"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94281C4">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Using AI for predictive demand forecasting and inventory optimization.</w:t>
            </w:r>
          </w:p>
        </w:tc>
      </w:tr>
    </w:tbl>
    <w:p w14:paraId="58AB6571">
      <w:pPr>
        <w:pStyle w:val="7"/>
        <w:rPr>
          <w:b w:val="0"/>
          <w:lang w:val="en-GB"/>
        </w:rPr>
      </w:pPr>
      <w:bookmarkStart w:id="70" w:name="_Toc237786281"/>
      <w:r>
        <w:rPr>
          <w:lang w:val="en-GB"/>
        </w:rPr>
        <w:t>Table 4.1: Data summary table</w:t>
      </w:r>
      <w:bookmarkEnd w:id="70"/>
    </w:p>
    <w:p w14:paraId="766DE340">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As illustrated in Table 4.1, AI/ML can enhance forecasting and inventory decisions, however, the outcome is largely determined by the model's fit, the data, integration and organisational readiness. While there is more empirical literature available for predictive analytics than for GenAI in live retail, there is still a great deal more that must be explored.</w:t>
      </w:r>
    </w:p>
    <w:p w14:paraId="19BD49E3">
      <w:pPr>
        <w:pStyle w:val="3"/>
        <w:rPr>
          <w:lang w:val="en-GB"/>
        </w:rPr>
      </w:pPr>
      <w:bookmarkStart w:id="71" w:name="_Toc237357945"/>
      <w:bookmarkStart w:id="72" w:name="_Toc235781988"/>
      <w:r>
        <w:rPr>
          <w:lang w:val="en-GB"/>
        </w:rPr>
        <w:t>4.3 The results of the findings</w:t>
      </w:r>
      <w:bookmarkEnd w:id="71"/>
      <w:bookmarkEnd w:id="72"/>
      <w:r>
        <w:rPr>
          <w:lang w:val="en-GB"/>
        </w:rPr>
        <w:t> </w:t>
      </w:r>
    </w:p>
    <w:p w14:paraId="0DC847E2">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For each of the four themes, there is a consistent pattern in the evidence base that is extensively positive about the ability of Generative AI (GenAI) to enhance forecasting and inventory results, whereas literature from an organisational perspective and M&amp;S' recent experience is more sceptical about implementation, scale and operational resilience.</w:t>
      </w:r>
    </w:p>
    <w:p w14:paraId="577A6857">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On the forecasting side, Fildes, Ma and Kolassa (2022) show that traditional statistical forecasting fails when promotions are introduced, and when demand is volatile, as is the case in M&amp;S's food and clothing business. Whereas, Hassani and Silva (2024) and Chowdhury, Paul and Rozony (2025) argue that GenAI and hybrid deep-learning models can overcome this lack of statistical forecasting on conceptual or simulated evidence. The findings from Culot, Podrecca and Nassimbeni (2024) are echoed by the reported reorder benefits of AI in principle, with M&amp;S realising this in the UK and Ireland, where they deployed the RELEX Solutions platform in over 1,000 food stores, and also their investment in an automated food distribution centre (Corporate.marksandspencer, 2025). In terms of organisational application, Richey </w:t>
      </w:r>
      <w:r>
        <w:rPr>
          <w:i/>
          <w:iCs/>
          <w:color w:val="000000" w:themeColor="text1"/>
          <w:sz w:val="24"/>
          <w:szCs w:val="24"/>
          <w:lang w:val="en-GB"/>
          <w14:textFill>
            <w14:solidFill>
              <w14:schemeClr w14:val="tx1"/>
            </w14:solidFill>
          </w14:textFill>
        </w:rPr>
        <w:t>et al.</w:t>
      </w:r>
      <w:r>
        <w:rPr>
          <w:color w:val="000000" w:themeColor="text1"/>
          <w:sz w:val="24"/>
          <w:szCs w:val="24"/>
          <w:lang w:val="en-GB"/>
          <w14:textFill>
            <w14:solidFill>
              <w14:schemeClr w14:val="tx1"/>
            </w14:solidFill>
          </w14:textFill>
        </w:rPr>
        <w:t xml:space="preserve"> (2023) and Claudia, Francisco and Alexandre (2025) confirm that, so far, AI-in-logistics research is not yet concrete but rather conceptual, except for the few examples cited – M&amp;S's SymphonyAI and RELEX – which are documented by M&amp;S corporate and trade sources, and not by independent research, as Zaytsev (2023) notes. On the opportunity and constraints side, M&amp;S reported revenue growth for food of 17.5% and for clothing and home of 11.4% compared to 2021/22, which highlights the potential upside (Corporate.marksandspencer, 2024). Maghroor </w:t>
      </w:r>
      <w:r>
        <w:rPr>
          <w:i/>
          <w:iCs/>
          <w:color w:val="000000" w:themeColor="text1"/>
          <w:sz w:val="24"/>
          <w:szCs w:val="24"/>
          <w:lang w:val="en-GB"/>
          <w14:textFill>
            <w14:solidFill>
              <w14:schemeClr w14:val="tx1"/>
            </w14:solidFill>
          </w14:textFill>
        </w:rPr>
        <w:t>et al.</w:t>
      </w:r>
      <w:r>
        <w:rPr>
          <w:color w:val="000000" w:themeColor="text1"/>
          <w:sz w:val="24"/>
          <w:szCs w:val="24"/>
          <w:lang w:val="en-GB"/>
          <w14:textFill>
            <w14:solidFill>
              <w14:schemeClr w14:val="tx1"/>
            </w14:solidFill>
          </w14:textFill>
        </w:rPr>
        <w:t xml:space="preserve"> (2025) elaborated the April 2025 cyberattack, which impacted M&amp;S's forecasting and stock systems for some 15 weeks and resulted in a loss of estimated £300 million in operating profit. The socio-technical and operational risk that goes hand in hand with deep reliance on interconnected, AI-enabled systems (Zero100, 2025).</w:t>
      </w:r>
    </w:p>
    <w:p w14:paraId="0E01B723">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On organisational breadth, M&amp;S uses generative AI to write most of its online product descriptions and also to power the personalised homepages as part of their AI-driven personalisation engine for style &amp; fit (which has been acquired by M&amp;S as Thread) and has engaged more than 450,000 customers (DigitalDefynd, 2025). Retailers in the Clothing and Home merchandising category use AI-powered customer-intelligence tools from M&amp;S partners.  First Insight, o9 and PTC; retailers in Customer Contact use Google Cloud's speech-recognition AI. The broad evidence base is leveraged in Theme Three below to build the analysis beyond a narrow forecasting-and-inventory understanding of GenAI at M&amp;S to a more complete organisational understanding of GenAI.</w:t>
      </w:r>
    </w:p>
    <w:p w14:paraId="72DB71E9">
      <w:pPr>
        <w:pStyle w:val="3"/>
        <w:rPr>
          <w:lang w:val="en-GB"/>
        </w:rPr>
      </w:pPr>
      <w:bookmarkStart w:id="73" w:name="_Toc237357946"/>
      <w:bookmarkStart w:id="74" w:name="_Toc235781989"/>
      <w:r>
        <w:rPr>
          <w:lang w:val="en-GB"/>
        </w:rPr>
        <w:t>4.4 Thematic Analysis</w:t>
      </w:r>
      <w:bookmarkEnd w:id="73"/>
      <w:bookmarkEnd w:id="74"/>
    </w:p>
    <w:p w14:paraId="67ADDA53">
      <w:pPr>
        <w:pStyle w:val="4"/>
        <w:rPr>
          <w:lang w:val="en-GB"/>
        </w:rPr>
      </w:pPr>
      <w:bookmarkStart w:id="75" w:name="_Toc235781990"/>
      <w:bookmarkStart w:id="76" w:name="_Toc237357947"/>
      <w:r>
        <w:rPr>
          <w:lang w:val="en-GB"/>
        </w:rPr>
        <w:t>4.4.1 Theme One: Traditional Forecasting to Generative AI-Driven Demand Prediction</w:t>
      </w:r>
      <w:bookmarkEnd w:id="75"/>
      <w:bookmarkEnd w:id="76"/>
    </w:p>
    <w:p w14:paraId="139D8489">
      <w:pPr>
        <w:spacing w:line="360" w:lineRule="auto"/>
        <w:jc w:val="both"/>
        <w:rPr>
          <w:b/>
          <w:bCs/>
          <w:i/>
          <w:iCs/>
          <w:color w:val="000000" w:themeColor="text1"/>
          <w:sz w:val="24"/>
          <w:szCs w:val="24"/>
          <w:lang w:val="en-GB"/>
          <w14:textFill>
            <w14:solidFill>
              <w14:schemeClr w14:val="tx1"/>
            </w14:solidFill>
          </w14:textFill>
        </w:rPr>
      </w:pPr>
      <w:r>
        <w:rPr>
          <w:b/>
          <w:bCs/>
          <w:i/>
          <w:iCs/>
          <w:color w:val="000000" w:themeColor="text1"/>
          <w:sz w:val="24"/>
          <w:szCs w:val="24"/>
          <w:lang w:val="en-GB"/>
          <w14:textFill>
            <w14:solidFill>
              <w14:schemeClr w14:val="tx1"/>
            </w14:solidFill>
          </w14:textFill>
        </w:rPr>
        <w:t>4.4.1.1 Analysis of Findings</w:t>
      </w:r>
    </w:p>
    <w:p w14:paraId="1CF24234">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 evidence shows that the usual time-series forecasting technique does not fit the trading pattern of M&amp;S. Fildes, Ma and Kolassa (2022) demonstrate that the classical models work well in more stable demand conditions, but fail to work well when facing promotions and short product life cycles, which are common occurrences in M&amp;S food business as well as their seasonal clothing and home range. Conceptually, Hassani and Silva (2024) mitigate this limitation by considering that GenAI can access non-structured information, like social sentiment and macroeconomic commentaries, which enables scenario forecasting. A systematic review by Chowdhury, Paul and Rozony (2025) also arrives at similar results, concluding that an integration of deep learning and real-time external data is more effective than the use of statistical models alone. Food revenue increased 17.5% and clothing and home revenue went up 11.4% compared to 2021/22 as a base (Corporate.marksandspencer, 2024), which is the time the RELEX-based forecasting rollout was happening across over 1,000 food stores (GlobalData, 2023). When taken at face value, this pattern supports the idea that GenAI-supported forecasting can have a positive impact on retail performance. However, as the same period was the time of multiple transformation projects occurring simultaneously, the growth figures cannot be attributed to forecasting alone, and should be interpreted as directionally rather than as hard evidence.</w:t>
      </w:r>
    </w:p>
    <w:p w14:paraId="4AB75E9C">
      <w:pPr>
        <w:spacing w:line="360" w:lineRule="auto"/>
        <w:jc w:val="center"/>
        <w:rPr>
          <w:color w:val="000000" w:themeColor="text1"/>
          <w:sz w:val="24"/>
          <w:szCs w:val="24"/>
          <w:lang w:val="en-GB"/>
          <w14:textFill>
            <w14:solidFill>
              <w14:schemeClr w14:val="tx1"/>
            </w14:solidFill>
          </w14:textFill>
        </w:rPr>
      </w:pPr>
      <w:r>
        <w:rPr>
          <w:color w:val="000000" w:themeColor="text1"/>
          <w:lang w:val="en-GB"/>
          <w14:textFill>
            <w14:solidFill>
              <w14:schemeClr w14:val="tx1"/>
            </w14:solidFill>
          </w14:textFill>
        </w:rPr>
        <w:drawing>
          <wp:inline distT="0" distB="0" distL="0" distR="0">
            <wp:extent cx="5943600" cy="3594100"/>
            <wp:effectExtent l="0" t="0" r="0" b="6350"/>
            <wp:docPr id="722774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774127" name="Picture 1"/>
                    <pic:cNvPicPr>
                      <a:picLocks noChangeAspect="1"/>
                    </pic:cNvPicPr>
                  </pic:nvPicPr>
                  <pic:blipFill>
                    <a:blip r:embed="rId21"/>
                    <a:stretch>
                      <a:fillRect/>
                    </a:stretch>
                  </pic:blipFill>
                  <pic:spPr>
                    <a:xfrm>
                      <a:off x="0" y="0"/>
                      <a:ext cx="5943600" cy="3594100"/>
                    </a:xfrm>
                    <a:prstGeom prst="rect">
                      <a:avLst/>
                    </a:prstGeom>
                  </pic:spPr>
                </pic:pic>
              </a:graphicData>
            </a:graphic>
          </wp:inline>
        </w:drawing>
      </w:r>
    </w:p>
    <w:p w14:paraId="2D2DEBC1">
      <w:pPr>
        <w:pStyle w:val="6"/>
        <w:rPr>
          <w:lang w:val="en-GB"/>
        </w:rPr>
      </w:pPr>
      <w:bookmarkStart w:id="77" w:name="_Toc237786251"/>
      <w:r>
        <w:rPr>
          <w:lang w:val="en-GB"/>
        </w:rPr>
        <w:t>Figure 4.1: Revenue of food division of M&amp;S</w:t>
      </w:r>
      <w:bookmarkEnd w:id="77"/>
    </w:p>
    <w:p w14:paraId="3596B5B8">
      <w:pPr>
        <w:spacing w:line="360" w:lineRule="auto"/>
        <w:jc w:val="cente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(Source: statista, 2025)</w:t>
      </w:r>
    </w:p>
    <w:p w14:paraId="5F497F28">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Under promotions, short life cycles and volatility, conventional retail forecasting becomes weaker as demonstrated by Fildes, Ma and Kolassa (2022). When model choice is informed by product behaviour, Mejía and Aguilar (2024), Ye </w:t>
      </w:r>
      <w:r>
        <w:rPr>
          <w:i/>
          <w:iCs/>
          <w:color w:val="000000" w:themeColor="text1"/>
          <w:sz w:val="24"/>
          <w:szCs w:val="24"/>
          <w:lang w:val="en-GB"/>
          <w14:textFill>
            <w14:solidFill>
              <w14:schemeClr w14:val="tx1"/>
            </w14:solidFill>
          </w14:textFill>
        </w:rPr>
        <w:t>et al.</w:t>
      </w:r>
      <w:r>
        <w:rPr>
          <w:color w:val="000000" w:themeColor="text1"/>
          <w:sz w:val="24"/>
          <w:szCs w:val="24"/>
          <w:lang w:val="en-GB"/>
          <w14:textFill>
            <w14:solidFill>
              <w14:schemeClr w14:val="tx1"/>
            </w14:solidFill>
          </w14:textFill>
        </w:rPr>
        <w:t xml:space="preserve"> (2024) demonstrate that hybrid, ML and seasonal approaches can enhance forecast accuracy. The research by Hassani and Silva (2024) is also conceptual and outlines the possibilities of scenario forecasting with GenAI.</w:t>
      </w:r>
    </w:p>
    <w:p w14:paraId="14E294D8">
      <w:pPr>
        <w:spacing w:line="360" w:lineRule="auto"/>
        <w:jc w:val="both"/>
        <w:rPr>
          <w:b/>
          <w:bCs/>
          <w:i/>
          <w:iCs/>
          <w:color w:val="000000" w:themeColor="text1"/>
          <w:sz w:val="24"/>
          <w:szCs w:val="24"/>
          <w:lang w:val="en-GB"/>
          <w14:textFill>
            <w14:solidFill>
              <w14:schemeClr w14:val="tx1"/>
            </w14:solidFill>
          </w14:textFill>
        </w:rPr>
      </w:pPr>
      <w:r>
        <w:rPr>
          <w:b/>
          <w:bCs/>
          <w:i/>
          <w:iCs/>
          <w:color w:val="000000" w:themeColor="text1"/>
          <w:sz w:val="24"/>
          <w:szCs w:val="24"/>
          <w:lang w:val="en-GB"/>
          <w14:textFill>
            <w14:solidFill>
              <w14:schemeClr w14:val="tx1"/>
            </w14:solidFill>
          </w14:textFill>
        </w:rPr>
        <w:t>4.4.1.2 Findings in Relation to Literature</w:t>
      </w:r>
    </w:p>
    <w:p w14:paraId="5374CEAD">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 present results are part of a good but not complete dialogue with the broader literature. In keeping with this, both Hassani and Silva (2024) and Chowdhury, Paul and Rozony (2025) confirm that GenAI is a better option than classical forecasting, but both use conceptual models and/or models based on simulated retail settings, not a real retailer with many product categories. M&amp;S's reported growth in sales is therefore the best available independently sourced real-world evidence of the claim, but is not peer-reviewed data because it is sourced from the company's own reporting. As per the opinion of Liu (2022), the improvement from the Dynamic Capabilities View is more likely to be due to M&amp;S's ability to recognise the shortcomings of their traditional forecasting method and restructure their systems in response to RELEX than to GenAI alone. This aligns with the theoretical lenses set up in Section 2.6 that prioritises organisational capability over GenAI in isolation. One likely reason for this difference with the technical literature is that M&amp;S forecasts failure under "general retail conditions". While Hassani and Silva (2024) and Chowdhury, Paul and Rozony (2025) forecast improvement under "favourable, curated" conditions. The M&amp;S’s trading environment lies somewhere in the middle of the spectrum, and therefore the growth figures should be interpreted as indicative rather than definitive. This means that M&amp;S should keep investing in GenAI-fuelled forecasting because the trend of the evidence supports it, but must first be proven effective for individual food and clothing KPIs before the claims that GenAI can be used throughout the business are generalised.</w:t>
      </w:r>
    </w:p>
    <w:p w14:paraId="38F31E42">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M&amp;S implemented RELEX in over 1,000 Food stores in the UK &amp; Ireland. This is aimed at predictive analytics, not towards a claim of GenAI forecasting. There is a 7.0% increase in food sales to £9.719bn in 2025/26, with M&amp;S pointing to various factors behind the performance. Thus, the 7.0% increase cannot be attributed to an AI forecasting effect alone. In relation to RQ1 the response is guarded, noting the potential operational relevance of predictive analytics, but caution that evidence around the forecasting accuracy of GenAI is still not established at M&amp;S.</w:t>
      </w:r>
    </w:p>
    <w:p w14:paraId="4329A321">
      <w:pPr>
        <w:pStyle w:val="4"/>
        <w:rPr>
          <w:lang w:val="en-GB"/>
        </w:rPr>
      </w:pPr>
      <w:bookmarkStart w:id="78" w:name="_Toc237357948"/>
      <w:bookmarkStart w:id="79" w:name="_Toc235781991"/>
      <w:r>
        <w:rPr>
          <w:lang w:val="en-GB"/>
        </w:rPr>
        <w:t>4.4.2 Theme Two: Optimising Inventory Using AI at M&amp;S</w:t>
      </w:r>
      <w:bookmarkEnd w:id="78"/>
      <w:bookmarkEnd w:id="79"/>
    </w:p>
    <w:p w14:paraId="2F64127D">
      <w:pPr>
        <w:spacing w:line="360" w:lineRule="auto"/>
        <w:jc w:val="both"/>
        <w:rPr>
          <w:b/>
          <w:bCs/>
          <w:i/>
          <w:iCs/>
          <w:color w:val="000000" w:themeColor="text1"/>
          <w:sz w:val="24"/>
          <w:szCs w:val="24"/>
          <w:lang w:val="en-GB"/>
          <w14:textFill>
            <w14:solidFill>
              <w14:schemeClr w14:val="tx1"/>
            </w14:solidFill>
          </w14:textFill>
        </w:rPr>
      </w:pPr>
      <w:r>
        <w:rPr>
          <w:b/>
          <w:bCs/>
          <w:i/>
          <w:iCs/>
          <w:color w:val="000000" w:themeColor="text1"/>
          <w:sz w:val="24"/>
          <w:szCs w:val="24"/>
          <w:lang w:val="en-GB"/>
          <w14:textFill>
            <w14:solidFill>
              <w14:schemeClr w14:val="tx1"/>
            </w14:solidFill>
          </w14:textFill>
        </w:rPr>
        <w:t>4.4.2.1 Analysis of Findings</w:t>
      </w:r>
    </w:p>
    <w:p w14:paraId="2D2615A9">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Culot, Podrecca and Nassimbeni's (2024) systematic review confirms that AI-based inventory systems that rely on real-time demand to decide reorder points are better than static, rule-based inventory systems, such as constant economic order quantity/ this difference is most evident in operational scale, with short pilots often failing to replicate its benefits. The evidence base provided by M&amp;S is rare because it provides a named example of the exact transition – the rollout of the RELEX platform to over 1,000 food stores has since been followed by a further £340m capital commitment for an automated, AI-powered food distribution centre, with M&amp;S "moving beyond pilot-stage experimentation" to store-wide and network-wide deployment (GlobalData, 2023), (Corporate.marksandspencer, 2025). This progression is significant, as Culot, Podrecca and Nassimbeni (2024) are explicit that only a few organisations are able to successfully scale up AI inventory tools beyond pilot stages. M&amp;S's continued investment and escalation of investment is one of the more obvious examples on the evidence base that this scaling barrier is being actively worked on rather than simply talked about.</w:t>
      </w:r>
    </w:p>
    <w:p w14:paraId="77936D4E">
      <w:pPr>
        <w:spacing w:line="360" w:lineRule="auto"/>
        <w:jc w:val="both"/>
        <w:rPr>
          <w:color w:val="000000" w:themeColor="text1"/>
          <w:sz w:val="24"/>
          <w:szCs w:val="24"/>
          <w:lang w:val="en-GB"/>
          <w14:textFill>
            <w14:solidFill>
              <w14:schemeClr w14:val="tx1"/>
            </w14:solidFill>
          </w14:textFill>
        </w:rPr>
      </w:pPr>
    </w:p>
    <w:p w14:paraId="6DD53E85">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Ünal </w:t>
      </w:r>
      <w:r>
        <w:rPr>
          <w:i/>
          <w:iCs/>
          <w:color w:val="000000" w:themeColor="text1"/>
          <w:sz w:val="24"/>
          <w:szCs w:val="24"/>
          <w:lang w:val="en-GB"/>
          <w14:textFill>
            <w14:solidFill>
              <w14:schemeClr w14:val="tx1"/>
            </w14:solidFill>
          </w14:textFill>
        </w:rPr>
        <w:t>et al.</w:t>
      </w:r>
      <w:r>
        <w:rPr>
          <w:color w:val="000000" w:themeColor="text1"/>
          <w:sz w:val="24"/>
          <w:szCs w:val="24"/>
          <w:lang w:val="en-GB"/>
          <w14:textFill>
            <w14:solidFill>
              <w14:schemeClr w14:val="tx1"/>
            </w14:solidFill>
          </w14:textFill>
        </w:rPr>
        <w:t xml:space="preserve"> (2023) note that ML is a popular AI technique in inventory research, Perez </w:t>
      </w:r>
      <w:r>
        <w:rPr>
          <w:i/>
          <w:iCs/>
          <w:color w:val="000000" w:themeColor="text1"/>
          <w:sz w:val="24"/>
          <w:szCs w:val="24"/>
          <w:lang w:val="en-GB"/>
          <w14:textFill>
            <w14:solidFill>
              <w14:schemeClr w14:val="tx1"/>
            </w14:solidFill>
          </w14:textFill>
        </w:rPr>
        <w:t xml:space="preserve">et al. </w:t>
      </w:r>
      <w:r>
        <w:rPr>
          <w:color w:val="000000" w:themeColor="text1"/>
          <w:sz w:val="24"/>
          <w:szCs w:val="24"/>
          <w:lang w:val="en-GB"/>
          <w14:textFill>
            <w14:solidFill>
              <w14:schemeClr w14:val="tx1"/>
            </w14:solidFill>
          </w14:textFill>
        </w:rPr>
        <w:t xml:space="preserve">(2021) argue that algorithmic optimisation under uncertain demand works, and the benefits of integrated inventory/fulfilment across channels. Also, forecasting, fulfilling location and inventory planning are linked by Hübner </w:t>
      </w:r>
      <w:r>
        <w:rPr>
          <w:i/>
          <w:iCs/>
          <w:color w:val="000000" w:themeColor="text1"/>
          <w:sz w:val="24"/>
          <w:szCs w:val="24"/>
          <w:lang w:val="en-GB"/>
          <w14:textFill>
            <w14:solidFill>
              <w14:schemeClr w14:val="tx1"/>
            </w14:solidFill>
          </w14:textFill>
        </w:rPr>
        <w:t>et al.</w:t>
      </w:r>
      <w:r>
        <w:rPr>
          <w:color w:val="000000" w:themeColor="text1"/>
          <w:sz w:val="24"/>
          <w:szCs w:val="24"/>
          <w:lang w:val="en-GB"/>
          <w14:textFill>
            <w14:solidFill>
              <w14:schemeClr w14:val="tx1"/>
            </w14:solidFill>
          </w14:textFill>
        </w:rPr>
        <w:t xml:space="preserve"> (2022). The £340m investment in its automated Food distribution-centre and 1.7m sq ft extra capacity to be added in 2026 suggest a massive investment in infrastructure. Investment does not constitute optimisation, however. Forecast error, availability, stock cover, waste, markdowns, turnover and fulfilment cost are all examples of KPIs. This answers the feedback on measurable outcomes.</w:t>
      </w:r>
    </w:p>
    <w:p w14:paraId="39BAF228">
      <w:pPr>
        <w:spacing w:line="360" w:lineRule="auto"/>
        <w:jc w:val="both"/>
        <w:rPr>
          <w:color w:val="000000" w:themeColor="text1"/>
          <w:sz w:val="24"/>
          <w:szCs w:val="24"/>
          <w:lang w:val="en-GB"/>
          <w14:textFill>
            <w14:solidFill>
              <w14:schemeClr w14:val="tx1"/>
            </w14:solidFill>
          </w14:textFill>
        </w:rPr>
      </w:pPr>
    </w:p>
    <w:p w14:paraId="695AA086">
      <w:pPr>
        <w:spacing w:line="360" w:lineRule="auto"/>
        <w:jc w:val="center"/>
        <w:rPr>
          <w:color w:val="000000" w:themeColor="text1"/>
          <w:sz w:val="24"/>
          <w:szCs w:val="24"/>
          <w:lang w:val="en-GB"/>
          <w14:textFill>
            <w14:solidFill>
              <w14:schemeClr w14:val="tx1"/>
            </w14:solidFill>
          </w14:textFill>
        </w:rPr>
      </w:pPr>
      <w:r>
        <w:rPr>
          <w:color w:val="000000" w:themeColor="text1"/>
          <w:lang w:val="en-GB"/>
          <w14:textFill>
            <w14:solidFill>
              <w14:schemeClr w14:val="tx1"/>
            </w14:solidFill>
          </w14:textFill>
        </w:rPr>
        <w:drawing>
          <wp:inline distT="0" distB="0" distL="0" distR="0">
            <wp:extent cx="5943600" cy="1842770"/>
            <wp:effectExtent l="0" t="0" r="0" b="5080"/>
            <wp:docPr id="1062453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453457" name="Picture 1"/>
                    <pic:cNvPicPr>
                      <a:picLocks noChangeAspect="1"/>
                    </pic:cNvPicPr>
                  </pic:nvPicPr>
                  <pic:blipFill>
                    <a:blip r:embed="rId22"/>
                    <a:stretch>
                      <a:fillRect/>
                    </a:stretch>
                  </pic:blipFill>
                  <pic:spPr>
                    <a:xfrm>
                      <a:off x="0" y="0"/>
                      <a:ext cx="5943600" cy="1842770"/>
                    </a:xfrm>
                    <a:prstGeom prst="rect">
                      <a:avLst/>
                    </a:prstGeom>
                  </pic:spPr>
                </pic:pic>
              </a:graphicData>
            </a:graphic>
          </wp:inline>
        </w:drawing>
      </w:r>
    </w:p>
    <w:p w14:paraId="7EC3FEA8">
      <w:pPr>
        <w:pStyle w:val="6"/>
        <w:rPr>
          <w:lang w:val="en-GB"/>
        </w:rPr>
      </w:pPr>
      <w:bookmarkStart w:id="80" w:name="_Toc237786252"/>
      <w:r>
        <w:rPr>
          <w:lang w:val="en-GB"/>
        </w:rPr>
        <w:t>Figure 4.2: Inventory optimisation using AI</w:t>
      </w:r>
      <w:bookmarkEnd w:id="80"/>
    </w:p>
    <w:p w14:paraId="323BBF08">
      <w:pPr>
        <w:spacing w:line="360" w:lineRule="auto"/>
        <w:jc w:val="cente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(Source: Influenced from Culot, Podrecca and Nassimbeni, 2024)</w:t>
      </w:r>
    </w:p>
    <w:p w14:paraId="2919BC7A">
      <w:pPr>
        <w:spacing w:line="360" w:lineRule="auto"/>
        <w:jc w:val="both"/>
        <w:rPr>
          <w:b/>
          <w:bCs/>
          <w:i/>
          <w:iCs/>
          <w:color w:val="000000" w:themeColor="text1"/>
          <w:sz w:val="24"/>
          <w:szCs w:val="24"/>
          <w:lang w:val="en-GB"/>
          <w14:textFill>
            <w14:solidFill>
              <w14:schemeClr w14:val="tx1"/>
            </w14:solidFill>
          </w14:textFill>
        </w:rPr>
      </w:pPr>
      <w:r>
        <w:rPr>
          <w:b/>
          <w:bCs/>
          <w:i/>
          <w:iCs/>
          <w:color w:val="000000" w:themeColor="text1"/>
          <w:sz w:val="24"/>
          <w:szCs w:val="24"/>
          <w:lang w:val="en-GB"/>
          <w14:textFill>
            <w14:solidFill>
              <w14:schemeClr w14:val="tx1"/>
            </w14:solidFill>
          </w14:textFill>
        </w:rPr>
        <w:t>4.4.2.2 Findings in relation to literature</w:t>
      </w:r>
    </w:p>
    <w:p w14:paraId="5B60641E">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 £340m investment is not a contradiction of the pilot-to-scale argument, but rather an organisational corroboration of it, based on reading against the literature. The authors of Culot, Podrecca and Nassimbeni (2024) say that scaling is generally hard because of infrastructure, integration and workforce acceptance costs. Whereas, M&amp;S is investing in its infrastructure, integration and workforce acceptance costs. It is explained well using the Technology-Organisation-Environment approach where the technology dimension (RELEX and automated distribution) is able to provide benefits in terms of inventory reduction but requires the organisation's readiness (Xu, 2025). In this case, employee acceptance towards automated reorder decisions and integration with the legacy warehouses and till systems, which are identified as unresolved constraints for M&amp;S in chapter Two. The most plausible explanation for the seemingly disjointed nature of the technical and organisational literature is that Culot, Podrecca and Nassimbeni (2024) comb evidence from across a multitude of organisations at different levels of readiness, while M&amp;S is a single organisation, or perhaps it is one company's implementation in a single branch, at the relatively high end of the readiness curve. For M&amp;S, this means the £340m investment will help mitigate, but not eradicate, the understocking or overstocking issues raised in theme one and that the value achieved will be dependent on the rollout of the organisational-change constraints as well as the technology itself.</w:t>
      </w:r>
    </w:p>
    <w:p w14:paraId="7259F40D">
      <w:pPr>
        <w:spacing w:line="360" w:lineRule="auto"/>
        <w:jc w:val="center"/>
        <w:rPr>
          <w:color w:val="000000" w:themeColor="text1"/>
          <w:sz w:val="24"/>
          <w:szCs w:val="24"/>
          <w:lang w:val="en-GB"/>
          <w14:textFill>
            <w14:solidFill>
              <w14:schemeClr w14:val="tx1"/>
            </w14:solidFill>
          </w14:textFill>
        </w:rPr>
      </w:pPr>
      <w:r>
        <w:rPr>
          <w:color w:val="000000" w:themeColor="text1"/>
          <w:lang w:val="en-GB"/>
          <w14:textFill>
            <w14:solidFill>
              <w14:schemeClr w14:val="tx1"/>
            </w14:solidFill>
          </w14:textFill>
        </w:rPr>
        <w:drawing>
          <wp:inline distT="0" distB="0" distL="0" distR="0">
            <wp:extent cx="5943600" cy="2451100"/>
            <wp:effectExtent l="0" t="0" r="0" b="6350"/>
            <wp:docPr id="1001115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115305" name="Picture 1"/>
                    <pic:cNvPicPr>
                      <a:picLocks noChangeAspect="1"/>
                    </pic:cNvPicPr>
                  </pic:nvPicPr>
                  <pic:blipFill>
                    <a:blip r:embed="rId23"/>
                    <a:stretch>
                      <a:fillRect/>
                    </a:stretch>
                  </pic:blipFill>
                  <pic:spPr>
                    <a:xfrm>
                      <a:off x="0" y="0"/>
                      <a:ext cx="5943600" cy="2451100"/>
                    </a:xfrm>
                    <a:prstGeom prst="rect">
                      <a:avLst/>
                    </a:prstGeom>
                  </pic:spPr>
                </pic:pic>
              </a:graphicData>
            </a:graphic>
          </wp:inline>
        </w:drawing>
      </w:r>
    </w:p>
    <w:p w14:paraId="44068AF9">
      <w:pPr>
        <w:pStyle w:val="6"/>
        <w:rPr>
          <w:lang w:val="en-GB"/>
        </w:rPr>
      </w:pPr>
      <w:bookmarkStart w:id="81" w:name="_Toc237786253"/>
      <w:r>
        <w:rPr>
          <w:lang w:val="en-GB"/>
        </w:rPr>
        <w:t>Figure 4.3: M&amp;S’s Approach to net zero</w:t>
      </w:r>
      <w:bookmarkEnd w:id="81"/>
    </w:p>
    <w:p w14:paraId="79069031">
      <w:pPr>
        <w:spacing w:line="360" w:lineRule="auto"/>
        <w:jc w:val="cente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(Source: Annual report, 2023)</w:t>
      </w:r>
    </w:p>
    <w:p w14:paraId="1BEDBDE6">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This inventory picture can be supplemented with academic evidence from the sector level that is not covered in Chapter Two. In a literature review and research framework published in the European Journal of Operational Research, Hübner, Hense and Dethlefs (2022) conclude that integrated fulfilment concepts are driving the resurgence of the physical store, and that three central, unsolved planning challenges for retailers like M&amp;S are related to demand forecasting, fulfilment-location choice and inventory planning. This is directly relevant to M&amp;S, where the food and clothing divisions struggle to determine the allocation of inventory optimised using RELEX between in-store shelf stock and the online or click-and-collect fulfilment. This issue is not addressed by Culot, Podrecca and Nassimbeni (2024), whose emphasis is on reorder-point automation rather than channel allocation. This is supported by another piece of new evidence that has not been deployed elsewhere and is specific to M&amp;S: Ocado Retail is a 50% subsidiary of M&amp;S, and its ‘Customer Fulfilment Centres’ employ robotic picking arms powered by AI and, in the not-too-distant past, robot “bots” to scale in order to manage online grocery inventory and order assembly (OcadoGroup, 2024). While these investments in M&amp;S are separate from the RELEX, the financial investment that Ocado has in M&amp;S is part of the company's own accounts and therefore a comprehensive evaluation of the contribution of AI to inventory optimisation cannot just be restricted to M&amp;S's store portfolio. As alluded to previously, Hübner, Hense and Dethlehs (2022) and the Ocado case studies show that M&amp;S's inventory-optimisation issue, and hence Objective Two, is more of a channel-allocation problem between three fulfilment routes, namely in-store, RELEX-optimised food distribution, and automated online grocery fulfilment, than a single-channel forecasting or reorder-point problem, as originally stated in the narrower evidence base of Chapter Two.</w:t>
      </w:r>
    </w:p>
    <w:p w14:paraId="69304994">
      <w:pPr>
        <w:spacing w:line="360" w:lineRule="auto"/>
        <w:jc w:val="center"/>
        <w:rPr>
          <w:color w:val="000000" w:themeColor="text1"/>
          <w:sz w:val="24"/>
          <w:szCs w:val="24"/>
          <w:lang w:val="en-GB"/>
          <w14:textFill>
            <w14:solidFill>
              <w14:schemeClr w14:val="tx1"/>
            </w14:solidFill>
          </w14:textFill>
        </w:rPr>
      </w:pPr>
      <w:r>
        <w:rPr>
          <w:color w:val="000000" w:themeColor="text1"/>
          <w:lang w:val="en-GB"/>
          <w14:textFill>
            <w14:solidFill>
              <w14:schemeClr w14:val="tx1"/>
            </w14:solidFill>
          </w14:textFill>
        </w:rPr>
        <w:drawing>
          <wp:inline distT="0" distB="0" distL="0" distR="0">
            <wp:extent cx="5943600" cy="3348355"/>
            <wp:effectExtent l="0" t="0" r="0" b="4445"/>
            <wp:docPr id="1752888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888953" name="Picture 1"/>
                    <pic:cNvPicPr>
                      <a:picLocks noChangeAspect="1"/>
                    </pic:cNvPicPr>
                  </pic:nvPicPr>
                  <pic:blipFill>
                    <a:blip r:embed="rId24"/>
                    <a:stretch>
                      <a:fillRect/>
                    </a:stretch>
                  </pic:blipFill>
                  <pic:spPr>
                    <a:xfrm>
                      <a:off x="0" y="0"/>
                      <a:ext cx="5943600" cy="3348355"/>
                    </a:xfrm>
                    <a:prstGeom prst="rect">
                      <a:avLst/>
                    </a:prstGeom>
                  </pic:spPr>
                </pic:pic>
              </a:graphicData>
            </a:graphic>
          </wp:inline>
        </w:drawing>
      </w:r>
    </w:p>
    <w:p w14:paraId="30BCD203">
      <w:pPr>
        <w:pStyle w:val="6"/>
        <w:rPr>
          <w:lang w:val="en-GB"/>
        </w:rPr>
      </w:pPr>
      <w:bookmarkStart w:id="82" w:name="_Toc237786254"/>
      <w:r>
        <w:rPr>
          <w:lang w:val="en-GB"/>
        </w:rPr>
        <w:t>Figure 4.4: Ocado and M&amp;S venture</w:t>
      </w:r>
      <w:bookmarkEnd w:id="82"/>
    </w:p>
    <w:p w14:paraId="2E2FA877">
      <w:pPr>
        <w:spacing w:line="360" w:lineRule="auto"/>
        <w:jc w:val="cente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(Source: corporate.marksandspencer, 2025)</w:t>
      </w:r>
    </w:p>
    <w:p w14:paraId="0A9AE2B8">
      <w:pPr>
        <w:pStyle w:val="4"/>
        <w:rPr>
          <w:lang w:val="en-GB"/>
        </w:rPr>
      </w:pPr>
      <w:bookmarkStart w:id="83" w:name="_Toc235781992"/>
      <w:bookmarkStart w:id="84" w:name="_Toc237357949"/>
      <w:r>
        <w:rPr>
          <w:lang w:val="en-GB"/>
        </w:rPr>
        <w:t>4.4.3 Theme Three: The Organisational Breadth of GenAI Application at M&amp;S</w:t>
      </w:r>
      <w:bookmarkEnd w:id="83"/>
      <w:bookmarkEnd w:id="84"/>
    </w:p>
    <w:p w14:paraId="72F86F3A">
      <w:pPr>
        <w:spacing w:line="360" w:lineRule="auto"/>
        <w:jc w:val="both"/>
        <w:rPr>
          <w:b/>
          <w:bCs/>
          <w:i/>
          <w:iCs/>
          <w:color w:val="000000" w:themeColor="text1"/>
          <w:sz w:val="24"/>
          <w:szCs w:val="24"/>
          <w:lang w:val="en-GB"/>
          <w14:textFill>
            <w14:solidFill>
              <w14:schemeClr w14:val="tx1"/>
            </w14:solidFill>
          </w14:textFill>
        </w:rPr>
      </w:pPr>
      <w:r>
        <w:rPr>
          <w:b/>
          <w:bCs/>
          <w:i/>
          <w:iCs/>
          <w:color w:val="000000" w:themeColor="text1"/>
          <w:sz w:val="24"/>
          <w:szCs w:val="24"/>
          <w:lang w:val="en-GB"/>
          <w14:textFill>
            <w14:solidFill>
              <w14:schemeClr w14:val="tx1"/>
            </w14:solidFill>
          </w14:textFill>
        </w:rPr>
        <w:t>4.4.3.1 Analysis of Findings</w:t>
      </w:r>
    </w:p>
    <w:p w14:paraId="3FD001BA">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 earlier evidence base for this theme was drawn narrowly from two initiatives, RELEX based forecasting and in store intelligence from SymphonyAI – not enough to characterise the organisational application of GenAI and is revisited here with a broader evidence base. For one, M&amp;S' own generative AI system has helped to write around 80% of the retailer's online product descriptions, and create personalised homepages, personalised styling language and body-shape and style quizzes. This has helped to increase the retailer's online customer base to 9.4 million and M&amp;S app share of online orders to 44% from 37% the year before (Mills, 2024). Second, M&amp;S's involvement in the purchase of the fashion-tech company Thread reinforces an AI-powered personalisation engine, which crunches customer data on up to 40 million style combinations to deliver individually tailored product recommendations, with over 450,000 customers having made use of the service so far (DigitalDefynd, 2025). Third, with the AI-based collaborative planning platform o9 and the AI-powered customer-intelligence engine from ‘First Insight’, M&amp;S integrates the voice of the customer whilst considering price and range prior to committing products to stock (Berthiaume, 2024). Fourth, M&amp;S has implemented AI speech-recognition technology from Google Cloud to streamline and personalise calls to its stores' contact centres (cloud.google, 2024). The previously mentioned RELEX forecasting platform, plus M&amp;S' SymphonyAI-powered computer vision-based store intelligence (symphonyai, 2023). This has been confirmed to cover over 500 stores in a formal partnership in 2023, gives a much more comprehensive and up-to-date organisational view than is currently possible. M&amp;S isn't limited to using GenAI in the supply chain, as its use extends right the way through to in-store operations, merchandising, customer facing content and personalisation, and customer service.</w:t>
      </w:r>
    </w:p>
    <w:p w14:paraId="2EF658BB">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Automation, hyper-personalisation, complementarity and innovation are retail AI value logics identified by Cao (2021) and value, application context and ethics by Guha </w:t>
      </w:r>
      <w:r>
        <w:rPr>
          <w:i/>
          <w:iCs/>
          <w:color w:val="000000" w:themeColor="text1"/>
          <w:sz w:val="24"/>
          <w:szCs w:val="24"/>
          <w:lang w:val="en-GB"/>
          <w14:textFill>
            <w14:solidFill>
              <w14:schemeClr w14:val="tx1"/>
            </w14:solidFill>
          </w14:textFill>
        </w:rPr>
        <w:t>et al.</w:t>
      </w:r>
      <w:r>
        <w:rPr>
          <w:color w:val="000000" w:themeColor="text1"/>
          <w:sz w:val="24"/>
          <w:szCs w:val="24"/>
          <w:lang w:val="en-GB"/>
          <w14:textFill>
            <w14:solidFill>
              <w14:schemeClr w14:val="tx1"/>
            </w14:solidFill>
          </w14:textFill>
        </w:rPr>
        <w:t xml:space="preserve"> (2021). There is limited organisation-level evidence as reported by Richey </w:t>
      </w:r>
      <w:r>
        <w:rPr>
          <w:i/>
          <w:iCs/>
          <w:color w:val="000000" w:themeColor="text1"/>
          <w:sz w:val="24"/>
          <w:szCs w:val="24"/>
          <w:lang w:val="en-GB"/>
          <w14:textFill>
            <w14:solidFill>
              <w14:schemeClr w14:val="tx1"/>
            </w14:solidFill>
          </w14:textFill>
        </w:rPr>
        <w:t xml:space="preserve">et al. </w:t>
      </w:r>
      <w:r>
        <w:rPr>
          <w:color w:val="000000" w:themeColor="text1"/>
          <w:sz w:val="24"/>
          <w:szCs w:val="24"/>
          <w:lang w:val="en-GB"/>
          <w14:textFill>
            <w14:solidFill>
              <w14:schemeClr w14:val="tx1"/>
            </w14:solidFill>
          </w14:textFill>
        </w:rPr>
        <w:t>(2023). In 2023, M&amp;S chose SymphonyAI for store intelligence in over 500 stores and in 2026, the company's annual report highlights digital, data and technology as priorities. There is an assumption that M&amp;S has a wide span of AI offerings, but interoperability, governance, cyber resilience and accountability need to be handled across systems.</w:t>
      </w:r>
    </w:p>
    <w:p w14:paraId="15864E50">
      <w:pPr>
        <w:spacing w:line="360" w:lineRule="auto"/>
        <w:jc w:val="both"/>
        <w:rPr>
          <w:color w:val="000000" w:themeColor="text1"/>
          <w:sz w:val="24"/>
          <w:szCs w:val="24"/>
          <w:lang w:val="en-GB"/>
          <w14:textFill>
            <w14:solidFill>
              <w14:schemeClr w14:val="tx1"/>
            </w14:solidFill>
          </w14:textFill>
        </w:rPr>
      </w:pPr>
    </w:p>
    <w:p w14:paraId="56B49824">
      <w:pPr>
        <w:spacing w:line="360" w:lineRule="auto"/>
        <w:jc w:val="center"/>
        <w:rPr>
          <w:color w:val="000000" w:themeColor="text1"/>
          <w:sz w:val="24"/>
          <w:szCs w:val="24"/>
          <w:lang w:val="en-GB"/>
          <w14:textFill>
            <w14:solidFill>
              <w14:schemeClr w14:val="tx1"/>
            </w14:solidFill>
          </w14:textFill>
        </w:rPr>
      </w:pPr>
      <w:r>
        <w:rPr>
          <w:color w:val="000000" w:themeColor="text1"/>
          <w:lang w:val="en-GB"/>
          <w14:textFill>
            <w14:solidFill>
              <w14:schemeClr w14:val="tx1"/>
            </w14:solidFill>
          </w14:textFill>
        </w:rPr>
        <w:drawing>
          <wp:inline distT="0" distB="0" distL="0" distR="0">
            <wp:extent cx="5943600" cy="3425825"/>
            <wp:effectExtent l="0" t="0" r="0" b="3175"/>
            <wp:docPr id="570275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275391" name="Picture 1"/>
                    <pic:cNvPicPr>
                      <a:picLocks noChangeAspect="1"/>
                    </pic:cNvPicPr>
                  </pic:nvPicPr>
                  <pic:blipFill>
                    <a:blip r:embed="rId25"/>
                    <a:stretch>
                      <a:fillRect/>
                    </a:stretch>
                  </pic:blipFill>
                  <pic:spPr>
                    <a:xfrm>
                      <a:off x="0" y="0"/>
                      <a:ext cx="5943600" cy="3425825"/>
                    </a:xfrm>
                    <a:prstGeom prst="rect">
                      <a:avLst/>
                    </a:prstGeom>
                  </pic:spPr>
                </pic:pic>
              </a:graphicData>
            </a:graphic>
          </wp:inline>
        </w:drawing>
      </w:r>
    </w:p>
    <w:p w14:paraId="27D622FA">
      <w:pPr>
        <w:pStyle w:val="6"/>
        <w:rPr>
          <w:lang w:val="en-GB"/>
        </w:rPr>
      </w:pPr>
      <w:bookmarkStart w:id="85" w:name="_Toc237786255"/>
      <w:r>
        <w:rPr>
          <w:lang w:val="en-GB"/>
        </w:rPr>
        <w:t>Figure 4.5: GenAI application architecture</w:t>
      </w:r>
      <w:bookmarkEnd w:id="85"/>
    </w:p>
    <w:p w14:paraId="620E6224">
      <w:pPr>
        <w:spacing w:line="360" w:lineRule="auto"/>
        <w:jc w:val="cente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(Source: linkedin, 2025)</w:t>
      </w:r>
    </w:p>
    <w:p w14:paraId="29DF0793">
      <w:pPr>
        <w:spacing w:line="360" w:lineRule="auto"/>
        <w:jc w:val="both"/>
        <w:rPr>
          <w:b/>
          <w:bCs/>
          <w:i/>
          <w:iCs/>
          <w:color w:val="000000" w:themeColor="text1"/>
          <w:sz w:val="24"/>
          <w:szCs w:val="24"/>
          <w:lang w:val="en-GB"/>
          <w14:textFill>
            <w14:solidFill>
              <w14:schemeClr w14:val="tx1"/>
            </w14:solidFill>
          </w14:textFill>
        </w:rPr>
      </w:pPr>
      <w:r>
        <w:rPr>
          <w:b/>
          <w:bCs/>
          <w:i/>
          <w:iCs/>
          <w:color w:val="000000" w:themeColor="text1"/>
          <w:sz w:val="24"/>
          <w:szCs w:val="24"/>
          <w:lang w:val="en-GB"/>
          <w14:textFill>
            <w14:solidFill>
              <w14:schemeClr w14:val="tx1"/>
            </w14:solidFill>
          </w14:textFill>
        </w:rPr>
        <w:t>4.4.3.3 Findings and arguments in relation to literature  </w:t>
      </w:r>
    </w:p>
    <w:p w14:paraId="6C32656C">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This general body of evidence does not modify, but rather expands, the interpretation provided in Chapter Two. Richey </w:t>
      </w:r>
      <w:r>
        <w:rPr>
          <w:i/>
          <w:iCs/>
          <w:color w:val="000000" w:themeColor="text1"/>
          <w:sz w:val="24"/>
          <w:szCs w:val="24"/>
          <w:lang w:val="en-GB"/>
          <w14:textFill>
            <w14:solidFill>
              <w14:schemeClr w14:val="tx1"/>
            </w14:solidFill>
          </w14:textFill>
        </w:rPr>
        <w:t>et al.</w:t>
      </w:r>
      <w:r>
        <w:rPr>
          <w:color w:val="000000" w:themeColor="text1"/>
          <w:sz w:val="24"/>
          <w:szCs w:val="24"/>
          <w:lang w:val="en-GB"/>
          <w14:textFill>
            <w14:solidFill>
              <w14:schemeClr w14:val="tx1"/>
            </w14:solidFill>
          </w14:textFill>
        </w:rPr>
        <w:t xml:space="preserve"> (2023) and Claudia, Francisco and Alexandre (2025) suggest that the research that exists on the adoption of AI at the organisational level is limited and fragmented. The initiatives identified here are, both substantively and also in terms of their synthesis and consolidation into a single transformation story, being found by academic or corporate sources individually. Mills (2024), DigitalDefynd (2025), Berthiaume (2024) and cloud.google (2024) all report one initiative, coherent story of transformation. Another tension that becomes more evident from a close reading of the theme is the difference between the customer-facing, marketing-driven nature of the generative-AI and personalisation programs (product-description automation, the Thread-based style engine, First Insight's customer intelligence) and the operations-first, cost and waste reduction focus of RELEX and SymphonyAI. </w:t>
      </w:r>
    </w:p>
    <w:p w14:paraId="6469C3F6">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One of the most likely explanations for this is that these two sets of initiatives are located in different parts of the business – digital/marketing and supply chain/operations – and are reported through different trade channels. This is however a reflection of a larger sensing-and-seizing capability than just Theme Two. M&amp;S is not just applying GenAI to one operational choke point, it's reconfiguring multiple functionally distinct parts of the business simultaneously. Not only this, but the diversity of vendors involved – RELEX, SymphonyAI, Thread, First Insight, o9, PTC and Google Cloud also raises an organisational-environment question that has not been covered in the literature.  Integrating and managing the data-governance risk associated with seven or more third-party AI vendors is a significant organisational challenge, and that is arguably a better way to describe M&amp;S's GenAI adoption as a two-initiative story than an account that centres on Google Cloud and its open-source tools. For M&amp;S, the answer to Objective Two is not just in the inventory systems, but rather, the opportunities and integration risks arising from GenAI adoption are spread across the organisation, making the case for a cross-functional, organisation-level single case design, as covered in Chapter Three, even more compelling.</w:t>
      </w:r>
    </w:p>
    <w:p w14:paraId="488FAB94">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With this organisational width it is now possible to apply a more analytical framework, with the help of evidence from academic literature. Based on 54 retail companies in the grounded theory study published in the ‘International Journal of Retail &amp; Distribution Management (IJRDM)’ (Cao, 2021), retailers have four value-creation logics in implementing AI: automation, hyper-personalisation, complementarity, and innovation. In Cao's (2021) classification, the automation logic is represented by RELEX and SymphonyAI, the hyper-personalisation logic by the Thread-based style engine and the personalised homepages. The complementarity logic by First Insight, by o9 and by PTC as these complement the human merchandising judgement, while the generative product-description writing represents the innovation logic. That all four of Cao's (2021) logics are all found at M&amp;S is a finding in its own right: it suggests that M&amp;S is not only multi-vendor as noted above but also that its adoption of GenAI is not only multi-vendor, but also not monomodal in the way that M&amp;S values creation. This is echoed by Guha, </w:t>
      </w:r>
      <w:r>
        <w:rPr>
          <w:i/>
          <w:iCs/>
          <w:color w:val="000000" w:themeColor="text1"/>
          <w:sz w:val="24"/>
          <w:szCs w:val="24"/>
          <w:lang w:val="en-GB"/>
          <w14:textFill>
            <w14:solidFill>
              <w14:schemeClr w14:val="tx1"/>
            </w14:solidFill>
          </w14:textFill>
        </w:rPr>
        <w:t>et al.</w:t>
      </w:r>
      <w:r>
        <w:rPr>
          <w:color w:val="000000" w:themeColor="text1"/>
          <w:sz w:val="24"/>
          <w:szCs w:val="24"/>
          <w:lang w:val="en-GB"/>
          <w14:textFill>
            <w14:solidFill>
              <w14:schemeClr w14:val="tx1"/>
            </w14:solidFill>
          </w14:textFill>
        </w:rPr>
        <w:t xml:space="preserve"> (2021), in the Journal of Retailing, who argue that, in the future, AI's impact on retailing will be felt unevenly between front-end, customer-facing aspects of a retail business and back-end, operational aspects; and that retailers best positioned to benefit are those who coordinate investment across both fronts. </w:t>
      </w:r>
    </w:p>
    <w:p w14:paraId="76B1B3BF">
      <w:pPr>
        <w:spacing w:line="360" w:lineRule="auto"/>
        <w:jc w:val="center"/>
        <w:rPr>
          <w:color w:val="000000" w:themeColor="text1"/>
          <w:sz w:val="24"/>
          <w:szCs w:val="24"/>
          <w:lang w:val="en-GB"/>
          <w14:textFill>
            <w14:solidFill>
              <w14:schemeClr w14:val="tx1"/>
            </w14:solidFill>
          </w14:textFill>
        </w:rPr>
      </w:pPr>
      <w:r>
        <w:rPr>
          <w:color w:val="000000" w:themeColor="text1"/>
          <w:lang w:val="en-GB"/>
          <w14:textFill>
            <w14:solidFill>
              <w14:schemeClr w14:val="tx1"/>
            </w14:solidFill>
          </w14:textFill>
        </w:rPr>
        <w:drawing>
          <wp:inline distT="0" distB="0" distL="0" distR="0">
            <wp:extent cx="5943600" cy="3865245"/>
            <wp:effectExtent l="0" t="0" r="0" b="1905"/>
            <wp:docPr id="1436461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461777" name="Picture 1"/>
                    <pic:cNvPicPr>
                      <a:picLocks noChangeAspect="1"/>
                    </pic:cNvPicPr>
                  </pic:nvPicPr>
                  <pic:blipFill>
                    <a:blip r:embed="rId26"/>
                    <a:stretch>
                      <a:fillRect/>
                    </a:stretch>
                  </pic:blipFill>
                  <pic:spPr>
                    <a:xfrm>
                      <a:off x="0" y="0"/>
                      <a:ext cx="5943600" cy="3865245"/>
                    </a:xfrm>
                    <a:prstGeom prst="rect">
                      <a:avLst/>
                    </a:prstGeom>
                  </pic:spPr>
                </pic:pic>
              </a:graphicData>
            </a:graphic>
          </wp:inline>
        </w:drawing>
      </w:r>
    </w:p>
    <w:p w14:paraId="5F6464AD">
      <w:pPr>
        <w:pStyle w:val="6"/>
        <w:rPr>
          <w:lang w:val="en-GB"/>
        </w:rPr>
      </w:pPr>
      <w:bookmarkStart w:id="86" w:name="_Toc237786256"/>
      <w:r>
        <w:rPr>
          <w:lang w:val="en-GB"/>
        </w:rPr>
        <w:t>Figure 4.6: Hike on share price for M&amp;S</w:t>
      </w:r>
      <w:bookmarkEnd w:id="86"/>
    </w:p>
    <w:p w14:paraId="09895376">
      <w:pPr>
        <w:spacing w:line="360" w:lineRule="auto"/>
        <w:jc w:val="cente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(Source: BBC. 2023)</w:t>
      </w:r>
    </w:p>
    <w:p w14:paraId="4AB6263B">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The evidence base that M&amp;S provided is a real example of this imbalanced investment: both front-end investments (Thread, generative content, Google Cloud) and back-end investments (RELEX, SymphonyAI) are significant, yet there is no cross-coordination of these investments in any of the sources reviewed. Together, the implications of Cao (2021) and Guha </w:t>
      </w:r>
      <w:r>
        <w:rPr>
          <w:i/>
          <w:iCs/>
          <w:color w:val="000000" w:themeColor="text1"/>
          <w:sz w:val="24"/>
          <w:szCs w:val="24"/>
          <w:lang w:val="en-GB"/>
          <w14:textFill>
            <w14:solidFill>
              <w14:schemeClr w14:val="tx1"/>
            </w14:solidFill>
          </w14:textFill>
        </w:rPr>
        <w:t>et al.</w:t>
      </w:r>
      <w:r>
        <w:rPr>
          <w:color w:val="000000" w:themeColor="text1"/>
          <w:sz w:val="24"/>
          <w:szCs w:val="24"/>
          <w:lang w:val="en-GB"/>
          <w14:textFill>
            <w14:solidFill>
              <w14:schemeClr w14:val="tx1"/>
            </w14:solidFill>
          </w14:textFill>
        </w:rPr>
        <w:t xml:space="preserve"> (2021) for M&amp;S are that the challenge is not technological, as M&amp;S demonstrates competence in all four value-creation logics. However, this is one of the internal coordination of the M&amp;S' front-end and back-end AI investment, a point beyond what either of the original two-initiatives account or the literature in Chapter Two suggests.</w:t>
      </w:r>
    </w:p>
    <w:p w14:paraId="13A2292A">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Thus, RQ2 is more to the point: M&amp;S is applying predictive AI on a much bigger scale in supply-chain activities, whereas genAI is more apparent in content and customer-facing applications. RELEX, SymphonyAI and GenAI are not the same.</w:t>
      </w:r>
    </w:p>
    <w:p w14:paraId="48E57AA0">
      <w:pPr>
        <w:pStyle w:val="4"/>
        <w:rPr>
          <w:lang w:val="en-GB"/>
        </w:rPr>
      </w:pPr>
      <w:bookmarkStart w:id="87" w:name="_Toc235781993"/>
      <w:bookmarkStart w:id="88" w:name="_Toc237357950"/>
      <w:r>
        <w:rPr>
          <w:lang w:val="en-GB"/>
        </w:rPr>
        <w:t>4.4.4 Theme Four: Opportunities and Challenges Arising from the Use of GenAI</w:t>
      </w:r>
      <w:bookmarkEnd w:id="87"/>
      <w:bookmarkEnd w:id="88"/>
      <w:r>
        <w:rPr>
          <w:lang w:val="en-GB"/>
        </w:rPr>
        <w:t> </w:t>
      </w:r>
    </w:p>
    <w:p w14:paraId="269E3A1F">
      <w:pPr>
        <w:spacing w:line="360" w:lineRule="auto"/>
        <w:jc w:val="both"/>
        <w:rPr>
          <w:b/>
          <w:bCs/>
          <w:i/>
          <w:iCs/>
          <w:color w:val="000000" w:themeColor="text1"/>
          <w:sz w:val="24"/>
          <w:szCs w:val="24"/>
          <w:lang w:val="en-GB"/>
          <w14:textFill>
            <w14:solidFill>
              <w14:schemeClr w14:val="tx1"/>
            </w14:solidFill>
          </w14:textFill>
        </w:rPr>
      </w:pPr>
      <w:r>
        <w:rPr>
          <w:b/>
          <w:bCs/>
          <w:i/>
          <w:iCs/>
          <w:color w:val="000000" w:themeColor="text1"/>
          <w:sz w:val="24"/>
          <w:szCs w:val="24"/>
          <w:lang w:val="en-GB"/>
          <w14:textFill>
            <w14:solidFill>
              <w14:schemeClr w14:val="tx1"/>
            </w14:solidFill>
          </w14:textFill>
        </w:rPr>
        <w:t>4.4.4.1 Analysis of Findings</w:t>
      </w:r>
    </w:p>
    <w:p w14:paraId="1F28839E">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The opportunity side of the evidence base is indicated by M&amp;S's food revenue gains of 17.5% above the 2021/22 base and clothing and home revenue gains of 11.4% as well as forecasting and inventory gains suggested in Themes One and Two (Corporate.marksandspencer, 2024). The constraint side is shown conceptually and found to be more impressive in practice. The initial challenges faced by organisations adopting GenAI in the supply chain are technological readiness, regulatory uncertainty, and organisational alignment, as noted by Maghroor </w:t>
      </w:r>
      <w:r>
        <w:rPr>
          <w:i/>
          <w:iCs/>
          <w:color w:val="000000" w:themeColor="text1"/>
          <w:sz w:val="24"/>
          <w:szCs w:val="24"/>
          <w:lang w:val="en-GB"/>
          <w14:textFill>
            <w14:solidFill>
              <w14:schemeClr w14:val="tx1"/>
            </w14:solidFill>
          </w14:textFill>
        </w:rPr>
        <w:t xml:space="preserve">et al. </w:t>
      </w:r>
      <w:r>
        <w:rPr>
          <w:color w:val="000000" w:themeColor="text1"/>
          <w:sz w:val="24"/>
          <w:szCs w:val="24"/>
          <w:lang w:val="en-GB"/>
          <w14:textFill>
            <w14:solidFill>
              <w14:schemeClr w14:val="tx1"/>
            </w14:solidFill>
          </w14:textFill>
        </w:rPr>
        <w:t>(2025); workforce resistance and the lack of skills are downstream consequences of these underlying structural issues. The recent M&amp;S incident is a particularly stark example of this fragility and only a few months ago a cyber-attack on one of their suppliers badly affected M&amp;S's digital systems and had to be manually managed by pen and paper to some extent for parts of the food and clothing supply chain, with a 15-week downtime and a loss of around £300 million in group operating profit (Zero100, 2025).</w:t>
      </w:r>
    </w:p>
    <w:p w14:paraId="261D3E58">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According to Mahraz </w:t>
      </w:r>
      <w:r>
        <w:rPr>
          <w:i/>
          <w:iCs/>
          <w:color w:val="000000" w:themeColor="text1"/>
          <w:sz w:val="24"/>
          <w:szCs w:val="24"/>
          <w:lang w:val="en-GB"/>
          <w14:textFill>
            <w14:solidFill>
              <w14:schemeClr w14:val="tx1"/>
            </w14:solidFill>
          </w14:textFill>
        </w:rPr>
        <w:t>et al.</w:t>
      </w:r>
      <w:r>
        <w:rPr>
          <w:color w:val="000000" w:themeColor="text1"/>
          <w:sz w:val="24"/>
          <w:szCs w:val="24"/>
          <w:lang w:val="en-GB"/>
          <w14:textFill>
            <w14:solidFill>
              <w14:schemeClr w14:val="tx1"/>
            </w14:solidFill>
          </w14:textFill>
        </w:rPr>
        <w:t xml:space="preserve"> (2022) and Wamba </w:t>
      </w:r>
      <w:r>
        <w:rPr>
          <w:i/>
          <w:iCs/>
          <w:color w:val="000000" w:themeColor="text1"/>
          <w:sz w:val="24"/>
          <w:szCs w:val="24"/>
          <w:lang w:val="en-GB"/>
          <w14:textFill>
            <w14:solidFill>
              <w14:schemeClr w14:val="tx1"/>
            </w14:solidFill>
          </w14:textFill>
        </w:rPr>
        <w:t>et al.</w:t>
      </w:r>
      <w:r>
        <w:rPr>
          <w:color w:val="000000" w:themeColor="text1"/>
          <w:sz w:val="24"/>
          <w:szCs w:val="24"/>
          <w:lang w:val="en-GB"/>
          <w14:textFill>
            <w14:solidFill>
              <w14:schemeClr w14:val="tx1"/>
            </w14:solidFill>
          </w14:textFill>
        </w:rPr>
        <w:t xml:space="preserve"> (2024), AI value relies on data, readiness, governance and wider environment; while Maghroor </w:t>
      </w:r>
      <w:r>
        <w:rPr>
          <w:i/>
          <w:iCs/>
          <w:color w:val="000000" w:themeColor="text1"/>
          <w:sz w:val="24"/>
          <w:szCs w:val="24"/>
          <w:lang w:val="en-GB"/>
          <w14:textFill>
            <w14:solidFill>
              <w14:schemeClr w14:val="tx1"/>
            </w14:solidFill>
          </w14:textFill>
        </w:rPr>
        <w:t>et al.</w:t>
      </w:r>
      <w:r>
        <w:rPr>
          <w:color w:val="000000" w:themeColor="text1"/>
          <w:sz w:val="24"/>
          <w:szCs w:val="24"/>
          <w:lang w:val="en-GB"/>
          <w14:textFill>
            <w14:solidFill>
              <w14:schemeClr w14:val="tx1"/>
            </w14:solidFill>
          </w14:textFill>
        </w:rPr>
        <w:t xml:space="preserve"> (2025) and Xu (2025) highlight data, readiness, governance and wider environment. In M&amp;S' 2025/26 results, group sales were £17.37bn and adjusted profit before tax £671.4m; Food sales increased by 7.0% but Fashion, Home &amp; Beauty sales decreased 7.7% due to disruption of systems access and online trading which had limited stock flow and availability. M&amp;S attains £89 million cost saving in FY 2025-26, which has been against £600m target of structure by FY2022-2028. These data reveal why resilience, as well as cost and continuity, must be evaluated when considering AI.</w:t>
      </w:r>
    </w:p>
    <w:p w14:paraId="5205CEF7">
      <w:pPr>
        <w:spacing w:line="360" w:lineRule="auto"/>
        <w:jc w:val="both"/>
        <w:rPr>
          <w:color w:val="000000" w:themeColor="text1"/>
          <w:sz w:val="24"/>
          <w:szCs w:val="24"/>
          <w:lang w:val="en-GB"/>
          <w14:textFill>
            <w14:solidFill>
              <w14:schemeClr w14:val="tx1"/>
            </w14:solidFill>
          </w14:textFill>
        </w:rPr>
      </w:pPr>
    </w:p>
    <w:p w14:paraId="235B3031">
      <w:pPr>
        <w:spacing w:line="360" w:lineRule="auto"/>
        <w:jc w:val="center"/>
        <w:rPr>
          <w:color w:val="000000" w:themeColor="text1"/>
          <w:sz w:val="24"/>
          <w:szCs w:val="24"/>
          <w:lang w:val="en-GB"/>
          <w14:textFill>
            <w14:solidFill>
              <w14:schemeClr w14:val="tx1"/>
            </w14:solidFill>
          </w14:textFill>
        </w:rPr>
      </w:pPr>
      <w:r>
        <w:rPr>
          <w:color w:val="000000" w:themeColor="text1"/>
          <w:lang w:val="en-GB"/>
          <w14:textFill>
            <w14:solidFill>
              <w14:schemeClr w14:val="tx1"/>
            </w14:solidFill>
          </w14:textFill>
        </w:rPr>
        <w:drawing>
          <wp:inline distT="0" distB="0" distL="0" distR="0">
            <wp:extent cx="5943600" cy="3218815"/>
            <wp:effectExtent l="0" t="0" r="0" b="635"/>
            <wp:docPr id="847562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562695" name="Picture 1"/>
                    <pic:cNvPicPr>
                      <a:picLocks noChangeAspect="1"/>
                    </pic:cNvPicPr>
                  </pic:nvPicPr>
                  <pic:blipFill>
                    <a:blip r:embed="rId27"/>
                    <a:stretch>
                      <a:fillRect/>
                    </a:stretch>
                  </pic:blipFill>
                  <pic:spPr>
                    <a:xfrm>
                      <a:off x="0" y="0"/>
                      <a:ext cx="5943600" cy="3218815"/>
                    </a:xfrm>
                    <a:prstGeom prst="rect">
                      <a:avLst/>
                    </a:prstGeom>
                  </pic:spPr>
                </pic:pic>
              </a:graphicData>
            </a:graphic>
          </wp:inline>
        </w:drawing>
      </w:r>
    </w:p>
    <w:p w14:paraId="402D6427">
      <w:pPr>
        <w:pStyle w:val="6"/>
        <w:rPr>
          <w:b w:val="0"/>
          <w:lang w:val="en-GB"/>
        </w:rPr>
      </w:pPr>
      <w:bookmarkStart w:id="89" w:name="_Toc237786257"/>
      <w:r>
        <w:rPr>
          <w:lang w:val="en-GB"/>
        </w:rPr>
        <w:t>Figure 4.</w:t>
      </w:r>
      <w:r>
        <w:rPr>
          <w:b w:val="0"/>
          <w:lang w:val="en-GB"/>
        </w:rPr>
        <w:t>7</w:t>
      </w:r>
      <w:r>
        <w:rPr>
          <w:lang w:val="en-GB"/>
        </w:rPr>
        <w:t>: Advantages and dis-advantages of using GenAI</w:t>
      </w:r>
      <w:bookmarkEnd w:id="89"/>
    </w:p>
    <w:p w14:paraId="7B091F89">
      <w:pPr>
        <w:spacing w:line="360" w:lineRule="auto"/>
        <w:jc w:val="cente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(Source: Influenced from Maghroor </w:t>
      </w:r>
      <w:r>
        <w:rPr>
          <w:i/>
          <w:iCs/>
          <w:color w:val="000000" w:themeColor="text1"/>
          <w:sz w:val="24"/>
          <w:szCs w:val="24"/>
          <w:lang w:val="en-GB"/>
          <w14:textFill>
            <w14:solidFill>
              <w14:schemeClr w14:val="tx1"/>
            </w14:solidFill>
          </w14:textFill>
        </w:rPr>
        <w:t xml:space="preserve">et al. </w:t>
      </w:r>
      <w:r>
        <w:rPr>
          <w:color w:val="000000" w:themeColor="text1"/>
          <w:sz w:val="24"/>
          <w:szCs w:val="24"/>
          <w:lang w:val="en-GB"/>
          <w14:textFill>
            <w14:solidFill>
              <w14:schemeClr w14:val="tx1"/>
            </w14:solidFill>
          </w14:textFill>
        </w:rPr>
        <w:t>2025)</w:t>
      </w:r>
    </w:p>
    <w:p w14:paraId="704DFB65">
      <w:pPr>
        <w:spacing w:line="360" w:lineRule="auto"/>
        <w:jc w:val="both"/>
        <w:rPr>
          <w:b/>
          <w:bCs/>
          <w:i/>
          <w:iCs/>
          <w:color w:val="000000" w:themeColor="text1"/>
          <w:sz w:val="24"/>
          <w:szCs w:val="24"/>
          <w:lang w:val="en-GB"/>
          <w14:textFill>
            <w14:solidFill>
              <w14:schemeClr w14:val="tx1"/>
            </w14:solidFill>
          </w14:textFill>
        </w:rPr>
      </w:pPr>
      <w:r>
        <w:rPr>
          <w:b/>
          <w:bCs/>
          <w:i/>
          <w:iCs/>
          <w:color w:val="000000" w:themeColor="text1"/>
          <w:sz w:val="24"/>
          <w:szCs w:val="24"/>
          <w:lang w:val="en-GB"/>
          <w14:textFill>
            <w14:solidFill>
              <w14:schemeClr w14:val="tx1"/>
            </w14:solidFill>
          </w14:textFill>
        </w:rPr>
        <w:t xml:space="preserve">4.4.4.2 Discussion of Findings in the context of literature </w:t>
      </w:r>
    </w:p>
    <w:p w14:paraId="7AB237F7">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The cyber-attack is not an indictment of the opportunity side literature; it is a confirmation of the constraint side literature in the most obvious manner possible from the evidence base. Maghroor </w:t>
      </w:r>
      <w:r>
        <w:rPr>
          <w:i/>
          <w:iCs/>
          <w:color w:val="000000" w:themeColor="text1"/>
          <w:sz w:val="24"/>
          <w:szCs w:val="24"/>
          <w:lang w:val="en-GB"/>
          <w14:textFill>
            <w14:solidFill>
              <w14:schemeClr w14:val="tx1"/>
            </w14:solidFill>
          </w14:textFill>
        </w:rPr>
        <w:t>et al.</w:t>
      </w:r>
      <w:r>
        <w:rPr>
          <w:color w:val="000000" w:themeColor="text1"/>
          <w:sz w:val="24"/>
          <w:szCs w:val="24"/>
          <w:lang w:val="en-GB"/>
          <w14:textFill>
            <w14:solidFill>
              <w14:schemeClr w14:val="tx1"/>
            </w14:solidFill>
          </w14:textFill>
        </w:rPr>
        <w:t xml:space="preserve"> (2025) are abstract barriers; in the case of the 2025 incident, they are clearly illustrated as the interconnected, automated systems that would benefit forecasting and inventory are a single point of failure when attacked. This can be well explained by the framework of technology-organisation-environment (Xu, 2025). The interaction between the technology dimension and the organisation dimension in the context of cybersecurity risk from a third-party vendor led to a result that neither of the two technical and organisational literatures alone could foresee. The literature on opportunity-based and constraint-based models appears to be at odds because they are assessed under different conditions. The implicit assumption of stable, continuous system operation is present in Hassani and Silva (2024) and Chowdhury, Paul and Rozony (2025) while not in the 2025 incident. The implication for M&amp;S in this study is that the opportunities identified are indeed reality but contingent, meaning that they require a shift in the priority of investments on resilience and governance being treated as equal investment to forecasting-accuracy investments rather than a secondary concern.</w:t>
      </w:r>
    </w:p>
    <w:p w14:paraId="2219FCB0">
      <w:pPr>
        <w:pStyle w:val="3"/>
        <w:rPr>
          <w:lang w:val="en-GB"/>
        </w:rPr>
      </w:pPr>
      <w:bookmarkStart w:id="90" w:name="_Toc235781994"/>
      <w:bookmarkStart w:id="91" w:name="_Toc237357951"/>
      <w:r>
        <w:rPr>
          <w:lang w:val="en-GB"/>
        </w:rPr>
        <w:t>4.5 Discussion</w:t>
      </w:r>
      <w:bookmarkEnd w:id="90"/>
      <w:bookmarkEnd w:id="91"/>
      <w:r>
        <w:rPr>
          <w:lang w:val="en-GB"/>
        </w:rPr>
        <w:t> </w:t>
      </w:r>
    </w:p>
    <w:p w14:paraId="59FFAC73">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 findings are analysed in the context of each of the three research objectives and underlying research questions outlined in Chapter One, rather than thematically, to make it explicit how findings relate to answering each objective and research question.</w:t>
      </w:r>
    </w:p>
    <w:p w14:paraId="4087A0AD">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 findings in Theme One provide qualified support for Objective One on the accuracy and reliability of GenAI-based forecasting compared to traditional forecasts at M&amp;S. Fildes, Ma and Kolassa (2022) describe the reasons for the poor performance of traditional forecasting in M&amp;S's volatile trading pattern, while Hassani and Silva (2024) and Chowdhury, Paul and Rozony (2025) give conceptual and systematic review evidence that GenAI can overcome this weakness. M&amp;S's own reported revenue growth figure during the RELEX rollout period (Corporate.marksandspencer, 2024) is directionally supportive of this claim, but should not be used as an independent measure as it does not take into account the many other transformation projects that were also undertaken during the period. So the research question is tentatively answered: whilst in theory, the use of GenAI for forecasting looks more reliable than traditional forecasting, there is no evidence of this improvement at the organisational level at M&amp;S.</w:t>
      </w:r>
    </w:p>
    <w:p w14:paraId="2E2BF214">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Themes Two and Three are the most convincing evidence for Objectives Two in the dissertation, which is centered on investigating how GenAI can support inventory optimisation in M&amp;S. At a basic level, Culot, Podrecca and Nassimbeni (2024) explain why AI reorder systems lessen understocking and overstocking and M&amp;S's £340m investment in the automated food distribution system (Corporate.marksandspencer, 2025) shows that this isn't just a pilot, but a real-world scale of operations. In addition to this inventory evidence, the re-analysed Theme Three reveals another group of customer-facing GenAI capabilities, albeit one which is less tightly coupled to inventory optimisation, that is in turn: GenAI's role in inventory optimisation is not only real, but the strands of its role are not fully coordinated within an organisation, with a number of parallel, less-integrated efforts being carried out by other vendors (Mills, 2024; DigitalDefynd, 2025; Berthiaume, 2024 and cloud.google, 2024).</w:t>
      </w:r>
    </w:p>
    <w:p w14:paraId="66F2ABF3">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In line with Objective Three, to explore the opportunities and challenges of GenAI adoption at M&amp;S, Theme Four provides the most direct response as it relies on a lived organisational event rather than just on projected benefit. Reported revenue growth as reflected on the opportunity side (Corporate.marksandspencer, 2024) is real but hinges on a number of factors, including technological readiness, regulatory clarity and organisational alignment. According to Maghroor </w:t>
      </w:r>
      <w:r>
        <w:rPr>
          <w:i/>
          <w:iCs/>
          <w:color w:val="000000" w:themeColor="text1"/>
          <w:sz w:val="24"/>
          <w:szCs w:val="24"/>
          <w:lang w:val="en-GB"/>
          <w14:textFill>
            <w14:solidFill>
              <w14:schemeClr w14:val="tx1"/>
            </w14:solidFill>
          </w14:textFill>
        </w:rPr>
        <w:t>et al.</w:t>
      </w:r>
      <w:r>
        <w:rPr>
          <w:color w:val="000000" w:themeColor="text1"/>
          <w:sz w:val="24"/>
          <w:szCs w:val="24"/>
          <w:lang w:val="en-GB"/>
          <w14:textFill>
            <w14:solidFill>
              <w14:schemeClr w14:val="tx1"/>
            </w14:solidFill>
          </w14:textFill>
        </w:rPr>
        <w:t xml:space="preserve"> (2025) the challenge side of the research question is directly answered by the April 2025 cyberattack. Those systems that yield forecasting and inventory benefits when they are working normally yield a concentration of risk when they are not working normally. The overall discussion of the three research questions outlined above suggests that the effect of GenAI on M&amp;S is not a simple one-to-one relationship between the technology and the outcome; instead, the answer to these research questions is found when the technology, the readiness of the organisation to adopt the technology and the environment in which the technology works are intertwined and collectively influence the outcomes.</w:t>
      </w:r>
    </w:p>
    <w:p w14:paraId="7C47309B">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In the three research questions, competitive value is not just in the hands of GenAI. The best M&amp;S evidence relates to predictive analytics, automated inventory infrastructure and digital transformation overall. Predictive analytics and GenAI should not be combined analytically. The opportunities and constraints are mutually dependent: Better data and automation will lead to better availability, and interconnected systems will lead to greater integration, cyber, data-quality and governance risks. In this sense, understanding consumer demand and leveraging the opportunities digital technology can provide is more important for long-term value than the type of label an AI has.</w:t>
      </w:r>
    </w:p>
    <w:p w14:paraId="06BB7C72">
      <w:pPr>
        <w:pStyle w:val="3"/>
        <w:rPr>
          <w:lang w:val="en-GB"/>
        </w:rPr>
      </w:pPr>
      <w:bookmarkStart w:id="92" w:name="_Toc237357952"/>
      <w:bookmarkStart w:id="93" w:name="_Toc235781995"/>
      <w:r>
        <w:rPr>
          <w:lang w:val="en-GB"/>
        </w:rPr>
        <w:t>4.6 Integrated Synthesis</w:t>
      </w:r>
      <w:bookmarkEnd w:id="92"/>
      <w:bookmarkEnd w:id="93"/>
    </w:p>
    <w:p w14:paraId="61A1DBDB">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Putting the four themes together, the conclusions are consistent overall: whilst GenAI and predictive analytics have the potential for plausible benefits for demand forecasting (Theme One) and inventory optimisation (Theme Two), the organisational translation of these benefits, in M&amp;S's case by way of RELEX, automated distribution and SymphonyAI, is at least in part observable here, in some detail (Theme Three). Not only in RELEX, automated distribution and SymphonyAI (Theme Three), but also in forecasting, in-store operations, merchandising, customer-facing personalisation and customer service, spread across at least seven different third-party technology partners. These are also re-analysed evidence base confirms that organisational translation is wider, and organisational-integration risk is greater, than the account previously presented in the two-initiative scenario. Just as opportunities are inextricably linked to organizational and environmental constraints (Theme Four). However, it extends from acceptance by staff to integration with legacy systems and cyber security resilience. The evidence indicates that M&amp;S's capacity to create value from GenAI is more about their ability to sense a risk. Reconfigure their systems when under pressure, and sustain a disruption, whether it is commercial, operational or cyber related, then any specific technology. The research gaps identified in Section 2.7 (i.e. absence of organisation-specific forecasting evidence, lack of pilot-to-scale evidence and shortage of organisation-level case research) have all been addressed in the M&amp;S-specific evidence discussed in this chapter and directly answer the 3 research objectives.</w:t>
      </w:r>
    </w:p>
    <w:p w14:paraId="197C547A">
      <w:pPr>
        <w:pStyle w:val="3"/>
        <w:rPr>
          <w:lang w:val="en-GB"/>
        </w:rPr>
      </w:pPr>
      <w:bookmarkStart w:id="94" w:name="_Toc235781996"/>
      <w:bookmarkStart w:id="95" w:name="_Toc237357953"/>
      <w:r>
        <w:rPr>
          <w:lang w:val="en-GB"/>
        </w:rPr>
        <w:t>4.7 Chapter Summary</w:t>
      </w:r>
      <w:bookmarkEnd w:id="94"/>
      <w:bookmarkEnd w:id="95"/>
    </w:p>
    <w:p w14:paraId="51C17FB8">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This chapter has introduced and critically examined the evidence presented within the four themes outlined in Chapter Two, testing and corroborating these claims using evidence of M&amp;S' own forecasting, inventory, digital and financial evidence and, in the case of the 2025 cyberattack, challenging the claims with evidence. Evidence as a whole suggests some degree of technical optimism as reported in the forecasting and inventory literature but with more evident and explicit organisational and environmental risk reported than is contained in the literature alone. The conclusions and recommendations presented in Chapter Five are based on these findings and their theoretical interpretation based on the Dynamic Capabilities View and the Technology-Organisation-Environment framework. Comparing the two, overall, there is more empirical evidence behind predictive analytics for M&amp;S forecasting and inventory applications, than for GenAI. While financial performance cannot be solely attributed to AI, M&amp;S have progressed towards investing in scaled AI-driven planning and distribution. To differentiate and report AI effects from other transformation efforts, future evaluation should be based on longitudinal KPI evidence based on predictive analytics or GenAI. </w:t>
      </w:r>
    </w:p>
    <w:p w14:paraId="0E912E55">
      <w:pPr>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br w:type="page"/>
      </w:r>
    </w:p>
    <w:p w14:paraId="40462A17">
      <w:pPr>
        <w:pStyle w:val="2"/>
      </w:pPr>
      <w:bookmarkStart w:id="96" w:name="_Toc237357954"/>
      <w:r>
        <w:t>Chapter 5: Conclusions and recommendations</w:t>
      </w:r>
      <w:bookmarkEnd w:id="96"/>
      <w:r>
        <w:t xml:space="preserve"> </w:t>
      </w:r>
    </w:p>
    <w:p w14:paraId="479F62D6">
      <w:pPr>
        <w:pStyle w:val="3"/>
        <w:rPr>
          <w:lang w:val="en-GB"/>
        </w:rPr>
      </w:pPr>
      <w:bookmarkStart w:id="97" w:name="_Toc237357955"/>
      <w:r>
        <w:rPr>
          <w:lang w:val="en-GB"/>
        </w:rPr>
        <w:t>5.1 Main findings</w:t>
      </w:r>
      <w:bookmarkEnd w:id="97"/>
      <w:r>
        <w:rPr>
          <w:lang w:val="en-GB"/>
        </w:rPr>
        <w:t> </w:t>
      </w:r>
    </w:p>
    <w:p w14:paraId="489F7625">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This chapter summarises the results of each theme in Chapter Four and to that end states what it means for M&amp;S' ambition to improve the demand forecasting and inventory optimisation. This study aimed to explore the potential of Generative AI (GenAI) and predictive analytics to aid Demand Forecasting and Inventory Optimisation within the UK retail supply chain with the one secondary qualitative case of Marks &amp; Spencer (M&amp;S). The results demonstrate that predictive analytics and GenAI are not one and the same. While predictive analytics is more directly related to structured historical data and demand prediction and replenishment, GenAI can be used for analysis beyond structured information, such as scenario generation and interpretation of less-structured information (Fildes, Ma and Kolassa, 2022; Hassani and Silva, 2024).</w:t>
      </w:r>
    </w:p>
    <w:p w14:paraId="77213ABC">
      <w:pPr>
        <w:spacing w:line="360" w:lineRule="auto"/>
        <w:jc w:val="both"/>
        <w:rPr>
          <w:b/>
          <w:bCs/>
          <w:i/>
          <w:iCs/>
          <w:color w:val="000000" w:themeColor="text1"/>
          <w:sz w:val="24"/>
          <w:szCs w:val="24"/>
          <w:lang w:val="en-GB"/>
          <w14:textFill>
            <w14:solidFill>
              <w14:schemeClr w14:val="tx1"/>
            </w14:solidFill>
          </w14:textFill>
        </w:rPr>
      </w:pPr>
      <w:r>
        <w:rPr>
          <w:b/>
          <w:bCs/>
          <w:i/>
          <w:iCs/>
          <w:color w:val="000000" w:themeColor="text1"/>
          <w:sz w:val="24"/>
          <w:szCs w:val="24"/>
          <w:lang w:val="en-GB"/>
          <w14:textFill>
            <w14:solidFill>
              <w14:schemeClr w14:val="tx1"/>
            </w14:solidFill>
          </w14:textFill>
        </w:rPr>
        <w:t xml:space="preserve">The first major finding </w:t>
      </w:r>
    </w:p>
    <w:p w14:paraId="28845172">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 first major finding is that the trading context of M&amp;S consists of volatile food demand, promotions, seasonal products and short product life cycles suggesting AI-based forecasting applicable to M&amp;S. Literature indicates that forecasting models may be vulnerable under these circumstances. The M&amp;S evidence, however, does not offer enough evidence for KPI-level to support improving the accuracy of forecasts via GenAI. M&amp;S saw food revenue up 17.5% and clothing and home revenue up 11.4% in the transformation period compared to the previous year 2021/22. These numbers should not be interpreted as being solely driven by AI forecasts, however, as there were multiple transformation efforts that took place concurrently.</w:t>
      </w:r>
    </w:p>
    <w:p w14:paraId="646B0955">
      <w:pPr>
        <w:spacing w:line="360" w:lineRule="auto"/>
        <w:jc w:val="both"/>
        <w:rPr>
          <w:b/>
          <w:bCs/>
          <w:i/>
          <w:iCs/>
          <w:color w:val="000000" w:themeColor="text1"/>
          <w:sz w:val="24"/>
          <w:szCs w:val="24"/>
          <w:lang w:val="en-GB"/>
          <w14:textFill>
            <w14:solidFill>
              <w14:schemeClr w14:val="tx1"/>
            </w14:solidFill>
          </w14:textFill>
        </w:rPr>
      </w:pPr>
      <w:r>
        <w:rPr>
          <w:b/>
          <w:bCs/>
          <w:i/>
          <w:iCs/>
          <w:color w:val="000000" w:themeColor="text1"/>
          <w:sz w:val="24"/>
          <w:szCs w:val="24"/>
          <w:lang w:val="en-GB"/>
          <w14:textFill>
            <w14:solidFill>
              <w14:schemeClr w14:val="tx1"/>
            </w14:solidFill>
          </w14:textFill>
        </w:rPr>
        <w:t>The second major finding</w:t>
      </w:r>
    </w:p>
    <w:p w14:paraId="77353A62">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 second one is inventory optimisation. M&amp;S have gone beyond experimentation with RELEX, rolling it out to over 1000 food stores and a £340 million investment in an automated food distribution centre. This aligns with the literature on the need for significant organizational and infrastructure preparations to scale AI (Culot, Podrecca and Nassimbeni, 2024). However, evidence suggests that inventory optimisation is more than just automatic reorder points. Stock availability, inventory turnover and fulfilment allocation are important performance indicators for M&amp;S as they need to coordinate the various channels of fulfilment, including store, online and automated.</w:t>
      </w:r>
    </w:p>
    <w:p w14:paraId="4DF64516">
      <w:pPr>
        <w:spacing w:line="360" w:lineRule="auto"/>
        <w:jc w:val="both"/>
        <w:rPr>
          <w:b/>
          <w:bCs/>
          <w:i/>
          <w:iCs/>
          <w:color w:val="000000" w:themeColor="text1"/>
          <w:sz w:val="24"/>
          <w:szCs w:val="24"/>
          <w:lang w:val="en-GB"/>
          <w14:textFill>
            <w14:solidFill>
              <w14:schemeClr w14:val="tx1"/>
            </w14:solidFill>
          </w14:textFill>
        </w:rPr>
      </w:pPr>
      <w:r>
        <w:rPr>
          <w:b/>
          <w:bCs/>
          <w:i/>
          <w:iCs/>
          <w:color w:val="000000" w:themeColor="text1"/>
          <w:sz w:val="24"/>
          <w:szCs w:val="24"/>
          <w:lang w:val="en-GB"/>
          <w14:textFill>
            <w14:solidFill>
              <w14:schemeClr w14:val="tx1"/>
            </w14:solidFill>
          </w14:textFill>
        </w:rPr>
        <w:t>The third major finding</w:t>
      </w:r>
    </w:p>
    <w:p w14:paraId="500DB5BD">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 third is that M&amp;S's AI use is widespread. GenAI reportedly helped to support 80% of online product descriptions, and the total number of online customers jumped from 37% to 44% of app-based online orders (Mills, 2024). SymphonyAI store intelligence impacted over 500 stores and the Thread related personalisation capability had been accessed by over 450,000 customers. This reflects several AI values creating logics (Cao, 2021). There are also a number of technology vendors that add to integration and governance complexity. </w:t>
      </w:r>
    </w:p>
    <w:p w14:paraId="51E18F4D">
      <w:pPr>
        <w:spacing w:line="360" w:lineRule="auto"/>
        <w:jc w:val="both"/>
        <w:rPr>
          <w:b/>
          <w:bCs/>
          <w:i/>
          <w:iCs/>
          <w:color w:val="000000" w:themeColor="text1"/>
          <w:sz w:val="24"/>
          <w:szCs w:val="24"/>
          <w:lang w:val="en-GB"/>
          <w14:textFill>
            <w14:solidFill>
              <w14:schemeClr w14:val="tx1"/>
            </w14:solidFill>
          </w14:textFill>
        </w:rPr>
      </w:pPr>
      <w:r>
        <w:rPr>
          <w:b/>
          <w:bCs/>
          <w:i/>
          <w:iCs/>
          <w:color w:val="000000" w:themeColor="text1"/>
          <w:sz w:val="24"/>
          <w:szCs w:val="24"/>
          <w:lang w:val="en-GB"/>
          <w14:textFill>
            <w14:solidFill>
              <w14:schemeClr w14:val="tx1"/>
            </w14:solidFill>
          </w14:textFill>
        </w:rPr>
        <w:t>The fourth major finding</w:t>
      </w:r>
    </w:p>
    <w:p w14:paraId="3902027B">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 fourth finding is that AI can be beneficial, however, a good, practical example of this limitation in the cyber capability of M&amp;S is the disruption that occurred in 2025, which led to a drop in operating profit of around £300 million and a reported duration of the cyber-attack of about 15 weeks. This indicates the potential for operational risk to be focused when digital interdependence comes into play. So, forecasting accuracy, resilience, cyber security and governance and organisational readiness should be taken together.</w:t>
      </w:r>
    </w:p>
    <w:p w14:paraId="1D25F4F7">
      <w:pPr>
        <w:pStyle w:val="3"/>
        <w:rPr>
          <w:lang w:val="en-GB"/>
        </w:rPr>
      </w:pPr>
      <w:bookmarkStart w:id="98" w:name="_Toc237357956"/>
      <w:r>
        <w:rPr>
          <w:lang w:val="en-GB"/>
        </w:rPr>
        <w:t>5.2 Answer to research objectives</w:t>
      </w:r>
      <w:bookmarkEnd w:id="98"/>
      <w:r>
        <w:rPr>
          <w:lang w:val="en-GB"/>
        </w:rPr>
        <w:t> </w:t>
      </w:r>
    </w:p>
    <w:p w14:paraId="543357C2">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RQ1: How are GenAI and predictive analytics applied in the fields of demand forecasting and inventory optimisation? While structured forecast and replenishment benefit more from predictive analytics, GenAI provides scenario-based analysis and interpretation of unstructured information. Literature suggests that there are opportunities to improve the accuracy, but evidence of causal impact from an organisation-level is limited.</w:t>
      </w:r>
    </w:p>
    <w:p w14:paraId="50BA97E0">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RQ2: What techniques has M&amp;S used? The key developments at M&amp;S include RELEX, automated distribution, SymphonyAI, personalisation and AI-assisted content. Investment in RELEX scale and £340 million demonstrate strategic commitment. But current evidence does not differentiate between AI's role in the accuracy of forecasts, the availability of stocks or inventory turnover. This means that M&amp;S have shown in their usage of AI that they've adopted it to a large extent, but not a clear causal measurement of how their supply chain has been improved.</w:t>
      </w:r>
    </w:p>
    <w:p w14:paraId="21614385">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RQ3: focused on opportunities and challenges. The possibilities are: enhanced demand sensing, automated replenishment, personalisation, efficiency and responding. The challenges are: Legacy integration, Workforce capability, Data governance, Third party dependency, Cybersecurity and Scaling. The M&amp;S cyber incident shows the need for balance between benefits of connected systems and resilience and contingency planning.</w:t>
      </w:r>
    </w:p>
    <w:p w14:paraId="2B68024F">
      <w:pPr>
        <w:pStyle w:val="3"/>
        <w:rPr>
          <w:lang w:val="en-GB"/>
        </w:rPr>
      </w:pPr>
      <w:bookmarkStart w:id="99" w:name="_Toc237357957"/>
      <w:r>
        <w:rPr>
          <w:lang w:val="en-GB"/>
        </w:rPr>
        <w:t>5.3 Recommendation (Practical and Theoretical)</w:t>
      </w:r>
      <w:bookmarkEnd w:id="99"/>
    </w:p>
    <w:p w14:paraId="208D360B">
      <w:pPr>
        <w:spacing w:line="360" w:lineRule="auto"/>
        <w:jc w:val="both"/>
        <w:rPr>
          <w:color w:val="000000" w:themeColor="text1"/>
          <w:sz w:val="24"/>
          <w:szCs w:val="24"/>
          <w:lang w:val="en-GB"/>
          <w14:textFill>
            <w14:solidFill>
              <w14:schemeClr w14:val="tx1"/>
            </w14:solidFill>
          </w14:textFill>
        </w:rPr>
      </w:pPr>
      <w:r>
        <w:rPr>
          <w:b/>
          <w:bCs/>
          <w:color w:val="000000" w:themeColor="text1"/>
          <w:sz w:val="24"/>
          <w:szCs w:val="24"/>
          <w:lang w:val="en-GB"/>
          <w14:textFill>
            <w14:solidFill>
              <w14:schemeClr w14:val="tx1"/>
            </w14:solidFill>
          </w14:textFill>
        </w:rPr>
        <w:t>1.</w:t>
      </w:r>
      <w:r>
        <w:rPr>
          <w:b/>
          <w:bCs/>
          <w:i/>
          <w:iCs/>
          <w:color w:val="000000" w:themeColor="text1"/>
          <w:sz w:val="24"/>
          <w:szCs w:val="24"/>
          <w:lang w:val="en-GB"/>
          <w14:textFill>
            <w14:solidFill>
              <w14:schemeClr w14:val="tx1"/>
            </w14:solidFill>
          </w14:textFill>
        </w:rPr>
        <w:t xml:space="preserve"> Finding:</w:t>
      </w:r>
      <w:r>
        <w:rPr>
          <w:color w:val="000000" w:themeColor="text1"/>
          <w:sz w:val="24"/>
          <w:szCs w:val="24"/>
          <w:lang w:val="en-GB"/>
          <w14:textFill>
            <w14:solidFill>
              <w14:schemeClr w14:val="tx1"/>
            </w14:solidFill>
          </w14:textFill>
        </w:rPr>
        <w:t xml:space="preserve"> Revenue growth is now an indirect measure of forecasting success, which cannot be distinguished from other transformation projects going on simultaneously.</w:t>
      </w:r>
    </w:p>
    <w:p w14:paraId="2D004F55">
      <w:pPr>
        <w:spacing w:line="360" w:lineRule="auto"/>
        <w:jc w:val="both"/>
        <w:rPr>
          <w:color w:val="000000" w:themeColor="text1"/>
          <w:sz w:val="24"/>
          <w:szCs w:val="24"/>
          <w:lang w:val="en-GB"/>
          <w14:textFill>
            <w14:solidFill>
              <w14:schemeClr w14:val="tx1"/>
            </w14:solidFill>
          </w14:textFill>
        </w:rPr>
      </w:pPr>
      <w:r>
        <w:rPr>
          <w:b/>
          <w:bCs/>
          <w:i/>
          <w:iCs/>
          <w:color w:val="000000" w:themeColor="text1"/>
          <w:sz w:val="24"/>
          <w:szCs w:val="24"/>
          <w:lang w:val="en-GB"/>
          <w14:textFill>
            <w14:solidFill>
              <w14:schemeClr w14:val="tx1"/>
            </w14:solidFill>
          </w14:textFill>
        </w:rPr>
        <w:t>Implication:</w:t>
      </w:r>
      <w:r>
        <w:rPr>
          <w:color w:val="000000" w:themeColor="text1"/>
          <w:sz w:val="24"/>
          <w:szCs w:val="24"/>
          <w:lang w:val="en-GB"/>
          <w14:textFill>
            <w14:solidFill>
              <w14:schemeClr w14:val="tx1"/>
            </w14:solidFill>
          </w14:textFill>
        </w:rPr>
        <w:t xml:space="preserve"> M&amp;S lacks a clear and causal relationship between AI and improved forecasting. </w:t>
      </w:r>
    </w:p>
    <w:p w14:paraId="21D11BA0">
      <w:pPr>
        <w:spacing w:line="360" w:lineRule="auto"/>
        <w:jc w:val="both"/>
        <w:rPr>
          <w:color w:val="000000" w:themeColor="text1"/>
          <w:sz w:val="24"/>
          <w:szCs w:val="24"/>
          <w:lang w:val="en-GB"/>
          <w14:textFill>
            <w14:solidFill>
              <w14:schemeClr w14:val="tx1"/>
            </w14:solidFill>
          </w14:textFill>
        </w:rPr>
      </w:pPr>
      <w:r>
        <w:rPr>
          <w:b/>
          <w:bCs/>
          <w:i/>
          <w:iCs/>
          <w:color w:val="000000" w:themeColor="text1"/>
          <w:sz w:val="24"/>
          <w:szCs w:val="24"/>
          <w:lang w:val="en-GB"/>
          <w14:textFill>
            <w14:solidFill>
              <w14:schemeClr w14:val="tx1"/>
            </w14:solidFill>
          </w14:textFill>
        </w:rPr>
        <w:t>Action:</w:t>
      </w:r>
      <w:r>
        <w:rPr>
          <w:color w:val="000000" w:themeColor="text1"/>
          <w:sz w:val="24"/>
          <w:szCs w:val="24"/>
          <w:lang w:val="en-GB"/>
          <w14:textFill>
            <w14:solidFill>
              <w14:schemeClr w14:val="tx1"/>
            </w14:solidFill>
          </w14:textFill>
        </w:rPr>
        <w:t xml:space="preserve"> M&amp;S is required to create a KPI set to monitor the accuracy of the forecasts, the bias of the forecasts, stock availability, stock out rate, inventory turns and the accuracy of the fulfilment and waste.</w:t>
      </w:r>
    </w:p>
    <w:p w14:paraId="37F3D3B2">
      <w:pPr>
        <w:spacing w:line="360" w:lineRule="auto"/>
        <w:jc w:val="both"/>
        <w:rPr>
          <w:color w:val="000000" w:themeColor="text1"/>
          <w:sz w:val="24"/>
          <w:szCs w:val="24"/>
          <w:lang w:val="en-GB"/>
          <w14:textFill>
            <w14:solidFill>
              <w14:schemeClr w14:val="tx1"/>
            </w14:solidFill>
          </w14:textFill>
        </w:rPr>
      </w:pPr>
      <w:r>
        <w:rPr>
          <w:b/>
          <w:bCs/>
          <w:color w:val="000000" w:themeColor="text1"/>
          <w:sz w:val="24"/>
          <w:szCs w:val="24"/>
          <w:lang w:val="en-GB"/>
          <w14:textFill>
            <w14:solidFill>
              <w14:schemeClr w14:val="tx1"/>
            </w14:solidFill>
          </w14:textFill>
        </w:rPr>
        <w:t>2.</w:t>
      </w:r>
      <w:r>
        <w:rPr>
          <w:color w:val="000000" w:themeColor="text1"/>
          <w:sz w:val="24"/>
          <w:szCs w:val="24"/>
          <w:lang w:val="en-GB"/>
          <w14:textFill>
            <w14:solidFill>
              <w14:schemeClr w14:val="tx1"/>
            </w14:solidFill>
          </w14:textFill>
        </w:rPr>
        <w:t xml:space="preserve"> </w:t>
      </w:r>
      <w:r>
        <w:rPr>
          <w:b/>
          <w:bCs/>
          <w:i/>
          <w:iCs/>
          <w:color w:val="000000" w:themeColor="text1"/>
          <w:sz w:val="24"/>
          <w:szCs w:val="24"/>
          <w:lang w:val="en-GB"/>
          <w14:textFill>
            <w14:solidFill>
              <w14:schemeClr w14:val="tx1"/>
            </w14:solidFill>
          </w14:textFill>
        </w:rPr>
        <w:t>Finding:</w:t>
      </w:r>
      <w:r>
        <w:rPr>
          <w:color w:val="000000" w:themeColor="text1"/>
          <w:sz w:val="24"/>
          <w:szCs w:val="24"/>
          <w:lang w:val="en-GB"/>
          <w14:textFill>
            <w14:solidFill>
              <w14:schemeClr w14:val="tx1"/>
            </w14:solidFill>
          </w14:textFill>
        </w:rPr>
        <w:t xml:space="preserve"> automated forecasting/replenishment can be problematic in unusual demand scenarios. </w:t>
      </w:r>
    </w:p>
    <w:p w14:paraId="33E72CEE">
      <w:pPr>
        <w:spacing w:line="360" w:lineRule="auto"/>
        <w:jc w:val="both"/>
        <w:rPr>
          <w:color w:val="000000" w:themeColor="text1"/>
          <w:sz w:val="24"/>
          <w:szCs w:val="24"/>
          <w:lang w:val="en-GB"/>
          <w14:textFill>
            <w14:solidFill>
              <w14:schemeClr w14:val="tx1"/>
            </w14:solidFill>
          </w14:textFill>
        </w:rPr>
      </w:pPr>
      <w:r>
        <w:rPr>
          <w:b/>
          <w:bCs/>
          <w:i/>
          <w:iCs/>
          <w:color w:val="000000" w:themeColor="text1"/>
          <w:sz w:val="24"/>
          <w:szCs w:val="24"/>
          <w:lang w:val="en-GB"/>
          <w14:textFill>
            <w14:solidFill>
              <w14:schemeClr w14:val="tx1"/>
            </w14:solidFill>
          </w14:textFill>
        </w:rPr>
        <w:t>Implication:</w:t>
      </w:r>
      <w:r>
        <w:rPr>
          <w:color w:val="000000" w:themeColor="text1"/>
          <w:sz w:val="24"/>
          <w:szCs w:val="24"/>
          <w:lang w:val="en-GB"/>
          <w14:textFill>
            <w14:solidFill>
              <w14:schemeClr w14:val="tx1"/>
            </w14:solidFill>
          </w14:textFill>
        </w:rPr>
        <w:t xml:space="preserve"> When the demand is not always predictable, full automation is risky. </w:t>
      </w:r>
    </w:p>
    <w:p w14:paraId="6E1D96F9">
      <w:pPr>
        <w:spacing w:line="360" w:lineRule="auto"/>
        <w:jc w:val="both"/>
        <w:rPr>
          <w:color w:val="000000" w:themeColor="text1"/>
          <w:sz w:val="24"/>
          <w:szCs w:val="24"/>
          <w:lang w:val="en-GB"/>
          <w14:textFill>
            <w14:solidFill>
              <w14:schemeClr w14:val="tx1"/>
            </w14:solidFill>
          </w14:textFill>
        </w:rPr>
      </w:pPr>
      <w:r>
        <w:rPr>
          <w:b/>
          <w:bCs/>
          <w:i/>
          <w:iCs/>
          <w:color w:val="000000" w:themeColor="text1"/>
          <w:sz w:val="24"/>
          <w:szCs w:val="24"/>
          <w:lang w:val="en-GB"/>
          <w14:textFill>
            <w14:solidFill>
              <w14:schemeClr w14:val="tx1"/>
            </w14:solidFill>
          </w14:textFill>
        </w:rPr>
        <w:t>Action:</w:t>
      </w:r>
      <w:r>
        <w:rPr>
          <w:color w:val="000000" w:themeColor="text1"/>
          <w:sz w:val="24"/>
          <w:szCs w:val="24"/>
          <w:lang w:val="en-GB"/>
          <w14:textFill>
            <w14:solidFill>
              <w14:schemeClr w14:val="tx1"/>
            </w14:solidFill>
          </w14:textFill>
        </w:rPr>
        <w:t xml:space="preserve"> M&amp;S should continue to have humans in the loop for critical forecasting and replenishment decision making.</w:t>
      </w:r>
    </w:p>
    <w:p w14:paraId="34DBAE67">
      <w:pPr>
        <w:spacing w:line="360" w:lineRule="auto"/>
        <w:jc w:val="both"/>
        <w:rPr>
          <w:color w:val="000000" w:themeColor="text1"/>
          <w:sz w:val="24"/>
          <w:szCs w:val="24"/>
          <w:lang w:val="en-GB"/>
          <w14:textFill>
            <w14:solidFill>
              <w14:schemeClr w14:val="tx1"/>
            </w14:solidFill>
          </w14:textFill>
        </w:rPr>
      </w:pPr>
      <w:r>
        <w:rPr>
          <w:b/>
          <w:bCs/>
          <w:color w:val="000000" w:themeColor="text1"/>
          <w:sz w:val="24"/>
          <w:szCs w:val="24"/>
          <w:lang w:val="en-GB"/>
          <w14:textFill>
            <w14:solidFill>
              <w14:schemeClr w14:val="tx1"/>
            </w14:solidFill>
          </w14:textFill>
        </w:rPr>
        <w:t xml:space="preserve">3. </w:t>
      </w:r>
      <w:r>
        <w:rPr>
          <w:b/>
          <w:bCs/>
          <w:i/>
          <w:iCs/>
          <w:color w:val="000000" w:themeColor="text1"/>
          <w:sz w:val="24"/>
          <w:szCs w:val="24"/>
          <w:lang w:val="en-GB"/>
          <w14:textFill>
            <w14:solidFill>
              <w14:schemeClr w14:val="tx1"/>
            </w14:solidFill>
          </w14:textFill>
        </w:rPr>
        <w:t>Finding:</w:t>
      </w:r>
      <w:r>
        <w:rPr>
          <w:color w:val="000000" w:themeColor="text1"/>
          <w:sz w:val="24"/>
          <w:szCs w:val="24"/>
          <w:lang w:val="en-GB"/>
          <w14:textFill>
            <w14:solidFill>
              <w14:schemeClr w14:val="tx1"/>
            </w14:solidFill>
          </w14:textFill>
        </w:rPr>
        <w:t xml:space="preserve"> This one targeted system that were using AI technology and caused them to be unavailable for 15 weeks and cost approximately £300 million. </w:t>
      </w:r>
    </w:p>
    <w:p w14:paraId="2944773A">
      <w:pPr>
        <w:spacing w:line="360" w:lineRule="auto"/>
        <w:jc w:val="both"/>
        <w:rPr>
          <w:color w:val="000000" w:themeColor="text1"/>
          <w:sz w:val="24"/>
          <w:szCs w:val="24"/>
          <w:lang w:val="en-GB"/>
          <w14:textFill>
            <w14:solidFill>
              <w14:schemeClr w14:val="tx1"/>
            </w14:solidFill>
          </w14:textFill>
        </w:rPr>
      </w:pPr>
      <w:r>
        <w:rPr>
          <w:b/>
          <w:bCs/>
          <w:i/>
          <w:iCs/>
          <w:color w:val="000000" w:themeColor="text1"/>
          <w:sz w:val="24"/>
          <w:szCs w:val="24"/>
          <w:lang w:val="en-GB"/>
          <w14:textFill>
            <w14:solidFill>
              <w14:schemeClr w14:val="tx1"/>
            </w14:solidFill>
          </w14:textFill>
        </w:rPr>
        <w:t>Implication:</w:t>
      </w:r>
      <w:r>
        <w:rPr>
          <w:color w:val="000000" w:themeColor="text1"/>
          <w:sz w:val="24"/>
          <w:szCs w:val="24"/>
          <w:lang w:val="en-GB"/>
          <w14:textFill>
            <w14:solidFill>
              <w14:schemeClr w14:val="tx1"/>
            </w14:solidFill>
          </w14:textFill>
        </w:rPr>
        <w:t xml:space="preserve"> When AI systems are connected, there is one place where they are vulnerable. </w:t>
      </w:r>
    </w:p>
    <w:p w14:paraId="0035C419">
      <w:pPr>
        <w:spacing w:line="360" w:lineRule="auto"/>
        <w:jc w:val="both"/>
        <w:rPr>
          <w:color w:val="000000" w:themeColor="text1"/>
          <w:sz w:val="24"/>
          <w:szCs w:val="24"/>
          <w:lang w:val="en-GB"/>
          <w14:textFill>
            <w14:solidFill>
              <w14:schemeClr w14:val="tx1"/>
            </w14:solidFill>
          </w14:textFill>
        </w:rPr>
      </w:pPr>
      <w:r>
        <w:rPr>
          <w:b/>
          <w:bCs/>
          <w:i/>
          <w:iCs/>
          <w:color w:val="000000" w:themeColor="text1"/>
          <w:sz w:val="24"/>
          <w:szCs w:val="24"/>
          <w:lang w:val="en-GB"/>
          <w14:textFill>
            <w14:solidFill>
              <w14:schemeClr w14:val="tx1"/>
            </w14:solidFill>
          </w14:textFill>
        </w:rPr>
        <w:t>Action:</w:t>
      </w:r>
      <w:r>
        <w:rPr>
          <w:color w:val="000000" w:themeColor="text1"/>
          <w:sz w:val="24"/>
          <w:szCs w:val="24"/>
          <w:lang w:val="en-GB"/>
          <w14:textFill>
            <w14:solidFill>
              <w14:schemeClr w14:val="tx1"/>
            </w14:solidFill>
          </w14:textFill>
        </w:rPr>
        <w:t xml:space="preserve"> M&amp;S to incorporate cyber security testing, manual fallback, supplier risk monitoring.</w:t>
      </w:r>
    </w:p>
    <w:p w14:paraId="6033D216">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4. </w:t>
      </w:r>
      <w:r>
        <w:rPr>
          <w:b/>
          <w:bCs/>
          <w:i/>
          <w:iCs/>
          <w:color w:val="000000" w:themeColor="text1"/>
          <w:sz w:val="24"/>
          <w:szCs w:val="24"/>
          <w:lang w:val="en-GB"/>
          <w14:textFill>
            <w14:solidFill>
              <w14:schemeClr w14:val="tx1"/>
            </w14:solidFill>
          </w14:textFill>
        </w:rPr>
        <w:t>Finding:</w:t>
      </w:r>
      <w:r>
        <w:rPr>
          <w:color w:val="000000" w:themeColor="text1"/>
          <w:sz w:val="24"/>
          <w:szCs w:val="24"/>
          <w:lang w:val="en-GB"/>
          <w14:textFill>
            <w14:solidFill>
              <w14:schemeClr w14:val="tx1"/>
            </w14:solidFill>
          </w14:textFill>
        </w:rPr>
        <w:t xml:space="preserve"> M&amp;S is using at least seven different AI vendors in various business areas.</w:t>
      </w:r>
    </w:p>
    <w:p w14:paraId="4911616F">
      <w:pPr>
        <w:spacing w:line="360" w:lineRule="auto"/>
        <w:jc w:val="both"/>
        <w:rPr>
          <w:color w:val="000000" w:themeColor="text1"/>
          <w:sz w:val="24"/>
          <w:szCs w:val="24"/>
          <w:lang w:val="en-GB"/>
          <w14:textFill>
            <w14:solidFill>
              <w14:schemeClr w14:val="tx1"/>
            </w14:solidFill>
          </w14:textFill>
        </w:rPr>
      </w:pPr>
      <w:r>
        <w:rPr>
          <w:b/>
          <w:bCs/>
          <w:i/>
          <w:iCs/>
          <w:color w:val="000000" w:themeColor="text1"/>
          <w:sz w:val="24"/>
          <w:szCs w:val="24"/>
          <w:lang w:val="en-GB"/>
          <w14:textFill>
            <w14:solidFill>
              <w14:schemeClr w14:val="tx1"/>
            </w14:solidFill>
          </w14:textFill>
        </w:rPr>
        <w:t>Implication:</w:t>
      </w:r>
      <w:r>
        <w:rPr>
          <w:color w:val="000000" w:themeColor="text1"/>
          <w:sz w:val="24"/>
          <w:szCs w:val="24"/>
          <w:lang w:val="en-GB"/>
          <w14:textFill>
            <w14:solidFill>
              <w14:schemeClr w14:val="tx1"/>
            </w14:solidFill>
          </w14:textFill>
        </w:rPr>
        <w:t xml:space="preserve"> upsets the data governance and data accountability risk. </w:t>
      </w:r>
    </w:p>
    <w:p w14:paraId="29B0AD74">
      <w:pPr>
        <w:spacing w:line="360" w:lineRule="auto"/>
        <w:jc w:val="both"/>
        <w:rPr>
          <w:color w:val="000000" w:themeColor="text1"/>
          <w:sz w:val="24"/>
          <w:szCs w:val="24"/>
          <w:lang w:val="en-GB"/>
          <w14:textFill>
            <w14:solidFill>
              <w14:schemeClr w14:val="tx1"/>
            </w14:solidFill>
          </w14:textFill>
        </w:rPr>
      </w:pPr>
      <w:r>
        <w:rPr>
          <w:b/>
          <w:bCs/>
          <w:i/>
          <w:iCs/>
          <w:color w:val="000000" w:themeColor="text1"/>
          <w:sz w:val="24"/>
          <w:szCs w:val="24"/>
          <w:lang w:val="en-GB"/>
          <w14:textFill>
            <w14:solidFill>
              <w14:schemeClr w14:val="tx1"/>
            </w14:solidFill>
          </w14:textFill>
        </w:rPr>
        <w:t>Action:</w:t>
      </w:r>
      <w:r>
        <w:rPr>
          <w:color w:val="000000" w:themeColor="text1"/>
          <w:sz w:val="24"/>
          <w:szCs w:val="24"/>
          <w:lang w:val="en-GB"/>
          <w14:textFill>
            <w14:solidFill>
              <w14:schemeClr w14:val="tx1"/>
            </w14:solidFill>
          </w14:textFill>
        </w:rPr>
        <w:t xml:space="preserve"> Ensure uniform governance and accountability of all AI vendors across M&amp;S.</w:t>
      </w:r>
    </w:p>
    <w:p w14:paraId="1FC07952">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Adopting AI should be addressed from the Dynamic Capabilities View as an activity of sensing, seizing and reconfiguring, not merely as technology investment. Furthermore, the Dynamic Capabilities View must be complemented by the Technology-Organisation-Environment framework as in the M&amp;S case, the legacy integration and external environment influence the technological capability (Xu, 2025). This holistic view will help to understand the disconnect between technology promise and organisational results.</w:t>
      </w:r>
    </w:p>
    <w:p w14:paraId="35FAF15E">
      <w:pPr>
        <w:pStyle w:val="3"/>
        <w:rPr>
          <w:lang w:val="en-GB"/>
        </w:rPr>
      </w:pPr>
      <w:bookmarkStart w:id="100" w:name="_Toc237357958"/>
      <w:r>
        <w:rPr>
          <w:lang w:val="en-GB"/>
        </w:rPr>
        <w:t>5.4 Limitation of the study</w:t>
      </w:r>
      <w:bookmarkEnd w:id="100"/>
      <w:r>
        <w:rPr>
          <w:lang w:val="en-GB"/>
        </w:rPr>
        <w:t> </w:t>
      </w:r>
    </w:p>
    <w:p w14:paraId="770A6DED">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The main restriction is the secondary qualitative case study design. The research is unable to examine in person the activities of M&amp;S managers, employees, suppliers or AI systems, and cannot independently verify the internal decisions taken or KPI's performance. Corporate reports might focus on achievements and successful projects, and trade and technology sources may be biased toward vendors. In addition, the study does not conduct a broad systematic review and uses only 20 selected journal articles, thus requiring researcher judgement for selecting the articles. Further, the fact that the data is based on one retailer in the UK restricts the generalisability to other retailers, countries and sizes of organisations. Lastly, the rapid development of GenAI can result in changes in technologies and outcomes beyond the scope of the study.</w:t>
      </w:r>
    </w:p>
    <w:p w14:paraId="66280193">
      <w:pPr>
        <w:pStyle w:val="3"/>
        <w:rPr>
          <w:lang w:val="en-GB"/>
        </w:rPr>
      </w:pPr>
      <w:bookmarkStart w:id="101" w:name="_Toc237357959"/>
      <w:r>
        <w:rPr>
          <w:lang w:val="en-GB"/>
        </w:rPr>
        <w:t>5.5 Recommendation for Future Work</w:t>
      </w:r>
      <w:bookmarkEnd w:id="101"/>
    </w:p>
    <w:p w14:paraId="27D15492">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Research needs to use an M&amp;S case study with a longitudinal design to track AI performance over the years. Primary interviews with supply-chain managers, data scientists, store managers and technology partners would uncover what actually happens with regards to the integration of AI recommendations into decisions. If possible, pre- and post-AI KPIs should be compared, with a range of controlled or matched product categories like forecast error, stock availability, inventory turnover, waste, and markdown rates. Therefore, further research is recommended to compare the results of M&amp;S with other retailers in the UK to find out if the results are organization-specific or sector-wide. Lastly, studies need to focus on the governance of both GenAI and predictive analytics, especially issues such as cybersecurity, explainability, and vendor dependency, alongside human oversight. This research would not only enhance the empirical evidence base, but also the theoretical knowledge and understanding of smart retail supply chains using AI.</w:t>
      </w:r>
    </w:p>
    <w:p w14:paraId="3E003F0F">
      <w:pPr>
        <w:rPr>
          <w:color w:val="000000" w:themeColor="text1"/>
          <w:sz w:val="24"/>
          <w:szCs w:val="24"/>
          <w:lang w:val="en-GB"/>
          <w14:textFill>
            <w14:solidFill>
              <w14:schemeClr w14:val="tx1"/>
            </w14:solidFill>
          </w14:textFill>
        </w:rPr>
      </w:pPr>
    </w:p>
    <w:p w14:paraId="47DEC95F">
      <w:pPr>
        <w:spacing w:line="360" w:lineRule="auto"/>
        <w:jc w:val="both"/>
        <w:rPr>
          <w:b/>
          <w:bCs/>
          <w:color w:val="000000" w:themeColor="text1"/>
          <w:sz w:val="24"/>
          <w:szCs w:val="24"/>
          <w:lang w:val="en-GB"/>
          <w14:textFill>
            <w14:solidFill>
              <w14:schemeClr w14:val="tx1"/>
            </w14:solidFill>
          </w14:textFill>
        </w:rPr>
      </w:pPr>
    </w:p>
    <w:p w14:paraId="5760E673">
      <w:pPr>
        <w:pStyle w:val="2"/>
      </w:pPr>
      <w:bookmarkStart w:id="102" w:name="_Toc237357960"/>
      <w:r>
        <w:t>Reference list</w:t>
      </w:r>
      <w:bookmarkEnd w:id="102"/>
    </w:p>
    <w:p w14:paraId="52B390BA">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Abouelrous, A., Gabor, A.F. and Zhang, Y. (2022). Optimizing the inventory and fulfillment of an omnichannel retailer: A stochastic approach with scenario clustering. </w:t>
      </w:r>
      <w:r>
        <w:rPr>
          <w:i/>
          <w:iCs/>
          <w:color w:val="000000" w:themeColor="text1"/>
          <w:sz w:val="24"/>
          <w:szCs w:val="24"/>
          <w:lang w:val="en-GB"/>
          <w14:textFill>
            <w14:solidFill>
              <w14:schemeClr w14:val="tx1"/>
            </w14:solidFill>
          </w14:textFill>
        </w:rPr>
        <w:t>Computers &amp; Industrial Engineering</w:t>
      </w:r>
      <w:r>
        <w:rPr>
          <w:color w:val="000000" w:themeColor="text1"/>
          <w:sz w:val="24"/>
          <w:szCs w:val="24"/>
          <w:lang w:val="en-GB"/>
          <w14:textFill>
            <w14:solidFill>
              <w14:schemeClr w14:val="tx1"/>
            </w14:solidFill>
          </w14:textFill>
        </w:rPr>
        <w:t>, 173, p.108723. doi:10.1016/j.cie.2022.108723.</w:t>
      </w:r>
    </w:p>
    <w:p w14:paraId="4DC41087">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Berthiaume, D. (2024). </w:t>
      </w:r>
      <w:r>
        <w:rPr>
          <w:i/>
          <w:iCs/>
          <w:color w:val="000000" w:themeColor="text1"/>
          <w:sz w:val="24"/>
          <w:szCs w:val="24"/>
          <w:lang w:val="en-GB"/>
          <w14:textFill>
            <w14:solidFill>
              <w14:schemeClr w14:val="tx1"/>
            </w14:solidFill>
          </w14:textFill>
        </w:rPr>
        <w:t>Marks &amp; spencer applies AI to clothing and home segment merchandising</w:t>
      </w:r>
      <w:r>
        <w:rPr>
          <w:color w:val="000000" w:themeColor="text1"/>
          <w:sz w:val="24"/>
          <w:szCs w:val="24"/>
          <w:lang w:val="en-GB"/>
          <w14:textFill>
            <w14:solidFill>
              <w14:schemeClr w14:val="tx1"/>
            </w14:solidFill>
          </w14:textFill>
        </w:rPr>
        <w:t xml:space="preserve">. [online] </w:t>
      </w:r>
      <w:r>
        <w:rPr>
          <w:i/>
          <w:iCs/>
          <w:color w:val="000000" w:themeColor="text1"/>
          <w:sz w:val="24"/>
          <w:szCs w:val="24"/>
          <w:lang w:val="en-GB"/>
          <w14:textFill>
            <w14:solidFill>
              <w14:schemeClr w14:val="tx1"/>
            </w14:solidFill>
          </w14:textFill>
        </w:rPr>
        <w:t>Chain Store Age</w:t>
      </w:r>
      <w:r>
        <w:rPr>
          <w:color w:val="000000" w:themeColor="text1"/>
          <w:sz w:val="24"/>
          <w:szCs w:val="24"/>
          <w:lang w:val="en-GB"/>
          <w14:textFill>
            <w14:solidFill>
              <w14:schemeClr w14:val="tx1"/>
            </w14:solidFill>
          </w14:textFill>
        </w:rPr>
        <w:t>. Available at: https://chainstoreage.com/marks-spencer-applies-ai-clothing-and-home-segment-merchandising [Accessed 20 July 2026].</w:t>
      </w:r>
    </w:p>
    <w:p w14:paraId="75BAE687">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Cao, L. (2021). Artificial intelligence in retail: Applications and value creation logics. </w:t>
      </w:r>
      <w:r>
        <w:rPr>
          <w:i/>
          <w:iCs/>
          <w:color w:val="000000" w:themeColor="text1"/>
          <w:sz w:val="24"/>
          <w:szCs w:val="24"/>
          <w:lang w:val="en-GB"/>
          <w14:textFill>
            <w14:solidFill>
              <w14:schemeClr w14:val="tx1"/>
            </w14:solidFill>
          </w14:textFill>
        </w:rPr>
        <w:t>International journal of Retail &amp; distribution management</w:t>
      </w:r>
      <w:r>
        <w:rPr>
          <w:color w:val="000000" w:themeColor="text1"/>
          <w:sz w:val="24"/>
          <w:szCs w:val="24"/>
          <w:lang w:val="en-GB"/>
          <w14:textFill>
            <w14:solidFill>
              <w14:schemeClr w14:val="tx1"/>
            </w14:solidFill>
          </w14:textFill>
        </w:rPr>
        <w:t>, 49(7), pp.958–976.</w:t>
      </w:r>
    </w:p>
    <w:p w14:paraId="1E2AC0EE">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Chowdhury, A.R., Paul, R. and Farhana Zaman Rozony (2025). A SYSTEMATIC REVIEW OF DEMAND FORECASTING MODELS FOR RETAIL E-COMMERCE ENHANCING ACCURACY IN INVENTORY AND DELIVERY PLANNING. </w:t>
      </w:r>
      <w:r>
        <w:rPr>
          <w:i/>
          <w:iCs/>
          <w:color w:val="000000" w:themeColor="text1"/>
          <w:sz w:val="24"/>
          <w:szCs w:val="24"/>
          <w:lang w:val="en-GB"/>
          <w14:textFill>
            <w14:solidFill>
              <w14:schemeClr w14:val="tx1"/>
            </w14:solidFill>
          </w14:textFill>
        </w:rPr>
        <w:t>International Journal of Scientific Interdisciplinary Research</w:t>
      </w:r>
      <w:r>
        <w:rPr>
          <w:color w:val="000000" w:themeColor="text1"/>
          <w:sz w:val="24"/>
          <w:szCs w:val="24"/>
          <w:lang w:val="en-GB"/>
          <w14:textFill>
            <w14:solidFill>
              <w14:schemeClr w14:val="tx1"/>
            </w14:solidFill>
          </w14:textFill>
        </w:rPr>
        <w:t>, [online] 06(01), pp.01–27. doi:10.63125/mbbfw637.</w:t>
      </w:r>
    </w:p>
    <w:p w14:paraId="693835E9">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Clark, D. (2025). </w:t>
      </w:r>
      <w:r>
        <w:rPr>
          <w:i/>
          <w:iCs/>
          <w:color w:val="000000" w:themeColor="text1"/>
          <w:sz w:val="24"/>
          <w:szCs w:val="24"/>
          <w:lang w:val="en-GB"/>
          <w14:textFill>
            <w14:solidFill>
              <w14:schemeClr w14:val="tx1"/>
            </w14:solidFill>
          </w14:textFill>
        </w:rPr>
        <w:t>Inflation rate for the Consumer Price Index (CPI) in the United Kingdom from January 2000 to January 2025</w:t>
      </w:r>
      <w:r>
        <w:rPr>
          <w:color w:val="000000" w:themeColor="text1"/>
          <w:sz w:val="24"/>
          <w:szCs w:val="24"/>
          <w:lang w:val="en-GB"/>
          <w14:textFill>
            <w14:solidFill>
              <w14:schemeClr w14:val="tx1"/>
            </w14:solidFill>
          </w14:textFill>
        </w:rPr>
        <w:t>. [online] Statista. Available at: https://www.statista.com/statistics/306648/inflation-rate-consumer-price-index-cpi-united-kingdom-uk/.</w:t>
      </w:r>
    </w:p>
    <w:p w14:paraId="2C79287A">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Claudia, A., Francisco, M.B. and Alexandre (2025). The use of artificial intelligence in supply chain management: systematic literature review and future research directions. </w:t>
      </w:r>
      <w:r>
        <w:rPr>
          <w:i/>
          <w:iCs/>
          <w:color w:val="000000" w:themeColor="text1"/>
          <w:sz w:val="24"/>
          <w:szCs w:val="24"/>
          <w:lang w:val="en-GB"/>
          <w14:textFill>
            <w14:solidFill>
              <w14:schemeClr w14:val="tx1"/>
            </w14:solidFill>
          </w14:textFill>
        </w:rPr>
        <w:t>IEEE Access</w:t>
      </w:r>
      <w:r>
        <w:rPr>
          <w:color w:val="000000" w:themeColor="text1"/>
          <w:sz w:val="24"/>
          <w:szCs w:val="24"/>
          <w:lang w:val="en-GB"/>
          <w14:textFill>
            <w14:solidFill>
              <w14:schemeClr w14:val="tx1"/>
            </w14:solidFill>
          </w14:textFill>
        </w:rPr>
        <w:t>, [online] pp.1–1. doi:https://doi.org/10.1109/access.2025.3603866.</w:t>
      </w:r>
    </w:p>
    <w:p w14:paraId="3F129B53">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cloud.google (2024). </w:t>
      </w:r>
      <w:r>
        <w:rPr>
          <w:i/>
          <w:iCs/>
          <w:color w:val="000000" w:themeColor="text1"/>
          <w:sz w:val="24"/>
          <w:szCs w:val="24"/>
          <w:lang w:val="en-GB"/>
          <w14:textFill>
            <w14:solidFill>
              <w14:schemeClr w14:val="tx1"/>
            </w14:solidFill>
          </w14:textFill>
        </w:rPr>
        <w:t>Marks &amp; spencer case study</w:t>
      </w:r>
      <w:r>
        <w:rPr>
          <w:color w:val="000000" w:themeColor="text1"/>
          <w:sz w:val="24"/>
          <w:szCs w:val="24"/>
          <w:lang w:val="en-GB"/>
          <w14:textFill>
            <w14:solidFill>
              <w14:schemeClr w14:val="tx1"/>
            </w14:solidFill>
          </w14:textFill>
        </w:rPr>
        <w:t xml:space="preserve">. [online] </w:t>
      </w:r>
      <w:r>
        <w:rPr>
          <w:i/>
          <w:iCs/>
          <w:color w:val="000000" w:themeColor="text1"/>
          <w:sz w:val="24"/>
          <w:szCs w:val="24"/>
          <w:lang w:val="en-GB"/>
          <w14:textFill>
            <w14:solidFill>
              <w14:schemeClr w14:val="tx1"/>
            </w14:solidFill>
          </w14:textFill>
        </w:rPr>
        <w:t>Google Cloud</w:t>
      </w:r>
      <w:r>
        <w:rPr>
          <w:color w:val="000000" w:themeColor="text1"/>
          <w:sz w:val="24"/>
          <w:szCs w:val="24"/>
          <w:lang w:val="en-GB"/>
          <w14:textFill>
            <w14:solidFill>
              <w14:schemeClr w14:val="tx1"/>
            </w14:solidFill>
          </w14:textFill>
        </w:rPr>
        <w:t>. Available at: https://cloud.google.com/customers/marks-and-spencer [Accessed 21 July 2026].</w:t>
      </w:r>
    </w:p>
    <w:p w14:paraId="47DD922C">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Corporate.marksandspencer (2024). </w:t>
      </w:r>
      <w:r>
        <w:rPr>
          <w:i/>
          <w:iCs/>
          <w:color w:val="000000" w:themeColor="text1"/>
          <w:sz w:val="24"/>
          <w:szCs w:val="24"/>
          <w:lang w:val="en-GB"/>
          <w14:textFill>
            <w14:solidFill>
              <w14:schemeClr w14:val="tx1"/>
            </w14:solidFill>
          </w14:textFill>
        </w:rPr>
        <w:t>Homepage</w:t>
      </w:r>
      <w:r>
        <w:rPr>
          <w:color w:val="000000" w:themeColor="text1"/>
          <w:sz w:val="24"/>
          <w:szCs w:val="24"/>
          <w:lang w:val="en-GB"/>
          <w14:textFill>
            <w14:solidFill>
              <w14:schemeClr w14:val="tx1"/>
            </w14:solidFill>
          </w14:textFill>
        </w:rPr>
        <w:t>. [online] Marks &amp; Spencer. Available at: https://corporate.marksandspencer.com/sites/marksandspencer/files/2024-06/M-and-S-2024-Annual-Report.pdf. [Accessed 5 July 2026].</w:t>
      </w:r>
    </w:p>
    <w:p w14:paraId="1A3D85B7">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corporate.marksandspencer (2025). </w:t>
      </w:r>
      <w:r>
        <w:rPr>
          <w:i/>
          <w:iCs/>
          <w:color w:val="000000" w:themeColor="text1"/>
          <w:sz w:val="24"/>
          <w:szCs w:val="24"/>
          <w:lang w:val="en-GB"/>
          <w14:textFill>
            <w14:solidFill>
              <w14:schemeClr w14:val="tx1"/>
            </w14:solidFill>
          </w14:textFill>
        </w:rPr>
        <w:t>How we’re turbocharging online growth: Seven key changes to M&amp;S.com over the past year</w:t>
      </w:r>
      <w:r>
        <w:rPr>
          <w:color w:val="000000" w:themeColor="text1"/>
          <w:sz w:val="24"/>
          <w:szCs w:val="24"/>
          <w:lang w:val="en-GB"/>
          <w14:textFill>
            <w14:solidFill>
              <w14:schemeClr w14:val="tx1"/>
            </w14:solidFill>
          </w14:textFill>
        </w:rPr>
        <w:t>. [online] Marks &amp; Spencer. Available at: https://corporate.marksandspencer.com/newsroom/blog/how-were-turbocharging-online-growth-seven-key-changes-mscom-over-past-year.</w:t>
      </w:r>
    </w:p>
    <w:p w14:paraId="453F8E41">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Corporate.marksandspencer (2025). </w:t>
      </w:r>
      <w:r>
        <w:rPr>
          <w:i/>
          <w:iCs/>
          <w:color w:val="000000" w:themeColor="text1"/>
          <w:sz w:val="24"/>
          <w:szCs w:val="24"/>
          <w:lang w:val="en-GB"/>
          <w14:textFill>
            <w14:solidFill>
              <w14:schemeClr w14:val="tx1"/>
            </w14:solidFill>
          </w14:textFill>
        </w:rPr>
        <w:t>Marks &amp; Spencer Announces Landmark £340m Investment In Advanced Automated Food Distribution Centre</w:t>
      </w:r>
      <w:r>
        <w:rPr>
          <w:color w:val="000000" w:themeColor="text1"/>
          <w:sz w:val="24"/>
          <w:szCs w:val="24"/>
          <w:lang w:val="en-GB"/>
          <w14:textFill>
            <w14:solidFill>
              <w14:schemeClr w14:val="tx1"/>
            </w14:solidFill>
          </w14:textFill>
        </w:rPr>
        <w:t>. [online] Marks &amp; Spencer. Available at: https://corporate.marksandspencer.com/newsroom/press-releases/marks-spencer-announces-landmark-ps340m-investment-advanced-automated-food [Accessed 6 July 2026].</w:t>
      </w:r>
    </w:p>
    <w:p w14:paraId="3241261C">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Culot, G., Podrecca, M. and Nassimbeni, G. (2024). Artificial Intelligence in Supply Chain management: a Systematic Literature Review of Empirical Studies and Research Directions. </w:t>
      </w:r>
      <w:r>
        <w:rPr>
          <w:i/>
          <w:iCs/>
          <w:color w:val="000000" w:themeColor="text1"/>
          <w:sz w:val="24"/>
          <w:szCs w:val="24"/>
          <w:lang w:val="en-GB"/>
          <w14:textFill>
            <w14:solidFill>
              <w14:schemeClr w14:val="tx1"/>
            </w14:solidFill>
          </w14:textFill>
        </w:rPr>
        <w:t>Computers in Industry</w:t>
      </w:r>
      <w:r>
        <w:rPr>
          <w:color w:val="000000" w:themeColor="text1"/>
          <w:sz w:val="24"/>
          <w:szCs w:val="24"/>
          <w:lang w:val="en-GB"/>
          <w14:textFill>
            <w14:solidFill>
              <w14:schemeClr w14:val="tx1"/>
            </w14:solidFill>
          </w14:textFill>
        </w:rPr>
        <w:t>, [online] 162(1), pp.104132–104132. doi:https://doi.org/10.1016/j.compind.2024.104132.</w:t>
      </w:r>
    </w:p>
    <w:p w14:paraId="085FD97D">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DigitalDefynd (2025). </w:t>
      </w:r>
      <w:r>
        <w:rPr>
          <w:i/>
          <w:iCs/>
          <w:color w:val="000000" w:themeColor="text1"/>
          <w:sz w:val="24"/>
          <w:szCs w:val="24"/>
          <w:lang w:val="en-GB"/>
          <w14:textFill>
            <w14:solidFill>
              <w14:schemeClr w14:val="tx1"/>
            </w14:solidFill>
          </w14:textFill>
        </w:rPr>
        <w:t>5 Ways marks &amp; spencer is using AI [case studies][2025]</w:t>
      </w:r>
      <w:r>
        <w:rPr>
          <w:color w:val="000000" w:themeColor="text1"/>
          <w:sz w:val="24"/>
          <w:szCs w:val="24"/>
          <w:lang w:val="en-GB"/>
          <w14:textFill>
            <w14:solidFill>
              <w14:schemeClr w14:val="tx1"/>
            </w14:solidFill>
          </w14:textFill>
        </w:rPr>
        <w:t xml:space="preserve">. [online] </w:t>
      </w:r>
      <w:r>
        <w:rPr>
          <w:i/>
          <w:iCs/>
          <w:color w:val="000000" w:themeColor="text1"/>
          <w:sz w:val="24"/>
          <w:szCs w:val="24"/>
          <w:lang w:val="en-GB"/>
          <w14:textFill>
            <w14:solidFill>
              <w14:schemeClr w14:val="tx1"/>
            </w14:solidFill>
          </w14:textFill>
        </w:rPr>
        <w:t>DigitalDefynd</w:t>
      </w:r>
      <w:r>
        <w:rPr>
          <w:color w:val="000000" w:themeColor="text1"/>
          <w:sz w:val="24"/>
          <w:szCs w:val="24"/>
          <w:lang w:val="en-GB"/>
          <w14:textFill>
            <w14:solidFill>
              <w14:schemeClr w14:val="tx1"/>
            </w14:solidFill>
          </w14:textFill>
        </w:rPr>
        <w:t>. Available at: https://digitaldefynd.com/IQ/ways-marks-spencer-use-ai/ [Accessed 23 July 2026].</w:t>
      </w:r>
    </w:p>
    <w:p w14:paraId="602757AA">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Fildes, R., Ma, S. and Kolassa, S. (2022). Retail forecasting: Research and Practice. </w:t>
      </w:r>
      <w:r>
        <w:rPr>
          <w:i/>
          <w:iCs/>
          <w:color w:val="000000" w:themeColor="text1"/>
          <w:sz w:val="24"/>
          <w:szCs w:val="24"/>
          <w:lang w:val="en-GB"/>
          <w14:textFill>
            <w14:solidFill>
              <w14:schemeClr w14:val="tx1"/>
            </w14:solidFill>
          </w14:textFill>
        </w:rPr>
        <w:t>International Journal of Forecasting</w:t>
      </w:r>
      <w:r>
        <w:rPr>
          <w:color w:val="000000" w:themeColor="text1"/>
          <w:sz w:val="24"/>
          <w:szCs w:val="24"/>
          <w:lang w:val="en-GB"/>
          <w14:textFill>
            <w14:solidFill>
              <w14:schemeClr w14:val="tx1"/>
            </w14:solidFill>
          </w14:textFill>
        </w:rPr>
        <w:t>, [online] 38(4), pp.1283–1318. doi:10.1016/j.ijforecast.2019.06.004.</w:t>
      </w:r>
    </w:p>
    <w:p w14:paraId="605B0AFE">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Global Data (2023). </w:t>
      </w:r>
      <w:r>
        <w:rPr>
          <w:i/>
          <w:iCs/>
          <w:color w:val="000000" w:themeColor="text1"/>
          <w:sz w:val="24"/>
          <w:szCs w:val="24"/>
          <w:lang w:val="en-GB"/>
          <w14:textFill>
            <w14:solidFill>
              <w14:schemeClr w14:val="tx1"/>
            </w14:solidFill>
          </w14:textFill>
        </w:rPr>
        <w:t>Marks &amp; Spencer – Digital Transformation Strategies</w:t>
      </w:r>
      <w:r>
        <w:rPr>
          <w:color w:val="000000" w:themeColor="text1"/>
          <w:sz w:val="24"/>
          <w:szCs w:val="24"/>
          <w:lang w:val="en-GB"/>
          <w14:textFill>
            <w14:solidFill>
              <w14:schemeClr w14:val="tx1"/>
            </w14:solidFill>
          </w14:textFill>
        </w:rPr>
        <w:t>. [online] Www.globaldata.com. Available at: https://www.globaldata.com/store/report/marks-and-spencer-enterprise-tech-analysis/ [Accessed 6 July 2026].</w:t>
      </w:r>
    </w:p>
    <w:p w14:paraId="1FC1A43E">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Guha, A., Grewal, D., Kopalle, P.K., Haenlein, M., Schneider, M.J., Jung, H., Moustafa, R., Hegde, D.R. and Hawkins, G. (2021). How artificial intelligence will affect the future of Retailing. </w:t>
      </w:r>
      <w:r>
        <w:rPr>
          <w:i/>
          <w:iCs/>
          <w:color w:val="000000" w:themeColor="text1"/>
          <w:sz w:val="24"/>
          <w:szCs w:val="24"/>
          <w:lang w:val="en-GB"/>
          <w14:textFill>
            <w14:solidFill>
              <w14:schemeClr w14:val="tx1"/>
            </w14:solidFill>
          </w14:textFill>
        </w:rPr>
        <w:t>Journal of Retailing</w:t>
      </w:r>
      <w:r>
        <w:rPr>
          <w:color w:val="000000" w:themeColor="text1"/>
          <w:sz w:val="24"/>
          <w:szCs w:val="24"/>
          <w:lang w:val="en-GB"/>
          <w14:textFill>
            <w14:solidFill>
              <w14:schemeClr w14:val="tx1"/>
            </w14:solidFill>
          </w14:textFill>
        </w:rPr>
        <w:t>, 97(1), pp.28–41. doi:https://doi.org/10.1016/j.jretai.2021.01.005.</w:t>
      </w:r>
    </w:p>
    <w:p w14:paraId="62C69C90">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Hamid Reza Maghroor, Faraz Madanchi and O’Neal, T. (2025). Leveraging Generative AI for sustainable supply chain: Adoption challenges and strategic insights. </w:t>
      </w:r>
      <w:r>
        <w:rPr>
          <w:i/>
          <w:iCs/>
          <w:color w:val="000000" w:themeColor="text1"/>
          <w:sz w:val="24"/>
          <w:szCs w:val="24"/>
          <w:lang w:val="en-GB"/>
          <w14:textFill>
            <w14:solidFill>
              <w14:schemeClr w14:val="tx1"/>
            </w14:solidFill>
          </w14:textFill>
        </w:rPr>
        <w:t>Production Planning &amp; Control</w:t>
      </w:r>
      <w:r>
        <w:rPr>
          <w:color w:val="000000" w:themeColor="text1"/>
          <w:sz w:val="24"/>
          <w:szCs w:val="24"/>
          <w:lang w:val="en-GB"/>
          <w14:textFill>
            <w14:solidFill>
              <w14:schemeClr w14:val="tx1"/>
            </w14:solidFill>
          </w14:textFill>
        </w:rPr>
        <w:t>, pp.1–20. doi:10.1080/09537287.2025.2561967.</w:t>
      </w:r>
    </w:p>
    <w:p w14:paraId="7871296F">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Hassani, H. and Silva, E.S. (2024). Predictions from Generative Artificial Intelligence Models: Towards a New Benchmark in Forecasting Practice. </w:t>
      </w:r>
      <w:r>
        <w:rPr>
          <w:i/>
          <w:iCs/>
          <w:color w:val="000000" w:themeColor="text1"/>
          <w:sz w:val="24"/>
          <w:szCs w:val="24"/>
          <w:lang w:val="en-GB"/>
          <w14:textFill>
            <w14:solidFill>
              <w14:schemeClr w14:val="tx1"/>
            </w14:solidFill>
          </w14:textFill>
        </w:rPr>
        <w:t>Information</w:t>
      </w:r>
      <w:r>
        <w:rPr>
          <w:color w:val="000000" w:themeColor="text1"/>
          <w:sz w:val="24"/>
          <w:szCs w:val="24"/>
          <w:lang w:val="en-GB"/>
          <w14:textFill>
            <w14:solidFill>
              <w14:schemeClr w14:val="tx1"/>
            </w14:solidFill>
          </w14:textFill>
        </w:rPr>
        <w:t>, 15(6), pp.291–291. doi:https://doi.org/10.3390/info15060291.</w:t>
      </w:r>
    </w:p>
    <w:p w14:paraId="284F8176">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Hübner, A., Hense, J. and Dethlefs, C. (2022). The revival of retail stores via omnichannel operations: A literature review and research framework. </w:t>
      </w:r>
      <w:r>
        <w:rPr>
          <w:i/>
          <w:iCs/>
          <w:color w:val="000000" w:themeColor="text1"/>
          <w:sz w:val="24"/>
          <w:szCs w:val="24"/>
          <w:lang w:val="en-GB"/>
          <w14:textFill>
            <w14:solidFill>
              <w14:schemeClr w14:val="tx1"/>
            </w14:solidFill>
          </w14:textFill>
        </w:rPr>
        <w:t>European journal of operational research</w:t>
      </w:r>
      <w:r>
        <w:rPr>
          <w:color w:val="000000" w:themeColor="text1"/>
          <w:sz w:val="24"/>
          <w:szCs w:val="24"/>
          <w:lang w:val="en-GB"/>
          <w14:textFill>
            <w14:solidFill>
              <w14:schemeClr w14:val="tx1"/>
            </w14:solidFill>
          </w14:textFill>
        </w:rPr>
        <w:t>, 302(3), pp.799–818. doi:10.1016/j.ejor.2021.12.021.</w:t>
      </w:r>
    </w:p>
    <w:p w14:paraId="0D264258">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Karpagavigneswari, T. and Kamali, R. (2025). Intelligent inventory demand forecasting: Using chaos theory and optimization for supply chain resilience. </w:t>
      </w:r>
      <w:r>
        <w:rPr>
          <w:i/>
          <w:iCs/>
          <w:color w:val="000000" w:themeColor="text1"/>
          <w:sz w:val="24"/>
          <w:szCs w:val="24"/>
          <w:lang w:val="en-GB"/>
          <w14:textFill>
            <w14:solidFill>
              <w14:schemeClr w14:val="tx1"/>
            </w14:solidFill>
          </w14:textFill>
        </w:rPr>
        <w:t>OPSEARCH</w:t>
      </w:r>
      <w:r>
        <w:rPr>
          <w:color w:val="000000" w:themeColor="text1"/>
          <w:sz w:val="24"/>
          <w:szCs w:val="24"/>
          <w:lang w:val="en-GB"/>
          <w14:textFill>
            <w14:solidFill>
              <w14:schemeClr w14:val="tx1"/>
            </w14:solidFill>
          </w14:textFill>
        </w:rPr>
        <w:t>. doi:10.1007/s12597-025-01005-w.</w:t>
      </w:r>
    </w:p>
    <w:p w14:paraId="0FCBDF79">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Koneti, C., Aserkar, R. and Bhoola, V. (2026). AI-Based Predictive Analytics for demand forecasting and inventory efficiency. </w:t>
      </w:r>
      <w:r>
        <w:rPr>
          <w:i/>
          <w:iCs/>
          <w:color w:val="000000" w:themeColor="text1"/>
          <w:sz w:val="24"/>
          <w:szCs w:val="24"/>
          <w:lang w:val="en-GB"/>
          <w14:textFill>
            <w14:solidFill>
              <w14:schemeClr w14:val="tx1"/>
            </w14:solidFill>
          </w14:textFill>
        </w:rPr>
        <w:t>Advances in Consumer Research</w:t>
      </w:r>
      <w:r>
        <w:rPr>
          <w:color w:val="000000" w:themeColor="text1"/>
          <w:sz w:val="24"/>
          <w:szCs w:val="24"/>
          <w:lang w:val="en-GB"/>
          <w14:textFill>
            <w14:solidFill>
              <w14:schemeClr w14:val="tx1"/>
            </w14:solidFill>
          </w14:textFill>
        </w:rPr>
        <w:t>, [online] 3, pp.371–382. Available at: https://acr-journal.com/article/ai-based-predictive-analytics-for-demand-forecasting-and-inventory-efficiency-2425/ [Accessed 10 Aug. 2026].</w:t>
      </w:r>
    </w:p>
    <w:p w14:paraId="1B48CC99">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Liu, Y. (2022). Dynamic Capabilities: A Theoretical Review and Reflection. </w:t>
      </w:r>
      <w:r>
        <w:rPr>
          <w:i/>
          <w:iCs/>
          <w:color w:val="000000" w:themeColor="text1"/>
          <w:sz w:val="24"/>
          <w:szCs w:val="24"/>
          <w:lang w:val="en-GB"/>
          <w14:textFill>
            <w14:solidFill>
              <w14:schemeClr w14:val="tx1"/>
            </w14:solidFill>
          </w14:textFill>
        </w:rPr>
        <w:t>Applied Economics and Policy Studies</w:t>
      </w:r>
      <w:r>
        <w:rPr>
          <w:color w:val="000000" w:themeColor="text1"/>
          <w:sz w:val="24"/>
          <w:szCs w:val="24"/>
          <w:lang w:val="en-GB"/>
          <w14:textFill>
            <w14:solidFill>
              <w14:schemeClr w14:val="tx1"/>
            </w14:solidFill>
          </w14:textFill>
        </w:rPr>
        <w:t>, pp.245–251. doi:https://doi.org/10.1007/978-981-19-0564-3_26.</w:t>
      </w:r>
    </w:p>
    <w:p w14:paraId="52DDC06E">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Locsin, R.C. and Schoenhofer, S.O. (2024). Qualitative research methods, inductive and deductive: Valuable approaches to nursing knowledge development for practice. </w:t>
      </w:r>
      <w:r>
        <w:rPr>
          <w:i/>
          <w:iCs/>
          <w:color w:val="000000" w:themeColor="text1"/>
          <w:sz w:val="24"/>
          <w:szCs w:val="24"/>
          <w:lang w:val="en-GB"/>
          <w14:textFill>
            <w14:solidFill>
              <w14:schemeClr w14:val="tx1"/>
            </w14:solidFill>
          </w14:textFill>
        </w:rPr>
        <w:t>Nursing and health sciences/Nursing &amp; health sciences</w:t>
      </w:r>
      <w:r>
        <w:rPr>
          <w:color w:val="000000" w:themeColor="text1"/>
          <w:sz w:val="24"/>
          <w:szCs w:val="24"/>
          <w:lang w:val="en-GB"/>
          <w14:textFill>
            <w14:solidFill>
              <w14:schemeClr w14:val="tx1"/>
            </w14:solidFill>
          </w14:textFill>
        </w:rPr>
        <w:t>, [online] 26(2). doi:10.1111/nhs.13128.</w:t>
      </w:r>
    </w:p>
    <w:p w14:paraId="202C144E">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M&amp;S (2024). </w:t>
      </w:r>
      <w:r>
        <w:rPr>
          <w:i/>
          <w:iCs/>
          <w:color w:val="000000" w:themeColor="text1"/>
          <w:sz w:val="24"/>
          <w:szCs w:val="24"/>
          <w:lang w:val="en-GB"/>
          <w14:textFill>
            <w14:solidFill>
              <w14:schemeClr w14:val="tx1"/>
            </w14:solidFill>
          </w14:textFill>
        </w:rPr>
        <w:t>Marks and Spencer Group plc Annual Report &amp; Financial Statements 2024</w:t>
      </w:r>
      <w:r>
        <w:rPr>
          <w:color w:val="000000" w:themeColor="text1"/>
          <w:sz w:val="24"/>
          <w:szCs w:val="24"/>
          <w:lang w:val="en-GB"/>
          <w14:textFill>
            <w14:solidFill>
              <w14:schemeClr w14:val="tx1"/>
            </w14:solidFill>
          </w14:textFill>
        </w:rPr>
        <w:t xml:space="preserve">. [online] </w:t>
      </w:r>
      <w:r>
        <w:rPr>
          <w:i/>
          <w:iCs/>
          <w:color w:val="000000" w:themeColor="text1"/>
          <w:sz w:val="24"/>
          <w:szCs w:val="24"/>
          <w:lang w:val="en-GB"/>
          <w14:textFill>
            <w14:solidFill>
              <w14:schemeClr w14:val="tx1"/>
            </w14:solidFill>
          </w14:textFill>
        </w:rPr>
        <w:t>Marks &amp; Spencer</w:t>
      </w:r>
      <w:r>
        <w:rPr>
          <w:color w:val="000000" w:themeColor="text1"/>
          <w:sz w:val="24"/>
          <w:szCs w:val="24"/>
          <w:lang w:val="en-GB"/>
          <w14:textFill>
            <w14:solidFill>
              <w14:schemeClr w14:val="tx1"/>
            </w14:solidFill>
          </w14:textFill>
        </w:rPr>
        <w:t>. Available at: https://corporate.marksandspencer.com/sites/marksandspencer/files/2024-06/M-and-S-2024-Annual-Report.pdf.</w:t>
      </w:r>
    </w:p>
    <w:p w14:paraId="5613ADBB">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McKinsey &amp; Company (2023). </w:t>
      </w:r>
      <w:r>
        <w:rPr>
          <w:i/>
          <w:iCs/>
          <w:color w:val="000000" w:themeColor="text1"/>
          <w:sz w:val="24"/>
          <w:szCs w:val="24"/>
          <w:lang w:val="en-GB"/>
          <w14:textFill>
            <w14:solidFill>
              <w14:schemeClr w14:val="tx1"/>
            </w14:solidFill>
          </w14:textFill>
        </w:rPr>
        <w:t>The state of AI in 2023: Generative AI’s breakout year</w:t>
      </w:r>
      <w:r>
        <w:rPr>
          <w:color w:val="000000" w:themeColor="text1"/>
          <w:sz w:val="24"/>
          <w:szCs w:val="24"/>
          <w:lang w:val="en-GB"/>
          <w14:textFill>
            <w14:solidFill>
              <w14:schemeClr w14:val="tx1"/>
            </w14:solidFill>
          </w14:textFill>
        </w:rPr>
        <w:t>. [online] McKinsey &amp; Company. Available at: https://www.mckinsey.com/capabilities/quantumblack/our-insights/the-state-of-ai-in-2023-generative-ais-breakout-year.</w:t>
      </w:r>
    </w:p>
    <w:p w14:paraId="4BFCBE04">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Mejía, S. and Aguilar, J. (2024). A demand forecasting system of product categories defined by their time series using a hybrid approach of ensemble learning with feature engineering. </w:t>
      </w:r>
      <w:r>
        <w:rPr>
          <w:i/>
          <w:iCs/>
          <w:color w:val="000000" w:themeColor="text1"/>
          <w:sz w:val="24"/>
          <w:szCs w:val="24"/>
          <w:lang w:val="en-GB"/>
          <w14:textFill>
            <w14:solidFill>
              <w14:schemeClr w14:val="tx1"/>
            </w14:solidFill>
          </w14:textFill>
        </w:rPr>
        <w:t>Computing</w:t>
      </w:r>
      <w:r>
        <w:rPr>
          <w:color w:val="000000" w:themeColor="text1"/>
          <w:sz w:val="24"/>
          <w:szCs w:val="24"/>
          <w:lang w:val="en-GB"/>
          <w14:textFill>
            <w14:solidFill>
              <w14:schemeClr w14:val="tx1"/>
            </w14:solidFill>
          </w14:textFill>
        </w:rPr>
        <w:t>. doi:10.1007/s00607-024-01320-y.</w:t>
      </w:r>
    </w:p>
    <w:p w14:paraId="3A128C8D">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Mills, C. (2024). </w:t>
      </w:r>
      <w:r>
        <w:rPr>
          <w:i/>
          <w:iCs/>
          <w:color w:val="000000" w:themeColor="text1"/>
          <w:sz w:val="24"/>
          <w:szCs w:val="24"/>
          <w:lang w:val="en-GB"/>
          <w14:textFill>
            <w14:solidFill>
              <w14:schemeClr w14:val="tx1"/>
            </w14:solidFill>
          </w14:textFill>
        </w:rPr>
        <w:t>Marks &amp; spencer turns to AI and social media spending to boost sales and attract gen z shoppers</w:t>
      </w:r>
      <w:r>
        <w:rPr>
          <w:color w:val="000000" w:themeColor="text1"/>
          <w:sz w:val="24"/>
          <w:szCs w:val="24"/>
          <w:lang w:val="en-GB"/>
          <w14:textFill>
            <w14:solidFill>
              <w14:schemeClr w14:val="tx1"/>
            </w14:solidFill>
          </w14:textFill>
        </w:rPr>
        <w:t xml:space="preserve">. [online] </w:t>
      </w:r>
      <w:r>
        <w:rPr>
          <w:i/>
          <w:iCs/>
          <w:color w:val="000000" w:themeColor="text1"/>
          <w:sz w:val="24"/>
          <w:szCs w:val="24"/>
          <w:lang w:val="en-GB"/>
          <w14:textFill>
            <w14:solidFill>
              <w14:schemeClr w14:val="tx1"/>
            </w14:solidFill>
          </w14:textFill>
        </w:rPr>
        <w:t>Retail Week</w:t>
      </w:r>
      <w:r>
        <w:rPr>
          <w:color w:val="000000" w:themeColor="text1"/>
          <w:sz w:val="24"/>
          <w:szCs w:val="24"/>
          <w:lang w:val="en-GB"/>
          <w14:textFill>
            <w14:solidFill>
              <w14:schemeClr w14:val="tx1"/>
            </w14:solidFill>
          </w14:textFill>
        </w:rPr>
        <w:t>. Available at: https://www.retail-week.com/fashion/mands-turns-to-ai-and-social-media-spending-to-boost-sales-and-attract-gen-z-shoppers/7046987.article [Accessed 21 July 2026].</w:t>
      </w:r>
    </w:p>
    <w:p w14:paraId="74A6C2AE">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ocadogroup (2024). </w:t>
      </w:r>
      <w:r>
        <w:rPr>
          <w:i/>
          <w:iCs/>
          <w:color w:val="000000" w:themeColor="text1"/>
          <w:sz w:val="24"/>
          <w:szCs w:val="24"/>
          <w:lang w:val="en-GB"/>
          <w14:textFill>
            <w14:solidFill>
              <w14:schemeClr w14:val="tx1"/>
            </w14:solidFill>
          </w14:textFill>
        </w:rPr>
        <w:t>Our technology | ocado group</w:t>
      </w:r>
      <w:r>
        <w:rPr>
          <w:color w:val="000000" w:themeColor="text1"/>
          <w:sz w:val="24"/>
          <w:szCs w:val="24"/>
          <w:lang w:val="en-GB"/>
          <w14:textFill>
            <w14:solidFill>
              <w14:schemeClr w14:val="tx1"/>
            </w14:solidFill>
          </w14:textFill>
        </w:rPr>
        <w:t xml:space="preserve">. [online] </w:t>
      </w:r>
      <w:r>
        <w:rPr>
          <w:i/>
          <w:iCs/>
          <w:color w:val="000000" w:themeColor="text1"/>
          <w:sz w:val="24"/>
          <w:szCs w:val="24"/>
          <w:lang w:val="en-GB"/>
          <w14:textFill>
            <w14:solidFill>
              <w14:schemeClr w14:val="tx1"/>
            </w14:solidFill>
          </w14:textFill>
        </w:rPr>
        <w:t>Ocadogroup.com</w:t>
      </w:r>
      <w:r>
        <w:rPr>
          <w:color w:val="000000" w:themeColor="text1"/>
          <w:sz w:val="24"/>
          <w:szCs w:val="24"/>
          <w:lang w:val="en-GB"/>
          <w14:textFill>
            <w14:solidFill>
              <w14:schemeClr w14:val="tx1"/>
            </w14:solidFill>
          </w14:textFill>
        </w:rPr>
        <w:t>. Available at: https://www.ocadogroup.com/about-us/our-technology [Accessed 20 July 2026].</w:t>
      </w:r>
    </w:p>
    <w:p w14:paraId="3C8775A9">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Perez, H.D., Hubbs, C.D., Li, C. and Grossmann, I.E. (2021). Algorithmic approaches to inventory management optimization. </w:t>
      </w:r>
      <w:r>
        <w:rPr>
          <w:i/>
          <w:iCs/>
          <w:color w:val="000000" w:themeColor="text1"/>
          <w:sz w:val="24"/>
          <w:szCs w:val="24"/>
          <w:lang w:val="en-GB"/>
          <w14:textFill>
            <w14:solidFill>
              <w14:schemeClr w14:val="tx1"/>
            </w14:solidFill>
          </w14:textFill>
        </w:rPr>
        <w:t>Processes</w:t>
      </w:r>
      <w:r>
        <w:rPr>
          <w:color w:val="000000" w:themeColor="text1"/>
          <w:sz w:val="24"/>
          <w:szCs w:val="24"/>
          <w:lang w:val="en-GB"/>
          <w14:textFill>
            <w14:solidFill>
              <w14:schemeClr w14:val="tx1"/>
            </w14:solidFill>
          </w14:textFill>
        </w:rPr>
        <w:t>, 9(1), p.102. doi:10.3390/pr9010102.</w:t>
      </w:r>
    </w:p>
    <w:p w14:paraId="33B9B654">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Pervin, N. and Mokhtar, M. (2022). The interpretivist research paradigm: A subjective notion of a social context. </w:t>
      </w:r>
      <w:r>
        <w:rPr>
          <w:i/>
          <w:iCs/>
          <w:color w:val="000000" w:themeColor="text1"/>
          <w:sz w:val="24"/>
          <w:szCs w:val="24"/>
          <w:lang w:val="en-GB"/>
          <w14:textFill>
            <w14:solidFill>
              <w14:schemeClr w14:val="tx1"/>
            </w14:solidFill>
          </w14:textFill>
        </w:rPr>
        <w:t>International Journal of Academic Research in Progressive Education and Development</w:t>
      </w:r>
      <w:r>
        <w:rPr>
          <w:color w:val="000000" w:themeColor="text1"/>
          <w:sz w:val="24"/>
          <w:szCs w:val="24"/>
          <w:lang w:val="en-GB"/>
          <w14:textFill>
            <w14:solidFill>
              <w14:schemeClr w14:val="tx1"/>
            </w14:solidFill>
          </w14:textFill>
        </w:rPr>
        <w:t>, 11(2), pp.419–428. doi:10.6007/IJARPED/v11-i2/12938.</w:t>
      </w:r>
    </w:p>
    <w:p w14:paraId="76947780">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Plano, V.L., Foote, L.A. and Walton, J.B. (2023). Combining mixed methods and case study research. </w:t>
      </w:r>
      <w:r>
        <w:rPr>
          <w:i/>
          <w:iCs/>
          <w:color w:val="000000" w:themeColor="text1"/>
          <w:sz w:val="24"/>
          <w:szCs w:val="24"/>
          <w:lang w:val="en-GB"/>
          <w14:textFill>
            <w14:solidFill>
              <w14:schemeClr w14:val="tx1"/>
            </w14:solidFill>
          </w14:textFill>
        </w:rPr>
        <w:t>Elsevier eBooks</w:t>
      </w:r>
      <w:r>
        <w:rPr>
          <w:color w:val="000000" w:themeColor="text1"/>
          <w:sz w:val="24"/>
          <w:szCs w:val="24"/>
          <w:lang w:val="en-GB"/>
          <w14:textFill>
            <w14:solidFill>
              <w14:schemeClr w14:val="tx1"/>
            </w14:solidFill>
          </w14:textFill>
        </w:rPr>
        <w:t>, pp.538–549. doi:https://doi.org/10.1016/b978-0-12-818630-5.11053-x.</w:t>
      </w:r>
    </w:p>
    <w:p w14:paraId="38B9522D">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Reuters (2026). UK retailers’ labour cost fears jump after reforms, survey shows. </w:t>
      </w:r>
      <w:r>
        <w:rPr>
          <w:i/>
          <w:iCs/>
          <w:color w:val="000000" w:themeColor="text1"/>
          <w:sz w:val="24"/>
          <w:szCs w:val="24"/>
          <w:lang w:val="en-GB"/>
          <w14:textFill>
            <w14:solidFill>
              <w14:schemeClr w14:val="tx1"/>
            </w14:solidFill>
          </w14:textFill>
        </w:rPr>
        <w:t>Reuters</w:t>
      </w:r>
      <w:r>
        <w:rPr>
          <w:color w:val="000000" w:themeColor="text1"/>
          <w:sz w:val="24"/>
          <w:szCs w:val="24"/>
          <w:lang w:val="en-GB"/>
          <w14:textFill>
            <w14:solidFill>
              <w14:schemeClr w14:val="tx1"/>
            </w14:solidFill>
          </w14:textFill>
        </w:rPr>
        <w:t>. [online] 19 Feb. Available at: https://www.reuters.com/business/world-at-work/uk-retailers-labour-cost-fears-jump-after-reforms-survey-shows-2026-02-19/.</w:t>
      </w:r>
    </w:p>
    <w:p w14:paraId="389258BF">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Richey, R.G., Chowdhury, S., Davis</w:t>
      </w:r>
      <w:r>
        <w:rPr>
          <w:rFonts w:ascii="Cambria Math" w:hAnsi="Cambria Math" w:cs="Cambria Math"/>
          <w:color w:val="000000" w:themeColor="text1"/>
          <w:sz w:val="24"/>
          <w:szCs w:val="24"/>
          <w:lang w:val="en-GB"/>
          <w14:textFill>
            <w14:solidFill>
              <w14:schemeClr w14:val="tx1"/>
            </w14:solidFill>
          </w14:textFill>
        </w:rPr>
        <w:t>‐</w:t>
      </w:r>
      <w:r>
        <w:rPr>
          <w:color w:val="000000" w:themeColor="text1"/>
          <w:sz w:val="24"/>
          <w:szCs w:val="24"/>
          <w:lang w:val="en-GB"/>
          <w14:textFill>
            <w14:solidFill>
              <w14:schemeClr w14:val="tx1"/>
            </w14:solidFill>
          </w14:textFill>
        </w:rPr>
        <w:t xml:space="preserve">Sramek, B., Giannakis, M. and Dwivedi, Y.K. (2023). Artificial Intelligence in Logistics and Supply Chain management: A Primer and Roadmap for Research. </w:t>
      </w:r>
      <w:r>
        <w:rPr>
          <w:i/>
          <w:iCs/>
          <w:color w:val="000000" w:themeColor="text1"/>
          <w:sz w:val="24"/>
          <w:szCs w:val="24"/>
          <w:lang w:val="en-GB"/>
          <w14:textFill>
            <w14:solidFill>
              <w14:schemeClr w14:val="tx1"/>
            </w14:solidFill>
          </w14:textFill>
        </w:rPr>
        <w:t>Journal of Business Logistics</w:t>
      </w:r>
      <w:r>
        <w:rPr>
          <w:color w:val="000000" w:themeColor="text1"/>
          <w:sz w:val="24"/>
          <w:szCs w:val="24"/>
          <w:lang w:val="en-GB"/>
          <w14:textFill>
            <w14:solidFill>
              <w14:schemeClr w14:val="tx1"/>
            </w14:solidFill>
          </w14:textFill>
        </w:rPr>
        <w:t>, 44(4), pp.532–549. doi:10.1111/jbl.12364.</w:t>
      </w:r>
    </w:p>
    <w:p w14:paraId="61636D67">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Sharma, D., Khanna, A., Kumar, M., Tomar, M. and Sharma, V.K. (2025). Machine learning in supply chain management. </w:t>
      </w:r>
      <w:r>
        <w:rPr>
          <w:i/>
          <w:iCs/>
          <w:color w:val="000000" w:themeColor="text1"/>
          <w:sz w:val="24"/>
          <w:szCs w:val="24"/>
          <w:lang w:val="en-GB"/>
          <w14:textFill>
            <w14:solidFill>
              <w14:schemeClr w14:val="tx1"/>
            </w14:solidFill>
          </w14:textFill>
        </w:rPr>
        <w:t>Journal of Computer Allied Intelligence</w:t>
      </w:r>
      <w:r>
        <w:rPr>
          <w:color w:val="000000" w:themeColor="text1"/>
          <w:sz w:val="24"/>
          <w:szCs w:val="24"/>
          <w:lang w:val="en-GB"/>
          <w14:textFill>
            <w14:solidFill>
              <w14:schemeClr w14:val="tx1"/>
            </w14:solidFill>
          </w14:textFill>
        </w:rPr>
        <w:t>, pp.28–36. doi:10.69996/jcai.2025010.</w:t>
      </w:r>
    </w:p>
    <w:p w14:paraId="3E68F657">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symphonyai (2023). </w:t>
      </w:r>
      <w:r>
        <w:rPr>
          <w:i/>
          <w:iCs/>
          <w:color w:val="000000" w:themeColor="text1"/>
          <w:sz w:val="24"/>
          <w:szCs w:val="24"/>
          <w:lang w:val="en-GB"/>
          <w14:textFill>
            <w14:solidFill>
              <w14:schemeClr w14:val="tx1"/>
            </w14:solidFill>
          </w14:textFill>
        </w:rPr>
        <w:t>Marks &amp; Spencer Selects SymphonyAI Retail CPG for AI-Based Store Intelligence To Transform Customer Experience and Store Operations Efficiency</w:t>
      </w:r>
      <w:r>
        <w:rPr>
          <w:color w:val="000000" w:themeColor="text1"/>
          <w:sz w:val="24"/>
          <w:szCs w:val="24"/>
          <w:lang w:val="en-GB"/>
          <w14:textFill>
            <w14:solidFill>
              <w14:schemeClr w14:val="tx1"/>
            </w14:solidFill>
          </w14:textFill>
        </w:rPr>
        <w:t>. [online] Symphonyai.com. Available at: https://www.symphonyai.com/news/marks-spencer-selects-symphonyai-retail-cpg-for-ai-based-store-intelligence-to-transform-customer-experience-and-store-operations-efficiency-2 [Accessed 20 July 2026].</w:t>
      </w:r>
    </w:p>
    <w:p w14:paraId="5BBF2CFD">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Turner, J.H. (2024). </w:t>
      </w:r>
      <w:r>
        <w:rPr>
          <w:i/>
          <w:iCs/>
          <w:color w:val="000000" w:themeColor="text1"/>
          <w:sz w:val="24"/>
          <w:szCs w:val="24"/>
          <w:lang w:val="en-GB"/>
          <w14:textFill>
            <w14:solidFill>
              <w14:schemeClr w14:val="tx1"/>
            </w14:solidFill>
          </w14:textFill>
        </w:rPr>
        <w:t>Positivism - an overview</w:t>
      </w:r>
      <w:r>
        <w:rPr>
          <w:color w:val="000000" w:themeColor="text1"/>
          <w:sz w:val="24"/>
          <w:szCs w:val="24"/>
          <w:lang w:val="en-GB"/>
          <w14:textFill>
            <w14:solidFill>
              <w14:schemeClr w14:val="tx1"/>
            </w14:solidFill>
          </w14:textFill>
        </w:rPr>
        <w:t>. [online] Sciencedirect.com. Available at: https://www.sciencedirect.com/topics/social-sciences/positivism [Accessed 10 July 2026].</w:t>
      </w:r>
    </w:p>
    <w:p w14:paraId="502DC764">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Ünal, Ö.A., Erkayman, B. and Usanmaz, B. (2023). Applications of artificial intelligence in inventory management: A systematic review of the literature. </w:t>
      </w:r>
      <w:r>
        <w:rPr>
          <w:i/>
          <w:iCs/>
          <w:color w:val="000000" w:themeColor="text1"/>
          <w:sz w:val="24"/>
          <w:szCs w:val="24"/>
          <w:lang w:val="en-GB"/>
          <w14:textFill>
            <w14:solidFill>
              <w14:schemeClr w14:val="tx1"/>
            </w14:solidFill>
          </w14:textFill>
        </w:rPr>
        <w:t>Archives of Computational Methods in Engineering</w:t>
      </w:r>
      <w:r>
        <w:rPr>
          <w:color w:val="000000" w:themeColor="text1"/>
          <w:sz w:val="24"/>
          <w:szCs w:val="24"/>
          <w:lang w:val="en-GB"/>
          <w14:textFill>
            <w14:solidFill>
              <w14:schemeClr w14:val="tx1"/>
            </w14:solidFill>
          </w14:textFill>
        </w:rPr>
        <w:t>, 30(4). doi:10.1007/s11831-022-09879-5.</w:t>
      </w:r>
    </w:p>
    <w:p w14:paraId="07472D3C">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Wamba, S.F., Guthrie, C., Queiroz, M.M. and Minner, S. (2023). ChatGPT and generative artificial intelligence: An exploratory study of key benefits and challenges in operations and supply chain management. </w:t>
      </w:r>
      <w:r>
        <w:rPr>
          <w:i/>
          <w:iCs/>
          <w:color w:val="000000" w:themeColor="text1"/>
          <w:sz w:val="24"/>
          <w:szCs w:val="24"/>
          <w:lang w:val="en-GB"/>
          <w14:textFill>
            <w14:solidFill>
              <w14:schemeClr w14:val="tx1"/>
            </w14:solidFill>
          </w14:textFill>
        </w:rPr>
        <w:t>International Journal of Production Research</w:t>
      </w:r>
      <w:r>
        <w:rPr>
          <w:color w:val="000000" w:themeColor="text1"/>
          <w:sz w:val="24"/>
          <w:szCs w:val="24"/>
          <w:lang w:val="en-GB"/>
          <w14:textFill>
            <w14:solidFill>
              <w14:schemeClr w14:val="tx1"/>
            </w14:solidFill>
          </w14:textFill>
        </w:rPr>
        <w:t>, 62(16), pp.1–21. doi:10.1080/00207543.2023.2294116.</w:t>
      </w:r>
    </w:p>
    <w:p w14:paraId="509F0B79">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Xu, K. (2025). Promotion path of digital transformation in retail industry based on technology-organisation-environment framework. </w:t>
      </w:r>
      <w:r>
        <w:rPr>
          <w:i/>
          <w:iCs/>
          <w:color w:val="000000" w:themeColor="text1"/>
          <w:sz w:val="24"/>
          <w:szCs w:val="24"/>
          <w:lang w:val="en-GB"/>
          <w14:textFill>
            <w14:solidFill>
              <w14:schemeClr w14:val="tx1"/>
            </w14:solidFill>
          </w14:textFill>
        </w:rPr>
        <w:t>Journal of Business Economics and Management</w:t>
      </w:r>
      <w:r>
        <w:rPr>
          <w:color w:val="000000" w:themeColor="text1"/>
          <w:sz w:val="24"/>
          <w:szCs w:val="24"/>
          <w:lang w:val="en-GB"/>
          <w14:textFill>
            <w14:solidFill>
              <w14:schemeClr w14:val="tx1"/>
            </w14:solidFill>
          </w14:textFill>
        </w:rPr>
        <w:t>, 26(5), pp.1090–1111. doi:https://doi.org/10.3846/jbem.2025.24959.</w:t>
      </w:r>
    </w:p>
    <w:p w14:paraId="0087EF09">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Ye, L., Xie, N., Boylan, J.E. and Shang, Z. (2024). Forecasting seasonal demand for retail: A fourier time-varying grey model. </w:t>
      </w:r>
      <w:r>
        <w:rPr>
          <w:i/>
          <w:iCs/>
          <w:color w:val="000000" w:themeColor="text1"/>
          <w:sz w:val="24"/>
          <w:szCs w:val="24"/>
          <w:lang w:val="en-GB"/>
          <w14:textFill>
            <w14:solidFill>
              <w14:schemeClr w14:val="tx1"/>
            </w14:solidFill>
          </w14:textFill>
        </w:rPr>
        <w:t>International Journal of Forecasting</w:t>
      </w:r>
      <w:r>
        <w:rPr>
          <w:color w:val="000000" w:themeColor="text1"/>
          <w:sz w:val="24"/>
          <w:szCs w:val="24"/>
          <w:lang w:val="en-GB"/>
          <w14:textFill>
            <w14:solidFill>
              <w14:schemeClr w14:val="tx1"/>
            </w14:solidFill>
          </w14:textFill>
        </w:rPr>
        <w:t>. doi:10.1016/j.ijforecast.2023.12.006.</w:t>
      </w:r>
    </w:p>
    <w:p w14:paraId="79E9EA15">
      <w:pPr>
        <w:spacing w:after="240"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Zaytsev, A. (2023). </w:t>
      </w:r>
      <w:r>
        <w:rPr>
          <w:i/>
          <w:iCs/>
          <w:color w:val="000000" w:themeColor="text1"/>
          <w:sz w:val="24"/>
          <w:szCs w:val="24"/>
          <w:lang w:val="en-GB"/>
          <w14:textFill>
            <w14:solidFill>
              <w14:schemeClr w14:val="tx1"/>
            </w14:solidFill>
          </w14:textFill>
        </w:rPr>
        <w:t>Case Study: Data, AI, and the Evolution of Marks &amp; Spencer</w:t>
      </w:r>
      <w:r>
        <w:rPr>
          <w:color w:val="000000" w:themeColor="text1"/>
          <w:sz w:val="24"/>
          <w:szCs w:val="24"/>
          <w:lang w:val="en-GB"/>
          <w14:textFill>
            <w14:solidFill>
              <w14:schemeClr w14:val="tx1"/>
            </w14:solidFill>
          </w14:textFill>
        </w:rPr>
        <w:t>. [online] AIX. Available at: https://aiexpert.network/case-study-data-ai-and-the-evolution-of-marks-spencer/ [Accessed 6 July 2026].</w:t>
      </w:r>
    </w:p>
    <w:p w14:paraId="1DC62237">
      <w:pPr>
        <w:spacing w:line="360" w:lineRule="auto"/>
        <w:jc w:val="both"/>
        <w:rPr>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t xml:space="preserve">Zero100 (2025). </w:t>
      </w:r>
      <w:r>
        <w:rPr>
          <w:i/>
          <w:iCs/>
          <w:color w:val="000000" w:themeColor="text1"/>
          <w:sz w:val="24"/>
          <w:szCs w:val="24"/>
          <w:lang w:val="en-GB"/>
          <w14:textFill>
            <w14:solidFill>
              <w14:schemeClr w14:val="tx1"/>
            </w14:solidFill>
          </w14:textFill>
        </w:rPr>
        <w:t>Marks &amp; spencer: A shop window for Supply chain cyberattack trauma  | zero100.com</w:t>
      </w:r>
      <w:r>
        <w:rPr>
          <w:color w:val="000000" w:themeColor="text1"/>
          <w:sz w:val="24"/>
          <w:szCs w:val="24"/>
          <w:lang w:val="en-GB"/>
          <w14:textFill>
            <w14:solidFill>
              <w14:schemeClr w14:val="tx1"/>
            </w14:solidFill>
          </w14:textFill>
        </w:rPr>
        <w:t>. [online] Zero100.com. Available at: https://zero100.com/insights/marks-spencer-a-shop-window-for-supply-chain-cyberattack-trauma/ [Accessed 22 July 2026].</w:t>
      </w:r>
    </w:p>
    <w:sectPr>
      <w:footerReference r:id="rId5" w:type="default"/>
      <w:pgSz w:w="12240" w:h="15840"/>
      <w:pgMar w:top="1440" w:right="1440" w:bottom="1440" w:left="1440" w:header="720" w:footer="720"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embedRegular r:id="rId1" w:fontKey="{847B76D1-33A5-445B-82DA-1B7D6FB5C993}"/>
  </w:font>
  <w:font w:name="Arial">
    <w:panose1 w:val="020B0604020202020204"/>
    <w:charset w:val="86"/>
    <w:family w:val="swiss"/>
    <w:pitch w:val="default"/>
    <w:sig w:usb0="E0002EFF" w:usb1="C000785B" w:usb2="00000009" w:usb3="00000000" w:csb0="400001FF" w:csb1="FFFF0000"/>
    <w:embedRegular r:id="rId2" w:fontKey="{BE2028ED-CC6D-4BED-97F3-3F7690F6530A}"/>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3" w:fontKey="{72734679-82C9-46BE-8481-45656ECF7484}"/>
  </w:font>
  <w:font w:name="Wingdings">
    <w:panose1 w:val="05000000000000000000"/>
    <w:charset w:val="02"/>
    <w:family w:val="auto"/>
    <w:pitch w:val="default"/>
    <w:sig w:usb0="00000000" w:usb1="00000000" w:usb2="00000000" w:usb3="00000000" w:csb0="80000000" w:csb1="00000000"/>
    <w:embedRegular r:id="rId4" w:fontKey="{56C3C070-E34B-4B7B-BB6D-C75800DB04B5}"/>
  </w:font>
  <w:font w:name="Calibri">
    <w:panose1 w:val="020F0502020204030204"/>
    <w:charset w:val="00"/>
    <w:family w:val="swiss"/>
    <w:pitch w:val="default"/>
    <w:sig w:usb0="E4002EFF" w:usb1="C200247B" w:usb2="00000009" w:usb3="00000000" w:csb0="200001FF" w:csb1="00000000"/>
    <w:embedRegular r:id="rId5" w:fontKey="{C0B7E232-7786-4ABE-B5A4-D00E51F7C5D5}"/>
  </w:font>
  <w:font w:name="等线">
    <w:altName w:val="Microsoft YaHei"/>
    <w:panose1 w:val="00000000000000000000"/>
    <w:charset w:val="86"/>
    <w:family w:val="auto"/>
    <w:pitch w:val="default"/>
    <w:sig w:usb0="00000000" w:usb1="00000000" w:usb2="00000000" w:usb3="00000000" w:csb0="00000000" w:csb1="00000000"/>
  </w:font>
  <w:font w:name="Cambria">
    <w:panose1 w:val="02040503050406030204"/>
    <w:charset w:val="00"/>
    <w:family w:val="roman"/>
    <w:pitch w:val="default"/>
    <w:sig w:usb0="E00006FF" w:usb1="420024FF" w:usb2="02000000" w:usb3="00000000" w:csb0="2000019F" w:csb1="00000000"/>
    <w:embedRegular r:id="rId6" w:fontKey="{5721B259-0B9A-4474-8818-924C2CCEADBD}"/>
  </w:font>
  <w:font w:name="Arial">
    <w:panose1 w:val="020B0604020202020204"/>
    <w:charset w:val="00"/>
    <w:family w:val="swiss"/>
    <w:pitch w:val="variable"/>
    <w:sig w:usb0="E0002EFF" w:usb1="C000785B" w:usb2="00000009" w:usb3="00000000" w:csb0="400001FF" w:csb1="FFFF0000"/>
    <w:embedRegular r:id="rId7" w:fontKey="{1DF1D1F5-EDB2-4AA8-A665-4FD1A0F36CA4}"/>
  </w:font>
  <w:font w:name="Cambria Math">
    <w:panose1 w:val="02040503050406030204"/>
    <w:charset w:val="00"/>
    <w:family w:val="roman"/>
    <w:pitch w:val="default"/>
    <w:sig w:usb0="E00006FF" w:usb1="420024FF" w:usb2="02000000" w:usb3="00000000" w:csb0="2000019F" w:csb1="00000000"/>
    <w:embedRegular r:id="rId8" w:fontKey="{437A7913-A996-4890-B2DD-13FA633B8CE5}"/>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0000037">
    <w:pPr>
      <w:jc w:val="right"/>
      <w:rPr>
        <w:sz w:val="20"/>
        <w:szCs w:val="20"/>
      </w:rPr>
    </w:pPr>
    <w:r>
      <w:rPr>
        <w:sz w:val="20"/>
        <w:szCs w:val="20"/>
      </w:rPr>
      <w:fldChar w:fldCharType="begin"/>
    </w:r>
    <w:r>
      <w:rPr>
        <w:sz w:val="20"/>
        <w:szCs w:val="20"/>
      </w:rPr>
      <w:instrText xml:space="preserve">PAGE</w:instrText>
    </w:r>
    <w:r>
      <w:rPr>
        <w:sz w:val="20"/>
        <w:szCs w:val="20"/>
      </w:rPr>
      <w:fldChar w:fldCharType="separate"/>
    </w:r>
    <w:r>
      <w:rPr>
        <w:sz w:val="20"/>
        <w:szCs w:val="20"/>
      </w:rPr>
      <w:t>1</w:t>
    </w:r>
    <w:r>
      <w:rPr>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510457FB"/>
    <w:multiLevelType w:val="multilevel"/>
    <w:tmpl w:val="510457FB"/>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nsid w:val="55CB04C2"/>
    <w:multiLevelType w:val="multilevel"/>
    <w:tmpl w:val="55CB04C2"/>
    <w:lvl w:ilvl="0" w:tentative="0">
      <w:start w:val="1"/>
      <w:numFmt w:val="decimal"/>
      <w:lvlText w:val="%1."/>
      <w:lvlJc w:val="left"/>
      <w:pPr>
        <w:ind w:left="720" w:hanging="360"/>
      </w:pPr>
      <w:rPr>
        <w:u w:val="none"/>
      </w:rPr>
    </w:lvl>
    <w:lvl w:ilvl="1" w:tentative="0">
      <w:start w:val="1"/>
      <w:numFmt w:val="lowerLetter"/>
      <w:lvlText w:val="%2."/>
      <w:lvlJc w:val="left"/>
      <w:pPr>
        <w:ind w:left="1440" w:hanging="360"/>
      </w:pPr>
      <w:rPr>
        <w:u w:val="none"/>
      </w:rPr>
    </w:lvl>
    <w:lvl w:ilvl="2" w:tentative="0">
      <w:start w:val="1"/>
      <w:numFmt w:val="lowerRoman"/>
      <w:lvlText w:val="%3."/>
      <w:lvlJc w:val="right"/>
      <w:pPr>
        <w:ind w:left="2160" w:hanging="360"/>
      </w:pPr>
      <w:rPr>
        <w:u w:val="none"/>
      </w:rPr>
    </w:lvl>
    <w:lvl w:ilvl="3" w:tentative="0">
      <w:start w:val="1"/>
      <w:numFmt w:val="decimal"/>
      <w:lvlText w:val="%4."/>
      <w:lvlJc w:val="left"/>
      <w:pPr>
        <w:ind w:left="2880" w:hanging="360"/>
      </w:pPr>
      <w:rPr>
        <w:u w:val="none"/>
      </w:rPr>
    </w:lvl>
    <w:lvl w:ilvl="4" w:tentative="0">
      <w:start w:val="1"/>
      <w:numFmt w:val="lowerLetter"/>
      <w:lvlText w:val="%5."/>
      <w:lvlJc w:val="left"/>
      <w:pPr>
        <w:ind w:left="3600" w:hanging="360"/>
      </w:pPr>
      <w:rPr>
        <w:u w:val="none"/>
      </w:rPr>
    </w:lvl>
    <w:lvl w:ilvl="5" w:tentative="0">
      <w:start w:val="1"/>
      <w:numFmt w:val="lowerRoman"/>
      <w:lvlText w:val="%6."/>
      <w:lvlJc w:val="right"/>
      <w:pPr>
        <w:ind w:left="4320" w:hanging="360"/>
      </w:pPr>
      <w:rPr>
        <w:u w:val="none"/>
      </w:rPr>
    </w:lvl>
    <w:lvl w:ilvl="6" w:tentative="0">
      <w:start w:val="1"/>
      <w:numFmt w:val="decimal"/>
      <w:lvlText w:val="%7."/>
      <w:lvlJc w:val="left"/>
      <w:pPr>
        <w:ind w:left="5040" w:hanging="360"/>
      </w:pPr>
      <w:rPr>
        <w:u w:val="none"/>
      </w:rPr>
    </w:lvl>
    <w:lvl w:ilvl="7" w:tentative="0">
      <w:start w:val="1"/>
      <w:numFmt w:val="lowerLetter"/>
      <w:lvlText w:val="%8."/>
      <w:lvlJc w:val="left"/>
      <w:pPr>
        <w:ind w:left="5760" w:hanging="360"/>
      </w:pPr>
      <w:rPr>
        <w:u w:val="none"/>
      </w:rPr>
    </w:lvl>
    <w:lvl w:ilvl="8" w:tentative="0">
      <w:start w:val="1"/>
      <w:numFmt w:val="lowerRoman"/>
      <w:lvlText w:val="%9."/>
      <w:lvlJc w:val="righ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TrueTypeFont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22AD"/>
    <w:rsid w:val="00022971"/>
    <w:rsid w:val="00023A58"/>
    <w:rsid w:val="0003030A"/>
    <w:rsid w:val="00037821"/>
    <w:rsid w:val="000575EC"/>
    <w:rsid w:val="000622AD"/>
    <w:rsid w:val="0007436D"/>
    <w:rsid w:val="000A22C5"/>
    <w:rsid w:val="000E1E10"/>
    <w:rsid w:val="0012067D"/>
    <w:rsid w:val="00131F2D"/>
    <w:rsid w:val="00143200"/>
    <w:rsid w:val="00147EAC"/>
    <w:rsid w:val="00172BA0"/>
    <w:rsid w:val="00175774"/>
    <w:rsid w:val="00197D18"/>
    <w:rsid w:val="001B0FE1"/>
    <w:rsid w:val="001E2D27"/>
    <w:rsid w:val="001F2144"/>
    <w:rsid w:val="00204B6C"/>
    <w:rsid w:val="0021053E"/>
    <w:rsid w:val="002224BD"/>
    <w:rsid w:val="00223A30"/>
    <w:rsid w:val="00233562"/>
    <w:rsid w:val="002401E3"/>
    <w:rsid w:val="00261883"/>
    <w:rsid w:val="002F3A66"/>
    <w:rsid w:val="00305EE0"/>
    <w:rsid w:val="0033263B"/>
    <w:rsid w:val="0033434B"/>
    <w:rsid w:val="0033773F"/>
    <w:rsid w:val="00374400"/>
    <w:rsid w:val="003752F2"/>
    <w:rsid w:val="003759C4"/>
    <w:rsid w:val="00380C7F"/>
    <w:rsid w:val="00381C2A"/>
    <w:rsid w:val="00385EF1"/>
    <w:rsid w:val="003A12E8"/>
    <w:rsid w:val="003A3E65"/>
    <w:rsid w:val="003D3A16"/>
    <w:rsid w:val="004005AC"/>
    <w:rsid w:val="004215AF"/>
    <w:rsid w:val="00434EEF"/>
    <w:rsid w:val="00445881"/>
    <w:rsid w:val="004474B2"/>
    <w:rsid w:val="00495AB0"/>
    <w:rsid w:val="004A7541"/>
    <w:rsid w:val="004C18E4"/>
    <w:rsid w:val="004C2956"/>
    <w:rsid w:val="004C6656"/>
    <w:rsid w:val="004E6BA2"/>
    <w:rsid w:val="0050366E"/>
    <w:rsid w:val="00507B1C"/>
    <w:rsid w:val="00521445"/>
    <w:rsid w:val="00546F8E"/>
    <w:rsid w:val="00554345"/>
    <w:rsid w:val="005665E9"/>
    <w:rsid w:val="00584905"/>
    <w:rsid w:val="00594727"/>
    <w:rsid w:val="005C5091"/>
    <w:rsid w:val="005D2B37"/>
    <w:rsid w:val="0064460B"/>
    <w:rsid w:val="00655F6C"/>
    <w:rsid w:val="00661917"/>
    <w:rsid w:val="00671411"/>
    <w:rsid w:val="0067655E"/>
    <w:rsid w:val="0068540B"/>
    <w:rsid w:val="006A1D46"/>
    <w:rsid w:val="006B0E46"/>
    <w:rsid w:val="006B30F9"/>
    <w:rsid w:val="006E1F07"/>
    <w:rsid w:val="007044C6"/>
    <w:rsid w:val="00706386"/>
    <w:rsid w:val="00736703"/>
    <w:rsid w:val="007A0140"/>
    <w:rsid w:val="007B1876"/>
    <w:rsid w:val="007D00A6"/>
    <w:rsid w:val="007F15BC"/>
    <w:rsid w:val="00815341"/>
    <w:rsid w:val="00847D9B"/>
    <w:rsid w:val="00873E0D"/>
    <w:rsid w:val="00875413"/>
    <w:rsid w:val="00892FAD"/>
    <w:rsid w:val="008B326C"/>
    <w:rsid w:val="008B390B"/>
    <w:rsid w:val="008B6325"/>
    <w:rsid w:val="009008C4"/>
    <w:rsid w:val="00904EA3"/>
    <w:rsid w:val="00911F8A"/>
    <w:rsid w:val="009271B0"/>
    <w:rsid w:val="009615BB"/>
    <w:rsid w:val="0096733F"/>
    <w:rsid w:val="00967454"/>
    <w:rsid w:val="00973BD9"/>
    <w:rsid w:val="009C0802"/>
    <w:rsid w:val="009C45E8"/>
    <w:rsid w:val="009C6720"/>
    <w:rsid w:val="009C787F"/>
    <w:rsid w:val="009D12BD"/>
    <w:rsid w:val="009E5D5F"/>
    <w:rsid w:val="00A00A22"/>
    <w:rsid w:val="00A00B20"/>
    <w:rsid w:val="00A03A11"/>
    <w:rsid w:val="00A12776"/>
    <w:rsid w:val="00A302B9"/>
    <w:rsid w:val="00A310BC"/>
    <w:rsid w:val="00A44007"/>
    <w:rsid w:val="00A61690"/>
    <w:rsid w:val="00A62E7F"/>
    <w:rsid w:val="00A95151"/>
    <w:rsid w:val="00AA1BE9"/>
    <w:rsid w:val="00AD21BB"/>
    <w:rsid w:val="00AE217B"/>
    <w:rsid w:val="00B05786"/>
    <w:rsid w:val="00B262B8"/>
    <w:rsid w:val="00B4135C"/>
    <w:rsid w:val="00B52B3D"/>
    <w:rsid w:val="00B61A60"/>
    <w:rsid w:val="00B86DF1"/>
    <w:rsid w:val="00B9299D"/>
    <w:rsid w:val="00BA6E64"/>
    <w:rsid w:val="00BB07FD"/>
    <w:rsid w:val="00BD158F"/>
    <w:rsid w:val="00BD21E6"/>
    <w:rsid w:val="00BE3153"/>
    <w:rsid w:val="00C25445"/>
    <w:rsid w:val="00C325C7"/>
    <w:rsid w:val="00C349E1"/>
    <w:rsid w:val="00C413DB"/>
    <w:rsid w:val="00C51E73"/>
    <w:rsid w:val="00C65402"/>
    <w:rsid w:val="00C819C2"/>
    <w:rsid w:val="00CA6982"/>
    <w:rsid w:val="00CB14AF"/>
    <w:rsid w:val="00CC7550"/>
    <w:rsid w:val="00CD7109"/>
    <w:rsid w:val="00CE7D7E"/>
    <w:rsid w:val="00CF6231"/>
    <w:rsid w:val="00D335FB"/>
    <w:rsid w:val="00D336D3"/>
    <w:rsid w:val="00D40C57"/>
    <w:rsid w:val="00D536FC"/>
    <w:rsid w:val="00D53989"/>
    <w:rsid w:val="00D64A23"/>
    <w:rsid w:val="00D830FE"/>
    <w:rsid w:val="00DB499C"/>
    <w:rsid w:val="00E11F14"/>
    <w:rsid w:val="00E213EE"/>
    <w:rsid w:val="00E2624D"/>
    <w:rsid w:val="00E83BC5"/>
    <w:rsid w:val="00EA1473"/>
    <w:rsid w:val="00EC3A5F"/>
    <w:rsid w:val="00ED4904"/>
    <w:rsid w:val="00ED5089"/>
    <w:rsid w:val="00F17C28"/>
    <w:rsid w:val="00F371C0"/>
    <w:rsid w:val="00F4718F"/>
    <w:rsid w:val="00F54EB8"/>
    <w:rsid w:val="00F96897"/>
    <w:rsid w:val="00FE1AC9"/>
    <w:rsid w:val="00FE1EB1"/>
    <w:rsid w:val="25546F50"/>
    <w:rsid w:val="3BD572DC"/>
    <w:rsid w:val="4CF46CCF"/>
    <w:rsid w:val="6901035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qFormat="1"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 w:eastAsia="en-IN" w:bidi="ar-SA"/>
    </w:rPr>
  </w:style>
  <w:style w:type="paragraph" w:styleId="2">
    <w:name w:val="heading 1"/>
    <w:basedOn w:val="1"/>
    <w:next w:val="1"/>
    <w:autoRedefine/>
    <w:qFormat/>
    <w:uiPriority w:val="9"/>
    <w:pPr>
      <w:spacing w:after="360" w:line="360" w:lineRule="auto"/>
      <w:outlineLvl w:val="0"/>
    </w:pPr>
    <w:rPr>
      <w:b/>
      <w:bCs/>
      <w:color w:val="000000" w:themeColor="text1"/>
      <w:sz w:val="26"/>
      <w:szCs w:val="24"/>
      <w:lang w:val="en-GB"/>
      <w14:textFill>
        <w14:solidFill>
          <w14:schemeClr w14:val="tx1"/>
        </w14:solidFill>
      </w14:textFill>
    </w:rPr>
  </w:style>
  <w:style w:type="paragraph" w:styleId="3">
    <w:name w:val="heading 2"/>
    <w:basedOn w:val="1"/>
    <w:next w:val="1"/>
    <w:autoRedefine/>
    <w:unhideWhenUsed/>
    <w:qFormat/>
    <w:uiPriority w:val="9"/>
    <w:pPr>
      <w:keepNext/>
      <w:keepLines/>
      <w:spacing w:before="360" w:after="120" w:line="360" w:lineRule="auto"/>
      <w:outlineLvl w:val="1"/>
    </w:pPr>
    <w:rPr>
      <w:b/>
      <w:color w:val="000000" w:themeColor="text1"/>
      <w:sz w:val="26"/>
      <w:szCs w:val="32"/>
      <w14:textFill>
        <w14:solidFill>
          <w14:schemeClr w14:val="tx1"/>
        </w14:solidFill>
      </w14:textFill>
    </w:rPr>
  </w:style>
  <w:style w:type="paragraph" w:styleId="4">
    <w:name w:val="heading 3"/>
    <w:basedOn w:val="1"/>
    <w:next w:val="1"/>
    <w:autoRedefine/>
    <w:unhideWhenUsed/>
    <w:qFormat/>
    <w:uiPriority w:val="9"/>
    <w:pPr>
      <w:keepNext/>
      <w:keepLines/>
      <w:spacing w:before="320" w:after="80" w:line="360" w:lineRule="auto"/>
      <w:outlineLvl w:val="2"/>
    </w:pPr>
    <w:rPr>
      <w:b/>
      <w:color w:val="000000" w:themeColor="text1"/>
      <w:sz w:val="24"/>
      <w:szCs w:val="28"/>
      <w14:textFill>
        <w14:solidFill>
          <w14:schemeClr w14:val="tx1"/>
        </w14:solidFill>
      </w14:textFill>
    </w:rPr>
  </w:style>
  <w:style w:type="paragraph" w:styleId="5">
    <w:name w:val="heading 4"/>
    <w:basedOn w:val="1"/>
    <w:next w:val="1"/>
    <w:unhideWhenUsed/>
    <w:qFormat/>
    <w:uiPriority w:val="9"/>
    <w:pPr>
      <w:keepNext/>
      <w:keepLines/>
      <w:spacing w:before="280" w:after="80"/>
      <w:outlineLvl w:val="3"/>
    </w:pPr>
    <w:rPr>
      <w:color w:val="666666"/>
      <w:sz w:val="24"/>
      <w:szCs w:val="24"/>
    </w:rPr>
  </w:style>
  <w:style w:type="paragraph" w:styleId="6">
    <w:name w:val="heading 5"/>
    <w:basedOn w:val="1"/>
    <w:next w:val="1"/>
    <w:autoRedefine/>
    <w:unhideWhenUsed/>
    <w:qFormat/>
    <w:uiPriority w:val="9"/>
    <w:pPr>
      <w:keepNext/>
      <w:keepLines/>
      <w:spacing w:before="240" w:after="80" w:line="360" w:lineRule="auto"/>
      <w:jc w:val="center"/>
      <w:outlineLvl w:val="4"/>
    </w:pPr>
    <w:rPr>
      <w:b/>
      <w:color w:val="000000" w:themeColor="text1"/>
      <w:sz w:val="24"/>
      <w14:textFill>
        <w14:solidFill>
          <w14:schemeClr w14:val="tx1"/>
        </w14:solidFill>
      </w14:textFill>
    </w:rPr>
  </w:style>
  <w:style w:type="paragraph" w:styleId="7">
    <w:name w:val="heading 6"/>
    <w:basedOn w:val="1"/>
    <w:next w:val="1"/>
    <w:autoRedefine/>
    <w:unhideWhenUsed/>
    <w:qFormat/>
    <w:uiPriority w:val="9"/>
    <w:pPr>
      <w:keepNext/>
      <w:keepLines/>
      <w:spacing w:before="240" w:after="80" w:line="360" w:lineRule="auto"/>
      <w:jc w:val="center"/>
      <w:outlineLvl w:val="5"/>
    </w:pPr>
    <w:rPr>
      <w:b/>
      <w:iCs/>
      <w:color w:val="000000" w:themeColor="text1"/>
      <w:sz w:val="24"/>
      <w14:textFill>
        <w14:solidFill>
          <w14:schemeClr w14:val="tx1"/>
        </w14:solidFill>
      </w14:textFill>
    </w:rPr>
  </w:style>
  <w:style w:type="character" w:default="1" w:styleId="8">
    <w:name w:val="Default Paragraph Font"/>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character" w:styleId="10">
    <w:name w:val="Hyperlink"/>
    <w:basedOn w:val="8"/>
    <w:unhideWhenUsed/>
    <w:qFormat/>
    <w:uiPriority w:val="99"/>
    <w:rPr>
      <w:color w:val="0000FF" w:themeColor="hyperlink"/>
      <w:u w:val="single"/>
      <w14:textFill>
        <w14:solidFill>
          <w14:schemeClr w14:val="hlink"/>
        </w14:solidFill>
      </w14:textFill>
    </w:rPr>
  </w:style>
  <w:style w:type="paragraph" w:styleId="11">
    <w:name w:val="Normal (Web)"/>
    <w:basedOn w:val="1"/>
    <w:semiHidden/>
    <w:unhideWhenUsed/>
    <w:qFormat/>
    <w:uiPriority w:val="99"/>
    <w:rPr>
      <w:rFonts w:ascii="Times New Roman" w:hAnsi="Times New Roman" w:cs="Times New Roman"/>
      <w:sz w:val="24"/>
      <w:szCs w:val="24"/>
    </w:rPr>
  </w:style>
  <w:style w:type="paragraph" w:styleId="12">
    <w:name w:val="Subtitle"/>
    <w:basedOn w:val="1"/>
    <w:next w:val="1"/>
    <w:qFormat/>
    <w:uiPriority w:val="11"/>
    <w:pPr>
      <w:keepNext/>
      <w:keepLines/>
      <w:spacing w:after="320"/>
    </w:pPr>
    <w:rPr>
      <w:color w:val="666666"/>
      <w:sz w:val="30"/>
      <w:szCs w:val="30"/>
    </w:rPr>
  </w:style>
  <w:style w:type="table" w:styleId="13">
    <w:name w:val="Table Grid"/>
    <w:basedOn w:val="9"/>
    <w:qFormat/>
    <w:uiPriority w:val="3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4">
    <w:name w:val="table of figures"/>
    <w:basedOn w:val="1"/>
    <w:next w:val="1"/>
    <w:unhideWhenUsed/>
    <w:qFormat/>
    <w:uiPriority w:val="99"/>
  </w:style>
  <w:style w:type="paragraph" w:styleId="15">
    <w:name w:val="Title"/>
    <w:basedOn w:val="1"/>
    <w:next w:val="1"/>
    <w:qFormat/>
    <w:uiPriority w:val="10"/>
    <w:pPr>
      <w:keepNext/>
      <w:keepLines/>
      <w:spacing w:after="60"/>
    </w:pPr>
    <w:rPr>
      <w:sz w:val="52"/>
      <w:szCs w:val="52"/>
    </w:rPr>
  </w:style>
  <w:style w:type="paragraph" w:styleId="16">
    <w:name w:val="toc 1"/>
    <w:basedOn w:val="1"/>
    <w:next w:val="1"/>
    <w:autoRedefine/>
    <w:unhideWhenUsed/>
    <w:qFormat/>
    <w:uiPriority w:val="39"/>
    <w:pPr>
      <w:spacing w:after="100"/>
    </w:pPr>
  </w:style>
  <w:style w:type="paragraph" w:styleId="17">
    <w:name w:val="toc 2"/>
    <w:basedOn w:val="1"/>
    <w:next w:val="1"/>
    <w:autoRedefine/>
    <w:unhideWhenUsed/>
    <w:qFormat/>
    <w:uiPriority w:val="39"/>
    <w:pPr>
      <w:spacing w:after="100"/>
      <w:ind w:left="220"/>
    </w:pPr>
  </w:style>
  <w:style w:type="paragraph" w:styleId="18">
    <w:name w:val="toc 3"/>
    <w:basedOn w:val="1"/>
    <w:next w:val="1"/>
    <w:autoRedefine/>
    <w:unhideWhenUsed/>
    <w:qFormat/>
    <w:uiPriority w:val="39"/>
    <w:pPr>
      <w:spacing w:after="100"/>
      <w:ind w:left="440"/>
    </w:pPr>
  </w:style>
  <w:style w:type="table" w:customStyle="1" w:styleId="19">
    <w:name w:val="TableNormal"/>
    <w:qFormat/>
    <w:uiPriority w:val="0"/>
    <w:tblPr>
      <w:tblCellMar>
        <w:top w:w="100" w:type="dxa"/>
        <w:left w:w="100" w:type="dxa"/>
        <w:bottom w:w="100" w:type="dxa"/>
        <w:right w:w="100" w:type="dxa"/>
      </w:tblCellMar>
    </w:tblPr>
  </w:style>
  <w:style w:type="paragraph" w:customStyle="1" w:styleId="20">
    <w:name w:val="TOC Heading"/>
    <w:basedOn w:val="2"/>
    <w:next w:val="1"/>
    <w:unhideWhenUsed/>
    <w:qFormat/>
    <w:uiPriority w:val="39"/>
    <w:pPr>
      <w:keepNext/>
      <w:keepLines/>
      <w:spacing w:before="240" w:after="0" w:line="259" w:lineRule="auto"/>
      <w:outlineLvl w:val="9"/>
    </w:pPr>
    <w:rPr>
      <w:rFonts w:asciiTheme="majorHAnsi" w:hAnsiTheme="majorHAnsi" w:eastAsiaTheme="majorEastAsia" w:cstheme="majorBidi"/>
      <w:b w:val="0"/>
      <w:bCs w:val="0"/>
      <w:color w:val="376092" w:themeColor="accent1" w:themeShade="BF"/>
      <w:sz w:val="32"/>
      <w:szCs w:val="32"/>
      <w:lang w:val="en-US" w:eastAsia="en-US"/>
    </w:rPr>
  </w:style>
  <w:style w:type="paragraph" w:customStyle="1" w:styleId="21">
    <w:name w:val="paragraph"/>
    <w:basedOn w:val="1"/>
    <w:qFormat/>
    <w:uiPriority w:val="0"/>
    <w:pPr>
      <w:spacing w:before="100" w:beforeAutospacing="1" w:after="100" w:afterAutospacing="1" w:line="240" w:lineRule="auto"/>
    </w:pPr>
    <w:rPr>
      <w:rFonts w:ascii="Times New Roman" w:hAnsi="Times New Roman" w:eastAsia="Times New Roman" w:cs="Times New Roman"/>
      <w:sz w:val="24"/>
      <w:szCs w:val="24"/>
      <w:lang w:val="en-GB" w:eastAsia="zh-CN"/>
    </w:rPr>
  </w:style>
  <w:style w:type="character" w:customStyle="1" w:styleId="22">
    <w:name w:val="normaltextrun"/>
    <w:basedOn w:val="8"/>
    <w:uiPriority w:val="0"/>
  </w:style>
  <w:style w:type="character" w:customStyle="1" w:styleId="23">
    <w:name w:val="eop"/>
    <w:basedOn w:val="8"/>
    <w:qFormat/>
    <w:uiPriority w:val="0"/>
  </w:style>
  <w:style w:type="paragraph" w:styleId="24">
    <w:name w:val="List Paragraph"/>
    <w:basedOn w:val="1"/>
    <w:qFormat/>
    <w:uiPriority w:val="34"/>
    <w:pPr>
      <w:spacing w:after="160" w:line="259" w:lineRule="auto"/>
      <w:ind w:left="720"/>
      <w:contextualSpacing/>
    </w:pPr>
    <w:rPr>
      <w:rFonts w:asciiTheme="minorHAnsi" w:hAnsiTheme="minorHAnsi" w:eastAsiaTheme="minorHAnsi" w:cstheme="minorBidi"/>
      <w:lang w:val="en-GB" w:eastAsia="en-US"/>
    </w:rPr>
  </w:style>
</w:styles>
</file>

<file path=word/_rels/document.xml.rels><?xml version="1.0" encoding="UTF-8" standalone="yes"?>
<Relationships xmlns="http://schemas.openxmlformats.org/package/2006/relationships"><Relationship Id="rId9" Type="http://schemas.openxmlformats.org/officeDocument/2006/relationships/diagramData" Target="diagrams/data1.xml"/><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0" Type="http://schemas.openxmlformats.org/officeDocument/2006/relationships/fontTable" Target="fontTable.xml"/><Relationship Id="rId3" Type="http://schemas.openxmlformats.org/officeDocument/2006/relationships/footnotes" Target="footnotes.xml"/><Relationship Id="rId29" Type="http://schemas.openxmlformats.org/officeDocument/2006/relationships/customXml" Target="../customXml/item1.xml"/><Relationship Id="rId28" Type="http://schemas.openxmlformats.org/officeDocument/2006/relationships/numbering" Target="numbering.xml"/><Relationship Id="rId27" Type="http://schemas.openxmlformats.org/officeDocument/2006/relationships/image" Target="media/image16.png"/><Relationship Id="rId26" Type="http://schemas.openxmlformats.org/officeDocument/2006/relationships/image" Target="media/image15.png"/><Relationship Id="rId25" Type="http://schemas.openxmlformats.org/officeDocument/2006/relationships/image" Target="media/image14.png"/><Relationship Id="rId24" Type="http://schemas.openxmlformats.org/officeDocument/2006/relationships/image" Target="media/image13.png"/><Relationship Id="rId23" Type="http://schemas.openxmlformats.org/officeDocument/2006/relationships/image" Target="media/image12.png"/><Relationship Id="rId22" Type="http://schemas.openxmlformats.org/officeDocument/2006/relationships/image" Target="media/image11.png"/><Relationship Id="rId21" Type="http://schemas.openxmlformats.org/officeDocument/2006/relationships/image" Target="media/image10.png"/><Relationship Id="rId20" Type="http://schemas.openxmlformats.org/officeDocument/2006/relationships/image" Target="media/image9.png"/><Relationship Id="rId2" Type="http://schemas.openxmlformats.org/officeDocument/2006/relationships/settings" Target="settings.xml"/><Relationship Id="rId19" Type="http://schemas.openxmlformats.org/officeDocument/2006/relationships/image" Target="media/image8.png"/><Relationship Id="rId18" Type="http://schemas.openxmlformats.org/officeDocument/2006/relationships/image" Target="media/image7.png"/><Relationship Id="rId17" Type="http://schemas.openxmlformats.org/officeDocument/2006/relationships/image" Target="media/image6.png"/><Relationship Id="rId16" Type="http://schemas.openxmlformats.org/officeDocument/2006/relationships/image" Target="media/image5.png"/><Relationship Id="rId15" Type="http://schemas.openxmlformats.org/officeDocument/2006/relationships/image" Target="media/image4.png"/><Relationship Id="rId14" Type="http://schemas.openxmlformats.org/officeDocument/2006/relationships/image" Target="media/image3.png"/><Relationship Id="rId13" Type="http://schemas.microsoft.com/office/2007/relationships/diagramDrawing" Target="diagrams/drawing1.xml"/><Relationship Id="rId12" Type="http://schemas.openxmlformats.org/officeDocument/2006/relationships/diagramColors" Target="diagrams/colors1.xml"/><Relationship Id="rId11" Type="http://schemas.openxmlformats.org/officeDocument/2006/relationships/diagramQuickStyle" Target="diagrams/quickStyle1.xml"/><Relationship Id="rId10" Type="http://schemas.openxmlformats.org/officeDocument/2006/relationships/diagramLayout" Target="diagrams/layout1.xml"/><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7" Type="http://schemas.openxmlformats.org/officeDocument/2006/relationships/font" Target="fonts/font7.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diagrams/colors1.xml><?xml version="1.0" encoding="utf-8"?>
<dgm:colorsDef xmlns:dgm="http://schemas.openxmlformats.org/drawingml/2006/diagram" xmlns:a="http://schemas.openxmlformats.org/drawingml/2006/main" uniqueId="urn:microsoft.com/office/officeart/2005/8/colors/colorful5#1">
  <dgm:title val=""/>
  <dgm:desc val=""/>
  <dgm:catLst>
    <dgm:cat type="colorful" pri="10500"/>
  </dgm:catLst>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2E45613F-3100-41A0-BBD9-4EF937B5F9A3}" type="doc">
      <dgm:prSet loTypeId="urn:microsoft.com/office/officeart/2005/8/layout/list1" loCatId="list" qsTypeId="urn:microsoft.com/office/officeart/2005/8/quickstyle/simple1#1" qsCatId="simple" csTypeId="urn:microsoft.com/office/officeart/2005/8/colors/colorful5#1" csCatId="colorful" phldr="1"/>
      <dgm:spPr/>
      <dgm:t>
        <a:bodyPr/>
        <a:p>
          <a:endParaRPr lang="en-IN"/>
        </a:p>
      </dgm:t>
    </dgm:pt>
    <dgm:pt modelId="{8FE90742-D3B0-4117-AE9C-2C9350BD26B5}">
      <dgm:prSet phldrT="[Text]"/>
      <dgm:spPr/>
      <dgm:t>
        <a:bodyPr/>
        <a:p>
          <a:r>
            <a:rPr lang="en-IN">
              <a:solidFill>
                <a:sysClr val="windowText" lastClr="000000"/>
              </a:solidFill>
              <a:latin typeface="Arial" panose="020B0604020202020204" pitchFamily="34" charset="0"/>
              <a:cs typeface="Arial" panose="020B0604020202020204" pitchFamily="34" charset="0"/>
            </a:rPr>
            <a:t>Chapter 4: Findings and Analysis </a:t>
          </a:r>
        </a:p>
      </dgm:t>
    </dgm:pt>
    <dgm:pt modelId="{B3B513D5-4D6A-4797-96D8-68A8F8CAACF8}" cxnId="{AF5778B8-80A8-4588-8406-8497E12B1D45}" type="parTrans">
      <dgm:prSet/>
      <dgm:spPr/>
      <dgm:t>
        <a:bodyPr/>
        <a:p>
          <a:endParaRPr lang="en-IN"/>
        </a:p>
      </dgm:t>
    </dgm:pt>
    <dgm:pt modelId="{81A83DE5-798B-45E6-B0A0-6E32AA60214F}" cxnId="{AF5778B8-80A8-4588-8406-8497E12B1D45}" type="sibTrans">
      <dgm:prSet/>
      <dgm:spPr/>
      <dgm:t>
        <a:bodyPr/>
        <a:p>
          <a:endParaRPr lang="en-IN"/>
        </a:p>
      </dgm:t>
    </dgm:pt>
    <dgm:pt modelId="{B8581F00-4BE0-498E-A214-65771033FAFA}">
      <dgm:prSet phldrT="[Text]"/>
      <dgm:spPr/>
      <dgm:t>
        <a:bodyPr/>
        <a:p>
          <a:r>
            <a:rPr lang="en-IN">
              <a:solidFill>
                <a:sysClr val="windowText" lastClr="000000"/>
              </a:solidFill>
              <a:latin typeface="Arial" panose="020B0604020202020204" pitchFamily="34" charset="0"/>
              <a:cs typeface="Arial" panose="020B0604020202020204" pitchFamily="34" charset="0"/>
            </a:rPr>
            <a:t>Chapter 5: Discussion </a:t>
          </a:r>
        </a:p>
      </dgm:t>
    </dgm:pt>
    <dgm:pt modelId="{4D4393BA-36DF-4173-9B07-1EC49BBD1981}" cxnId="{9033E685-B8EA-4665-A4B9-92B4E9383B5B}" type="parTrans">
      <dgm:prSet/>
      <dgm:spPr/>
      <dgm:t>
        <a:bodyPr/>
        <a:p>
          <a:endParaRPr lang="en-IN"/>
        </a:p>
      </dgm:t>
    </dgm:pt>
    <dgm:pt modelId="{C59CF5B7-785F-47C2-BD2C-C37F205F01CE}" cxnId="{9033E685-B8EA-4665-A4B9-92B4E9383B5B}" type="sibTrans">
      <dgm:prSet/>
      <dgm:spPr/>
      <dgm:t>
        <a:bodyPr/>
        <a:p>
          <a:endParaRPr lang="en-IN"/>
        </a:p>
      </dgm:t>
    </dgm:pt>
    <dgm:pt modelId="{09CAE461-0210-4E29-B630-A2958D3F7881}">
      <dgm:prSet phldrT="[Text]"/>
      <dgm:spPr/>
      <dgm:t>
        <a:bodyPr/>
        <a:p>
          <a:r>
            <a:rPr lang="en-IN">
              <a:solidFill>
                <a:sysClr val="windowText" lastClr="000000"/>
              </a:solidFill>
              <a:latin typeface="Arial" panose="020B0604020202020204" pitchFamily="34" charset="0"/>
              <a:cs typeface="Arial" panose="020B0604020202020204" pitchFamily="34" charset="0"/>
            </a:rPr>
            <a:t>Chapter 6: Conclusion </a:t>
          </a:r>
        </a:p>
      </dgm:t>
    </dgm:pt>
    <dgm:pt modelId="{5F2AC692-4C3B-493F-B02E-1BA2E26A51C4}" cxnId="{1FAAD8A6-B29E-49AD-B221-67389AE0118C}" type="parTrans">
      <dgm:prSet/>
      <dgm:spPr/>
      <dgm:t>
        <a:bodyPr/>
        <a:p>
          <a:endParaRPr lang="en-IN"/>
        </a:p>
      </dgm:t>
    </dgm:pt>
    <dgm:pt modelId="{1DA67EE7-31E0-406C-ADD4-5A09E1F0C33D}" cxnId="{1FAAD8A6-B29E-49AD-B221-67389AE0118C}" type="sibTrans">
      <dgm:prSet/>
      <dgm:spPr/>
      <dgm:t>
        <a:bodyPr/>
        <a:p>
          <a:endParaRPr lang="en-IN"/>
        </a:p>
      </dgm:t>
    </dgm:pt>
    <dgm:pt modelId="{13BBD392-32B7-4A1B-BD9C-3E664C02F265}">
      <dgm:prSet/>
      <dgm:spPr/>
      <dgm:t>
        <a:bodyPr/>
        <a:p>
          <a:r>
            <a:rPr lang="en-IN">
              <a:solidFill>
                <a:sysClr val="windowText" lastClr="000000"/>
              </a:solidFill>
              <a:latin typeface="Arial" panose="020B0604020202020204" pitchFamily="34" charset="0"/>
              <a:cs typeface="Arial" panose="020B0604020202020204" pitchFamily="34" charset="0"/>
            </a:rPr>
            <a:t>Chapter 1: Introduction </a:t>
          </a:r>
        </a:p>
      </dgm:t>
    </dgm:pt>
    <dgm:pt modelId="{BA1E2E43-43C9-42D0-9727-4859EA50C4E8}" cxnId="{BA56DA89-753A-4AED-9573-2D83003DB3E6}" type="parTrans">
      <dgm:prSet/>
      <dgm:spPr/>
      <dgm:t>
        <a:bodyPr/>
        <a:p>
          <a:endParaRPr lang="en-IN"/>
        </a:p>
      </dgm:t>
    </dgm:pt>
    <dgm:pt modelId="{57259821-E1A1-4481-A2AC-42DF902F53F6}" cxnId="{BA56DA89-753A-4AED-9573-2D83003DB3E6}" type="sibTrans">
      <dgm:prSet/>
      <dgm:spPr/>
      <dgm:t>
        <a:bodyPr/>
        <a:p>
          <a:endParaRPr lang="en-IN"/>
        </a:p>
      </dgm:t>
    </dgm:pt>
    <dgm:pt modelId="{6ABEF8C1-B88C-479D-89E5-D3D069DD46FD}">
      <dgm:prSet/>
      <dgm:spPr/>
      <dgm:t>
        <a:bodyPr/>
        <a:p>
          <a:r>
            <a:rPr lang="en-IN">
              <a:solidFill>
                <a:sysClr val="windowText" lastClr="000000"/>
              </a:solidFill>
              <a:latin typeface="Arial" panose="020B0604020202020204" pitchFamily="34" charset="0"/>
              <a:cs typeface="Arial" panose="020B0604020202020204" pitchFamily="34" charset="0"/>
            </a:rPr>
            <a:t>Chapter 2: Literature review </a:t>
          </a:r>
        </a:p>
      </dgm:t>
    </dgm:pt>
    <dgm:pt modelId="{8AC3D52D-21C5-44E1-8D6B-D2C97FFF22B4}" cxnId="{472C4E61-A37A-4D6C-98CE-F6327D18A3C8}" type="parTrans">
      <dgm:prSet/>
      <dgm:spPr/>
      <dgm:t>
        <a:bodyPr/>
        <a:p>
          <a:endParaRPr lang="en-IN"/>
        </a:p>
      </dgm:t>
    </dgm:pt>
    <dgm:pt modelId="{070C0946-DCC7-4119-8B73-EDC051825AE9}" cxnId="{472C4E61-A37A-4D6C-98CE-F6327D18A3C8}" type="sibTrans">
      <dgm:prSet/>
      <dgm:spPr/>
      <dgm:t>
        <a:bodyPr/>
        <a:p>
          <a:endParaRPr lang="en-IN"/>
        </a:p>
      </dgm:t>
    </dgm:pt>
    <dgm:pt modelId="{F4DE0BEE-7194-476E-BAD7-F149C5BF0AA5}">
      <dgm:prSet/>
      <dgm:spPr/>
      <dgm:t>
        <a:bodyPr/>
        <a:p>
          <a:r>
            <a:rPr lang="en-IN">
              <a:solidFill>
                <a:sysClr val="windowText" lastClr="000000"/>
              </a:solidFill>
              <a:latin typeface="Arial" panose="020B0604020202020204" pitchFamily="34" charset="0"/>
              <a:cs typeface="Arial" panose="020B0604020202020204" pitchFamily="34" charset="0"/>
            </a:rPr>
            <a:t>Chapter 3: Methodology </a:t>
          </a:r>
        </a:p>
      </dgm:t>
    </dgm:pt>
    <dgm:pt modelId="{B9A2C865-E71E-4DB8-B5AA-5FD92C36F320}" cxnId="{60EE40CF-C729-42EC-A17B-C115DAE240FD}" type="parTrans">
      <dgm:prSet/>
      <dgm:spPr/>
      <dgm:t>
        <a:bodyPr/>
        <a:p>
          <a:endParaRPr lang="en-IN"/>
        </a:p>
      </dgm:t>
    </dgm:pt>
    <dgm:pt modelId="{953A34F2-1BAC-493A-8A53-BF2DBE46E520}" cxnId="{60EE40CF-C729-42EC-A17B-C115DAE240FD}" type="sibTrans">
      <dgm:prSet/>
      <dgm:spPr/>
      <dgm:t>
        <a:bodyPr/>
        <a:p>
          <a:endParaRPr lang="en-IN"/>
        </a:p>
      </dgm:t>
    </dgm:pt>
    <dgm:pt modelId="{E0376DDC-B612-4892-8B47-F6BE19E76A71}" type="pres">
      <dgm:prSet presAssocID="{2E45613F-3100-41A0-BBD9-4EF937B5F9A3}" presName="linear" presStyleCnt="0">
        <dgm:presLayoutVars>
          <dgm:dir/>
          <dgm:animLvl val="lvl"/>
          <dgm:resizeHandles val="exact"/>
        </dgm:presLayoutVars>
      </dgm:prSet>
      <dgm:spPr/>
    </dgm:pt>
    <dgm:pt modelId="{2EE1ACF7-92F9-45B9-B988-20BF778A0F98}" type="pres">
      <dgm:prSet presAssocID="{13BBD392-32B7-4A1B-BD9C-3E664C02F265}" presName="parentLin" presStyleCnt="0"/>
      <dgm:spPr/>
    </dgm:pt>
    <dgm:pt modelId="{BA797EAA-9D52-4FE5-BBBF-98C27F38768B}" type="pres">
      <dgm:prSet presAssocID="{13BBD392-32B7-4A1B-BD9C-3E664C02F265}" presName="parentLeftMargin" presStyleLbl="node1" presStyleIdx="0" presStyleCnt="6"/>
      <dgm:spPr/>
    </dgm:pt>
    <dgm:pt modelId="{C5E64EF7-F90F-46E3-A456-8BB9007702A5}" type="pres">
      <dgm:prSet presAssocID="{13BBD392-32B7-4A1B-BD9C-3E664C02F265}" presName="parentText" presStyleLbl="node1" presStyleIdx="0" presStyleCnt="6">
        <dgm:presLayoutVars>
          <dgm:chMax val="0"/>
          <dgm:bulletEnabled val="1"/>
        </dgm:presLayoutVars>
      </dgm:prSet>
      <dgm:spPr/>
    </dgm:pt>
    <dgm:pt modelId="{AEE17E86-E6D9-4B8A-941C-A614E1D37D76}" type="pres">
      <dgm:prSet presAssocID="{13BBD392-32B7-4A1B-BD9C-3E664C02F265}" presName="negativeSpace" presStyleCnt="0"/>
      <dgm:spPr/>
    </dgm:pt>
    <dgm:pt modelId="{0746C0E1-AB4D-4F2B-B7F5-2FD4B596264C}" type="pres">
      <dgm:prSet presAssocID="{13BBD392-32B7-4A1B-BD9C-3E664C02F265}" presName="childText" presStyleLbl="conFgAcc1" presStyleIdx="0" presStyleCnt="6">
        <dgm:presLayoutVars>
          <dgm:bulletEnabled val="1"/>
        </dgm:presLayoutVars>
      </dgm:prSet>
      <dgm:spPr/>
    </dgm:pt>
    <dgm:pt modelId="{82C6C6ED-732C-456F-B004-22160864EB6A}" type="pres">
      <dgm:prSet presAssocID="{57259821-E1A1-4481-A2AC-42DF902F53F6}" presName="spaceBetweenRectangles" presStyleCnt="0"/>
      <dgm:spPr/>
    </dgm:pt>
    <dgm:pt modelId="{49D473AC-1F4E-411D-B910-E8F6487C7749}" type="pres">
      <dgm:prSet presAssocID="{6ABEF8C1-B88C-479D-89E5-D3D069DD46FD}" presName="parentLin" presStyleCnt="0"/>
      <dgm:spPr/>
    </dgm:pt>
    <dgm:pt modelId="{A451B6F0-5C13-437A-9B23-800532AE17AD}" type="pres">
      <dgm:prSet presAssocID="{6ABEF8C1-B88C-479D-89E5-D3D069DD46FD}" presName="parentLeftMargin" presStyleLbl="node1" presStyleIdx="0" presStyleCnt="6"/>
      <dgm:spPr/>
    </dgm:pt>
    <dgm:pt modelId="{090BFC9A-B32B-4352-9E45-9D698B56081E}" type="pres">
      <dgm:prSet presAssocID="{6ABEF8C1-B88C-479D-89E5-D3D069DD46FD}" presName="parentText" presStyleLbl="node1" presStyleIdx="1" presStyleCnt="6">
        <dgm:presLayoutVars>
          <dgm:chMax val="0"/>
          <dgm:bulletEnabled val="1"/>
        </dgm:presLayoutVars>
      </dgm:prSet>
      <dgm:spPr/>
    </dgm:pt>
    <dgm:pt modelId="{80DCBDC8-8DF7-4F77-8E51-BF167C3BF14D}" type="pres">
      <dgm:prSet presAssocID="{6ABEF8C1-B88C-479D-89E5-D3D069DD46FD}" presName="negativeSpace" presStyleCnt="0"/>
      <dgm:spPr/>
    </dgm:pt>
    <dgm:pt modelId="{8C7830CD-6155-4029-9745-D9CADA90CB69}" type="pres">
      <dgm:prSet presAssocID="{6ABEF8C1-B88C-479D-89E5-D3D069DD46FD}" presName="childText" presStyleLbl="conFgAcc1" presStyleIdx="1" presStyleCnt="6">
        <dgm:presLayoutVars>
          <dgm:bulletEnabled val="1"/>
        </dgm:presLayoutVars>
      </dgm:prSet>
      <dgm:spPr/>
    </dgm:pt>
    <dgm:pt modelId="{132E44B3-F1D5-46E1-944E-F82C831F9C77}" type="pres">
      <dgm:prSet presAssocID="{070C0946-DCC7-4119-8B73-EDC051825AE9}" presName="spaceBetweenRectangles" presStyleCnt="0"/>
      <dgm:spPr/>
    </dgm:pt>
    <dgm:pt modelId="{9AB1C56A-28FE-4A99-9591-2B50A93C4A8E}" type="pres">
      <dgm:prSet presAssocID="{F4DE0BEE-7194-476E-BAD7-F149C5BF0AA5}" presName="parentLin" presStyleCnt="0"/>
      <dgm:spPr/>
    </dgm:pt>
    <dgm:pt modelId="{AB4E4434-72A5-4C02-A7A9-C286A255F26B}" type="pres">
      <dgm:prSet presAssocID="{F4DE0BEE-7194-476E-BAD7-F149C5BF0AA5}" presName="parentLeftMargin" presStyleLbl="node1" presStyleIdx="1" presStyleCnt="6"/>
      <dgm:spPr/>
    </dgm:pt>
    <dgm:pt modelId="{B92DB318-1092-4CB1-B27D-19332CB35176}" type="pres">
      <dgm:prSet presAssocID="{F4DE0BEE-7194-476E-BAD7-F149C5BF0AA5}" presName="parentText" presStyleLbl="node1" presStyleIdx="2" presStyleCnt="6">
        <dgm:presLayoutVars>
          <dgm:chMax val="0"/>
          <dgm:bulletEnabled val="1"/>
        </dgm:presLayoutVars>
      </dgm:prSet>
      <dgm:spPr/>
    </dgm:pt>
    <dgm:pt modelId="{359E83F8-2258-4F39-A2C9-B872C794891C}" type="pres">
      <dgm:prSet presAssocID="{F4DE0BEE-7194-476E-BAD7-F149C5BF0AA5}" presName="negativeSpace" presStyleCnt="0"/>
      <dgm:spPr/>
    </dgm:pt>
    <dgm:pt modelId="{3EC7CC23-3194-489C-8593-5D10B69547F8}" type="pres">
      <dgm:prSet presAssocID="{F4DE0BEE-7194-476E-BAD7-F149C5BF0AA5}" presName="childText" presStyleLbl="conFgAcc1" presStyleIdx="2" presStyleCnt="6">
        <dgm:presLayoutVars>
          <dgm:bulletEnabled val="1"/>
        </dgm:presLayoutVars>
      </dgm:prSet>
      <dgm:spPr/>
    </dgm:pt>
    <dgm:pt modelId="{A1652DFC-87D5-4A33-9AA5-F271AED8D52C}" type="pres">
      <dgm:prSet presAssocID="{953A34F2-1BAC-493A-8A53-BF2DBE46E520}" presName="spaceBetweenRectangles" presStyleCnt="0"/>
      <dgm:spPr/>
    </dgm:pt>
    <dgm:pt modelId="{6D68A106-757E-42A6-B515-47398BC59A7E}" type="pres">
      <dgm:prSet presAssocID="{8FE90742-D3B0-4117-AE9C-2C9350BD26B5}" presName="parentLin" presStyleCnt="0"/>
      <dgm:spPr/>
    </dgm:pt>
    <dgm:pt modelId="{DB41DA81-E9AB-4235-B6D8-4C201FDCACA6}" type="pres">
      <dgm:prSet presAssocID="{8FE90742-D3B0-4117-AE9C-2C9350BD26B5}" presName="parentLeftMargin" presStyleLbl="node1" presStyleIdx="2" presStyleCnt="6"/>
      <dgm:spPr/>
    </dgm:pt>
    <dgm:pt modelId="{7E06AF06-FE10-4ABD-99DE-B9688B242608}" type="pres">
      <dgm:prSet presAssocID="{8FE90742-D3B0-4117-AE9C-2C9350BD26B5}" presName="parentText" presStyleLbl="node1" presStyleIdx="3" presStyleCnt="6">
        <dgm:presLayoutVars>
          <dgm:chMax val="0"/>
          <dgm:bulletEnabled val="1"/>
        </dgm:presLayoutVars>
      </dgm:prSet>
      <dgm:spPr/>
    </dgm:pt>
    <dgm:pt modelId="{1BFED5C9-71FF-4503-AC9B-852D914574CD}" type="pres">
      <dgm:prSet presAssocID="{8FE90742-D3B0-4117-AE9C-2C9350BD26B5}" presName="negativeSpace" presStyleCnt="0"/>
      <dgm:spPr/>
    </dgm:pt>
    <dgm:pt modelId="{56B926B3-213F-41A0-9878-1DB06FFEF7D2}" type="pres">
      <dgm:prSet presAssocID="{8FE90742-D3B0-4117-AE9C-2C9350BD26B5}" presName="childText" presStyleLbl="conFgAcc1" presStyleIdx="3" presStyleCnt="6">
        <dgm:presLayoutVars>
          <dgm:bulletEnabled val="1"/>
        </dgm:presLayoutVars>
      </dgm:prSet>
      <dgm:spPr/>
    </dgm:pt>
    <dgm:pt modelId="{FB923D68-AEBA-4C63-BCCD-32BA5A1AC944}" type="pres">
      <dgm:prSet presAssocID="{81A83DE5-798B-45E6-B0A0-6E32AA60214F}" presName="spaceBetweenRectangles" presStyleCnt="0"/>
      <dgm:spPr/>
    </dgm:pt>
    <dgm:pt modelId="{9BA3D4AB-481A-41DB-B417-C40D0A2C5B38}" type="pres">
      <dgm:prSet presAssocID="{B8581F00-4BE0-498E-A214-65771033FAFA}" presName="parentLin" presStyleCnt="0"/>
      <dgm:spPr/>
    </dgm:pt>
    <dgm:pt modelId="{B48B8A44-F9DA-4EF4-A612-8D8BBE0F54BF}" type="pres">
      <dgm:prSet presAssocID="{B8581F00-4BE0-498E-A214-65771033FAFA}" presName="parentLeftMargin" presStyleLbl="node1" presStyleIdx="3" presStyleCnt="6"/>
      <dgm:spPr/>
    </dgm:pt>
    <dgm:pt modelId="{428D343A-45B4-4BE5-8C15-00F637AC5B8B}" type="pres">
      <dgm:prSet presAssocID="{B8581F00-4BE0-498E-A214-65771033FAFA}" presName="parentText" presStyleLbl="node1" presStyleIdx="4" presStyleCnt="6">
        <dgm:presLayoutVars>
          <dgm:chMax val="0"/>
          <dgm:bulletEnabled val="1"/>
        </dgm:presLayoutVars>
      </dgm:prSet>
      <dgm:spPr/>
    </dgm:pt>
    <dgm:pt modelId="{33EA9060-C3FF-4E50-A2F4-DFAED0B5B2AE}" type="pres">
      <dgm:prSet presAssocID="{B8581F00-4BE0-498E-A214-65771033FAFA}" presName="negativeSpace" presStyleCnt="0"/>
      <dgm:spPr/>
    </dgm:pt>
    <dgm:pt modelId="{D9EE7E15-A656-43DE-9BD0-B0769248EED9}" type="pres">
      <dgm:prSet presAssocID="{B8581F00-4BE0-498E-A214-65771033FAFA}" presName="childText" presStyleLbl="conFgAcc1" presStyleIdx="4" presStyleCnt="6">
        <dgm:presLayoutVars>
          <dgm:bulletEnabled val="1"/>
        </dgm:presLayoutVars>
      </dgm:prSet>
      <dgm:spPr/>
    </dgm:pt>
    <dgm:pt modelId="{B76A9F26-F287-4E78-BA9D-9F1D82BFDC9E}" type="pres">
      <dgm:prSet presAssocID="{C59CF5B7-785F-47C2-BD2C-C37F205F01CE}" presName="spaceBetweenRectangles" presStyleCnt="0"/>
      <dgm:spPr/>
    </dgm:pt>
    <dgm:pt modelId="{A371E0E9-E5EF-4137-8A53-048DAC0BAD6D}" type="pres">
      <dgm:prSet presAssocID="{09CAE461-0210-4E29-B630-A2958D3F7881}" presName="parentLin" presStyleCnt="0"/>
      <dgm:spPr/>
    </dgm:pt>
    <dgm:pt modelId="{EBD32A82-9B92-4AC3-81DA-F5F0AFAD34CC}" type="pres">
      <dgm:prSet presAssocID="{09CAE461-0210-4E29-B630-A2958D3F7881}" presName="parentLeftMargin" presStyleLbl="node1" presStyleIdx="4" presStyleCnt="6"/>
      <dgm:spPr/>
    </dgm:pt>
    <dgm:pt modelId="{8503304B-D6E7-4547-81A8-EF361B9EFBCB}" type="pres">
      <dgm:prSet presAssocID="{09CAE461-0210-4E29-B630-A2958D3F7881}" presName="parentText" presStyleLbl="node1" presStyleIdx="5" presStyleCnt="6">
        <dgm:presLayoutVars>
          <dgm:chMax val="0"/>
          <dgm:bulletEnabled val="1"/>
        </dgm:presLayoutVars>
      </dgm:prSet>
      <dgm:spPr/>
    </dgm:pt>
    <dgm:pt modelId="{BF8EA1BB-16C6-49AF-947B-5CD084D80B62}" type="pres">
      <dgm:prSet presAssocID="{09CAE461-0210-4E29-B630-A2958D3F7881}" presName="negativeSpace" presStyleCnt="0"/>
      <dgm:spPr/>
    </dgm:pt>
    <dgm:pt modelId="{92E522EA-8CA1-4C26-A343-FA066607967A}" type="pres">
      <dgm:prSet presAssocID="{09CAE461-0210-4E29-B630-A2958D3F7881}" presName="childText" presStyleLbl="conFgAcc1" presStyleIdx="5" presStyleCnt="6">
        <dgm:presLayoutVars>
          <dgm:bulletEnabled val="1"/>
        </dgm:presLayoutVars>
      </dgm:prSet>
      <dgm:spPr/>
    </dgm:pt>
  </dgm:ptLst>
  <dgm:cxnLst>
    <dgm:cxn modelId="{26EE780C-5CEA-44C9-B301-2FA91A78206D}" type="presOf" srcId="{09CAE461-0210-4E29-B630-A2958D3F7881}" destId="{EBD32A82-9B92-4AC3-81DA-F5F0AFAD34CC}" srcOrd="0" destOrd="0" presId="urn:microsoft.com/office/officeart/2005/8/layout/list1"/>
    <dgm:cxn modelId="{13EF492F-C621-44E9-ACBA-B30DE5FE83B1}" type="presOf" srcId="{F4DE0BEE-7194-476E-BAD7-F149C5BF0AA5}" destId="{B92DB318-1092-4CB1-B27D-19332CB35176}" srcOrd="1" destOrd="0" presId="urn:microsoft.com/office/officeart/2005/8/layout/list1"/>
    <dgm:cxn modelId="{472C4E61-A37A-4D6C-98CE-F6327D18A3C8}" srcId="{2E45613F-3100-41A0-BBD9-4EF937B5F9A3}" destId="{6ABEF8C1-B88C-479D-89E5-D3D069DD46FD}" srcOrd="1" destOrd="0" parTransId="{8AC3D52D-21C5-44E1-8D6B-D2C97FFF22B4}" sibTransId="{070C0946-DCC7-4119-8B73-EDC051825AE9}"/>
    <dgm:cxn modelId="{7D25D86B-E462-46B9-A30E-6A6FE7F80995}" type="presOf" srcId="{2E45613F-3100-41A0-BBD9-4EF937B5F9A3}" destId="{E0376DDC-B612-4892-8B47-F6BE19E76A71}" srcOrd="0" destOrd="0" presId="urn:microsoft.com/office/officeart/2005/8/layout/list1"/>
    <dgm:cxn modelId="{AD89AB54-2295-417A-975F-029B732A2C91}" type="presOf" srcId="{F4DE0BEE-7194-476E-BAD7-F149C5BF0AA5}" destId="{AB4E4434-72A5-4C02-A7A9-C286A255F26B}" srcOrd="0" destOrd="0" presId="urn:microsoft.com/office/officeart/2005/8/layout/list1"/>
    <dgm:cxn modelId="{9033E685-B8EA-4665-A4B9-92B4E9383B5B}" srcId="{2E45613F-3100-41A0-BBD9-4EF937B5F9A3}" destId="{B8581F00-4BE0-498E-A214-65771033FAFA}" srcOrd="4" destOrd="0" parTransId="{4D4393BA-36DF-4173-9B07-1EC49BBD1981}" sibTransId="{C59CF5B7-785F-47C2-BD2C-C37F205F01CE}"/>
    <dgm:cxn modelId="{1A184889-6CCE-4EDD-9C36-7B3AA2415212}" type="presOf" srcId="{B8581F00-4BE0-498E-A214-65771033FAFA}" destId="{B48B8A44-F9DA-4EF4-A612-8D8BBE0F54BF}" srcOrd="0" destOrd="0" presId="urn:microsoft.com/office/officeart/2005/8/layout/list1"/>
    <dgm:cxn modelId="{BA56DA89-753A-4AED-9573-2D83003DB3E6}" srcId="{2E45613F-3100-41A0-BBD9-4EF937B5F9A3}" destId="{13BBD392-32B7-4A1B-BD9C-3E664C02F265}" srcOrd="0" destOrd="0" parTransId="{BA1E2E43-43C9-42D0-9727-4859EA50C4E8}" sibTransId="{57259821-E1A1-4481-A2AC-42DF902F53F6}"/>
    <dgm:cxn modelId="{21558195-F1D3-4C4B-88FF-F73EC08FB0BE}" type="presOf" srcId="{6ABEF8C1-B88C-479D-89E5-D3D069DD46FD}" destId="{090BFC9A-B32B-4352-9E45-9D698B56081E}" srcOrd="1" destOrd="0" presId="urn:microsoft.com/office/officeart/2005/8/layout/list1"/>
    <dgm:cxn modelId="{748BB495-7120-4BCE-B8F5-E02384315A84}" type="presOf" srcId="{13BBD392-32B7-4A1B-BD9C-3E664C02F265}" destId="{BA797EAA-9D52-4FE5-BBBF-98C27F38768B}" srcOrd="0" destOrd="0" presId="urn:microsoft.com/office/officeart/2005/8/layout/list1"/>
    <dgm:cxn modelId="{1FAAD8A6-B29E-49AD-B221-67389AE0118C}" srcId="{2E45613F-3100-41A0-BBD9-4EF937B5F9A3}" destId="{09CAE461-0210-4E29-B630-A2958D3F7881}" srcOrd="5" destOrd="0" parTransId="{5F2AC692-4C3B-493F-B02E-1BA2E26A51C4}" sibTransId="{1DA67EE7-31E0-406C-ADD4-5A09E1F0C33D}"/>
    <dgm:cxn modelId="{1061B9AC-D244-46AB-B235-FAF90702E142}" type="presOf" srcId="{13BBD392-32B7-4A1B-BD9C-3E664C02F265}" destId="{C5E64EF7-F90F-46E3-A456-8BB9007702A5}" srcOrd="1" destOrd="0" presId="urn:microsoft.com/office/officeart/2005/8/layout/list1"/>
    <dgm:cxn modelId="{AF5778B8-80A8-4588-8406-8497E12B1D45}" srcId="{2E45613F-3100-41A0-BBD9-4EF937B5F9A3}" destId="{8FE90742-D3B0-4117-AE9C-2C9350BD26B5}" srcOrd="3" destOrd="0" parTransId="{B3B513D5-4D6A-4797-96D8-68A8F8CAACF8}" sibTransId="{81A83DE5-798B-45E6-B0A0-6E32AA60214F}"/>
    <dgm:cxn modelId="{9BA8CEC7-4FD0-410A-9C94-A9FA774FD361}" type="presOf" srcId="{8FE90742-D3B0-4117-AE9C-2C9350BD26B5}" destId="{7E06AF06-FE10-4ABD-99DE-B9688B242608}" srcOrd="1" destOrd="0" presId="urn:microsoft.com/office/officeart/2005/8/layout/list1"/>
    <dgm:cxn modelId="{C48B09CB-F118-481F-9EA0-7869838E4EC8}" type="presOf" srcId="{8FE90742-D3B0-4117-AE9C-2C9350BD26B5}" destId="{DB41DA81-E9AB-4235-B6D8-4C201FDCACA6}" srcOrd="0" destOrd="0" presId="urn:microsoft.com/office/officeart/2005/8/layout/list1"/>
    <dgm:cxn modelId="{720B45CE-C39E-4507-86C4-A17F3024D677}" type="presOf" srcId="{09CAE461-0210-4E29-B630-A2958D3F7881}" destId="{8503304B-D6E7-4547-81A8-EF361B9EFBCB}" srcOrd="1" destOrd="0" presId="urn:microsoft.com/office/officeart/2005/8/layout/list1"/>
    <dgm:cxn modelId="{60EE40CF-C729-42EC-A17B-C115DAE240FD}" srcId="{2E45613F-3100-41A0-BBD9-4EF937B5F9A3}" destId="{F4DE0BEE-7194-476E-BAD7-F149C5BF0AA5}" srcOrd="2" destOrd="0" parTransId="{B9A2C865-E71E-4DB8-B5AA-5FD92C36F320}" sibTransId="{953A34F2-1BAC-493A-8A53-BF2DBE46E520}"/>
    <dgm:cxn modelId="{302EF2D0-E871-4B1B-B32D-850805B0F2C0}" type="presOf" srcId="{B8581F00-4BE0-498E-A214-65771033FAFA}" destId="{428D343A-45B4-4BE5-8C15-00F637AC5B8B}" srcOrd="1" destOrd="0" presId="urn:microsoft.com/office/officeart/2005/8/layout/list1"/>
    <dgm:cxn modelId="{5182ECDA-BF10-4805-8870-8C7C1D4824B0}" type="presOf" srcId="{6ABEF8C1-B88C-479D-89E5-D3D069DD46FD}" destId="{A451B6F0-5C13-437A-9B23-800532AE17AD}" srcOrd="0" destOrd="0" presId="urn:microsoft.com/office/officeart/2005/8/layout/list1"/>
    <dgm:cxn modelId="{F6C8A68A-6197-437B-805D-2CB769C5F5D8}" type="presParOf" srcId="{E0376DDC-B612-4892-8B47-F6BE19E76A71}" destId="{2EE1ACF7-92F9-45B9-B988-20BF778A0F98}" srcOrd="0" destOrd="0" presId="urn:microsoft.com/office/officeart/2005/8/layout/list1"/>
    <dgm:cxn modelId="{997C09D4-5D25-4368-BB2A-C7C0B04A690A}" type="presParOf" srcId="{2EE1ACF7-92F9-45B9-B988-20BF778A0F98}" destId="{BA797EAA-9D52-4FE5-BBBF-98C27F38768B}" srcOrd="0" destOrd="0" presId="urn:microsoft.com/office/officeart/2005/8/layout/list1"/>
    <dgm:cxn modelId="{6D0196C4-A090-4C2D-86E0-8B4DFE332BF3}" type="presParOf" srcId="{2EE1ACF7-92F9-45B9-B988-20BF778A0F98}" destId="{C5E64EF7-F90F-46E3-A456-8BB9007702A5}" srcOrd="1" destOrd="0" presId="urn:microsoft.com/office/officeart/2005/8/layout/list1"/>
    <dgm:cxn modelId="{5BBC7B9A-D528-4E1F-8F25-C42F9AE94FA7}" type="presParOf" srcId="{E0376DDC-B612-4892-8B47-F6BE19E76A71}" destId="{AEE17E86-E6D9-4B8A-941C-A614E1D37D76}" srcOrd="1" destOrd="0" presId="urn:microsoft.com/office/officeart/2005/8/layout/list1"/>
    <dgm:cxn modelId="{16638022-326D-4411-BBAC-E997BB9C5E80}" type="presParOf" srcId="{E0376DDC-B612-4892-8B47-F6BE19E76A71}" destId="{0746C0E1-AB4D-4F2B-B7F5-2FD4B596264C}" srcOrd="2" destOrd="0" presId="urn:microsoft.com/office/officeart/2005/8/layout/list1"/>
    <dgm:cxn modelId="{8B50025C-670F-44DF-B6DC-7A59D195FB1D}" type="presParOf" srcId="{E0376DDC-B612-4892-8B47-F6BE19E76A71}" destId="{82C6C6ED-732C-456F-B004-22160864EB6A}" srcOrd="3" destOrd="0" presId="urn:microsoft.com/office/officeart/2005/8/layout/list1"/>
    <dgm:cxn modelId="{917BB73A-05FF-45A0-BE21-6E7AE9B6DEA9}" type="presParOf" srcId="{E0376DDC-B612-4892-8B47-F6BE19E76A71}" destId="{49D473AC-1F4E-411D-B910-E8F6487C7749}" srcOrd="4" destOrd="0" presId="urn:microsoft.com/office/officeart/2005/8/layout/list1"/>
    <dgm:cxn modelId="{F05112CC-9FCE-4C55-A87E-FA8B98D29A95}" type="presParOf" srcId="{49D473AC-1F4E-411D-B910-E8F6487C7749}" destId="{A451B6F0-5C13-437A-9B23-800532AE17AD}" srcOrd="0" destOrd="0" presId="urn:microsoft.com/office/officeart/2005/8/layout/list1"/>
    <dgm:cxn modelId="{0B226A23-09BF-4DFD-AA88-620CF133106A}" type="presParOf" srcId="{49D473AC-1F4E-411D-B910-E8F6487C7749}" destId="{090BFC9A-B32B-4352-9E45-9D698B56081E}" srcOrd="1" destOrd="0" presId="urn:microsoft.com/office/officeart/2005/8/layout/list1"/>
    <dgm:cxn modelId="{52966ECA-8BDD-4ED8-8EE0-EC666803A23F}" type="presParOf" srcId="{E0376DDC-B612-4892-8B47-F6BE19E76A71}" destId="{80DCBDC8-8DF7-4F77-8E51-BF167C3BF14D}" srcOrd="5" destOrd="0" presId="urn:microsoft.com/office/officeart/2005/8/layout/list1"/>
    <dgm:cxn modelId="{6AC19D0D-91CE-4A4C-A74F-87937F441D3C}" type="presParOf" srcId="{E0376DDC-B612-4892-8B47-F6BE19E76A71}" destId="{8C7830CD-6155-4029-9745-D9CADA90CB69}" srcOrd="6" destOrd="0" presId="urn:microsoft.com/office/officeart/2005/8/layout/list1"/>
    <dgm:cxn modelId="{A4CBD1B9-B9A4-42B8-BF84-3C17742C0234}" type="presParOf" srcId="{E0376DDC-B612-4892-8B47-F6BE19E76A71}" destId="{132E44B3-F1D5-46E1-944E-F82C831F9C77}" srcOrd="7" destOrd="0" presId="urn:microsoft.com/office/officeart/2005/8/layout/list1"/>
    <dgm:cxn modelId="{1DA036A3-FB71-4193-8D06-301330A925D4}" type="presParOf" srcId="{E0376DDC-B612-4892-8B47-F6BE19E76A71}" destId="{9AB1C56A-28FE-4A99-9591-2B50A93C4A8E}" srcOrd="8" destOrd="0" presId="urn:microsoft.com/office/officeart/2005/8/layout/list1"/>
    <dgm:cxn modelId="{51A3411C-D1D4-4FF9-8734-7F46037E2D4E}" type="presParOf" srcId="{9AB1C56A-28FE-4A99-9591-2B50A93C4A8E}" destId="{AB4E4434-72A5-4C02-A7A9-C286A255F26B}" srcOrd="0" destOrd="0" presId="urn:microsoft.com/office/officeart/2005/8/layout/list1"/>
    <dgm:cxn modelId="{829B3C2D-8A77-4CBB-81B5-7DCE1756DA3C}" type="presParOf" srcId="{9AB1C56A-28FE-4A99-9591-2B50A93C4A8E}" destId="{B92DB318-1092-4CB1-B27D-19332CB35176}" srcOrd="1" destOrd="0" presId="urn:microsoft.com/office/officeart/2005/8/layout/list1"/>
    <dgm:cxn modelId="{DB6267F1-C1BE-4C95-999E-059E6F760A6E}" type="presParOf" srcId="{E0376DDC-B612-4892-8B47-F6BE19E76A71}" destId="{359E83F8-2258-4F39-A2C9-B872C794891C}" srcOrd="9" destOrd="0" presId="urn:microsoft.com/office/officeart/2005/8/layout/list1"/>
    <dgm:cxn modelId="{1EE45412-CFB2-4EA9-AF3A-A079F2D1222C}" type="presParOf" srcId="{E0376DDC-B612-4892-8B47-F6BE19E76A71}" destId="{3EC7CC23-3194-489C-8593-5D10B69547F8}" srcOrd="10" destOrd="0" presId="urn:microsoft.com/office/officeart/2005/8/layout/list1"/>
    <dgm:cxn modelId="{C446B917-AAED-4A6B-B7C3-D1530B57485C}" type="presParOf" srcId="{E0376DDC-B612-4892-8B47-F6BE19E76A71}" destId="{A1652DFC-87D5-4A33-9AA5-F271AED8D52C}" srcOrd="11" destOrd="0" presId="urn:microsoft.com/office/officeart/2005/8/layout/list1"/>
    <dgm:cxn modelId="{FB80B51F-B387-47EC-A6DF-2ED1FBCFE9F7}" type="presParOf" srcId="{E0376DDC-B612-4892-8B47-F6BE19E76A71}" destId="{6D68A106-757E-42A6-B515-47398BC59A7E}" srcOrd="12" destOrd="0" presId="urn:microsoft.com/office/officeart/2005/8/layout/list1"/>
    <dgm:cxn modelId="{1532E6D4-F486-4652-B484-CF64C632C556}" type="presParOf" srcId="{6D68A106-757E-42A6-B515-47398BC59A7E}" destId="{DB41DA81-E9AB-4235-B6D8-4C201FDCACA6}" srcOrd="0" destOrd="0" presId="urn:microsoft.com/office/officeart/2005/8/layout/list1"/>
    <dgm:cxn modelId="{C31A9577-78CA-4509-A107-3CA0A968F774}" type="presParOf" srcId="{6D68A106-757E-42A6-B515-47398BC59A7E}" destId="{7E06AF06-FE10-4ABD-99DE-B9688B242608}" srcOrd="1" destOrd="0" presId="urn:microsoft.com/office/officeart/2005/8/layout/list1"/>
    <dgm:cxn modelId="{7AA46BCE-4911-43F0-BADA-8B96F2B207B4}" type="presParOf" srcId="{E0376DDC-B612-4892-8B47-F6BE19E76A71}" destId="{1BFED5C9-71FF-4503-AC9B-852D914574CD}" srcOrd="13" destOrd="0" presId="urn:microsoft.com/office/officeart/2005/8/layout/list1"/>
    <dgm:cxn modelId="{6F15D88A-9E06-44FF-BFAD-83B63743BBD8}" type="presParOf" srcId="{E0376DDC-B612-4892-8B47-F6BE19E76A71}" destId="{56B926B3-213F-41A0-9878-1DB06FFEF7D2}" srcOrd="14" destOrd="0" presId="urn:microsoft.com/office/officeart/2005/8/layout/list1"/>
    <dgm:cxn modelId="{60840116-3312-4565-8DBA-291AF3AFEB34}" type="presParOf" srcId="{E0376DDC-B612-4892-8B47-F6BE19E76A71}" destId="{FB923D68-AEBA-4C63-BCCD-32BA5A1AC944}" srcOrd="15" destOrd="0" presId="urn:microsoft.com/office/officeart/2005/8/layout/list1"/>
    <dgm:cxn modelId="{C4BB3D47-C444-44A9-9314-13E250E0BFCB}" type="presParOf" srcId="{E0376DDC-B612-4892-8B47-F6BE19E76A71}" destId="{9BA3D4AB-481A-41DB-B417-C40D0A2C5B38}" srcOrd="16" destOrd="0" presId="urn:microsoft.com/office/officeart/2005/8/layout/list1"/>
    <dgm:cxn modelId="{6D024068-F650-4BD4-B571-7114F1C9A7C4}" type="presParOf" srcId="{9BA3D4AB-481A-41DB-B417-C40D0A2C5B38}" destId="{B48B8A44-F9DA-4EF4-A612-8D8BBE0F54BF}" srcOrd="0" destOrd="0" presId="urn:microsoft.com/office/officeart/2005/8/layout/list1"/>
    <dgm:cxn modelId="{E83F14A5-FB2B-41DC-BA4E-E3C99226E19B}" type="presParOf" srcId="{9BA3D4AB-481A-41DB-B417-C40D0A2C5B38}" destId="{428D343A-45B4-4BE5-8C15-00F637AC5B8B}" srcOrd="1" destOrd="0" presId="urn:microsoft.com/office/officeart/2005/8/layout/list1"/>
    <dgm:cxn modelId="{8E6421EF-43B6-47C5-BB4B-0ABA3E2E67A1}" type="presParOf" srcId="{E0376DDC-B612-4892-8B47-F6BE19E76A71}" destId="{33EA9060-C3FF-4E50-A2F4-DFAED0B5B2AE}" srcOrd="17" destOrd="0" presId="urn:microsoft.com/office/officeart/2005/8/layout/list1"/>
    <dgm:cxn modelId="{E6FD9CE6-9A86-49C7-8326-4A323CC936EA}" type="presParOf" srcId="{E0376DDC-B612-4892-8B47-F6BE19E76A71}" destId="{D9EE7E15-A656-43DE-9BD0-B0769248EED9}" srcOrd="18" destOrd="0" presId="urn:microsoft.com/office/officeart/2005/8/layout/list1"/>
    <dgm:cxn modelId="{ED82FD44-EB3D-412B-A030-BF2CF0D5E6B9}" type="presParOf" srcId="{E0376DDC-B612-4892-8B47-F6BE19E76A71}" destId="{B76A9F26-F287-4E78-BA9D-9F1D82BFDC9E}" srcOrd="19" destOrd="0" presId="urn:microsoft.com/office/officeart/2005/8/layout/list1"/>
    <dgm:cxn modelId="{8C47F88B-A4CD-4302-9350-F4C9FF3DA2DF}" type="presParOf" srcId="{E0376DDC-B612-4892-8B47-F6BE19E76A71}" destId="{A371E0E9-E5EF-4137-8A53-048DAC0BAD6D}" srcOrd="20" destOrd="0" presId="urn:microsoft.com/office/officeart/2005/8/layout/list1"/>
    <dgm:cxn modelId="{41336A87-A510-4B5D-A99E-1A59204FE1A3}" type="presParOf" srcId="{A371E0E9-E5EF-4137-8A53-048DAC0BAD6D}" destId="{EBD32A82-9B92-4AC3-81DA-F5F0AFAD34CC}" srcOrd="0" destOrd="0" presId="urn:microsoft.com/office/officeart/2005/8/layout/list1"/>
    <dgm:cxn modelId="{9D0BFDFD-47DB-4E35-AB2C-160A1EFA1044}" type="presParOf" srcId="{A371E0E9-E5EF-4137-8A53-048DAC0BAD6D}" destId="{8503304B-D6E7-4547-81A8-EF361B9EFBCB}" srcOrd="1" destOrd="0" presId="urn:microsoft.com/office/officeart/2005/8/layout/list1"/>
    <dgm:cxn modelId="{E82A8D87-8F55-4CF6-9433-75A45BF0B3CD}" type="presParOf" srcId="{E0376DDC-B612-4892-8B47-F6BE19E76A71}" destId="{BF8EA1BB-16C6-49AF-947B-5CD084D80B62}" srcOrd="21" destOrd="0" presId="urn:microsoft.com/office/officeart/2005/8/layout/list1"/>
    <dgm:cxn modelId="{877F216A-9B17-4CA1-B9B8-E757D89B324C}" type="presParOf" srcId="{E0376DDC-B612-4892-8B47-F6BE19E76A71}" destId="{92E522EA-8CA1-4C26-A343-FA066607967A}" srcOrd="22"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Group 1"/>
      <dsp:cNvGrpSpPr/>
    </dsp:nvGrpSpPr>
    <dsp:grpSpPr>
      <a:xfrm>
        <a:off x="0" y="0"/>
        <a:ext cx="5486400" cy="3200400"/>
        <a:chOff x="0" y="0"/>
        <a:chExt cx="5486400" cy="3200400"/>
      </a:xfrm>
    </dsp:grpSpPr>
    <dsp:sp modelId="{0746C0E1-AB4D-4F2B-B7F5-2FD4B596264C}">
      <dsp:nvSpPr>
        <dsp:cNvPr id="5" name="Rectangle 4"/>
        <dsp:cNvSpPr/>
      </dsp:nvSpPr>
      <dsp:spPr bwMode="white">
        <a:xfrm>
          <a:off x="0" y="295380"/>
          <a:ext cx="5486400" cy="277200"/>
        </a:xfrm>
        <a:prstGeom prst="rect">
          <a:avLst/>
        </a:prstGeom>
      </dsp:spPr>
      <dsp:style>
        <a:lnRef idx="2">
          <a:schemeClr val="accent5">
            <a:hueOff val="0"/>
            <a:satOff val="0"/>
            <a:lumOff val="0"/>
            <a:alpha val="100000"/>
          </a:schemeClr>
        </a:lnRef>
        <a:fillRef idx="1">
          <a:schemeClr val="lt1">
            <a:alpha val="90000"/>
          </a:schemeClr>
        </a:fillRef>
        <a:effectRef idx="0">
          <a:scrgbClr r="0" g="0" b="0"/>
        </a:effectRef>
        <a:fontRef idx="minor"/>
      </dsp:style>
      <dsp:txBody>
        <a:bodyPr lIns="425805" tIns="229108" rIns="425805" bIns="78232" anchor="t"/>
        <a:lstStyle>
          <a:lvl1pPr algn="l">
            <a:defRPr sz="1100"/>
          </a:lvl1pPr>
          <a:lvl2pPr marL="57150" indent="-57150" algn="l">
            <a:defRPr sz="1100"/>
          </a:lvl2pPr>
          <a:lvl3pPr marL="114300" indent="-57150" algn="l">
            <a:defRPr sz="1100"/>
          </a:lvl3pPr>
          <a:lvl4pPr marL="171450" indent="-57150" algn="l">
            <a:defRPr sz="1100"/>
          </a:lvl4pPr>
          <a:lvl5pPr marL="228600" indent="-57150" algn="l">
            <a:defRPr sz="1100"/>
          </a:lvl5pPr>
          <a:lvl6pPr marL="285750" indent="-57150" algn="l">
            <a:defRPr sz="1100"/>
          </a:lvl6pPr>
          <a:lvl7pPr marL="342900" indent="-57150" algn="l">
            <a:defRPr sz="1100"/>
          </a:lvl7pPr>
          <a:lvl8pPr marL="400050" indent="-57150" algn="l">
            <a:defRPr sz="1100"/>
          </a:lvl8pPr>
          <a:lvl9pPr marL="457200" indent="-57150" algn="l">
            <a:defRPr sz="1100"/>
          </a:lvl9pPr>
        </a:lstStyle>
        <a:p>
          <a:endParaRPr>
            <a:solidFill>
              <a:schemeClr val="dk1"/>
            </a:solidFill>
          </a:endParaRPr>
        </a:p>
      </dsp:txBody>
      <dsp:txXfrm>
        <a:off x="0" y="295380"/>
        <a:ext cx="5486400" cy="277200"/>
      </dsp:txXfrm>
    </dsp:sp>
    <dsp:sp modelId="{C5E64EF7-F90F-46E3-A456-8BB9007702A5}">
      <dsp:nvSpPr>
        <dsp:cNvPr id="4" name="Rounded Rectangle 3"/>
        <dsp:cNvSpPr/>
      </dsp:nvSpPr>
      <dsp:spPr bwMode="white">
        <a:xfrm>
          <a:off x="274320" y="133020"/>
          <a:ext cx="3840480" cy="324720"/>
        </a:xfrm>
        <a:prstGeom prst="roundRect">
          <a:avLst/>
        </a:prstGeom>
      </dsp:spPr>
      <dsp:style>
        <a:lnRef idx="2">
          <a:schemeClr val="lt1"/>
        </a:lnRef>
        <a:fillRef idx="1">
          <a:schemeClr val="accent5">
            <a:hueOff val="0"/>
            <a:satOff val="0"/>
            <a:lumOff val="0"/>
            <a:alpha val="100000"/>
          </a:schemeClr>
        </a:fillRef>
        <a:effectRef idx="0">
          <a:scrgbClr r="0" g="0" b="0"/>
        </a:effectRef>
        <a:fontRef idx="minor">
          <a:schemeClr val="lt1"/>
        </a:fontRef>
      </dsp:style>
      <dsp:txBody>
        <a:bodyPr lIns="145161" tIns="0" rIns="145161" bIns="0" anchor="ctr"/>
        <a:lstStyle>
          <a:lvl1pPr algn="l">
            <a:defRPr sz="1100"/>
          </a:lvl1pPr>
          <a:lvl2pPr marL="57150" indent="-57150" algn="l">
            <a:defRPr sz="800"/>
          </a:lvl2pPr>
          <a:lvl3pPr marL="114300" indent="-57150" algn="l">
            <a:defRPr sz="800"/>
          </a:lvl3pPr>
          <a:lvl4pPr marL="171450" indent="-57150" algn="l">
            <a:defRPr sz="800"/>
          </a:lvl4pPr>
          <a:lvl5pPr marL="228600" indent="-57150" algn="l">
            <a:defRPr sz="800"/>
          </a:lvl5pPr>
          <a:lvl6pPr marL="285750" indent="-57150" algn="l">
            <a:defRPr sz="800"/>
          </a:lvl6pPr>
          <a:lvl7pPr marL="342900" indent="-57150" algn="l">
            <a:defRPr sz="800"/>
          </a:lvl7pPr>
          <a:lvl8pPr marL="400050" indent="-57150" algn="l">
            <a:defRPr sz="800"/>
          </a:lvl8pPr>
          <a:lvl9pPr marL="457200" indent="-57150" algn="l">
            <a:defRPr sz="800"/>
          </a:lvl9pPr>
        </a:lstStyle>
        <a:p>
          <a:pPr lvl="0">
            <a:lnSpc>
              <a:spcPct val="100000"/>
            </a:lnSpc>
            <a:spcBef>
              <a:spcPct val="0"/>
            </a:spcBef>
            <a:spcAft>
              <a:spcPct val="35000"/>
            </a:spcAft>
          </a:pPr>
          <a:r>
            <a:rPr lang="en-IN">
              <a:solidFill>
                <a:sysClr val="windowText" lastClr="000000"/>
              </a:solidFill>
              <a:latin typeface="Arial" panose="020B0604020202020204" pitchFamily="34" charset="0"/>
              <a:cs typeface="Arial" panose="020B0604020202020204" pitchFamily="34" charset="0"/>
            </a:rPr>
            <a:t>Chapter 1: Introduction </a:t>
          </a:r>
        </a:p>
      </dsp:txBody>
      <dsp:txXfrm>
        <a:off x="274320" y="133020"/>
        <a:ext cx="3840480" cy="324720"/>
      </dsp:txXfrm>
    </dsp:sp>
    <dsp:sp modelId="{8C7830CD-6155-4029-9745-D9CADA90CB69}">
      <dsp:nvSpPr>
        <dsp:cNvPr id="8" name="Rectangle 7"/>
        <dsp:cNvSpPr/>
      </dsp:nvSpPr>
      <dsp:spPr bwMode="white">
        <a:xfrm>
          <a:off x="0" y="794340"/>
          <a:ext cx="5486400" cy="277200"/>
        </a:xfrm>
        <a:prstGeom prst="rect">
          <a:avLst/>
        </a:prstGeom>
      </dsp:spPr>
      <dsp:style>
        <a:lnRef idx="2">
          <a:schemeClr val="accent5">
            <a:hueOff val="-1980000"/>
            <a:satOff val="8000"/>
            <a:lumOff val="1725"/>
            <a:alpha val="100000"/>
          </a:schemeClr>
        </a:lnRef>
        <a:fillRef idx="1">
          <a:schemeClr val="lt1">
            <a:alpha val="90000"/>
          </a:schemeClr>
        </a:fillRef>
        <a:effectRef idx="0">
          <a:scrgbClr r="0" g="0" b="0"/>
        </a:effectRef>
        <a:fontRef idx="minor"/>
      </dsp:style>
      <dsp:txBody>
        <a:bodyPr lIns="425805" tIns="229108" rIns="425805" bIns="78232" anchor="t"/>
        <a:lstStyle>
          <a:lvl1pPr algn="l">
            <a:defRPr sz="1100"/>
          </a:lvl1pPr>
          <a:lvl2pPr marL="57150" indent="-57150" algn="l">
            <a:defRPr sz="1100"/>
          </a:lvl2pPr>
          <a:lvl3pPr marL="114300" indent="-57150" algn="l">
            <a:defRPr sz="1100"/>
          </a:lvl3pPr>
          <a:lvl4pPr marL="171450" indent="-57150" algn="l">
            <a:defRPr sz="1100"/>
          </a:lvl4pPr>
          <a:lvl5pPr marL="228600" indent="-57150" algn="l">
            <a:defRPr sz="1100"/>
          </a:lvl5pPr>
          <a:lvl6pPr marL="285750" indent="-57150" algn="l">
            <a:defRPr sz="1100"/>
          </a:lvl6pPr>
          <a:lvl7pPr marL="342900" indent="-57150" algn="l">
            <a:defRPr sz="1100"/>
          </a:lvl7pPr>
          <a:lvl8pPr marL="400050" indent="-57150" algn="l">
            <a:defRPr sz="1100"/>
          </a:lvl8pPr>
          <a:lvl9pPr marL="457200" indent="-57150" algn="l">
            <a:defRPr sz="1100"/>
          </a:lvl9pPr>
        </a:lstStyle>
        <a:p>
          <a:endParaRPr>
            <a:solidFill>
              <a:schemeClr val="dk1"/>
            </a:solidFill>
          </a:endParaRPr>
        </a:p>
      </dsp:txBody>
      <dsp:txXfrm>
        <a:off x="0" y="794340"/>
        <a:ext cx="5486400" cy="277200"/>
      </dsp:txXfrm>
    </dsp:sp>
    <dsp:sp modelId="{090BFC9A-B32B-4352-9E45-9D698B56081E}">
      <dsp:nvSpPr>
        <dsp:cNvPr id="7" name="Rounded Rectangle 6"/>
        <dsp:cNvSpPr/>
      </dsp:nvSpPr>
      <dsp:spPr bwMode="white">
        <a:xfrm>
          <a:off x="274320" y="631980"/>
          <a:ext cx="3840480" cy="324720"/>
        </a:xfrm>
        <a:prstGeom prst="roundRect">
          <a:avLst/>
        </a:prstGeom>
      </dsp:spPr>
      <dsp:style>
        <a:lnRef idx="2">
          <a:schemeClr val="lt1"/>
        </a:lnRef>
        <a:fillRef idx="1">
          <a:schemeClr val="accent5">
            <a:hueOff val="-1980000"/>
            <a:satOff val="8000"/>
            <a:lumOff val="1725"/>
            <a:alpha val="100000"/>
          </a:schemeClr>
        </a:fillRef>
        <a:effectRef idx="0">
          <a:scrgbClr r="0" g="0" b="0"/>
        </a:effectRef>
        <a:fontRef idx="minor">
          <a:schemeClr val="lt1"/>
        </a:fontRef>
      </dsp:style>
      <dsp:txBody>
        <a:bodyPr lIns="145161" tIns="0" rIns="145161" bIns="0" anchor="ctr"/>
        <a:lstStyle>
          <a:lvl1pPr algn="l">
            <a:defRPr sz="1100"/>
          </a:lvl1pPr>
          <a:lvl2pPr marL="57150" indent="-57150" algn="l">
            <a:defRPr sz="800"/>
          </a:lvl2pPr>
          <a:lvl3pPr marL="114300" indent="-57150" algn="l">
            <a:defRPr sz="800"/>
          </a:lvl3pPr>
          <a:lvl4pPr marL="171450" indent="-57150" algn="l">
            <a:defRPr sz="800"/>
          </a:lvl4pPr>
          <a:lvl5pPr marL="228600" indent="-57150" algn="l">
            <a:defRPr sz="800"/>
          </a:lvl5pPr>
          <a:lvl6pPr marL="285750" indent="-57150" algn="l">
            <a:defRPr sz="800"/>
          </a:lvl6pPr>
          <a:lvl7pPr marL="342900" indent="-57150" algn="l">
            <a:defRPr sz="800"/>
          </a:lvl7pPr>
          <a:lvl8pPr marL="400050" indent="-57150" algn="l">
            <a:defRPr sz="800"/>
          </a:lvl8pPr>
          <a:lvl9pPr marL="457200" indent="-57150" algn="l">
            <a:defRPr sz="800"/>
          </a:lvl9pPr>
        </a:lstStyle>
        <a:p>
          <a:pPr lvl="0">
            <a:lnSpc>
              <a:spcPct val="100000"/>
            </a:lnSpc>
            <a:spcBef>
              <a:spcPct val="0"/>
            </a:spcBef>
            <a:spcAft>
              <a:spcPct val="35000"/>
            </a:spcAft>
          </a:pPr>
          <a:r>
            <a:rPr lang="en-IN">
              <a:solidFill>
                <a:sysClr val="windowText" lastClr="000000"/>
              </a:solidFill>
              <a:latin typeface="Arial" panose="020B0604020202020204" pitchFamily="34" charset="0"/>
              <a:cs typeface="Arial" panose="020B0604020202020204" pitchFamily="34" charset="0"/>
            </a:rPr>
            <a:t>Chapter 2: Literature review </a:t>
          </a:r>
        </a:p>
      </dsp:txBody>
      <dsp:txXfrm>
        <a:off x="274320" y="631980"/>
        <a:ext cx="3840480" cy="324720"/>
      </dsp:txXfrm>
    </dsp:sp>
    <dsp:sp modelId="{3EC7CC23-3194-489C-8593-5D10B69547F8}">
      <dsp:nvSpPr>
        <dsp:cNvPr id="11" name="Rectangle 10"/>
        <dsp:cNvSpPr/>
      </dsp:nvSpPr>
      <dsp:spPr bwMode="white">
        <a:xfrm>
          <a:off x="0" y="1293300"/>
          <a:ext cx="5486400" cy="277200"/>
        </a:xfrm>
        <a:prstGeom prst="rect">
          <a:avLst/>
        </a:prstGeom>
      </dsp:spPr>
      <dsp:style>
        <a:lnRef idx="2">
          <a:schemeClr val="accent5">
            <a:hueOff val="-3960000"/>
            <a:satOff val="16000"/>
            <a:lumOff val="3451"/>
            <a:alpha val="100000"/>
          </a:schemeClr>
        </a:lnRef>
        <a:fillRef idx="1">
          <a:schemeClr val="lt1">
            <a:alpha val="90000"/>
          </a:schemeClr>
        </a:fillRef>
        <a:effectRef idx="0">
          <a:scrgbClr r="0" g="0" b="0"/>
        </a:effectRef>
        <a:fontRef idx="minor"/>
      </dsp:style>
      <dsp:txBody>
        <a:bodyPr lIns="425805" tIns="229108" rIns="425805" bIns="78232" anchor="t"/>
        <a:lstStyle>
          <a:lvl1pPr algn="l">
            <a:defRPr sz="1100"/>
          </a:lvl1pPr>
          <a:lvl2pPr marL="57150" indent="-57150" algn="l">
            <a:defRPr sz="1100"/>
          </a:lvl2pPr>
          <a:lvl3pPr marL="114300" indent="-57150" algn="l">
            <a:defRPr sz="1100"/>
          </a:lvl3pPr>
          <a:lvl4pPr marL="171450" indent="-57150" algn="l">
            <a:defRPr sz="1100"/>
          </a:lvl4pPr>
          <a:lvl5pPr marL="228600" indent="-57150" algn="l">
            <a:defRPr sz="1100"/>
          </a:lvl5pPr>
          <a:lvl6pPr marL="285750" indent="-57150" algn="l">
            <a:defRPr sz="1100"/>
          </a:lvl6pPr>
          <a:lvl7pPr marL="342900" indent="-57150" algn="l">
            <a:defRPr sz="1100"/>
          </a:lvl7pPr>
          <a:lvl8pPr marL="400050" indent="-57150" algn="l">
            <a:defRPr sz="1100"/>
          </a:lvl8pPr>
          <a:lvl9pPr marL="457200" indent="-57150" algn="l">
            <a:defRPr sz="1100"/>
          </a:lvl9pPr>
        </a:lstStyle>
        <a:p>
          <a:endParaRPr>
            <a:solidFill>
              <a:schemeClr val="dk1"/>
            </a:solidFill>
          </a:endParaRPr>
        </a:p>
      </dsp:txBody>
      <dsp:txXfrm>
        <a:off x="0" y="1293300"/>
        <a:ext cx="5486400" cy="277200"/>
      </dsp:txXfrm>
    </dsp:sp>
    <dsp:sp modelId="{B92DB318-1092-4CB1-B27D-19332CB35176}">
      <dsp:nvSpPr>
        <dsp:cNvPr id="10" name="Rounded Rectangle 9"/>
        <dsp:cNvSpPr/>
      </dsp:nvSpPr>
      <dsp:spPr bwMode="white">
        <a:xfrm>
          <a:off x="274320" y="1130940"/>
          <a:ext cx="3840480" cy="324720"/>
        </a:xfrm>
        <a:prstGeom prst="roundRect">
          <a:avLst/>
        </a:prstGeom>
      </dsp:spPr>
      <dsp:style>
        <a:lnRef idx="2">
          <a:schemeClr val="lt1"/>
        </a:lnRef>
        <a:fillRef idx="1">
          <a:schemeClr val="accent5">
            <a:hueOff val="-3960000"/>
            <a:satOff val="16000"/>
            <a:lumOff val="3451"/>
            <a:alpha val="100000"/>
          </a:schemeClr>
        </a:fillRef>
        <a:effectRef idx="0">
          <a:scrgbClr r="0" g="0" b="0"/>
        </a:effectRef>
        <a:fontRef idx="minor">
          <a:schemeClr val="lt1"/>
        </a:fontRef>
      </dsp:style>
      <dsp:txBody>
        <a:bodyPr lIns="145161" tIns="0" rIns="145161" bIns="0" anchor="ctr"/>
        <a:lstStyle>
          <a:lvl1pPr algn="l">
            <a:defRPr sz="1100"/>
          </a:lvl1pPr>
          <a:lvl2pPr marL="57150" indent="-57150" algn="l">
            <a:defRPr sz="800"/>
          </a:lvl2pPr>
          <a:lvl3pPr marL="114300" indent="-57150" algn="l">
            <a:defRPr sz="800"/>
          </a:lvl3pPr>
          <a:lvl4pPr marL="171450" indent="-57150" algn="l">
            <a:defRPr sz="800"/>
          </a:lvl4pPr>
          <a:lvl5pPr marL="228600" indent="-57150" algn="l">
            <a:defRPr sz="800"/>
          </a:lvl5pPr>
          <a:lvl6pPr marL="285750" indent="-57150" algn="l">
            <a:defRPr sz="800"/>
          </a:lvl6pPr>
          <a:lvl7pPr marL="342900" indent="-57150" algn="l">
            <a:defRPr sz="800"/>
          </a:lvl7pPr>
          <a:lvl8pPr marL="400050" indent="-57150" algn="l">
            <a:defRPr sz="800"/>
          </a:lvl8pPr>
          <a:lvl9pPr marL="457200" indent="-57150" algn="l">
            <a:defRPr sz="800"/>
          </a:lvl9pPr>
        </a:lstStyle>
        <a:p>
          <a:pPr lvl="0">
            <a:lnSpc>
              <a:spcPct val="100000"/>
            </a:lnSpc>
            <a:spcBef>
              <a:spcPct val="0"/>
            </a:spcBef>
            <a:spcAft>
              <a:spcPct val="35000"/>
            </a:spcAft>
          </a:pPr>
          <a:r>
            <a:rPr lang="en-IN">
              <a:solidFill>
                <a:sysClr val="windowText" lastClr="000000"/>
              </a:solidFill>
              <a:latin typeface="Arial" panose="020B0604020202020204" pitchFamily="34" charset="0"/>
              <a:cs typeface="Arial" panose="020B0604020202020204" pitchFamily="34" charset="0"/>
            </a:rPr>
            <a:t>Chapter 3: Methodology </a:t>
          </a:r>
        </a:p>
      </dsp:txBody>
      <dsp:txXfrm>
        <a:off x="274320" y="1130940"/>
        <a:ext cx="3840480" cy="324720"/>
      </dsp:txXfrm>
    </dsp:sp>
    <dsp:sp modelId="{56B926B3-213F-41A0-9878-1DB06FFEF7D2}">
      <dsp:nvSpPr>
        <dsp:cNvPr id="14" name="Rectangle 13"/>
        <dsp:cNvSpPr/>
      </dsp:nvSpPr>
      <dsp:spPr bwMode="white">
        <a:xfrm>
          <a:off x="0" y="1792260"/>
          <a:ext cx="5486400" cy="277200"/>
        </a:xfrm>
        <a:prstGeom prst="rect">
          <a:avLst/>
        </a:prstGeom>
      </dsp:spPr>
      <dsp:style>
        <a:lnRef idx="2">
          <a:schemeClr val="accent5">
            <a:hueOff val="-5940000"/>
            <a:satOff val="24000"/>
            <a:lumOff val="5176"/>
            <a:alpha val="100000"/>
          </a:schemeClr>
        </a:lnRef>
        <a:fillRef idx="1">
          <a:schemeClr val="lt1">
            <a:alpha val="90000"/>
          </a:schemeClr>
        </a:fillRef>
        <a:effectRef idx="0">
          <a:scrgbClr r="0" g="0" b="0"/>
        </a:effectRef>
        <a:fontRef idx="minor"/>
      </dsp:style>
      <dsp:txBody>
        <a:bodyPr lIns="425805" tIns="229108" rIns="425805" bIns="78232" anchor="t"/>
        <a:lstStyle>
          <a:lvl1pPr algn="l">
            <a:defRPr sz="1100"/>
          </a:lvl1pPr>
          <a:lvl2pPr marL="57150" indent="-57150" algn="l">
            <a:defRPr sz="1100"/>
          </a:lvl2pPr>
          <a:lvl3pPr marL="114300" indent="-57150" algn="l">
            <a:defRPr sz="1100"/>
          </a:lvl3pPr>
          <a:lvl4pPr marL="171450" indent="-57150" algn="l">
            <a:defRPr sz="1100"/>
          </a:lvl4pPr>
          <a:lvl5pPr marL="228600" indent="-57150" algn="l">
            <a:defRPr sz="1100"/>
          </a:lvl5pPr>
          <a:lvl6pPr marL="285750" indent="-57150" algn="l">
            <a:defRPr sz="1100"/>
          </a:lvl6pPr>
          <a:lvl7pPr marL="342900" indent="-57150" algn="l">
            <a:defRPr sz="1100"/>
          </a:lvl7pPr>
          <a:lvl8pPr marL="400050" indent="-57150" algn="l">
            <a:defRPr sz="1100"/>
          </a:lvl8pPr>
          <a:lvl9pPr marL="457200" indent="-57150" algn="l">
            <a:defRPr sz="1100"/>
          </a:lvl9pPr>
        </a:lstStyle>
        <a:p>
          <a:endParaRPr>
            <a:solidFill>
              <a:schemeClr val="dk1"/>
            </a:solidFill>
          </a:endParaRPr>
        </a:p>
      </dsp:txBody>
      <dsp:txXfrm>
        <a:off x="0" y="1792260"/>
        <a:ext cx="5486400" cy="277200"/>
      </dsp:txXfrm>
    </dsp:sp>
    <dsp:sp modelId="{7E06AF06-FE10-4ABD-99DE-B9688B242608}">
      <dsp:nvSpPr>
        <dsp:cNvPr id="13" name="Rounded Rectangle 12"/>
        <dsp:cNvSpPr/>
      </dsp:nvSpPr>
      <dsp:spPr bwMode="white">
        <a:xfrm>
          <a:off x="274320" y="1629900"/>
          <a:ext cx="3840480" cy="324720"/>
        </a:xfrm>
        <a:prstGeom prst="roundRect">
          <a:avLst/>
        </a:prstGeom>
      </dsp:spPr>
      <dsp:style>
        <a:lnRef idx="2">
          <a:schemeClr val="lt1"/>
        </a:lnRef>
        <a:fillRef idx="1">
          <a:schemeClr val="accent5">
            <a:hueOff val="-5940000"/>
            <a:satOff val="24000"/>
            <a:lumOff val="5176"/>
            <a:alpha val="100000"/>
          </a:schemeClr>
        </a:fillRef>
        <a:effectRef idx="0">
          <a:scrgbClr r="0" g="0" b="0"/>
        </a:effectRef>
        <a:fontRef idx="minor">
          <a:schemeClr val="lt1"/>
        </a:fontRef>
      </dsp:style>
      <dsp:txBody>
        <a:bodyPr lIns="145161" tIns="0" rIns="145161" bIns="0" anchor="ctr"/>
        <a:lstStyle>
          <a:lvl1pPr algn="l">
            <a:defRPr sz="1100"/>
          </a:lvl1pPr>
          <a:lvl2pPr marL="57150" indent="-57150" algn="l">
            <a:defRPr sz="800"/>
          </a:lvl2pPr>
          <a:lvl3pPr marL="114300" indent="-57150" algn="l">
            <a:defRPr sz="800"/>
          </a:lvl3pPr>
          <a:lvl4pPr marL="171450" indent="-57150" algn="l">
            <a:defRPr sz="800"/>
          </a:lvl4pPr>
          <a:lvl5pPr marL="228600" indent="-57150" algn="l">
            <a:defRPr sz="800"/>
          </a:lvl5pPr>
          <a:lvl6pPr marL="285750" indent="-57150" algn="l">
            <a:defRPr sz="800"/>
          </a:lvl6pPr>
          <a:lvl7pPr marL="342900" indent="-57150" algn="l">
            <a:defRPr sz="800"/>
          </a:lvl7pPr>
          <a:lvl8pPr marL="400050" indent="-57150" algn="l">
            <a:defRPr sz="800"/>
          </a:lvl8pPr>
          <a:lvl9pPr marL="457200" indent="-57150" algn="l">
            <a:defRPr sz="800"/>
          </a:lvl9pPr>
        </a:lstStyle>
        <a:p>
          <a:pPr lvl="0">
            <a:lnSpc>
              <a:spcPct val="100000"/>
            </a:lnSpc>
            <a:spcBef>
              <a:spcPct val="0"/>
            </a:spcBef>
            <a:spcAft>
              <a:spcPct val="35000"/>
            </a:spcAft>
          </a:pPr>
          <a:r>
            <a:rPr lang="en-IN">
              <a:solidFill>
                <a:sysClr val="windowText" lastClr="000000"/>
              </a:solidFill>
              <a:latin typeface="Arial" panose="020B0604020202020204" pitchFamily="34" charset="0"/>
              <a:cs typeface="Arial" panose="020B0604020202020204" pitchFamily="34" charset="0"/>
            </a:rPr>
            <a:t>Chapter 4: Findings and Analysis </a:t>
          </a:r>
        </a:p>
      </dsp:txBody>
      <dsp:txXfrm>
        <a:off x="274320" y="1629900"/>
        <a:ext cx="3840480" cy="324720"/>
      </dsp:txXfrm>
    </dsp:sp>
    <dsp:sp modelId="{D9EE7E15-A656-43DE-9BD0-B0769248EED9}">
      <dsp:nvSpPr>
        <dsp:cNvPr id="17" name="Rectangle 16"/>
        <dsp:cNvSpPr/>
      </dsp:nvSpPr>
      <dsp:spPr bwMode="white">
        <a:xfrm>
          <a:off x="0" y="2291220"/>
          <a:ext cx="5486400" cy="277200"/>
        </a:xfrm>
        <a:prstGeom prst="rect">
          <a:avLst/>
        </a:prstGeom>
      </dsp:spPr>
      <dsp:style>
        <a:lnRef idx="2">
          <a:schemeClr val="accent5">
            <a:hueOff val="-7920000"/>
            <a:satOff val="32000"/>
            <a:lumOff val="6902"/>
            <a:alpha val="100000"/>
          </a:schemeClr>
        </a:lnRef>
        <a:fillRef idx="1">
          <a:schemeClr val="lt1">
            <a:alpha val="90000"/>
          </a:schemeClr>
        </a:fillRef>
        <a:effectRef idx="0">
          <a:scrgbClr r="0" g="0" b="0"/>
        </a:effectRef>
        <a:fontRef idx="minor"/>
      </dsp:style>
      <dsp:txBody>
        <a:bodyPr lIns="425805" tIns="229108" rIns="425805" bIns="78232" anchor="t"/>
        <a:lstStyle>
          <a:lvl1pPr algn="l">
            <a:defRPr sz="1100"/>
          </a:lvl1pPr>
          <a:lvl2pPr marL="57150" indent="-57150" algn="l">
            <a:defRPr sz="1100"/>
          </a:lvl2pPr>
          <a:lvl3pPr marL="114300" indent="-57150" algn="l">
            <a:defRPr sz="1100"/>
          </a:lvl3pPr>
          <a:lvl4pPr marL="171450" indent="-57150" algn="l">
            <a:defRPr sz="1100"/>
          </a:lvl4pPr>
          <a:lvl5pPr marL="228600" indent="-57150" algn="l">
            <a:defRPr sz="1100"/>
          </a:lvl5pPr>
          <a:lvl6pPr marL="285750" indent="-57150" algn="l">
            <a:defRPr sz="1100"/>
          </a:lvl6pPr>
          <a:lvl7pPr marL="342900" indent="-57150" algn="l">
            <a:defRPr sz="1100"/>
          </a:lvl7pPr>
          <a:lvl8pPr marL="400050" indent="-57150" algn="l">
            <a:defRPr sz="1100"/>
          </a:lvl8pPr>
          <a:lvl9pPr marL="457200" indent="-57150" algn="l">
            <a:defRPr sz="1100"/>
          </a:lvl9pPr>
        </a:lstStyle>
        <a:p>
          <a:endParaRPr>
            <a:solidFill>
              <a:schemeClr val="dk1"/>
            </a:solidFill>
          </a:endParaRPr>
        </a:p>
      </dsp:txBody>
      <dsp:txXfrm>
        <a:off x="0" y="2291220"/>
        <a:ext cx="5486400" cy="277200"/>
      </dsp:txXfrm>
    </dsp:sp>
    <dsp:sp modelId="{428D343A-45B4-4BE5-8C15-00F637AC5B8B}">
      <dsp:nvSpPr>
        <dsp:cNvPr id="16" name="Rounded Rectangle 15"/>
        <dsp:cNvSpPr/>
      </dsp:nvSpPr>
      <dsp:spPr bwMode="white">
        <a:xfrm>
          <a:off x="274320" y="2128860"/>
          <a:ext cx="3840480" cy="324720"/>
        </a:xfrm>
        <a:prstGeom prst="roundRect">
          <a:avLst/>
        </a:prstGeom>
      </dsp:spPr>
      <dsp:style>
        <a:lnRef idx="2">
          <a:schemeClr val="lt1"/>
        </a:lnRef>
        <a:fillRef idx="1">
          <a:schemeClr val="accent5">
            <a:hueOff val="-7920000"/>
            <a:satOff val="32000"/>
            <a:lumOff val="6902"/>
            <a:alpha val="100000"/>
          </a:schemeClr>
        </a:fillRef>
        <a:effectRef idx="0">
          <a:scrgbClr r="0" g="0" b="0"/>
        </a:effectRef>
        <a:fontRef idx="minor">
          <a:schemeClr val="lt1"/>
        </a:fontRef>
      </dsp:style>
      <dsp:txBody>
        <a:bodyPr lIns="145161" tIns="0" rIns="145161" bIns="0" anchor="ctr"/>
        <a:lstStyle>
          <a:lvl1pPr algn="l">
            <a:defRPr sz="1100"/>
          </a:lvl1pPr>
          <a:lvl2pPr marL="57150" indent="-57150" algn="l">
            <a:defRPr sz="800"/>
          </a:lvl2pPr>
          <a:lvl3pPr marL="114300" indent="-57150" algn="l">
            <a:defRPr sz="800"/>
          </a:lvl3pPr>
          <a:lvl4pPr marL="171450" indent="-57150" algn="l">
            <a:defRPr sz="800"/>
          </a:lvl4pPr>
          <a:lvl5pPr marL="228600" indent="-57150" algn="l">
            <a:defRPr sz="800"/>
          </a:lvl5pPr>
          <a:lvl6pPr marL="285750" indent="-57150" algn="l">
            <a:defRPr sz="800"/>
          </a:lvl6pPr>
          <a:lvl7pPr marL="342900" indent="-57150" algn="l">
            <a:defRPr sz="800"/>
          </a:lvl7pPr>
          <a:lvl8pPr marL="400050" indent="-57150" algn="l">
            <a:defRPr sz="800"/>
          </a:lvl8pPr>
          <a:lvl9pPr marL="457200" indent="-57150" algn="l">
            <a:defRPr sz="800"/>
          </a:lvl9pPr>
        </a:lstStyle>
        <a:p>
          <a:pPr lvl="0">
            <a:lnSpc>
              <a:spcPct val="100000"/>
            </a:lnSpc>
            <a:spcBef>
              <a:spcPct val="0"/>
            </a:spcBef>
            <a:spcAft>
              <a:spcPct val="35000"/>
            </a:spcAft>
          </a:pPr>
          <a:r>
            <a:rPr lang="en-IN">
              <a:solidFill>
                <a:sysClr val="windowText" lastClr="000000"/>
              </a:solidFill>
              <a:latin typeface="Arial" panose="020B0604020202020204" pitchFamily="34" charset="0"/>
              <a:cs typeface="Arial" panose="020B0604020202020204" pitchFamily="34" charset="0"/>
            </a:rPr>
            <a:t>Chapter 5: Discussion </a:t>
          </a:r>
        </a:p>
      </dsp:txBody>
      <dsp:txXfrm>
        <a:off x="274320" y="2128860"/>
        <a:ext cx="3840480" cy="324720"/>
      </dsp:txXfrm>
    </dsp:sp>
    <dsp:sp modelId="{92E522EA-8CA1-4C26-A343-FA066607967A}">
      <dsp:nvSpPr>
        <dsp:cNvPr id="20" name="Rectangle 19"/>
        <dsp:cNvSpPr/>
      </dsp:nvSpPr>
      <dsp:spPr bwMode="white">
        <a:xfrm>
          <a:off x="0" y="2790180"/>
          <a:ext cx="5486400" cy="277200"/>
        </a:xfrm>
        <a:prstGeom prst="rect">
          <a:avLst/>
        </a:prstGeom>
      </dsp:spPr>
      <dsp:style>
        <a:lnRef idx="2">
          <a:schemeClr val="accent5">
            <a:hueOff val="-9900000"/>
            <a:satOff val="40000"/>
            <a:lumOff val="8627"/>
            <a:alpha val="100000"/>
          </a:schemeClr>
        </a:lnRef>
        <a:fillRef idx="1">
          <a:schemeClr val="lt1">
            <a:alpha val="90000"/>
          </a:schemeClr>
        </a:fillRef>
        <a:effectRef idx="0">
          <a:scrgbClr r="0" g="0" b="0"/>
        </a:effectRef>
        <a:fontRef idx="minor"/>
      </dsp:style>
      <dsp:txBody>
        <a:bodyPr lIns="425805" tIns="229108" rIns="425805" bIns="78232" anchor="t"/>
        <a:lstStyle>
          <a:lvl1pPr algn="l">
            <a:defRPr sz="1100"/>
          </a:lvl1pPr>
          <a:lvl2pPr marL="57150" indent="-57150" algn="l">
            <a:defRPr sz="1100"/>
          </a:lvl2pPr>
          <a:lvl3pPr marL="114300" indent="-57150" algn="l">
            <a:defRPr sz="1100"/>
          </a:lvl3pPr>
          <a:lvl4pPr marL="171450" indent="-57150" algn="l">
            <a:defRPr sz="1100"/>
          </a:lvl4pPr>
          <a:lvl5pPr marL="228600" indent="-57150" algn="l">
            <a:defRPr sz="1100"/>
          </a:lvl5pPr>
          <a:lvl6pPr marL="285750" indent="-57150" algn="l">
            <a:defRPr sz="1100"/>
          </a:lvl6pPr>
          <a:lvl7pPr marL="342900" indent="-57150" algn="l">
            <a:defRPr sz="1100"/>
          </a:lvl7pPr>
          <a:lvl8pPr marL="400050" indent="-57150" algn="l">
            <a:defRPr sz="1100"/>
          </a:lvl8pPr>
          <a:lvl9pPr marL="457200" indent="-57150" algn="l">
            <a:defRPr sz="1100"/>
          </a:lvl9pPr>
        </a:lstStyle>
        <a:p>
          <a:endParaRPr>
            <a:solidFill>
              <a:schemeClr val="dk1"/>
            </a:solidFill>
          </a:endParaRPr>
        </a:p>
      </dsp:txBody>
      <dsp:txXfrm>
        <a:off x="0" y="2790180"/>
        <a:ext cx="5486400" cy="277200"/>
      </dsp:txXfrm>
    </dsp:sp>
    <dsp:sp modelId="{8503304B-D6E7-4547-81A8-EF361B9EFBCB}">
      <dsp:nvSpPr>
        <dsp:cNvPr id="19" name="Rounded Rectangle 18"/>
        <dsp:cNvSpPr/>
      </dsp:nvSpPr>
      <dsp:spPr bwMode="white">
        <a:xfrm>
          <a:off x="274320" y="2627820"/>
          <a:ext cx="3840480" cy="324720"/>
        </a:xfrm>
        <a:prstGeom prst="roundRect">
          <a:avLst/>
        </a:prstGeom>
      </dsp:spPr>
      <dsp:style>
        <a:lnRef idx="2">
          <a:schemeClr val="lt1"/>
        </a:lnRef>
        <a:fillRef idx="1">
          <a:schemeClr val="accent5">
            <a:hueOff val="-9900000"/>
            <a:satOff val="40000"/>
            <a:lumOff val="8627"/>
            <a:alpha val="100000"/>
          </a:schemeClr>
        </a:fillRef>
        <a:effectRef idx="0">
          <a:scrgbClr r="0" g="0" b="0"/>
        </a:effectRef>
        <a:fontRef idx="minor">
          <a:schemeClr val="lt1"/>
        </a:fontRef>
      </dsp:style>
      <dsp:txBody>
        <a:bodyPr lIns="145161" tIns="0" rIns="145161" bIns="0" anchor="ctr"/>
        <a:lstStyle>
          <a:lvl1pPr algn="l">
            <a:defRPr sz="1100"/>
          </a:lvl1pPr>
          <a:lvl2pPr marL="57150" indent="-57150" algn="l">
            <a:defRPr sz="800"/>
          </a:lvl2pPr>
          <a:lvl3pPr marL="114300" indent="-57150" algn="l">
            <a:defRPr sz="800"/>
          </a:lvl3pPr>
          <a:lvl4pPr marL="171450" indent="-57150" algn="l">
            <a:defRPr sz="800"/>
          </a:lvl4pPr>
          <a:lvl5pPr marL="228600" indent="-57150" algn="l">
            <a:defRPr sz="800"/>
          </a:lvl5pPr>
          <a:lvl6pPr marL="285750" indent="-57150" algn="l">
            <a:defRPr sz="800"/>
          </a:lvl6pPr>
          <a:lvl7pPr marL="342900" indent="-57150" algn="l">
            <a:defRPr sz="800"/>
          </a:lvl7pPr>
          <a:lvl8pPr marL="400050" indent="-57150" algn="l">
            <a:defRPr sz="800"/>
          </a:lvl8pPr>
          <a:lvl9pPr marL="457200" indent="-57150" algn="l">
            <a:defRPr sz="800"/>
          </a:lvl9pPr>
        </a:lstStyle>
        <a:p>
          <a:pPr lvl="0">
            <a:lnSpc>
              <a:spcPct val="100000"/>
            </a:lnSpc>
            <a:spcBef>
              <a:spcPct val="0"/>
            </a:spcBef>
            <a:spcAft>
              <a:spcPct val="35000"/>
            </a:spcAft>
          </a:pPr>
          <a:r>
            <a:rPr lang="en-IN">
              <a:solidFill>
                <a:sysClr val="windowText" lastClr="000000"/>
              </a:solidFill>
              <a:latin typeface="Arial" panose="020B0604020202020204" pitchFamily="34" charset="0"/>
              <a:cs typeface="Arial" panose="020B0604020202020204" pitchFamily="34" charset="0"/>
            </a:rPr>
            <a:t>Chapter 6: Conclusion </a:t>
          </a:r>
        </a:p>
      </dsp:txBody>
      <dsp:txXfrm>
        <a:off x="274320" y="2627820"/>
        <a:ext cx="3840480" cy="324720"/>
      </dsp:txXfrm>
    </dsp:sp>
    <dsp:sp modelId="{BA797EAA-9D52-4FE5-BBBF-98C27F38768B}">
      <dsp:nvSpPr>
        <dsp:cNvPr id="3" name="Rectangle 2" hidden="1"/>
        <dsp:cNvSpPr/>
      </dsp:nvSpPr>
      <dsp:spPr>
        <a:xfrm>
          <a:off x="0" y="133020"/>
          <a:ext cx="274320" cy="324720"/>
        </a:xfrm>
        <a:prstGeom prst="rect">
          <a:avLst/>
        </a:prstGeom>
      </dsp:spPr>
      <dsp:txXfrm>
        <a:off x="0" y="133020"/>
        <a:ext cx="274320" cy="324720"/>
      </dsp:txXfrm>
    </dsp:sp>
    <dsp:sp modelId="{A451B6F0-5C13-437A-9B23-800532AE17AD}">
      <dsp:nvSpPr>
        <dsp:cNvPr id="6" name="Rectangle 5" hidden="1"/>
        <dsp:cNvSpPr/>
      </dsp:nvSpPr>
      <dsp:spPr>
        <a:xfrm>
          <a:off x="0" y="631980"/>
          <a:ext cx="274320" cy="324720"/>
        </a:xfrm>
        <a:prstGeom prst="rect">
          <a:avLst/>
        </a:prstGeom>
      </dsp:spPr>
      <dsp:txXfrm>
        <a:off x="0" y="631980"/>
        <a:ext cx="274320" cy="324720"/>
      </dsp:txXfrm>
    </dsp:sp>
    <dsp:sp modelId="{AB4E4434-72A5-4C02-A7A9-C286A255F26B}">
      <dsp:nvSpPr>
        <dsp:cNvPr id="9" name="Rectangle 8" hidden="1"/>
        <dsp:cNvSpPr/>
      </dsp:nvSpPr>
      <dsp:spPr>
        <a:xfrm>
          <a:off x="0" y="1130940"/>
          <a:ext cx="274320" cy="324720"/>
        </a:xfrm>
        <a:prstGeom prst="rect">
          <a:avLst/>
        </a:prstGeom>
      </dsp:spPr>
      <dsp:txXfrm>
        <a:off x="0" y="1130940"/>
        <a:ext cx="274320" cy="324720"/>
      </dsp:txXfrm>
    </dsp:sp>
    <dsp:sp modelId="{DB41DA81-E9AB-4235-B6D8-4C201FDCACA6}">
      <dsp:nvSpPr>
        <dsp:cNvPr id="12" name="Rectangle 11" hidden="1"/>
        <dsp:cNvSpPr/>
      </dsp:nvSpPr>
      <dsp:spPr>
        <a:xfrm>
          <a:off x="0" y="1629900"/>
          <a:ext cx="274320" cy="324720"/>
        </a:xfrm>
        <a:prstGeom prst="rect">
          <a:avLst/>
        </a:prstGeom>
      </dsp:spPr>
      <dsp:txXfrm>
        <a:off x="0" y="1629900"/>
        <a:ext cx="274320" cy="324720"/>
      </dsp:txXfrm>
    </dsp:sp>
    <dsp:sp modelId="{B48B8A44-F9DA-4EF4-A612-8D8BBE0F54BF}">
      <dsp:nvSpPr>
        <dsp:cNvPr id="15" name="Rectangle 14" hidden="1"/>
        <dsp:cNvSpPr/>
      </dsp:nvSpPr>
      <dsp:spPr>
        <a:xfrm>
          <a:off x="0" y="2128860"/>
          <a:ext cx="274320" cy="324720"/>
        </a:xfrm>
        <a:prstGeom prst="rect">
          <a:avLst/>
        </a:prstGeom>
      </dsp:spPr>
      <dsp:txXfrm>
        <a:off x="0" y="2128860"/>
        <a:ext cx="274320" cy="324720"/>
      </dsp:txXfrm>
    </dsp:sp>
    <dsp:sp modelId="{EBD32A82-9B92-4AC3-81DA-F5F0AFAD34CC}">
      <dsp:nvSpPr>
        <dsp:cNvPr id="18" name="Rectangle 17" hidden="1"/>
        <dsp:cNvSpPr/>
      </dsp:nvSpPr>
      <dsp:spPr>
        <a:xfrm>
          <a:off x="0" y="2627820"/>
          <a:ext cx="274320" cy="324720"/>
        </a:xfrm>
        <a:prstGeom prst="rect">
          <a:avLst/>
        </a:prstGeom>
      </dsp:spPr>
      <dsp:txXfrm>
        <a:off x="0" y="2627820"/>
        <a:ext cx="274320" cy="32472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nodeHorzAlign" val="l"/>
          <dgm:param type="horzAlign" val="l"/>
        </dgm:alg>
      </dgm:if>
      <dgm:else name="Name2">
        <dgm:alg type="lin">
          <dgm:param type="linDir" val="fromT"/>
          <dgm:param type="vertAlign" val="mid"/>
          <dgm:param type="nodeHorzAlign" val="r"/>
          <dgm:param typ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nodeHorzAlign" val="l"/>
              <dgm:param type="horzAlign" val="l"/>
            </dgm:alg>
          </dgm:if>
          <dgm:else name="Name6">
            <dgm:alg type="lin">
              <dgm:param type="linDir" val="fromR"/>
              <dgm:param type="nodeHorzAlign" val="r"/>
              <dgm:param typ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FD1C1F-9165-4373-AA01-ED5A744D3B2B}">
  <ds:schemaRefs/>
</ds:datastoreItem>
</file>

<file path=docProps/app.xml><?xml version="1.0" encoding="utf-8"?>
<Properties xmlns="http://schemas.openxmlformats.org/officeDocument/2006/extended-properties" xmlns:vt="http://schemas.openxmlformats.org/officeDocument/2006/docPropsVTypes">
  <Template>Normal</Template>
  <Pages>73</Pages>
  <Words>16335</Words>
  <Characters>97097</Characters>
  <Lines>837</Lines>
  <Paragraphs>235</Paragraphs>
  <TotalTime>1895</TotalTime>
  <ScaleCrop>false</ScaleCrop>
  <LinksUpToDate>false</LinksUpToDate>
  <CharactersWithSpaces>113130</CharactersWithSpaces>
  <Application>WPS Office_12.1.0.28485_F1E327BC-269C-435d-A152-05C5408002CA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2026-05-27T17:22:00Z</dcterms:created>
  <dc:creator>Amit Shah</dc:creator>
  <cp:lastModifiedBy>Amit Shah</cp:lastModifiedBy>
  <dcterms:modified xsi:type="dcterms:W3CDTF">2026-08-26T20:39:27Z</dcterms:modified>
  <cp:revision>111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eyJoZGlkIjoiZjM4YzI5OTI3ODNiYWNmM2RlN2FiYjM1YTVjMDA2M2MifQ==</vt:lpwstr>
  </property>
  <property fmtid="{D5CDD505-2E9C-101B-9397-08002B2CF9AE}" pid="3" name="KSOProductBuildVer">
    <vt:lpwstr>1033-12.1.0.28485</vt:lpwstr>
  </property>
  <property fmtid="{D5CDD505-2E9C-101B-9397-08002B2CF9AE}" pid="4" name="ICV">
    <vt:lpwstr>78822C2CE2C74E5096B49688D4C7F1C4_13</vt:lpwstr>
  </property>
</Properties>
</file>