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18310116"/>
        <w:docPartObj>
          <w:docPartGallery w:val="Cover Pages"/>
          <w:docPartUnique/>
        </w:docPartObj>
      </w:sdtPr>
      <w:sdtContent>
        <w:p w14:paraId="3E0C938F" w14:textId="19136701" w:rsidR="00076E36" w:rsidRDefault="00076E36">
          <w:r>
            <w:rPr>
              <w:noProof/>
            </w:rPr>
            <mc:AlternateContent>
              <mc:Choice Requires="wpg">
                <w:drawing>
                  <wp:anchor distT="0" distB="0" distL="114300" distR="114300" simplePos="0" relativeHeight="251659264" behindDoc="1" locked="0" layoutInCell="1" allowOverlap="1" wp14:anchorId="0385A008" wp14:editId="38590688">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AE9553" w14:textId="476F62E9" w:rsidR="00076E36" w:rsidRDefault="00076E36" w:rsidP="00076E36">
                                      <w:pPr>
                                        <w:pStyle w:val="NoSpacing"/>
                                        <w:spacing w:before="120"/>
                                        <w:jc w:val="center"/>
                                        <w:rPr>
                                          <w:color w:val="FFFFFF" w:themeColor="background1"/>
                                        </w:rPr>
                                      </w:pPr>
                                      <w:r>
                                        <w:rPr>
                                          <w:color w:val="FFFFFF" w:themeColor="background1"/>
                                        </w:rPr>
                                        <w:t>Kendra Wedgwood</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B5661" w14:textId="5FF8B7CC" w:rsidR="00076E36" w:rsidRDefault="00076E3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Policing and the policitical landscape – bmpo7003d</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85A008"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4AE9553" w14:textId="476F62E9" w:rsidR="00076E36" w:rsidRDefault="00076E36" w:rsidP="00076E36">
                                <w:pPr>
                                  <w:pStyle w:val="NoSpacing"/>
                                  <w:spacing w:before="120"/>
                                  <w:jc w:val="center"/>
                                  <w:rPr>
                                    <w:color w:val="FFFFFF" w:themeColor="background1"/>
                                  </w:rPr>
                                </w:pPr>
                                <w:r>
                                  <w:rPr>
                                    <w:color w:val="FFFFFF" w:themeColor="background1"/>
                                  </w:rPr>
                                  <w:t>Kendra Wedgwood</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7BEB5661" w14:textId="5FF8B7CC" w:rsidR="00076E36" w:rsidRDefault="00076E36">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Policing and the policitical landscape – bmpo7003d</w:t>
                                </w:r>
                              </w:p>
                            </w:sdtContent>
                          </w:sdt>
                        </w:txbxContent>
                      </v:textbox>
                    </v:shape>
                    <w10:wrap anchorx="page" anchory="page"/>
                  </v:group>
                </w:pict>
              </mc:Fallback>
            </mc:AlternateContent>
          </w:r>
        </w:p>
        <w:p w14:paraId="56F30587" w14:textId="4A5C6F04" w:rsidR="00076E36" w:rsidRDefault="00076E36">
          <w:r>
            <w:br w:type="page"/>
          </w:r>
        </w:p>
      </w:sdtContent>
    </w:sdt>
    <w:p w14:paraId="3E95D21C" w14:textId="14AA4262" w:rsidR="00B864CF" w:rsidRPr="00CB7917" w:rsidRDefault="00B864CF">
      <w:pPr>
        <w:pStyle w:val="TOCHeading"/>
        <w:rPr>
          <w:rFonts w:ascii="Arial" w:hAnsi="Arial" w:cs="Arial"/>
          <w:sz w:val="24"/>
          <w:szCs w:val="24"/>
        </w:rPr>
      </w:pPr>
    </w:p>
    <w:sdt>
      <w:sdtPr>
        <w:rPr>
          <w:rFonts w:ascii="Arial" w:hAnsi="Arial" w:cs="Arial"/>
          <w:sz w:val="24"/>
          <w:szCs w:val="24"/>
        </w:rPr>
        <w:id w:val="1411958132"/>
        <w:docPartObj>
          <w:docPartGallery w:val="Table of Contents"/>
          <w:docPartUnique/>
        </w:docPartObj>
      </w:sdtPr>
      <w:sdtEndPr>
        <w:rPr>
          <w:b/>
          <w:bCs/>
        </w:rPr>
      </w:sdtEndPr>
      <w:sdtContent>
        <w:p w14:paraId="11ED98AD" w14:textId="4FFD2C35" w:rsidR="00B864CF" w:rsidRPr="00CB7917" w:rsidRDefault="00B864CF" w:rsidP="00B864CF">
          <w:pPr>
            <w:rPr>
              <w:rFonts w:ascii="Arial" w:hAnsi="Arial" w:cs="Arial"/>
              <w:sz w:val="24"/>
              <w:szCs w:val="24"/>
            </w:rPr>
          </w:pPr>
          <w:r w:rsidRPr="00CB7917">
            <w:rPr>
              <w:rFonts w:ascii="Arial" w:hAnsi="Arial" w:cs="Arial"/>
              <w:sz w:val="24"/>
              <w:szCs w:val="24"/>
            </w:rPr>
            <w:t>Contents</w:t>
          </w:r>
        </w:p>
        <w:p w14:paraId="293B4948" w14:textId="2C5CF67B" w:rsidR="00B864CF" w:rsidRPr="00CB7917" w:rsidRDefault="00B864CF">
          <w:pPr>
            <w:pStyle w:val="TOC1"/>
            <w:tabs>
              <w:tab w:val="right" w:leader="dot" w:pos="9016"/>
            </w:tabs>
            <w:rPr>
              <w:rFonts w:ascii="Arial" w:hAnsi="Arial" w:cs="Arial"/>
              <w:noProof/>
              <w:sz w:val="24"/>
              <w:szCs w:val="24"/>
            </w:rPr>
          </w:pPr>
          <w:r w:rsidRPr="00CB7917">
            <w:rPr>
              <w:rFonts w:ascii="Arial" w:hAnsi="Arial" w:cs="Arial"/>
              <w:sz w:val="24"/>
              <w:szCs w:val="24"/>
            </w:rPr>
            <w:fldChar w:fldCharType="begin"/>
          </w:r>
          <w:r w:rsidRPr="00CB7917">
            <w:rPr>
              <w:rFonts w:ascii="Arial" w:hAnsi="Arial" w:cs="Arial"/>
              <w:sz w:val="24"/>
              <w:szCs w:val="24"/>
            </w:rPr>
            <w:instrText xml:space="preserve"> TOC \o "1-3" \h \z \u </w:instrText>
          </w:r>
          <w:r w:rsidRPr="00CB7917">
            <w:rPr>
              <w:rFonts w:ascii="Arial" w:hAnsi="Arial" w:cs="Arial"/>
              <w:sz w:val="24"/>
              <w:szCs w:val="24"/>
            </w:rPr>
            <w:fldChar w:fldCharType="separate"/>
          </w:r>
          <w:hyperlink w:anchor="_Toc201861081" w:history="1">
            <w:r w:rsidRPr="00CB7917">
              <w:rPr>
                <w:rStyle w:val="Hyperlink"/>
                <w:rFonts w:ascii="Arial" w:hAnsi="Arial" w:cs="Arial"/>
                <w:noProof/>
                <w:sz w:val="24"/>
                <w:szCs w:val="24"/>
              </w:rPr>
              <w:t>Introduction</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_Toc201861081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2</w:t>
            </w:r>
            <w:r w:rsidRPr="00CB7917">
              <w:rPr>
                <w:rFonts w:ascii="Arial" w:hAnsi="Arial" w:cs="Arial"/>
                <w:noProof/>
                <w:webHidden/>
                <w:sz w:val="24"/>
                <w:szCs w:val="24"/>
              </w:rPr>
              <w:fldChar w:fldCharType="end"/>
            </w:r>
          </w:hyperlink>
        </w:p>
        <w:p w14:paraId="62771297" w14:textId="164E47F5" w:rsidR="00B864CF" w:rsidRPr="00CB7917" w:rsidRDefault="00B864CF">
          <w:pPr>
            <w:pStyle w:val="TOC1"/>
            <w:tabs>
              <w:tab w:val="right" w:leader="dot" w:pos="9016"/>
            </w:tabs>
            <w:rPr>
              <w:rFonts w:ascii="Arial" w:hAnsi="Arial" w:cs="Arial"/>
              <w:noProof/>
              <w:sz w:val="24"/>
              <w:szCs w:val="24"/>
            </w:rPr>
          </w:pPr>
          <w:hyperlink w:anchor="_Toc201861082" w:history="1">
            <w:r w:rsidRPr="00CB7917">
              <w:rPr>
                <w:rStyle w:val="Hyperlink"/>
                <w:rFonts w:ascii="Arial" w:hAnsi="Arial" w:cs="Arial"/>
                <w:noProof/>
                <w:sz w:val="24"/>
                <w:szCs w:val="24"/>
              </w:rPr>
              <w:t>Main Body</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_Toc201861082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3</w:t>
            </w:r>
            <w:r w:rsidRPr="00CB7917">
              <w:rPr>
                <w:rFonts w:ascii="Arial" w:hAnsi="Arial" w:cs="Arial"/>
                <w:noProof/>
                <w:webHidden/>
                <w:sz w:val="24"/>
                <w:szCs w:val="24"/>
              </w:rPr>
              <w:fldChar w:fldCharType="end"/>
            </w:r>
          </w:hyperlink>
        </w:p>
        <w:p w14:paraId="0D1116FB" w14:textId="17D22B51" w:rsidR="00B864CF" w:rsidRPr="00CB7917" w:rsidRDefault="00B864CF">
          <w:pPr>
            <w:pStyle w:val="TOC2"/>
            <w:tabs>
              <w:tab w:val="right" w:leader="dot" w:pos="9016"/>
            </w:tabs>
            <w:rPr>
              <w:rFonts w:ascii="Arial" w:hAnsi="Arial" w:cs="Arial"/>
              <w:noProof/>
              <w:sz w:val="24"/>
              <w:szCs w:val="24"/>
            </w:rPr>
          </w:pPr>
          <w:hyperlink w:anchor="_Toc201861083" w:history="1">
            <w:r w:rsidRPr="00CB7917">
              <w:rPr>
                <w:rStyle w:val="Hyperlink"/>
                <w:rFonts w:ascii="Arial" w:hAnsi="Arial" w:cs="Arial"/>
                <w:noProof/>
                <w:sz w:val="24"/>
                <w:szCs w:val="24"/>
              </w:rPr>
              <w:t>Protest Policing: Balancing Public Safety and Democratic Rights</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_Toc201861083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3</w:t>
            </w:r>
            <w:r w:rsidRPr="00CB7917">
              <w:rPr>
                <w:rFonts w:ascii="Arial" w:hAnsi="Arial" w:cs="Arial"/>
                <w:noProof/>
                <w:webHidden/>
                <w:sz w:val="24"/>
                <w:szCs w:val="24"/>
              </w:rPr>
              <w:fldChar w:fldCharType="end"/>
            </w:r>
          </w:hyperlink>
        </w:p>
        <w:p w14:paraId="63AB52C7" w14:textId="173A3F64" w:rsidR="00B864CF" w:rsidRPr="00CB7917" w:rsidRDefault="00B864CF">
          <w:pPr>
            <w:pStyle w:val="TOC2"/>
            <w:tabs>
              <w:tab w:val="right" w:leader="dot" w:pos="9016"/>
            </w:tabs>
            <w:rPr>
              <w:rFonts w:ascii="Arial" w:hAnsi="Arial" w:cs="Arial"/>
              <w:noProof/>
              <w:sz w:val="24"/>
              <w:szCs w:val="24"/>
            </w:rPr>
          </w:pPr>
          <w:hyperlink w:anchor="_Toc201861084" w:history="1">
            <w:r w:rsidRPr="00CB7917">
              <w:rPr>
                <w:rStyle w:val="Hyperlink"/>
                <w:rFonts w:ascii="Arial" w:hAnsi="Arial" w:cs="Arial"/>
                <w:noProof/>
                <w:sz w:val="24"/>
                <w:szCs w:val="24"/>
              </w:rPr>
              <w:t>Surveillance Technologies: Navigating Innovation, Oversight, and Public Trust</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_Toc201861084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4</w:t>
            </w:r>
            <w:r w:rsidRPr="00CB7917">
              <w:rPr>
                <w:rFonts w:ascii="Arial" w:hAnsi="Arial" w:cs="Arial"/>
                <w:noProof/>
                <w:webHidden/>
                <w:sz w:val="24"/>
                <w:szCs w:val="24"/>
              </w:rPr>
              <w:fldChar w:fldCharType="end"/>
            </w:r>
          </w:hyperlink>
        </w:p>
        <w:p w14:paraId="3E9393F4" w14:textId="527D8BF3" w:rsidR="00B864CF" w:rsidRPr="00CB7917" w:rsidRDefault="00B864CF">
          <w:pPr>
            <w:pStyle w:val="TOC1"/>
            <w:tabs>
              <w:tab w:val="right" w:leader="dot" w:pos="9016"/>
            </w:tabs>
            <w:rPr>
              <w:rFonts w:ascii="Arial" w:hAnsi="Arial" w:cs="Arial"/>
              <w:noProof/>
              <w:sz w:val="24"/>
              <w:szCs w:val="24"/>
            </w:rPr>
          </w:pPr>
          <w:hyperlink w:anchor="_Toc201861085" w:history="1">
            <w:r w:rsidRPr="00CB7917">
              <w:rPr>
                <w:rStyle w:val="Hyperlink"/>
                <w:rFonts w:ascii="Arial" w:hAnsi="Arial" w:cs="Arial"/>
                <w:noProof/>
                <w:sz w:val="24"/>
                <w:szCs w:val="24"/>
              </w:rPr>
              <w:t>Conclusion</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_Toc201861085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6</w:t>
            </w:r>
            <w:r w:rsidRPr="00CB7917">
              <w:rPr>
                <w:rFonts w:ascii="Arial" w:hAnsi="Arial" w:cs="Arial"/>
                <w:noProof/>
                <w:webHidden/>
                <w:sz w:val="24"/>
                <w:szCs w:val="24"/>
              </w:rPr>
              <w:fldChar w:fldCharType="end"/>
            </w:r>
          </w:hyperlink>
        </w:p>
        <w:p w14:paraId="3E9FD48D" w14:textId="7711D29E" w:rsidR="00B864CF" w:rsidRPr="00CB7917" w:rsidRDefault="00B864CF">
          <w:pPr>
            <w:pStyle w:val="TOC1"/>
            <w:tabs>
              <w:tab w:val="right" w:leader="dot" w:pos="9016"/>
            </w:tabs>
            <w:rPr>
              <w:rFonts w:ascii="Arial" w:hAnsi="Arial" w:cs="Arial"/>
              <w:noProof/>
              <w:sz w:val="24"/>
              <w:szCs w:val="24"/>
            </w:rPr>
          </w:pPr>
          <w:hyperlink w:anchor="_Toc201861086" w:history="1">
            <w:r w:rsidRPr="00CB7917">
              <w:rPr>
                <w:rStyle w:val="Hyperlink"/>
                <w:rFonts w:ascii="Arial" w:hAnsi="Arial" w:cs="Arial"/>
                <w:noProof/>
                <w:sz w:val="24"/>
                <w:szCs w:val="24"/>
              </w:rPr>
              <w:t>References</w:t>
            </w:r>
            <w:r w:rsidRPr="00CB7917">
              <w:rPr>
                <w:rFonts w:ascii="Arial" w:hAnsi="Arial" w:cs="Arial"/>
                <w:noProof/>
                <w:webHidden/>
                <w:sz w:val="24"/>
                <w:szCs w:val="24"/>
              </w:rPr>
              <w:tab/>
            </w:r>
            <w:r w:rsidRPr="00CB7917">
              <w:rPr>
                <w:rFonts w:ascii="Arial" w:hAnsi="Arial" w:cs="Arial"/>
                <w:noProof/>
                <w:webHidden/>
                <w:sz w:val="24"/>
                <w:szCs w:val="24"/>
              </w:rPr>
              <w:fldChar w:fldCharType="begin"/>
            </w:r>
            <w:r w:rsidRPr="00CB7917">
              <w:rPr>
                <w:rFonts w:ascii="Arial" w:hAnsi="Arial" w:cs="Arial"/>
                <w:noProof/>
                <w:webHidden/>
                <w:sz w:val="24"/>
                <w:szCs w:val="24"/>
              </w:rPr>
              <w:instrText xml:space="preserve"> PAGEREF _Toc201861086 \h </w:instrText>
            </w:r>
            <w:r w:rsidRPr="00CB7917">
              <w:rPr>
                <w:rFonts w:ascii="Arial" w:hAnsi="Arial" w:cs="Arial"/>
                <w:noProof/>
                <w:webHidden/>
                <w:sz w:val="24"/>
                <w:szCs w:val="24"/>
              </w:rPr>
            </w:r>
            <w:r w:rsidRPr="00CB7917">
              <w:rPr>
                <w:rFonts w:ascii="Arial" w:hAnsi="Arial" w:cs="Arial"/>
                <w:noProof/>
                <w:webHidden/>
                <w:sz w:val="24"/>
                <w:szCs w:val="24"/>
              </w:rPr>
              <w:fldChar w:fldCharType="separate"/>
            </w:r>
            <w:r w:rsidR="00C45F4F">
              <w:rPr>
                <w:rFonts w:ascii="Arial" w:hAnsi="Arial" w:cs="Arial"/>
                <w:noProof/>
                <w:webHidden/>
                <w:sz w:val="24"/>
                <w:szCs w:val="24"/>
              </w:rPr>
              <w:t>8</w:t>
            </w:r>
            <w:r w:rsidRPr="00CB7917">
              <w:rPr>
                <w:rFonts w:ascii="Arial" w:hAnsi="Arial" w:cs="Arial"/>
                <w:noProof/>
                <w:webHidden/>
                <w:sz w:val="24"/>
                <w:szCs w:val="24"/>
              </w:rPr>
              <w:fldChar w:fldCharType="end"/>
            </w:r>
          </w:hyperlink>
        </w:p>
        <w:p w14:paraId="6306F073" w14:textId="57931B51" w:rsidR="00B864CF" w:rsidRPr="00CB7917" w:rsidRDefault="00B864CF">
          <w:pPr>
            <w:rPr>
              <w:rFonts w:ascii="Arial" w:hAnsi="Arial" w:cs="Arial"/>
              <w:sz w:val="24"/>
              <w:szCs w:val="24"/>
            </w:rPr>
          </w:pPr>
          <w:r w:rsidRPr="00CB7917">
            <w:rPr>
              <w:rFonts w:ascii="Arial" w:hAnsi="Arial" w:cs="Arial"/>
              <w:b/>
              <w:bCs/>
              <w:sz w:val="24"/>
              <w:szCs w:val="24"/>
            </w:rPr>
            <w:fldChar w:fldCharType="end"/>
          </w:r>
        </w:p>
      </w:sdtContent>
    </w:sdt>
    <w:p w14:paraId="2A068D7E" w14:textId="36ED38BB" w:rsidR="00AA50B1" w:rsidRPr="00CB7917" w:rsidRDefault="00AA50B1">
      <w:pPr>
        <w:rPr>
          <w:rFonts w:ascii="Arial" w:eastAsiaTheme="majorEastAsia" w:hAnsi="Arial" w:cs="Arial"/>
          <w:color w:val="0F4761" w:themeColor="accent1" w:themeShade="BF"/>
          <w:sz w:val="24"/>
          <w:szCs w:val="24"/>
        </w:rPr>
      </w:pPr>
    </w:p>
    <w:p w14:paraId="2F750D35" w14:textId="77777777" w:rsidR="00AA50B1" w:rsidRDefault="00AA50B1" w:rsidP="001E709B">
      <w:pPr>
        <w:pStyle w:val="Heading1"/>
        <w:rPr>
          <w:rFonts w:ascii="Arial" w:hAnsi="Arial" w:cs="Arial"/>
          <w:sz w:val="24"/>
          <w:szCs w:val="24"/>
        </w:rPr>
      </w:pPr>
    </w:p>
    <w:p w14:paraId="2A3478DD" w14:textId="77777777" w:rsidR="00E546DC" w:rsidRPr="00E546DC" w:rsidRDefault="00E546DC" w:rsidP="00E546DC"/>
    <w:p w14:paraId="41231BDD" w14:textId="77777777" w:rsidR="00B864CF" w:rsidRPr="00CB7917" w:rsidRDefault="00B864CF">
      <w:pPr>
        <w:rPr>
          <w:rFonts w:ascii="Arial" w:eastAsiaTheme="majorEastAsia" w:hAnsi="Arial" w:cs="Arial"/>
          <w:color w:val="0F4761" w:themeColor="accent1" w:themeShade="BF"/>
          <w:sz w:val="24"/>
          <w:szCs w:val="24"/>
        </w:rPr>
      </w:pPr>
      <w:bookmarkStart w:id="0" w:name="_Toc201861081"/>
      <w:r w:rsidRPr="00CB7917">
        <w:rPr>
          <w:rFonts w:ascii="Arial" w:hAnsi="Arial" w:cs="Arial"/>
          <w:sz w:val="24"/>
          <w:szCs w:val="24"/>
        </w:rPr>
        <w:br w:type="page"/>
      </w:r>
    </w:p>
    <w:p w14:paraId="7C598A7F" w14:textId="3A2BE5FE" w:rsidR="00306431" w:rsidRPr="00CB7917" w:rsidRDefault="00CC4D00" w:rsidP="001E709B">
      <w:pPr>
        <w:pStyle w:val="Heading1"/>
        <w:rPr>
          <w:rFonts w:ascii="Arial" w:hAnsi="Arial" w:cs="Arial"/>
          <w:sz w:val="24"/>
          <w:szCs w:val="24"/>
        </w:rPr>
      </w:pPr>
      <w:r w:rsidRPr="00CB7917">
        <w:rPr>
          <w:rFonts w:ascii="Arial" w:hAnsi="Arial" w:cs="Arial"/>
          <w:sz w:val="24"/>
          <w:szCs w:val="24"/>
        </w:rPr>
        <w:lastRenderedPageBreak/>
        <w:t>Introduction</w:t>
      </w:r>
      <w:bookmarkEnd w:id="0"/>
    </w:p>
    <w:p w14:paraId="56FF398E" w14:textId="1C486E87" w:rsidR="00730320" w:rsidRPr="00CB7917" w:rsidRDefault="00730320" w:rsidP="00B76262">
      <w:pPr>
        <w:spacing w:line="360" w:lineRule="auto"/>
        <w:rPr>
          <w:rFonts w:ascii="Arial" w:hAnsi="Arial" w:cs="Arial"/>
          <w:sz w:val="24"/>
          <w:szCs w:val="24"/>
        </w:rPr>
      </w:pPr>
      <w:r w:rsidRPr="00CB7917">
        <w:rPr>
          <w:rFonts w:ascii="Arial" w:hAnsi="Arial" w:cs="Arial"/>
          <w:sz w:val="24"/>
          <w:szCs w:val="24"/>
        </w:rPr>
        <w:t xml:space="preserve">The relationship between political influence, policing priorities, and public engagement is complex and increasingly relevant in today’s society. Policing is a key function of the state that both reflects and shapes political ideologies and social values. </w:t>
      </w:r>
      <w:r w:rsidR="0090438D">
        <w:rPr>
          <w:rFonts w:ascii="Arial" w:hAnsi="Arial" w:cs="Arial"/>
          <w:sz w:val="24"/>
          <w:szCs w:val="24"/>
        </w:rPr>
        <w:t>Loader and Mulcahy (2003) argued that it</w:t>
      </w:r>
      <w:r w:rsidRPr="00CB7917">
        <w:rPr>
          <w:rFonts w:ascii="Arial" w:hAnsi="Arial" w:cs="Arial"/>
          <w:sz w:val="24"/>
          <w:szCs w:val="24"/>
        </w:rPr>
        <w:t xml:space="preserve"> also serves as the main point of contact through which many people experience government authorit</w:t>
      </w:r>
      <w:r w:rsidR="006E0577">
        <w:rPr>
          <w:rFonts w:ascii="Arial" w:hAnsi="Arial" w:cs="Arial"/>
          <w:sz w:val="24"/>
          <w:szCs w:val="24"/>
        </w:rPr>
        <w:t>y</w:t>
      </w:r>
      <w:r w:rsidRPr="00CB7917">
        <w:rPr>
          <w:rFonts w:ascii="Arial" w:hAnsi="Arial" w:cs="Arial"/>
          <w:sz w:val="24"/>
          <w:szCs w:val="24"/>
        </w:rPr>
        <w:t>. Political leaders influence policing through laws, funding decisions, and public messaging, often guided by changing ideologies and electoral goals (Lister and Rowe, 2015). At the same time, police forces must respond to practical challenges such as crime patterns, budget limits, and internal culture.</w:t>
      </w:r>
      <w:r w:rsidR="002B06D4">
        <w:rPr>
          <w:rFonts w:ascii="Arial" w:hAnsi="Arial" w:cs="Arial"/>
          <w:sz w:val="24"/>
          <w:szCs w:val="24"/>
        </w:rPr>
        <w:t xml:space="preserve"> Reicher et al </w:t>
      </w:r>
      <w:r w:rsidR="00886569">
        <w:rPr>
          <w:rFonts w:ascii="Arial" w:hAnsi="Arial" w:cs="Arial"/>
          <w:sz w:val="24"/>
          <w:szCs w:val="24"/>
        </w:rPr>
        <w:t xml:space="preserve">(2007) </w:t>
      </w:r>
      <w:r w:rsidR="002B06D4">
        <w:rPr>
          <w:rFonts w:ascii="Arial" w:hAnsi="Arial" w:cs="Arial"/>
          <w:sz w:val="24"/>
          <w:szCs w:val="24"/>
        </w:rPr>
        <w:t>believed that</w:t>
      </w:r>
      <w:r w:rsidRPr="00CB7917">
        <w:rPr>
          <w:rFonts w:ascii="Arial" w:hAnsi="Arial" w:cs="Arial"/>
          <w:sz w:val="24"/>
          <w:szCs w:val="24"/>
        </w:rPr>
        <w:t xml:space="preserve"> </w:t>
      </w:r>
      <w:r w:rsidR="002B06D4">
        <w:rPr>
          <w:rFonts w:ascii="Arial" w:hAnsi="Arial" w:cs="Arial"/>
          <w:sz w:val="24"/>
          <w:szCs w:val="24"/>
        </w:rPr>
        <w:t>p</w:t>
      </w:r>
      <w:r w:rsidRPr="00CB7917">
        <w:rPr>
          <w:rFonts w:ascii="Arial" w:hAnsi="Arial" w:cs="Arial"/>
          <w:sz w:val="24"/>
          <w:szCs w:val="24"/>
        </w:rPr>
        <w:t>ublic engagement, through protest, consultation, or oversight adds another layer, as community trust and legitimacy are essential for effective policin</w:t>
      </w:r>
      <w:r w:rsidR="0034275E">
        <w:rPr>
          <w:rFonts w:ascii="Arial" w:hAnsi="Arial" w:cs="Arial"/>
          <w:sz w:val="24"/>
          <w:szCs w:val="24"/>
        </w:rPr>
        <w:t>g.</w:t>
      </w:r>
      <w:r w:rsidR="001F15FE">
        <w:rPr>
          <w:rFonts w:ascii="Arial" w:hAnsi="Arial" w:cs="Arial"/>
          <w:sz w:val="24"/>
          <w:szCs w:val="24"/>
        </w:rPr>
        <w:t xml:space="preserve"> </w:t>
      </w:r>
      <w:r w:rsidRPr="00CB7917">
        <w:rPr>
          <w:rFonts w:ascii="Arial" w:hAnsi="Arial" w:cs="Arial"/>
          <w:sz w:val="24"/>
          <w:szCs w:val="24"/>
        </w:rPr>
        <w:t>In recent years, these influences have become more intertwined. Neoliberal approaches to governance have changed how police are held accountable and how services are delivered</w:t>
      </w:r>
      <w:r w:rsidR="00D51B57">
        <w:rPr>
          <w:rFonts w:ascii="Arial" w:hAnsi="Arial" w:cs="Arial"/>
          <w:sz w:val="24"/>
          <w:szCs w:val="24"/>
        </w:rPr>
        <w:t xml:space="preserve">. Zuboff (2019) </w:t>
      </w:r>
      <w:r w:rsidR="007A5E23">
        <w:rPr>
          <w:rFonts w:ascii="Arial" w:hAnsi="Arial" w:cs="Arial"/>
          <w:sz w:val="24"/>
          <w:szCs w:val="24"/>
        </w:rPr>
        <w:t>refers to</w:t>
      </w:r>
      <w:r w:rsidR="004A7A99">
        <w:rPr>
          <w:rFonts w:ascii="Arial" w:hAnsi="Arial" w:cs="Arial"/>
          <w:sz w:val="24"/>
          <w:szCs w:val="24"/>
        </w:rPr>
        <w:t xml:space="preserve"> </w:t>
      </w:r>
      <w:r w:rsidR="007A5E23">
        <w:rPr>
          <w:rFonts w:ascii="Arial" w:hAnsi="Arial" w:cs="Arial"/>
          <w:sz w:val="24"/>
          <w:szCs w:val="24"/>
        </w:rPr>
        <w:t>“</w:t>
      </w:r>
      <w:r w:rsidR="00E631D5">
        <w:rPr>
          <w:rFonts w:ascii="Arial" w:hAnsi="Arial" w:cs="Arial"/>
          <w:sz w:val="24"/>
          <w:szCs w:val="24"/>
        </w:rPr>
        <w:t>instrumentarian power</w:t>
      </w:r>
      <w:r w:rsidR="007A5E23">
        <w:rPr>
          <w:rFonts w:ascii="Arial" w:hAnsi="Arial" w:cs="Arial"/>
          <w:sz w:val="24"/>
          <w:szCs w:val="24"/>
        </w:rPr>
        <w:t>”</w:t>
      </w:r>
      <w:r w:rsidR="00E631D5">
        <w:rPr>
          <w:rFonts w:ascii="Arial" w:hAnsi="Arial" w:cs="Arial"/>
          <w:sz w:val="24"/>
          <w:szCs w:val="24"/>
        </w:rPr>
        <w:t xml:space="preserve"> </w:t>
      </w:r>
      <w:r w:rsidR="00894E64">
        <w:rPr>
          <w:rFonts w:ascii="Arial" w:hAnsi="Arial" w:cs="Arial"/>
          <w:sz w:val="24"/>
          <w:szCs w:val="24"/>
        </w:rPr>
        <w:t>which</w:t>
      </w:r>
      <w:r w:rsidR="00307A78">
        <w:rPr>
          <w:rFonts w:ascii="Arial" w:hAnsi="Arial" w:cs="Arial"/>
          <w:sz w:val="24"/>
          <w:szCs w:val="24"/>
        </w:rPr>
        <w:t xml:space="preserve"> manifests</w:t>
      </w:r>
      <w:r w:rsidR="004007D4">
        <w:rPr>
          <w:rFonts w:ascii="Arial" w:hAnsi="Arial" w:cs="Arial"/>
          <w:sz w:val="24"/>
          <w:szCs w:val="24"/>
        </w:rPr>
        <w:t xml:space="preserve"> as predictive policing</w:t>
      </w:r>
      <w:r w:rsidR="00E00A45">
        <w:rPr>
          <w:rFonts w:ascii="Arial" w:hAnsi="Arial" w:cs="Arial"/>
          <w:sz w:val="24"/>
          <w:szCs w:val="24"/>
        </w:rPr>
        <w:t>, real-time surveillance and automated risk assessments, often without public debate or accountability</w:t>
      </w:r>
      <w:r w:rsidR="00D51B57">
        <w:rPr>
          <w:rFonts w:ascii="Arial" w:hAnsi="Arial" w:cs="Arial"/>
          <w:sz w:val="24"/>
          <w:szCs w:val="24"/>
        </w:rPr>
        <w:t xml:space="preserve">. </w:t>
      </w:r>
      <w:r w:rsidRPr="00CB7917">
        <w:rPr>
          <w:rFonts w:ascii="Arial" w:hAnsi="Arial" w:cs="Arial"/>
          <w:sz w:val="24"/>
          <w:szCs w:val="24"/>
        </w:rPr>
        <w:t>Meanwhile, there has been increasing concern about authoritarian trends in law and political messaging related to public order, drawing attention from academics and civil society groups (Ewing and Tham, 2023; Liberty, 2022). Central to this debate is the question of who decides policing priorities, how these decisions are carried out at different levels of government, and how much influence the public can realistically have.</w:t>
      </w:r>
    </w:p>
    <w:p w14:paraId="184FDB13" w14:textId="0802C5CE" w:rsidR="00730320" w:rsidRPr="00CB7917" w:rsidRDefault="00730320" w:rsidP="00B76262">
      <w:pPr>
        <w:spacing w:line="360" w:lineRule="auto"/>
        <w:rPr>
          <w:rFonts w:ascii="Arial" w:hAnsi="Arial" w:cs="Arial"/>
          <w:sz w:val="24"/>
          <w:szCs w:val="24"/>
        </w:rPr>
      </w:pPr>
      <w:r w:rsidRPr="00CB7917">
        <w:rPr>
          <w:rFonts w:ascii="Arial" w:hAnsi="Arial" w:cs="Arial"/>
          <w:sz w:val="24"/>
          <w:szCs w:val="24"/>
        </w:rPr>
        <w:t>This report explores these themes by focusing on two key areas of policing in 2025: protest policing and the use of surveillance technologies, particularly facial recognition. These issues have been chosen because they are prominent in public debate, are politically significant, and raise important questions about civil liberties and democratic oversight (Amnesty International, 2023</w:t>
      </w:r>
      <w:r w:rsidR="00E61DB6">
        <w:rPr>
          <w:rFonts w:ascii="Arial" w:hAnsi="Arial" w:cs="Arial"/>
          <w:sz w:val="24"/>
          <w:szCs w:val="24"/>
        </w:rPr>
        <w:t>)</w:t>
      </w:r>
      <w:r w:rsidRPr="00CB7917">
        <w:rPr>
          <w:rFonts w:ascii="Arial" w:hAnsi="Arial" w:cs="Arial"/>
          <w:sz w:val="24"/>
          <w:szCs w:val="24"/>
        </w:rPr>
        <w:t>. The way protests are policed is often seen as a measure of a country’s commitment to democratic values, while the use of facial recognition technology highlights the tensions between technological innovation, public safety, and privacy rights. Together, these case studies offer a valuable lens through which to critically examine the shifting balance of power between political objectives, policing practices, and public participation in modern governance.</w:t>
      </w:r>
      <w:r w:rsidR="00592379">
        <w:rPr>
          <w:rFonts w:ascii="Arial" w:hAnsi="Arial" w:cs="Arial"/>
          <w:sz w:val="24"/>
          <w:szCs w:val="24"/>
        </w:rPr>
        <w:t xml:space="preserve"> 358</w:t>
      </w:r>
    </w:p>
    <w:p w14:paraId="7FCC628C" w14:textId="77777777" w:rsidR="00B864CF" w:rsidRPr="00CB7917" w:rsidRDefault="00B864CF" w:rsidP="00B864CF">
      <w:pPr>
        <w:rPr>
          <w:rFonts w:ascii="Arial" w:hAnsi="Arial" w:cs="Arial"/>
          <w:sz w:val="24"/>
          <w:szCs w:val="24"/>
        </w:rPr>
      </w:pPr>
    </w:p>
    <w:p w14:paraId="74232C08" w14:textId="2B7D31B2" w:rsidR="00CC4D00" w:rsidRPr="00CB7917" w:rsidRDefault="00CC4D00" w:rsidP="00EE40B3">
      <w:pPr>
        <w:pStyle w:val="Heading1"/>
        <w:rPr>
          <w:rFonts w:ascii="Arial" w:hAnsi="Arial" w:cs="Arial"/>
          <w:sz w:val="24"/>
          <w:szCs w:val="24"/>
        </w:rPr>
      </w:pPr>
      <w:bookmarkStart w:id="1" w:name="_Toc201861082"/>
      <w:r w:rsidRPr="00CB7917">
        <w:rPr>
          <w:rFonts w:ascii="Arial" w:hAnsi="Arial" w:cs="Arial"/>
          <w:sz w:val="24"/>
          <w:szCs w:val="24"/>
        </w:rPr>
        <w:t>Main Body</w:t>
      </w:r>
      <w:bookmarkEnd w:id="1"/>
    </w:p>
    <w:p w14:paraId="13A2D3E6" w14:textId="77777777" w:rsidR="00CC4D00" w:rsidRPr="00CB7917" w:rsidRDefault="00CC4D00" w:rsidP="00EE40B3">
      <w:pPr>
        <w:pStyle w:val="Heading2"/>
        <w:rPr>
          <w:rFonts w:ascii="Arial" w:hAnsi="Arial" w:cs="Arial"/>
          <w:sz w:val="24"/>
          <w:szCs w:val="24"/>
        </w:rPr>
      </w:pPr>
      <w:bookmarkStart w:id="2" w:name="_Toc201861083"/>
      <w:r w:rsidRPr="00CB7917">
        <w:rPr>
          <w:rFonts w:ascii="Arial" w:hAnsi="Arial" w:cs="Arial"/>
          <w:sz w:val="24"/>
          <w:szCs w:val="24"/>
        </w:rPr>
        <w:t>Protest Policing: Balancing Public Safety and Democratic Rights</w:t>
      </w:r>
      <w:bookmarkEnd w:id="2"/>
    </w:p>
    <w:p w14:paraId="57A43996" w14:textId="2E9327C6" w:rsidR="00AD4B87" w:rsidRPr="00ED6D3F" w:rsidRDefault="00AD4B87" w:rsidP="00AD4B87">
      <w:pPr>
        <w:spacing w:line="360" w:lineRule="auto"/>
        <w:rPr>
          <w:rFonts w:ascii="Arial" w:hAnsi="Arial" w:cs="Arial"/>
          <w:sz w:val="24"/>
          <w:szCs w:val="24"/>
        </w:rPr>
      </w:pPr>
      <w:r w:rsidRPr="00ED6D3F">
        <w:rPr>
          <w:rFonts w:ascii="Arial" w:hAnsi="Arial" w:cs="Arial"/>
          <w:sz w:val="24"/>
          <w:szCs w:val="24"/>
        </w:rPr>
        <w:t>In recent years, the policing of protests in the UK has shifted significantly, with growing political framing of dissent as a security threat. The Police, Crime, Sentencing and Courts Act 2022 granted the police expanded powers to restrict protests based on noise, duration, or perceived disruption (Home Office, 2022). Critics argue that this undermines the right to peaceful assembly, particularly for environmental and anti-racism campaigns (Amnesty International, 2023) and reflects an authoritarian drift that prioritises state control over democratic freedoms (Liberty, 2022). Politically, this shift represents an attempt by central government to regulate public spaces and narratives, especially when protests challenge legitimacy or stability. Ewing &amp; Tham (2023) argue that these laws erode democratic norms by enabling excessive state control over the right to protest.</w:t>
      </w:r>
    </w:p>
    <w:p w14:paraId="52421C5D" w14:textId="3DC84ACB" w:rsidR="00AD4B87" w:rsidRPr="00ED6D3F" w:rsidRDefault="00AD4B87" w:rsidP="00AD4B87">
      <w:pPr>
        <w:spacing w:line="360" w:lineRule="auto"/>
        <w:rPr>
          <w:rFonts w:ascii="Arial" w:hAnsi="Arial" w:cs="Arial"/>
          <w:sz w:val="24"/>
          <w:szCs w:val="24"/>
        </w:rPr>
      </w:pPr>
      <w:r w:rsidRPr="00ED6D3F">
        <w:rPr>
          <w:rFonts w:ascii="Arial" w:hAnsi="Arial" w:cs="Arial"/>
          <w:sz w:val="24"/>
          <w:szCs w:val="24"/>
        </w:rPr>
        <w:t xml:space="preserve">Advocates of the Act contend that enhanced police authority is necessary to manage increasingly disruptive protest tactics (White, 2020). From this perspective, the legislation serves as a response to evolving forms of protest that are highly visible, digitally amplified, and occasionally unlawful. </w:t>
      </w:r>
      <w:r w:rsidR="0030175B">
        <w:rPr>
          <w:rFonts w:ascii="Arial" w:hAnsi="Arial" w:cs="Arial"/>
          <w:sz w:val="24"/>
          <w:szCs w:val="24"/>
        </w:rPr>
        <w:t>Supporters</w:t>
      </w:r>
      <w:r w:rsidRPr="00ED6D3F">
        <w:rPr>
          <w:rFonts w:ascii="Arial" w:hAnsi="Arial" w:cs="Arial"/>
          <w:sz w:val="24"/>
          <w:szCs w:val="24"/>
        </w:rPr>
        <w:t xml:space="preserve"> argue that modern protests are more performative and less predictable, requiring more flexible policing tools (Gorringe, 2021). However, evidence indicates that aggressive protest policing can heighten tensions, erode public trust, and discourage legitimate opposition (Loader &amp; Mulcahy, 2003). Reicher et al (2007) advocate that poor police tactics create rather than contain violence between the police and protester, and that conflict often arises when police treat crowds as homogeneous and illegitimate, reinforcing ingroup cohesion and hostility.</w:t>
      </w:r>
    </w:p>
    <w:p w14:paraId="4D46F2B4" w14:textId="77777777" w:rsidR="00AD4B87" w:rsidRPr="00ED6D3F" w:rsidRDefault="00AD4B87" w:rsidP="00AD4B87">
      <w:pPr>
        <w:spacing w:line="360" w:lineRule="auto"/>
        <w:rPr>
          <w:rFonts w:ascii="Arial" w:hAnsi="Arial" w:cs="Arial"/>
          <w:sz w:val="24"/>
          <w:szCs w:val="24"/>
        </w:rPr>
      </w:pPr>
      <w:r w:rsidRPr="00ED6D3F">
        <w:rPr>
          <w:rFonts w:ascii="Arial" w:hAnsi="Arial" w:cs="Arial"/>
          <w:sz w:val="24"/>
          <w:szCs w:val="24"/>
        </w:rPr>
        <w:t xml:space="preserve">At the regional level, Police and Crime Commissioners (PCCs) set priorities that shape protest policing. Although they are meant to draw on community input, critics argue PCCs often follow national political agendas, especially when party-affiliated, which has produced inconsistency in policing styles across different areas (Lister &amp; Rowe, 2015; White, 2020). Liberty (2022) argues that local engagement with protest policing remains inconsistent. Community liaison mechanisms exist, but serve more to justify policing actions than encourage meaningful dialogue. Marginalised groups </w:t>
      </w:r>
      <w:r w:rsidRPr="00ED6D3F">
        <w:rPr>
          <w:rFonts w:ascii="Arial" w:hAnsi="Arial" w:cs="Arial"/>
          <w:sz w:val="24"/>
          <w:szCs w:val="24"/>
        </w:rPr>
        <w:lastRenderedPageBreak/>
        <w:t>frequently report disproportionate policing, reinforcing perceptions of bias (Amnesty International, 2023).</w:t>
      </w:r>
    </w:p>
    <w:p w14:paraId="35D9B1D7" w14:textId="77777777" w:rsidR="00AD4B87" w:rsidRPr="00ED6D3F" w:rsidRDefault="00AD4B87" w:rsidP="00AD4B87">
      <w:pPr>
        <w:spacing w:line="360" w:lineRule="auto"/>
        <w:rPr>
          <w:rFonts w:ascii="Arial" w:hAnsi="Arial" w:cs="Arial"/>
          <w:sz w:val="24"/>
          <w:szCs w:val="24"/>
        </w:rPr>
      </w:pPr>
      <w:r w:rsidRPr="00ED6D3F">
        <w:rPr>
          <w:rFonts w:ascii="Arial" w:hAnsi="Arial" w:cs="Arial"/>
          <w:sz w:val="24"/>
          <w:szCs w:val="24"/>
        </w:rPr>
        <w:t>A recent high-profile development illustrates these tensions. In June 2025, the UK government announced its intention to designate the activist group Palestine Action, a network known for direct actions such as spray-painting RAF aircraft and causing damage to other military facilities, as a terrorist organisation under the Terrorism Act 2000. Membership or support would then carry penalties of up to 14 years in prison (Reuters, 2025). While supporters argue the group had escalated to criminal damage and security breaches, critics, including human rights organisations and legal advocates, warn that this represents an excessive use of anti-terror legislation against protest, posing a serious threat to legitimate dissent and freedom of assembly (Quakers in Britain, 2025). The Guardian editorial (2025) also argued that the group’s actions lacked the serious violence or threats legally required for a terrorism label.</w:t>
      </w:r>
    </w:p>
    <w:p w14:paraId="7B8865C2" w14:textId="514DE65F" w:rsidR="00AD4B87" w:rsidRPr="00ED6D3F" w:rsidRDefault="00AD4B87" w:rsidP="00AD4B87">
      <w:pPr>
        <w:spacing w:line="360" w:lineRule="auto"/>
        <w:rPr>
          <w:rFonts w:ascii="Arial" w:hAnsi="Arial" w:cs="Arial"/>
          <w:sz w:val="24"/>
          <w:szCs w:val="24"/>
        </w:rPr>
      </w:pPr>
      <w:r w:rsidRPr="00ED6D3F">
        <w:rPr>
          <w:rFonts w:ascii="Arial" w:hAnsi="Arial" w:cs="Arial"/>
          <w:sz w:val="24"/>
          <w:szCs w:val="24"/>
        </w:rPr>
        <w:t xml:space="preserve">The judicial review held on </w:t>
      </w:r>
      <w:r w:rsidR="00152010">
        <w:rPr>
          <w:rFonts w:ascii="Arial" w:hAnsi="Arial" w:cs="Arial"/>
          <w:sz w:val="24"/>
          <w:szCs w:val="24"/>
        </w:rPr>
        <w:t>21 July</w:t>
      </w:r>
      <w:r w:rsidRPr="00ED6D3F">
        <w:rPr>
          <w:rFonts w:ascii="Arial" w:hAnsi="Arial" w:cs="Arial"/>
          <w:sz w:val="24"/>
          <w:szCs w:val="24"/>
        </w:rPr>
        <w:t xml:space="preserve"> 2025, did not deliver a final ruling on whether Palestine Action c</w:t>
      </w:r>
      <w:r w:rsidR="00152010">
        <w:rPr>
          <w:rFonts w:ascii="Arial" w:hAnsi="Arial" w:cs="Arial"/>
          <w:sz w:val="24"/>
          <w:szCs w:val="24"/>
        </w:rPr>
        <w:t>ould</w:t>
      </w:r>
      <w:r w:rsidRPr="00ED6D3F">
        <w:rPr>
          <w:rFonts w:ascii="Arial" w:hAnsi="Arial" w:cs="Arial"/>
          <w:sz w:val="24"/>
          <w:szCs w:val="24"/>
        </w:rPr>
        <w:t xml:space="preserve"> overturn its proscription as a terrorist organisation. Instead, the High Court convened to decide if co-founder</w:t>
      </w:r>
      <w:r w:rsidR="00152010">
        <w:rPr>
          <w:rFonts w:ascii="Arial" w:hAnsi="Arial" w:cs="Arial"/>
          <w:sz w:val="24"/>
          <w:szCs w:val="24"/>
        </w:rPr>
        <w:t>,</w:t>
      </w:r>
      <w:r w:rsidRPr="00ED6D3F">
        <w:rPr>
          <w:rFonts w:ascii="Arial" w:hAnsi="Arial" w:cs="Arial"/>
          <w:sz w:val="24"/>
          <w:szCs w:val="24"/>
        </w:rPr>
        <w:t xml:space="preserve"> Huda Ammori</w:t>
      </w:r>
      <w:r w:rsidR="00152010">
        <w:rPr>
          <w:rFonts w:ascii="Arial" w:hAnsi="Arial" w:cs="Arial"/>
          <w:sz w:val="24"/>
          <w:szCs w:val="24"/>
        </w:rPr>
        <w:t>,</w:t>
      </w:r>
      <w:r w:rsidRPr="00ED6D3F">
        <w:rPr>
          <w:rFonts w:ascii="Arial" w:hAnsi="Arial" w:cs="Arial"/>
          <w:sz w:val="24"/>
          <w:szCs w:val="24"/>
        </w:rPr>
        <w:t xml:space="preserve"> should be granted permission to proceed with a full judicial review</w:t>
      </w:r>
      <w:r w:rsidR="00EC61E6">
        <w:rPr>
          <w:rFonts w:ascii="Arial" w:hAnsi="Arial" w:cs="Arial"/>
          <w:sz w:val="24"/>
          <w:szCs w:val="24"/>
        </w:rPr>
        <w:t>,</w:t>
      </w:r>
      <w:r w:rsidRPr="00ED6D3F">
        <w:rPr>
          <w:rFonts w:ascii="Arial" w:hAnsi="Arial" w:cs="Arial"/>
          <w:sz w:val="24"/>
          <w:szCs w:val="24"/>
        </w:rPr>
        <w:t xml:space="preserve"> challenging the ban. The outcome of the High Court’s decision may set a precedent for how the law interprets protest actions within the framework of national security as it could confirm a broader definition of terrorism to include non-violent but disruptive acts, effectively stretching the legal definition of terrorism into the protest domain. This case exemplifies the tension between maintaining public order and preserving civil liberties. The question remains whether the state is protecting the public or suppressing resistance, a distinction that may define the future of protest policing in the UK.</w:t>
      </w:r>
      <w:r w:rsidR="00592379">
        <w:rPr>
          <w:rFonts w:ascii="Arial" w:hAnsi="Arial" w:cs="Arial"/>
          <w:sz w:val="24"/>
          <w:szCs w:val="24"/>
        </w:rPr>
        <w:t xml:space="preserve"> 594</w:t>
      </w:r>
    </w:p>
    <w:p w14:paraId="1A266CEA" w14:textId="77777777" w:rsidR="00A161A4" w:rsidRPr="00CB7917" w:rsidRDefault="00A161A4" w:rsidP="00A161A4">
      <w:pPr>
        <w:rPr>
          <w:rFonts w:ascii="Arial" w:hAnsi="Arial" w:cs="Arial"/>
          <w:sz w:val="24"/>
          <w:szCs w:val="24"/>
        </w:rPr>
      </w:pPr>
    </w:p>
    <w:p w14:paraId="3A25457A" w14:textId="77777777" w:rsidR="00F06157" w:rsidRPr="00CB7917" w:rsidRDefault="00F06157" w:rsidP="00EE40B3">
      <w:pPr>
        <w:pStyle w:val="Heading2"/>
        <w:rPr>
          <w:rFonts w:ascii="Arial" w:hAnsi="Arial" w:cs="Arial"/>
          <w:sz w:val="24"/>
          <w:szCs w:val="24"/>
        </w:rPr>
      </w:pPr>
      <w:bookmarkStart w:id="3" w:name="_Toc201861084"/>
      <w:r w:rsidRPr="00CB7917">
        <w:rPr>
          <w:rFonts w:ascii="Arial" w:hAnsi="Arial" w:cs="Arial"/>
          <w:sz w:val="24"/>
          <w:szCs w:val="24"/>
        </w:rPr>
        <w:t>Surveillance Technologies: Navigating Innovation, Oversight, and Public Trust</w:t>
      </w:r>
      <w:bookmarkEnd w:id="3"/>
    </w:p>
    <w:p w14:paraId="6BF49B93" w14:textId="56F2CDB9" w:rsidR="00BF1981" w:rsidRPr="00BF1981" w:rsidRDefault="00BF1981" w:rsidP="00BF1981">
      <w:pPr>
        <w:spacing w:line="360" w:lineRule="auto"/>
        <w:rPr>
          <w:rFonts w:ascii="Arial" w:hAnsi="Arial" w:cs="Arial"/>
          <w:sz w:val="24"/>
          <w:szCs w:val="24"/>
        </w:rPr>
      </w:pPr>
      <w:r w:rsidRPr="00BF1981">
        <w:rPr>
          <w:rFonts w:ascii="Arial" w:hAnsi="Arial" w:cs="Arial"/>
          <w:sz w:val="24"/>
          <w:szCs w:val="24"/>
        </w:rPr>
        <w:t xml:space="preserve">Facial </w:t>
      </w:r>
      <w:r w:rsidR="001C5186">
        <w:rPr>
          <w:rFonts w:ascii="Arial" w:hAnsi="Arial" w:cs="Arial"/>
          <w:sz w:val="24"/>
          <w:szCs w:val="24"/>
        </w:rPr>
        <w:t>R</w:t>
      </w:r>
      <w:r w:rsidRPr="00BF1981">
        <w:rPr>
          <w:rFonts w:ascii="Arial" w:hAnsi="Arial" w:cs="Arial"/>
          <w:sz w:val="24"/>
          <w:szCs w:val="24"/>
        </w:rPr>
        <w:t xml:space="preserve">ecognition </w:t>
      </w:r>
      <w:r w:rsidR="001C5186">
        <w:rPr>
          <w:rFonts w:ascii="Arial" w:hAnsi="Arial" w:cs="Arial"/>
          <w:sz w:val="24"/>
          <w:szCs w:val="24"/>
        </w:rPr>
        <w:t>T</w:t>
      </w:r>
      <w:r w:rsidRPr="00BF1981">
        <w:rPr>
          <w:rFonts w:ascii="Arial" w:hAnsi="Arial" w:cs="Arial"/>
          <w:sz w:val="24"/>
          <w:szCs w:val="24"/>
        </w:rPr>
        <w:t xml:space="preserve">echnology (FRT) has emerged as a key area where political decisions, policing strategies, and public concerns </w:t>
      </w:r>
      <w:r w:rsidR="00C1520A">
        <w:rPr>
          <w:rFonts w:ascii="Arial" w:hAnsi="Arial" w:cs="Arial"/>
          <w:sz w:val="24"/>
          <w:szCs w:val="24"/>
        </w:rPr>
        <w:t>overlap</w:t>
      </w:r>
      <w:r w:rsidRPr="00BF1981">
        <w:rPr>
          <w:rFonts w:ascii="Arial" w:hAnsi="Arial" w:cs="Arial"/>
          <w:sz w:val="24"/>
          <w:szCs w:val="24"/>
        </w:rPr>
        <w:t xml:space="preserve">. Used in cities like London and Cardiff, live facial recognition has been promoted as a tool to enhance efficiency and help identify known offenders (South Wales Police, 2020). However, its deployment has generated widespread criticism, particularly over issues of </w:t>
      </w:r>
      <w:r w:rsidRPr="00BF1981">
        <w:rPr>
          <w:rFonts w:ascii="Arial" w:hAnsi="Arial" w:cs="Arial"/>
          <w:sz w:val="24"/>
          <w:szCs w:val="24"/>
        </w:rPr>
        <w:lastRenderedPageBreak/>
        <w:t>privacy, discrimination, and lack of public accountability</w:t>
      </w:r>
      <w:r w:rsidR="008662DC">
        <w:rPr>
          <w:rFonts w:ascii="Arial" w:hAnsi="Arial" w:cs="Arial"/>
          <w:sz w:val="24"/>
          <w:szCs w:val="24"/>
        </w:rPr>
        <w:t>.</w:t>
      </w:r>
      <w:r w:rsidRPr="00BF1981">
        <w:rPr>
          <w:rFonts w:ascii="Arial" w:hAnsi="Arial" w:cs="Arial"/>
          <w:sz w:val="24"/>
          <w:szCs w:val="24"/>
        </w:rPr>
        <w:t xml:space="preserve"> Big Brother Watch</w:t>
      </w:r>
      <w:r w:rsidR="008662DC">
        <w:rPr>
          <w:rFonts w:ascii="Arial" w:hAnsi="Arial" w:cs="Arial"/>
          <w:sz w:val="24"/>
          <w:szCs w:val="24"/>
        </w:rPr>
        <w:t xml:space="preserve"> (</w:t>
      </w:r>
      <w:r w:rsidRPr="00BF1981">
        <w:rPr>
          <w:rFonts w:ascii="Arial" w:hAnsi="Arial" w:cs="Arial"/>
          <w:sz w:val="24"/>
          <w:szCs w:val="24"/>
        </w:rPr>
        <w:t>2021)</w:t>
      </w:r>
      <w:r w:rsidR="008662DC">
        <w:rPr>
          <w:rFonts w:ascii="Arial" w:hAnsi="Arial" w:cs="Arial"/>
          <w:sz w:val="24"/>
          <w:szCs w:val="24"/>
        </w:rPr>
        <w:t xml:space="preserve"> </w:t>
      </w:r>
      <w:r w:rsidR="00A81EBE">
        <w:rPr>
          <w:rFonts w:ascii="Arial" w:hAnsi="Arial" w:cs="Arial"/>
          <w:sz w:val="24"/>
          <w:szCs w:val="24"/>
        </w:rPr>
        <w:t>reports on</w:t>
      </w:r>
      <w:r w:rsidR="008662DC">
        <w:rPr>
          <w:rFonts w:ascii="Arial" w:hAnsi="Arial" w:cs="Arial"/>
          <w:sz w:val="24"/>
          <w:szCs w:val="24"/>
        </w:rPr>
        <w:t xml:space="preserve"> </w:t>
      </w:r>
      <w:r w:rsidR="008662DC" w:rsidRPr="008662DC">
        <w:rPr>
          <w:rFonts w:ascii="Arial" w:hAnsi="Arial" w:cs="Arial"/>
          <w:sz w:val="24"/>
          <w:szCs w:val="24"/>
        </w:rPr>
        <w:t>how UK police rapidly rolled out facial recognition tech</w:t>
      </w:r>
      <w:r w:rsidR="000B3D37">
        <w:rPr>
          <w:rFonts w:ascii="Arial" w:hAnsi="Arial" w:cs="Arial"/>
          <w:sz w:val="24"/>
          <w:szCs w:val="24"/>
        </w:rPr>
        <w:t>nology</w:t>
      </w:r>
      <w:r w:rsidR="000A176E">
        <w:rPr>
          <w:rFonts w:ascii="Arial" w:hAnsi="Arial" w:cs="Arial"/>
          <w:sz w:val="24"/>
          <w:szCs w:val="24"/>
        </w:rPr>
        <w:t xml:space="preserve">, </w:t>
      </w:r>
      <w:r w:rsidR="008662DC" w:rsidRPr="008662DC">
        <w:rPr>
          <w:rFonts w:ascii="Arial" w:hAnsi="Arial" w:cs="Arial"/>
          <w:sz w:val="24"/>
          <w:szCs w:val="24"/>
        </w:rPr>
        <w:t>with minimal legal safeguards</w:t>
      </w:r>
      <w:r w:rsidR="000A176E">
        <w:rPr>
          <w:rFonts w:ascii="Arial" w:hAnsi="Arial" w:cs="Arial"/>
          <w:sz w:val="24"/>
          <w:szCs w:val="24"/>
        </w:rPr>
        <w:t xml:space="preserve"> and argued that it </w:t>
      </w:r>
      <w:r w:rsidR="008662DC" w:rsidRPr="008662DC">
        <w:rPr>
          <w:rFonts w:ascii="Arial" w:hAnsi="Arial" w:cs="Arial"/>
          <w:sz w:val="24"/>
          <w:szCs w:val="24"/>
        </w:rPr>
        <w:t>pos</w:t>
      </w:r>
      <w:r w:rsidR="000A176E">
        <w:rPr>
          <w:rFonts w:ascii="Arial" w:hAnsi="Arial" w:cs="Arial"/>
          <w:sz w:val="24"/>
          <w:szCs w:val="24"/>
        </w:rPr>
        <w:t>es</w:t>
      </w:r>
      <w:r w:rsidR="008662DC" w:rsidRPr="008662DC">
        <w:rPr>
          <w:rFonts w:ascii="Arial" w:hAnsi="Arial" w:cs="Arial"/>
          <w:sz w:val="24"/>
          <w:szCs w:val="24"/>
        </w:rPr>
        <w:t xml:space="preserve"> a serious threat to privacy, civil liberties, and racial justice.</w:t>
      </w:r>
      <w:r w:rsidR="00A9177A">
        <w:rPr>
          <w:rFonts w:ascii="Arial" w:hAnsi="Arial" w:cs="Arial"/>
          <w:sz w:val="24"/>
          <w:szCs w:val="24"/>
        </w:rPr>
        <w:t xml:space="preserve"> </w:t>
      </w:r>
      <w:r w:rsidR="00A9177A" w:rsidRPr="00A9177A">
        <w:rPr>
          <w:rFonts w:ascii="Arial" w:hAnsi="Arial" w:cs="Arial"/>
          <w:sz w:val="24"/>
          <w:szCs w:val="24"/>
        </w:rPr>
        <w:t xml:space="preserve">The report cited that </w:t>
      </w:r>
      <w:r w:rsidR="000B3D37">
        <w:rPr>
          <w:rFonts w:ascii="Arial" w:hAnsi="Arial" w:cs="Arial"/>
          <w:sz w:val="24"/>
          <w:szCs w:val="24"/>
        </w:rPr>
        <w:t>f</w:t>
      </w:r>
      <w:r w:rsidR="00A9177A" w:rsidRPr="00A9177A">
        <w:rPr>
          <w:rFonts w:ascii="Arial" w:hAnsi="Arial" w:cs="Arial"/>
          <w:sz w:val="24"/>
          <w:szCs w:val="24"/>
        </w:rPr>
        <w:t xml:space="preserve">reedom of </w:t>
      </w:r>
      <w:r w:rsidR="000B3D37">
        <w:rPr>
          <w:rFonts w:ascii="Arial" w:hAnsi="Arial" w:cs="Arial"/>
          <w:sz w:val="24"/>
          <w:szCs w:val="24"/>
        </w:rPr>
        <w:t>i</w:t>
      </w:r>
      <w:r w:rsidR="00A9177A" w:rsidRPr="00A9177A">
        <w:rPr>
          <w:rFonts w:ascii="Arial" w:hAnsi="Arial" w:cs="Arial"/>
          <w:sz w:val="24"/>
          <w:szCs w:val="24"/>
        </w:rPr>
        <w:t>nformation data revealed around 95% of alerts were false positives</w:t>
      </w:r>
      <w:r w:rsidR="000B3D37">
        <w:rPr>
          <w:rFonts w:ascii="Arial" w:hAnsi="Arial" w:cs="Arial"/>
          <w:sz w:val="24"/>
          <w:szCs w:val="24"/>
        </w:rPr>
        <w:t>.</w:t>
      </w:r>
    </w:p>
    <w:p w14:paraId="22015363" w14:textId="2826797A" w:rsidR="00BF1981" w:rsidRPr="00BF1981" w:rsidRDefault="00BF1981" w:rsidP="00BF1981">
      <w:pPr>
        <w:spacing w:line="360" w:lineRule="auto"/>
        <w:rPr>
          <w:rFonts w:ascii="Arial" w:hAnsi="Arial" w:cs="Arial"/>
          <w:sz w:val="24"/>
          <w:szCs w:val="24"/>
        </w:rPr>
      </w:pPr>
      <w:r w:rsidRPr="00BF1981">
        <w:rPr>
          <w:rFonts w:ascii="Arial" w:hAnsi="Arial" w:cs="Arial"/>
          <w:sz w:val="24"/>
          <w:szCs w:val="24"/>
        </w:rPr>
        <w:t>The political dimension of FRT is evident in how it has been introduced without clear legislation or democratic scrutiny. Although often justified under national security or crime prevention, critics warn that its unchecked use risks ‘mission creep’</w:t>
      </w:r>
      <w:r w:rsidR="003B3C67">
        <w:rPr>
          <w:rFonts w:ascii="Arial" w:hAnsi="Arial" w:cs="Arial"/>
          <w:sz w:val="24"/>
          <w:szCs w:val="24"/>
        </w:rPr>
        <w:t xml:space="preserve"> </w:t>
      </w:r>
      <w:r w:rsidRPr="00BF1981">
        <w:rPr>
          <w:rFonts w:ascii="Arial" w:hAnsi="Arial" w:cs="Arial"/>
          <w:sz w:val="24"/>
          <w:szCs w:val="24"/>
        </w:rPr>
        <w:t>where surveillance tools are used for purposes beyond their original scope</w:t>
      </w:r>
      <w:r w:rsidR="009F1795">
        <w:rPr>
          <w:rFonts w:ascii="Arial" w:hAnsi="Arial" w:cs="Arial"/>
          <w:sz w:val="24"/>
          <w:szCs w:val="24"/>
        </w:rPr>
        <w:t>. Garvie (2019) is one such critic,</w:t>
      </w:r>
      <w:r w:rsidR="001F5929">
        <w:rPr>
          <w:rFonts w:ascii="Arial" w:hAnsi="Arial" w:cs="Arial"/>
          <w:sz w:val="24"/>
          <w:szCs w:val="24"/>
        </w:rPr>
        <w:t xml:space="preserve"> and</w:t>
      </w:r>
      <w:r w:rsidR="009F1795">
        <w:rPr>
          <w:rFonts w:ascii="Arial" w:hAnsi="Arial" w:cs="Arial"/>
          <w:sz w:val="24"/>
          <w:szCs w:val="24"/>
        </w:rPr>
        <w:t xml:space="preserve"> </w:t>
      </w:r>
      <w:r w:rsidR="009F4468">
        <w:rPr>
          <w:rFonts w:ascii="Arial" w:hAnsi="Arial" w:cs="Arial"/>
          <w:sz w:val="24"/>
          <w:szCs w:val="24"/>
        </w:rPr>
        <w:t xml:space="preserve">argues that </w:t>
      </w:r>
      <w:r w:rsidR="00927724">
        <w:rPr>
          <w:rFonts w:ascii="Arial" w:hAnsi="Arial" w:cs="Arial"/>
          <w:sz w:val="24"/>
          <w:szCs w:val="24"/>
        </w:rPr>
        <w:t>FRT</w:t>
      </w:r>
      <w:r w:rsidR="009F4468" w:rsidRPr="009F4468">
        <w:rPr>
          <w:rFonts w:ascii="Arial" w:hAnsi="Arial" w:cs="Arial"/>
          <w:sz w:val="24"/>
          <w:szCs w:val="24"/>
        </w:rPr>
        <w:t xml:space="preserve"> should be banned where it</w:t>
      </w:r>
      <w:r w:rsidR="009F4468">
        <w:rPr>
          <w:rFonts w:ascii="Arial" w:hAnsi="Arial" w:cs="Arial"/>
          <w:sz w:val="24"/>
          <w:szCs w:val="24"/>
        </w:rPr>
        <w:t xml:space="preserve"> is</w:t>
      </w:r>
      <w:r w:rsidR="009F4468" w:rsidRPr="009F4468">
        <w:rPr>
          <w:rFonts w:ascii="Arial" w:hAnsi="Arial" w:cs="Arial"/>
          <w:sz w:val="24"/>
          <w:szCs w:val="24"/>
        </w:rPr>
        <w:t xml:space="preserve"> hard to justify</w:t>
      </w:r>
      <w:r w:rsidR="009F4468">
        <w:rPr>
          <w:rFonts w:ascii="Arial" w:hAnsi="Arial" w:cs="Arial"/>
          <w:sz w:val="24"/>
          <w:szCs w:val="24"/>
        </w:rPr>
        <w:t xml:space="preserve">, </w:t>
      </w:r>
      <w:r w:rsidR="009F4468" w:rsidRPr="009F4468">
        <w:rPr>
          <w:rFonts w:ascii="Arial" w:hAnsi="Arial" w:cs="Arial"/>
          <w:sz w:val="24"/>
          <w:szCs w:val="24"/>
        </w:rPr>
        <w:t>especially in public spaces and for peaceful assemblies</w:t>
      </w:r>
      <w:r w:rsidR="00C43CE6">
        <w:rPr>
          <w:rFonts w:ascii="Arial" w:hAnsi="Arial" w:cs="Arial"/>
          <w:sz w:val="24"/>
          <w:szCs w:val="24"/>
        </w:rPr>
        <w:t xml:space="preserve">. </w:t>
      </w:r>
      <w:r w:rsidRPr="00BF1981">
        <w:rPr>
          <w:rFonts w:ascii="Arial" w:hAnsi="Arial" w:cs="Arial"/>
          <w:sz w:val="24"/>
          <w:szCs w:val="24"/>
        </w:rPr>
        <w:t>Research has also raised concerns about the opaque relationships between police forces and private technology vendors, with limited independent oversight to ensure ethical standards are met</w:t>
      </w:r>
      <w:r w:rsidR="00F20780">
        <w:rPr>
          <w:rFonts w:ascii="Arial" w:hAnsi="Arial" w:cs="Arial"/>
          <w:sz w:val="24"/>
          <w:szCs w:val="24"/>
        </w:rPr>
        <w:t>.</w:t>
      </w:r>
      <w:r w:rsidRPr="00BF1981">
        <w:rPr>
          <w:rFonts w:ascii="Arial" w:hAnsi="Arial" w:cs="Arial"/>
          <w:sz w:val="24"/>
          <w:szCs w:val="24"/>
        </w:rPr>
        <w:t xml:space="preserve"> Fussey and Murray</w:t>
      </w:r>
      <w:r w:rsidR="00F20780">
        <w:rPr>
          <w:rFonts w:ascii="Arial" w:hAnsi="Arial" w:cs="Arial"/>
          <w:sz w:val="24"/>
          <w:szCs w:val="24"/>
        </w:rPr>
        <w:t xml:space="preserve"> (</w:t>
      </w:r>
      <w:r w:rsidRPr="00BF1981">
        <w:rPr>
          <w:rFonts w:ascii="Arial" w:hAnsi="Arial" w:cs="Arial"/>
          <w:sz w:val="24"/>
          <w:szCs w:val="24"/>
        </w:rPr>
        <w:t>2019)</w:t>
      </w:r>
      <w:r w:rsidR="00F20780">
        <w:rPr>
          <w:rFonts w:ascii="Arial" w:hAnsi="Arial" w:cs="Arial"/>
          <w:sz w:val="24"/>
          <w:szCs w:val="24"/>
        </w:rPr>
        <w:t xml:space="preserve"> </w:t>
      </w:r>
      <w:r w:rsidR="00961796">
        <w:rPr>
          <w:rFonts w:ascii="Arial" w:hAnsi="Arial" w:cs="Arial"/>
          <w:sz w:val="24"/>
          <w:szCs w:val="24"/>
        </w:rPr>
        <w:t>critically assessed the Met</w:t>
      </w:r>
      <w:r w:rsidR="00927724">
        <w:rPr>
          <w:rFonts w:ascii="Arial" w:hAnsi="Arial" w:cs="Arial"/>
          <w:sz w:val="24"/>
          <w:szCs w:val="24"/>
        </w:rPr>
        <w:t>ropolitan Police</w:t>
      </w:r>
      <w:r w:rsidR="00961796">
        <w:rPr>
          <w:rFonts w:ascii="Arial" w:hAnsi="Arial" w:cs="Arial"/>
          <w:sz w:val="24"/>
          <w:szCs w:val="24"/>
        </w:rPr>
        <w:t xml:space="preserve">’s use of </w:t>
      </w:r>
      <w:r w:rsidR="00927724">
        <w:rPr>
          <w:rFonts w:ascii="Arial" w:hAnsi="Arial" w:cs="Arial"/>
          <w:sz w:val="24"/>
          <w:szCs w:val="24"/>
        </w:rPr>
        <w:t>FRT</w:t>
      </w:r>
      <w:r w:rsidR="00961796">
        <w:rPr>
          <w:rFonts w:ascii="Arial" w:hAnsi="Arial" w:cs="Arial"/>
          <w:sz w:val="24"/>
          <w:szCs w:val="24"/>
        </w:rPr>
        <w:t xml:space="preserve"> during public trials</w:t>
      </w:r>
      <w:r w:rsidR="002F4FAA">
        <w:rPr>
          <w:rFonts w:ascii="Arial" w:hAnsi="Arial" w:cs="Arial"/>
          <w:sz w:val="24"/>
          <w:szCs w:val="24"/>
        </w:rPr>
        <w:t xml:space="preserve"> and identified </w:t>
      </w:r>
      <w:r w:rsidR="002F4FAA" w:rsidRPr="002F4FAA">
        <w:rPr>
          <w:rFonts w:ascii="Arial" w:hAnsi="Arial" w:cs="Arial"/>
          <w:sz w:val="24"/>
          <w:szCs w:val="24"/>
        </w:rPr>
        <w:t xml:space="preserve">significant operational, legal, and ethical concerns, </w:t>
      </w:r>
      <w:r w:rsidR="002F4FAA">
        <w:rPr>
          <w:rFonts w:ascii="Arial" w:hAnsi="Arial" w:cs="Arial"/>
          <w:sz w:val="24"/>
          <w:szCs w:val="24"/>
        </w:rPr>
        <w:t xml:space="preserve">again </w:t>
      </w:r>
      <w:r w:rsidR="002F4FAA" w:rsidRPr="002F4FAA">
        <w:rPr>
          <w:rFonts w:ascii="Arial" w:hAnsi="Arial" w:cs="Arial"/>
          <w:sz w:val="24"/>
          <w:szCs w:val="24"/>
        </w:rPr>
        <w:t>including issues related to mission creep</w:t>
      </w:r>
      <w:r w:rsidR="002F4FAA">
        <w:rPr>
          <w:rFonts w:ascii="Arial" w:hAnsi="Arial" w:cs="Arial"/>
          <w:sz w:val="24"/>
          <w:szCs w:val="24"/>
        </w:rPr>
        <w:t>.</w:t>
      </w:r>
      <w:r w:rsidR="00D022AF">
        <w:rPr>
          <w:rFonts w:ascii="Arial" w:hAnsi="Arial" w:cs="Arial"/>
          <w:sz w:val="24"/>
          <w:szCs w:val="24"/>
        </w:rPr>
        <w:t xml:space="preserve"> Their report highlighted </w:t>
      </w:r>
      <w:r w:rsidR="00D022AF" w:rsidRPr="00D022AF">
        <w:rPr>
          <w:rFonts w:ascii="Arial" w:hAnsi="Arial" w:cs="Arial"/>
          <w:sz w:val="24"/>
          <w:szCs w:val="24"/>
        </w:rPr>
        <w:t>the importance of establishing robust legal frameworks and ethical guidelines to govern the use of surveillance technologies in public spaces, ensuring that their deployment does not infringe upon individual rights or lead to unintended consequences.</w:t>
      </w:r>
    </w:p>
    <w:p w14:paraId="23A534A8" w14:textId="0D103F50" w:rsidR="00580F71" w:rsidRDefault="00BF1981" w:rsidP="00BF1981">
      <w:pPr>
        <w:spacing w:line="360" w:lineRule="auto"/>
        <w:rPr>
          <w:rFonts w:ascii="Arial" w:hAnsi="Arial" w:cs="Arial"/>
          <w:sz w:val="24"/>
          <w:szCs w:val="24"/>
        </w:rPr>
      </w:pPr>
      <w:r w:rsidRPr="00BF1981">
        <w:rPr>
          <w:rFonts w:ascii="Arial" w:hAnsi="Arial" w:cs="Arial"/>
          <w:sz w:val="24"/>
          <w:szCs w:val="24"/>
        </w:rPr>
        <w:t xml:space="preserve">At the national level, the Home Office has supported FRT trials without carrying out meaningful public consultation. This raises questions about technocratic governance, where decisions are made by experts or institutions without adequate public input (Joh, 2017). Supporters argue that FRT offers a necessary boost to policing at a time of resource constraints and increasing demand for digital intelligence (Brayne, 2017). </w:t>
      </w:r>
      <w:r w:rsidR="006F0B52">
        <w:rPr>
          <w:rFonts w:ascii="Arial" w:hAnsi="Arial" w:cs="Arial"/>
          <w:sz w:val="24"/>
          <w:szCs w:val="24"/>
        </w:rPr>
        <w:t xml:space="preserve">However, it is to be noted that </w:t>
      </w:r>
      <w:r w:rsidR="006F0B52" w:rsidRPr="006F0B52">
        <w:rPr>
          <w:rFonts w:ascii="Arial" w:hAnsi="Arial" w:cs="Arial"/>
          <w:sz w:val="24"/>
          <w:szCs w:val="24"/>
        </w:rPr>
        <w:t>Brayne’s study</w:t>
      </w:r>
      <w:r w:rsidR="003E61E8">
        <w:rPr>
          <w:rFonts w:ascii="Arial" w:hAnsi="Arial" w:cs="Arial"/>
          <w:sz w:val="24"/>
          <w:szCs w:val="24"/>
        </w:rPr>
        <w:t xml:space="preserve"> </w:t>
      </w:r>
      <w:r w:rsidR="00C007B7">
        <w:rPr>
          <w:rFonts w:ascii="Arial" w:hAnsi="Arial" w:cs="Arial"/>
          <w:sz w:val="24"/>
          <w:szCs w:val="24"/>
        </w:rPr>
        <w:t>also addresses the</w:t>
      </w:r>
      <w:r w:rsidR="006F0B52" w:rsidRPr="006F0B52">
        <w:rPr>
          <w:rFonts w:ascii="Arial" w:hAnsi="Arial" w:cs="Arial"/>
          <w:sz w:val="24"/>
          <w:szCs w:val="24"/>
        </w:rPr>
        <w:t xml:space="preserve"> significant challenges related to bias, privacy, and social inequalit</w:t>
      </w:r>
      <w:r w:rsidR="00D737D9">
        <w:rPr>
          <w:rFonts w:ascii="Arial" w:hAnsi="Arial" w:cs="Arial"/>
          <w:sz w:val="24"/>
          <w:szCs w:val="24"/>
        </w:rPr>
        <w:t xml:space="preserve">y. </w:t>
      </w:r>
      <w:r w:rsidR="001009D1">
        <w:rPr>
          <w:rFonts w:ascii="Arial" w:hAnsi="Arial" w:cs="Arial"/>
          <w:sz w:val="24"/>
          <w:szCs w:val="24"/>
        </w:rPr>
        <w:t>A</w:t>
      </w:r>
      <w:r w:rsidR="002F7A89">
        <w:rPr>
          <w:rFonts w:ascii="Arial" w:hAnsi="Arial" w:cs="Arial"/>
          <w:sz w:val="24"/>
          <w:szCs w:val="24"/>
        </w:rPr>
        <w:t xml:space="preserve"> report produced by Bu</w:t>
      </w:r>
      <w:r w:rsidR="001009D1">
        <w:rPr>
          <w:rFonts w:ascii="Arial" w:hAnsi="Arial" w:cs="Arial"/>
          <w:sz w:val="24"/>
          <w:szCs w:val="24"/>
        </w:rPr>
        <w:t>olamwini and Gebru (2018)</w:t>
      </w:r>
      <w:r w:rsidRPr="00BF1981">
        <w:rPr>
          <w:rFonts w:ascii="Arial" w:hAnsi="Arial" w:cs="Arial"/>
          <w:sz w:val="24"/>
          <w:szCs w:val="24"/>
        </w:rPr>
        <w:t xml:space="preserve"> shows the technology frequently misidentifies individuals</w:t>
      </w:r>
      <w:r w:rsidR="005247B0">
        <w:rPr>
          <w:rFonts w:ascii="Arial" w:hAnsi="Arial" w:cs="Arial"/>
          <w:sz w:val="24"/>
          <w:szCs w:val="24"/>
        </w:rPr>
        <w:t xml:space="preserve">, </w:t>
      </w:r>
      <w:r w:rsidRPr="00BF1981">
        <w:rPr>
          <w:rFonts w:ascii="Arial" w:hAnsi="Arial" w:cs="Arial"/>
          <w:sz w:val="24"/>
          <w:szCs w:val="24"/>
        </w:rPr>
        <w:t>particularly women and people from ethnic minority backgrounds</w:t>
      </w:r>
      <w:r w:rsidR="005247B0">
        <w:rPr>
          <w:rFonts w:ascii="Arial" w:hAnsi="Arial" w:cs="Arial"/>
          <w:sz w:val="24"/>
          <w:szCs w:val="24"/>
        </w:rPr>
        <w:t xml:space="preserve">, </w:t>
      </w:r>
      <w:r w:rsidRPr="00BF1981">
        <w:rPr>
          <w:rFonts w:ascii="Arial" w:hAnsi="Arial" w:cs="Arial"/>
          <w:sz w:val="24"/>
          <w:szCs w:val="24"/>
        </w:rPr>
        <w:t>highlighting the risks of built-in algorithmic bias</w:t>
      </w:r>
      <w:r w:rsidR="001009D1">
        <w:rPr>
          <w:rFonts w:ascii="Arial" w:hAnsi="Arial" w:cs="Arial"/>
          <w:sz w:val="24"/>
          <w:szCs w:val="24"/>
        </w:rPr>
        <w:t xml:space="preserve">. </w:t>
      </w:r>
      <w:r w:rsidR="001009D1" w:rsidRPr="001009D1">
        <w:rPr>
          <w:rFonts w:ascii="Arial" w:hAnsi="Arial" w:cs="Arial"/>
          <w:sz w:val="24"/>
          <w:szCs w:val="24"/>
        </w:rPr>
        <w:t>The</w:t>
      </w:r>
      <w:r w:rsidR="001009D1">
        <w:rPr>
          <w:rFonts w:ascii="Arial" w:hAnsi="Arial" w:cs="Arial"/>
          <w:sz w:val="24"/>
          <w:szCs w:val="24"/>
        </w:rPr>
        <w:t>ir</w:t>
      </w:r>
      <w:r w:rsidR="001009D1" w:rsidRPr="001009D1">
        <w:rPr>
          <w:rFonts w:ascii="Arial" w:hAnsi="Arial" w:cs="Arial"/>
          <w:sz w:val="24"/>
          <w:szCs w:val="24"/>
        </w:rPr>
        <w:t xml:space="preserve"> study </w:t>
      </w:r>
      <w:r w:rsidR="00970E51">
        <w:rPr>
          <w:rFonts w:ascii="Arial" w:hAnsi="Arial" w:cs="Arial"/>
          <w:sz w:val="24"/>
          <w:szCs w:val="24"/>
        </w:rPr>
        <w:t>highlights</w:t>
      </w:r>
      <w:r w:rsidR="001009D1" w:rsidRPr="001009D1">
        <w:rPr>
          <w:rFonts w:ascii="Arial" w:hAnsi="Arial" w:cs="Arial"/>
          <w:sz w:val="24"/>
          <w:szCs w:val="24"/>
        </w:rPr>
        <w:t xml:space="preserve"> the importance of diverse and representative datasets in training facial analysis systems</w:t>
      </w:r>
      <w:r w:rsidR="006F57AB">
        <w:rPr>
          <w:rFonts w:ascii="Arial" w:hAnsi="Arial" w:cs="Arial"/>
          <w:sz w:val="24"/>
          <w:szCs w:val="24"/>
        </w:rPr>
        <w:t xml:space="preserve"> and</w:t>
      </w:r>
      <w:r w:rsidR="00D73513">
        <w:rPr>
          <w:rFonts w:ascii="Arial" w:hAnsi="Arial" w:cs="Arial"/>
          <w:sz w:val="24"/>
          <w:szCs w:val="24"/>
        </w:rPr>
        <w:t xml:space="preserve"> </w:t>
      </w:r>
      <w:r w:rsidR="001009D1" w:rsidRPr="001009D1">
        <w:rPr>
          <w:rFonts w:ascii="Arial" w:hAnsi="Arial" w:cs="Arial"/>
          <w:sz w:val="24"/>
          <w:szCs w:val="24"/>
        </w:rPr>
        <w:t xml:space="preserve">the need for the technology industry to develop and implement more inclusive datasets </w:t>
      </w:r>
      <w:r w:rsidR="001009D1" w:rsidRPr="001009D1">
        <w:rPr>
          <w:rFonts w:ascii="Arial" w:hAnsi="Arial" w:cs="Arial"/>
          <w:sz w:val="24"/>
          <w:szCs w:val="24"/>
        </w:rPr>
        <w:lastRenderedPageBreak/>
        <w:t>and evaluation metrics to ensure fairness and accuracy across all demographic groups</w:t>
      </w:r>
      <w:r w:rsidR="00D73513">
        <w:rPr>
          <w:rFonts w:ascii="Arial" w:hAnsi="Arial" w:cs="Arial"/>
          <w:sz w:val="24"/>
          <w:szCs w:val="24"/>
        </w:rPr>
        <w:t>.</w:t>
      </w:r>
    </w:p>
    <w:p w14:paraId="24A33247" w14:textId="67D18518" w:rsidR="00BF1981" w:rsidRPr="00BF1981" w:rsidRDefault="00BF1981" w:rsidP="00BF1981">
      <w:pPr>
        <w:spacing w:line="360" w:lineRule="auto"/>
        <w:rPr>
          <w:rFonts w:ascii="Arial" w:hAnsi="Arial" w:cs="Arial"/>
          <w:sz w:val="24"/>
          <w:szCs w:val="24"/>
        </w:rPr>
      </w:pPr>
      <w:r w:rsidRPr="00BF1981">
        <w:rPr>
          <w:rFonts w:ascii="Arial" w:hAnsi="Arial" w:cs="Arial"/>
          <w:sz w:val="24"/>
          <w:szCs w:val="24"/>
        </w:rPr>
        <w:t xml:space="preserve">Regionally, the adoption of FRT has been uneven. In South Wales, legal action against its use resulted in a temporary suspension, showing how the courts can limit politically driven surveillance initiatives (South Wales Police, 2020). </w:t>
      </w:r>
      <w:r w:rsidR="00A80650">
        <w:rPr>
          <w:rFonts w:ascii="Arial" w:hAnsi="Arial" w:cs="Arial"/>
          <w:sz w:val="24"/>
          <w:szCs w:val="24"/>
        </w:rPr>
        <w:t xml:space="preserve">Following this judgement, South Wales Police </w:t>
      </w:r>
      <w:r w:rsidR="00A80650" w:rsidRPr="00A80650">
        <w:rPr>
          <w:rFonts w:ascii="Arial" w:hAnsi="Arial" w:cs="Arial"/>
          <w:sz w:val="24"/>
          <w:szCs w:val="24"/>
        </w:rPr>
        <w:t xml:space="preserve">commissioned academic analyses to assess potential biases in the technology. Subsequent reports, including one from the National Physical Laboratory, concluded that the </w:t>
      </w:r>
      <w:r w:rsidR="0031227B">
        <w:rPr>
          <w:rFonts w:ascii="Arial" w:hAnsi="Arial" w:cs="Arial"/>
          <w:sz w:val="24"/>
          <w:szCs w:val="24"/>
        </w:rPr>
        <w:t>FRT</w:t>
      </w:r>
      <w:r w:rsidR="00A80650" w:rsidRPr="00A80650">
        <w:rPr>
          <w:rFonts w:ascii="Arial" w:hAnsi="Arial" w:cs="Arial"/>
          <w:sz w:val="24"/>
          <w:szCs w:val="24"/>
        </w:rPr>
        <w:t xml:space="preserve"> system could be operated without breaching equality requirements. As a result, South Wales Police resumed trial deployments of</w:t>
      </w:r>
      <w:r w:rsidR="00CE1D50">
        <w:rPr>
          <w:rFonts w:ascii="Arial" w:hAnsi="Arial" w:cs="Arial"/>
          <w:sz w:val="24"/>
          <w:szCs w:val="24"/>
        </w:rPr>
        <w:t xml:space="preserve"> FRT</w:t>
      </w:r>
      <w:r w:rsidR="00A80650" w:rsidRPr="00A80650">
        <w:rPr>
          <w:rFonts w:ascii="Arial" w:hAnsi="Arial" w:cs="Arial"/>
          <w:sz w:val="24"/>
          <w:szCs w:val="24"/>
        </w:rPr>
        <w:t xml:space="preserve"> technology in 2022, with a focus on ensuring fairness and transparency in its application</w:t>
      </w:r>
      <w:r w:rsidR="00CE1D50">
        <w:rPr>
          <w:rFonts w:ascii="Arial" w:hAnsi="Arial" w:cs="Arial"/>
          <w:sz w:val="24"/>
          <w:szCs w:val="24"/>
        </w:rPr>
        <w:t>.</w:t>
      </w:r>
      <w:r w:rsidR="00A80650" w:rsidRPr="00A80650">
        <w:rPr>
          <w:rFonts w:ascii="Arial" w:hAnsi="Arial" w:cs="Arial"/>
          <w:sz w:val="24"/>
          <w:szCs w:val="24"/>
        </w:rPr>
        <w:t xml:space="preserve"> </w:t>
      </w:r>
      <w:r w:rsidRPr="00BF1981">
        <w:rPr>
          <w:rFonts w:ascii="Arial" w:hAnsi="Arial" w:cs="Arial"/>
          <w:sz w:val="24"/>
          <w:szCs w:val="24"/>
        </w:rPr>
        <w:t>In other areas, police forces have pressed ahead with limited transparency, prompting calls for more robust governance and clearer accountability (Cavoukian, 2020).</w:t>
      </w:r>
    </w:p>
    <w:p w14:paraId="23CC8BE9" w14:textId="7DE41A01" w:rsidR="00BF1981" w:rsidRPr="00BF1981" w:rsidRDefault="00BF1981" w:rsidP="00BF1981">
      <w:pPr>
        <w:spacing w:line="360" w:lineRule="auto"/>
        <w:rPr>
          <w:rFonts w:ascii="Arial" w:hAnsi="Arial" w:cs="Arial"/>
          <w:sz w:val="24"/>
          <w:szCs w:val="24"/>
        </w:rPr>
      </w:pPr>
      <w:r w:rsidRPr="00BF1981">
        <w:rPr>
          <w:rFonts w:ascii="Arial" w:hAnsi="Arial" w:cs="Arial"/>
          <w:sz w:val="24"/>
          <w:szCs w:val="24"/>
        </w:rPr>
        <w:t xml:space="preserve">Public engagement with FRT remains limited and often tokenistic. While some regions have established ethics panels or advisory groups, these bodies often lack influence, independence, or diversity (Big Brother Watch, 2021). Civil rights groups such as </w:t>
      </w:r>
      <w:r w:rsidR="00EC71F0">
        <w:rPr>
          <w:rFonts w:ascii="Arial" w:hAnsi="Arial" w:cs="Arial"/>
          <w:sz w:val="24"/>
          <w:szCs w:val="24"/>
        </w:rPr>
        <w:t xml:space="preserve">previously mentioned; </w:t>
      </w:r>
      <w:r w:rsidRPr="00BF1981">
        <w:rPr>
          <w:rFonts w:ascii="Arial" w:hAnsi="Arial" w:cs="Arial"/>
          <w:sz w:val="24"/>
          <w:szCs w:val="24"/>
        </w:rPr>
        <w:t>Liberty (2022)</w:t>
      </w:r>
      <w:r w:rsidR="00EC71F0">
        <w:rPr>
          <w:rFonts w:ascii="Arial" w:hAnsi="Arial" w:cs="Arial"/>
          <w:sz w:val="24"/>
          <w:szCs w:val="24"/>
        </w:rPr>
        <w:t>,</w:t>
      </w:r>
      <w:r w:rsidRPr="00BF1981">
        <w:rPr>
          <w:rFonts w:ascii="Arial" w:hAnsi="Arial" w:cs="Arial"/>
          <w:sz w:val="24"/>
          <w:szCs w:val="24"/>
        </w:rPr>
        <w:t xml:space="preserve"> advocate for a pause on the technology’s use until clear legal and ethical standards are put in place. Meanwhile, some surveys suggest parts of the public are increasingly willing to accept surveillance in exchange for a perceived increase in safety, revealing a divided and evolving public opinion</w:t>
      </w:r>
      <w:r w:rsidR="0069149F">
        <w:rPr>
          <w:rFonts w:ascii="Arial" w:hAnsi="Arial" w:cs="Arial"/>
          <w:sz w:val="24"/>
          <w:szCs w:val="24"/>
        </w:rPr>
        <w:t>.</w:t>
      </w:r>
      <w:r w:rsidRPr="00BF1981">
        <w:rPr>
          <w:rFonts w:ascii="Arial" w:hAnsi="Arial" w:cs="Arial"/>
          <w:sz w:val="24"/>
          <w:szCs w:val="24"/>
        </w:rPr>
        <w:t xml:space="preserve"> </w:t>
      </w:r>
      <w:r w:rsidR="0070657D" w:rsidRPr="0070657D">
        <w:rPr>
          <w:rFonts w:ascii="Arial" w:hAnsi="Arial" w:cs="Arial"/>
          <w:sz w:val="24"/>
          <w:szCs w:val="24"/>
        </w:rPr>
        <w:t xml:space="preserve">Zuboff </w:t>
      </w:r>
      <w:r w:rsidR="0070657D">
        <w:rPr>
          <w:rFonts w:ascii="Arial" w:hAnsi="Arial" w:cs="Arial"/>
          <w:sz w:val="24"/>
          <w:szCs w:val="24"/>
        </w:rPr>
        <w:t xml:space="preserve">(2019) </w:t>
      </w:r>
      <w:r w:rsidR="0070657D" w:rsidRPr="0070657D">
        <w:rPr>
          <w:rFonts w:ascii="Arial" w:hAnsi="Arial" w:cs="Arial"/>
          <w:sz w:val="24"/>
          <w:szCs w:val="24"/>
        </w:rPr>
        <w:t>warns that without critical public engagement and regulation, surveillance capitalism risks normali</w:t>
      </w:r>
      <w:r w:rsidR="0070657D">
        <w:rPr>
          <w:rFonts w:ascii="Arial" w:hAnsi="Arial" w:cs="Arial"/>
          <w:sz w:val="24"/>
          <w:szCs w:val="24"/>
        </w:rPr>
        <w:t>s</w:t>
      </w:r>
      <w:r w:rsidR="0070657D" w:rsidRPr="0070657D">
        <w:rPr>
          <w:rFonts w:ascii="Arial" w:hAnsi="Arial" w:cs="Arial"/>
          <w:sz w:val="24"/>
          <w:szCs w:val="24"/>
        </w:rPr>
        <w:t>ing invasive monitoring under the guise of safety, threatening human autonomy and democracy.</w:t>
      </w:r>
      <w:r w:rsidR="00592379">
        <w:rPr>
          <w:rFonts w:ascii="Arial" w:hAnsi="Arial" w:cs="Arial"/>
          <w:sz w:val="24"/>
          <w:szCs w:val="24"/>
        </w:rPr>
        <w:t xml:space="preserve"> 668</w:t>
      </w:r>
    </w:p>
    <w:p w14:paraId="18DC49DD" w14:textId="77777777" w:rsidR="00D64F03" w:rsidRPr="00CB7917" w:rsidRDefault="00D64F03" w:rsidP="00D64F03">
      <w:pPr>
        <w:rPr>
          <w:rFonts w:ascii="Arial" w:hAnsi="Arial" w:cs="Arial"/>
          <w:sz w:val="24"/>
          <w:szCs w:val="24"/>
        </w:rPr>
      </w:pPr>
    </w:p>
    <w:p w14:paraId="75E1442A" w14:textId="3B425830" w:rsidR="00CC4D00" w:rsidRPr="00CB7917" w:rsidRDefault="00F06157" w:rsidP="00EE40B3">
      <w:pPr>
        <w:pStyle w:val="Heading1"/>
        <w:rPr>
          <w:rFonts w:ascii="Arial" w:hAnsi="Arial" w:cs="Arial"/>
          <w:sz w:val="24"/>
          <w:szCs w:val="24"/>
        </w:rPr>
      </w:pPr>
      <w:bookmarkStart w:id="4" w:name="_Toc201861085"/>
      <w:r w:rsidRPr="00CB7917">
        <w:rPr>
          <w:rFonts w:ascii="Arial" w:hAnsi="Arial" w:cs="Arial"/>
          <w:sz w:val="24"/>
          <w:szCs w:val="24"/>
        </w:rPr>
        <w:t>Conclusion</w:t>
      </w:r>
      <w:bookmarkEnd w:id="4"/>
    </w:p>
    <w:p w14:paraId="47590DD0" w14:textId="26CE7873" w:rsidR="003978C9" w:rsidRPr="003978C9" w:rsidRDefault="003978C9" w:rsidP="003978C9">
      <w:pPr>
        <w:spacing w:line="360" w:lineRule="auto"/>
        <w:rPr>
          <w:rFonts w:ascii="Arial" w:hAnsi="Arial" w:cs="Arial"/>
          <w:sz w:val="24"/>
          <w:szCs w:val="24"/>
        </w:rPr>
      </w:pPr>
      <w:r w:rsidRPr="003978C9">
        <w:rPr>
          <w:rFonts w:ascii="Arial" w:hAnsi="Arial" w:cs="Arial"/>
          <w:sz w:val="24"/>
          <w:szCs w:val="24"/>
        </w:rPr>
        <w:t xml:space="preserve">The relationship between political power, policing strategies, and public involvement is marked by ongoing tensions, particularly in areas such as protest policing and surveillance technologies. As this report has shown, political agendas have a strong influence on how policing is carried out, often prioritising public order and control over civil liberties and democratic participation (Ewing and Tham, 2023; Liberty, 2022). In recent years, protest policing has shifted from enabling peaceful assembly to increasingly restricting it, raising concerns about the weakening of fundamental </w:t>
      </w:r>
      <w:r w:rsidRPr="003978C9">
        <w:rPr>
          <w:rFonts w:ascii="Arial" w:hAnsi="Arial" w:cs="Arial"/>
          <w:sz w:val="24"/>
          <w:szCs w:val="24"/>
        </w:rPr>
        <w:lastRenderedPageBreak/>
        <w:t xml:space="preserve">rights to free expression and </w:t>
      </w:r>
      <w:r w:rsidR="00E30AA1">
        <w:rPr>
          <w:rFonts w:ascii="Arial" w:hAnsi="Arial" w:cs="Arial"/>
          <w:sz w:val="24"/>
          <w:szCs w:val="24"/>
        </w:rPr>
        <w:t>objection</w:t>
      </w:r>
      <w:r w:rsidRPr="003978C9">
        <w:rPr>
          <w:rFonts w:ascii="Arial" w:hAnsi="Arial" w:cs="Arial"/>
          <w:sz w:val="24"/>
          <w:szCs w:val="24"/>
        </w:rPr>
        <w:t xml:space="preserve"> (Amnesty International, 2023).</w:t>
      </w:r>
      <w:r w:rsidR="00A05C7F">
        <w:rPr>
          <w:rFonts w:ascii="Arial" w:hAnsi="Arial" w:cs="Arial"/>
          <w:sz w:val="24"/>
          <w:szCs w:val="24"/>
        </w:rPr>
        <w:t xml:space="preserve"> </w:t>
      </w:r>
      <w:r w:rsidRPr="003978C9">
        <w:rPr>
          <w:rFonts w:ascii="Arial" w:hAnsi="Arial" w:cs="Arial"/>
          <w:sz w:val="24"/>
          <w:szCs w:val="24"/>
        </w:rPr>
        <w:t>Similarly, the use of FRT reflects a wider trend towards surveillance-led governance. These systems are often introduced with limited transparency or oversight, despite serious concerns about their accuracy, potential for discrimination, and implications for privacy (Fussey and Murray, 2019). While authorities often justify these measures as necessary for public safety and efficiency, such arguments frequently overlook the risks posed to public trust and democratic accountability (Zuboff, 2019).</w:t>
      </w:r>
      <w:r w:rsidR="00AF6E69">
        <w:rPr>
          <w:rFonts w:ascii="Arial" w:hAnsi="Arial" w:cs="Arial"/>
          <w:sz w:val="24"/>
          <w:szCs w:val="24"/>
        </w:rPr>
        <w:t xml:space="preserve"> </w:t>
      </w:r>
      <w:r w:rsidRPr="003978C9">
        <w:rPr>
          <w:rFonts w:ascii="Arial" w:hAnsi="Arial" w:cs="Arial"/>
          <w:sz w:val="24"/>
          <w:szCs w:val="24"/>
        </w:rPr>
        <w:t>Local mechanisms</w:t>
      </w:r>
      <w:r w:rsidR="00A90F8E">
        <w:rPr>
          <w:rFonts w:ascii="Arial" w:hAnsi="Arial" w:cs="Arial"/>
          <w:sz w:val="24"/>
          <w:szCs w:val="24"/>
        </w:rPr>
        <w:t xml:space="preserve"> </w:t>
      </w:r>
      <w:r w:rsidRPr="003978C9">
        <w:rPr>
          <w:rFonts w:ascii="Arial" w:hAnsi="Arial" w:cs="Arial"/>
          <w:sz w:val="24"/>
          <w:szCs w:val="24"/>
        </w:rPr>
        <w:t>such as PCCs and advisory ethics panels</w:t>
      </w:r>
      <w:r w:rsidR="00A90F8E">
        <w:rPr>
          <w:rFonts w:ascii="Arial" w:hAnsi="Arial" w:cs="Arial"/>
          <w:sz w:val="24"/>
          <w:szCs w:val="24"/>
        </w:rPr>
        <w:t xml:space="preserve"> </w:t>
      </w:r>
      <w:r w:rsidRPr="003978C9">
        <w:rPr>
          <w:rFonts w:ascii="Arial" w:hAnsi="Arial" w:cs="Arial"/>
          <w:sz w:val="24"/>
          <w:szCs w:val="24"/>
        </w:rPr>
        <w:t>can, in theory, provide checks and balance. However, their effectiveness is often constrained by national political pressures, inconsistent practices, and limited engagement with diverse public perspectives (Lister and Rowe, 2015).</w:t>
      </w:r>
    </w:p>
    <w:p w14:paraId="223FE434" w14:textId="66EAABA1" w:rsidR="000C1908" w:rsidRDefault="003978C9" w:rsidP="00B50579">
      <w:pPr>
        <w:spacing w:line="360" w:lineRule="auto"/>
        <w:rPr>
          <w:rFonts w:ascii="Arial" w:hAnsi="Arial" w:cs="Arial"/>
          <w:sz w:val="24"/>
          <w:szCs w:val="24"/>
        </w:rPr>
      </w:pPr>
      <w:r w:rsidRPr="003978C9">
        <w:rPr>
          <w:rFonts w:ascii="Arial" w:hAnsi="Arial" w:cs="Arial"/>
          <w:sz w:val="24"/>
          <w:szCs w:val="24"/>
        </w:rPr>
        <w:t>This report argues that meaningful reform is needed. Policing practices must be grounded in transparency, human rights, and genuine public dialogue. Without such changes, there is a real danger that public confidence in</w:t>
      </w:r>
      <w:r w:rsidR="007A6F18">
        <w:rPr>
          <w:rFonts w:ascii="Arial" w:hAnsi="Arial" w:cs="Arial"/>
          <w:sz w:val="24"/>
          <w:szCs w:val="24"/>
        </w:rPr>
        <w:t xml:space="preserve"> the police</w:t>
      </w:r>
      <w:r w:rsidRPr="003978C9">
        <w:rPr>
          <w:rFonts w:ascii="Arial" w:hAnsi="Arial" w:cs="Arial"/>
          <w:sz w:val="24"/>
          <w:szCs w:val="24"/>
        </w:rPr>
        <w:t xml:space="preserve"> will continue to decline, weakening the very foundations of democratic governance. The challenges explored here are not only about how policing is </w:t>
      </w:r>
      <w:r w:rsidR="00B50579">
        <w:rPr>
          <w:rFonts w:ascii="Arial" w:hAnsi="Arial" w:cs="Arial"/>
          <w:sz w:val="24"/>
          <w:szCs w:val="24"/>
        </w:rPr>
        <w:t>carried out</w:t>
      </w:r>
      <w:r w:rsidRPr="003978C9">
        <w:rPr>
          <w:rFonts w:ascii="Arial" w:hAnsi="Arial" w:cs="Arial"/>
          <w:sz w:val="24"/>
          <w:szCs w:val="24"/>
        </w:rPr>
        <w:t xml:space="preserve"> but also about what kind of society the UK aspires to be</w:t>
      </w:r>
      <w:r w:rsidR="00381A51">
        <w:rPr>
          <w:rFonts w:ascii="Arial" w:hAnsi="Arial" w:cs="Arial"/>
          <w:sz w:val="24"/>
          <w:szCs w:val="24"/>
        </w:rPr>
        <w:t xml:space="preserve">, </w:t>
      </w:r>
      <w:r w:rsidRPr="003978C9">
        <w:rPr>
          <w:rFonts w:ascii="Arial" w:hAnsi="Arial" w:cs="Arial"/>
          <w:sz w:val="24"/>
          <w:szCs w:val="24"/>
        </w:rPr>
        <w:t>a society governed by fear and control, or one rooted in accountability, fairness, and civic participation.</w:t>
      </w:r>
      <w:bookmarkStart w:id="5" w:name="_Toc201861086"/>
      <w:r w:rsidR="00592379">
        <w:rPr>
          <w:rFonts w:ascii="Arial" w:hAnsi="Arial" w:cs="Arial"/>
          <w:sz w:val="24"/>
          <w:szCs w:val="24"/>
        </w:rPr>
        <w:t xml:space="preserve"> 284 (1904)</w:t>
      </w:r>
    </w:p>
    <w:p w14:paraId="768C7EE0" w14:textId="77777777" w:rsidR="000C1908" w:rsidRDefault="000C1908">
      <w:pPr>
        <w:rPr>
          <w:rFonts w:ascii="Arial" w:hAnsi="Arial" w:cs="Arial"/>
          <w:sz w:val="24"/>
          <w:szCs w:val="24"/>
        </w:rPr>
      </w:pPr>
      <w:r>
        <w:rPr>
          <w:rFonts w:ascii="Arial" w:hAnsi="Arial" w:cs="Arial"/>
          <w:sz w:val="24"/>
          <w:szCs w:val="24"/>
        </w:rPr>
        <w:br w:type="page"/>
      </w:r>
    </w:p>
    <w:p w14:paraId="71C1D844" w14:textId="77777777" w:rsidR="003978C9" w:rsidRPr="00B50579" w:rsidRDefault="003978C9" w:rsidP="00B50579">
      <w:pPr>
        <w:spacing w:line="360" w:lineRule="auto"/>
        <w:rPr>
          <w:rFonts w:ascii="Arial" w:hAnsi="Arial" w:cs="Arial"/>
          <w:sz w:val="24"/>
          <w:szCs w:val="24"/>
        </w:rPr>
      </w:pPr>
    </w:p>
    <w:p w14:paraId="149AB1C5" w14:textId="421B0948" w:rsidR="00F06157" w:rsidRPr="00CB7917" w:rsidRDefault="00F06157" w:rsidP="00EE40B3">
      <w:pPr>
        <w:pStyle w:val="Heading1"/>
        <w:rPr>
          <w:rFonts w:ascii="Arial" w:hAnsi="Arial" w:cs="Arial"/>
          <w:sz w:val="24"/>
          <w:szCs w:val="24"/>
        </w:rPr>
      </w:pPr>
      <w:r w:rsidRPr="00CB7917">
        <w:rPr>
          <w:rFonts w:ascii="Arial" w:hAnsi="Arial" w:cs="Arial"/>
          <w:sz w:val="24"/>
          <w:szCs w:val="24"/>
        </w:rPr>
        <w:t>References</w:t>
      </w:r>
      <w:bookmarkEnd w:id="5"/>
    </w:p>
    <w:p w14:paraId="79B98B02" w14:textId="4533C613"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Amnesty International (2023) </w:t>
      </w:r>
      <w:r w:rsidRPr="00CB7917">
        <w:rPr>
          <w:rFonts w:ascii="Arial" w:hAnsi="Arial" w:cs="Arial"/>
          <w:i/>
          <w:iCs/>
          <w:sz w:val="24"/>
          <w:szCs w:val="24"/>
        </w:rPr>
        <w:t>Policing Protest in the UK: A Human Rights Perspective</w:t>
      </w:r>
      <w:r w:rsidRPr="00CB7917">
        <w:rPr>
          <w:rFonts w:ascii="Arial" w:hAnsi="Arial" w:cs="Arial"/>
          <w:sz w:val="24"/>
          <w:szCs w:val="24"/>
        </w:rPr>
        <w:t xml:space="preserve">. Available at: </w:t>
      </w:r>
      <w:hyperlink r:id="rId11" w:tgtFrame="_new" w:history="1">
        <w:r w:rsidRPr="00CB7917">
          <w:rPr>
            <w:rStyle w:val="Hyperlink"/>
            <w:rFonts w:ascii="Arial" w:hAnsi="Arial" w:cs="Arial"/>
            <w:sz w:val="24"/>
            <w:szCs w:val="24"/>
          </w:rPr>
          <w:t>https://www.amnesty.org.uk</w:t>
        </w:r>
      </w:hyperlink>
      <w:r w:rsidRPr="00CB7917">
        <w:rPr>
          <w:rFonts w:ascii="Arial" w:hAnsi="Arial" w:cs="Arial"/>
          <w:sz w:val="24"/>
          <w:szCs w:val="24"/>
        </w:rPr>
        <w:t xml:space="preserve"> (Accessed: 22 June 2025).</w:t>
      </w:r>
    </w:p>
    <w:p w14:paraId="5E16D66B" w14:textId="7FA6AA65"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Big Brother Watch (2021) </w:t>
      </w:r>
      <w:r w:rsidRPr="00CB7917">
        <w:rPr>
          <w:rFonts w:ascii="Arial" w:hAnsi="Arial" w:cs="Arial"/>
          <w:i/>
          <w:iCs/>
          <w:sz w:val="24"/>
          <w:szCs w:val="24"/>
        </w:rPr>
        <w:t>Face Off: The Lawless Growth of Facial Recognition in UK Policing</w:t>
      </w:r>
      <w:r w:rsidRPr="00CB7917">
        <w:rPr>
          <w:rFonts w:ascii="Arial" w:hAnsi="Arial" w:cs="Arial"/>
          <w:sz w:val="24"/>
          <w:szCs w:val="24"/>
        </w:rPr>
        <w:t xml:space="preserve">. Available at: </w:t>
      </w:r>
      <w:hyperlink r:id="rId12" w:tgtFrame="_new" w:history="1">
        <w:r w:rsidRPr="00CB7917">
          <w:rPr>
            <w:rStyle w:val="Hyperlink"/>
            <w:rFonts w:ascii="Arial" w:hAnsi="Arial" w:cs="Arial"/>
            <w:sz w:val="24"/>
            <w:szCs w:val="24"/>
          </w:rPr>
          <w:t>https://bigbrotherwatch.org.uk/wp-content/uploads/2021/03/Face-Off-final-digital-1.pdf</w:t>
        </w:r>
      </w:hyperlink>
      <w:r w:rsidRPr="00CB7917">
        <w:rPr>
          <w:rFonts w:ascii="Arial" w:hAnsi="Arial" w:cs="Arial"/>
          <w:sz w:val="24"/>
          <w:szCs w:val="24"/>
        </w:rPr>
        <w:t xml:space="preserve"> (Accessed: </w:t>
      </w:r>
      <w:r w:rsidR="00B17400" w:rsidRPr="00CB7917">
        <w:rPr>
          <w:rFonts w:ascii="Arial" w:hAnsi="Arial" w:cs="Arial"/>
          <w:sz w:val="24"/>
          <w:szCs w:val="24"/>
        </w:rPr>
        <w:t>01</w:t>
      </w:r>
      <w:r w:rsidRPr="00CB7917">
        <w:rPr>
          <w:rFonts w:ascii="Arial" w:hAnsi="Arial" w:cs="Arial"/>
          <w:sz w:val="24"/>
          <w:szCs w:val="24"/>
        </w:rPr>
        <w:t xml:space="preserve"> June 2025).</w:t>
      </w:r>
    </w:p>
    <w:p w14:paraId="2D2CA91B" w14:textId="1F186A6D"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Brayne, S. (2017) ‘Big Data Surveillance: The Case of Policing’, </w:t>
      </w:r>
      <w:r w:rsidRPr="00CB7917">
        <w:rPr>
          <w:rFonts w:ascii="Arial" w:hAnsi="Arial" w:cs="Arial"/>
          <w:i/>
          <w:iCs/>
          <w:sz w:val="24"/>
          <w:szCs w:val="24"/>
        </w:rPr>
        <w:t>American Sociological Review</w:t>
      </w:r>
      <w:r w:rsidRPr="00CB7917">
        <w:rPr>
          <w:rFonts w:ascii="Arial" w:hAnsi="Arial" w:cs="Arial"/>
          <w:sz w:val="24"/>
          <w:szCs w:val="24"/>
        </w:rPr>
        <w:t>, 82(5), pp. 977–1008.</w:t>
      </w:r>
    </w:p>
    <w:p w14:paraId="2560294E" w14:textId="6E50F7D5"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Buolamwini, J. and Gebru, T. (2018) ‘Gender Shades: Intersectional Accuracy Disparities in Commercial Gender Classification’, </w:t>
      </w:r>
      <w:r w:rsidRPr="00CB7917">
        <w:rPr>
          <w:rFonts w:ascii="Arial" w:hAnsi="Arial" w:cs="Arial"/>
          <w:i/>
          <w:iCs/>
          <w:sz w:val="24"/>
          <w:szCs w:val="24"/>
        </w:rPr>
        <w:t>Proceedings of Machine Learning Research</w:t>
      </w:r>
      <w:r w:rsidRPr="00CB7917">
        <w:rPr>
          <w:rFonts w:ascii="Arial" w:hAnsi="Arial" w:cs="Arial"/>
          <w:sz w:val="24"/>
          <w:szCs w:val="24"/>
        </w:rPr>
        <w:t>, 81, pp. 1–15.</w:t>
      </w:r>
    </w:p>
    <w:p w14:paraId="751D6D86" w14:textId="0B35F19C"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Cavoukian, A. (2020) </w:t>
      </w:r>
      <w:r w:rsidRPr="00CB7917">
        <w:rPr>
          <w:rFonts w:ascii="Arial" w:hAnsi="Arial" w:cs="Arial"/>
          <w:i/>
          <w:iCs/>
          <w:sz w:val="24"/>
          <w:szCs w:val="24"/>
        </w:rPr>
        <w:t>Facial Recognition and the Threat to Privacy</w:t>
      </w:r>
      <w:r w:rsidRPr="00CB7917">
        <w:rPr>
          <w:rFonts w:ascii="Arial" w:hAnsi="Arial" w:cs="Arial"/>
          <w:sz w:val="24"/>
          <w:szCs w:val="24"/>
        </w:rPr>
        <w:t>. Toronto: Privacy by Design Foundation.</w:t>
      </w:r>
    </w:p>
    <w:p w14:paraId="377121D7" w14:textId="245C778A"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Cavoukian, A. (2020) </w:t>
      </w:r>
      <w:r w:rsidRPr="00CB7917">
        <w:rPr>
          <w:rFonts w:ascii="Arial" w:hAnsi="Arial" w:cs="Arial"/>
          <w:i/>
          <w:iCs/>
          <w:sz w:val="24"/>
          <w:szCs w:val="24"/>
        </w:rPr>
        <w:t>Privacy by Design and the Use of Facial Recognition Technology</w:t>
      </w:r>
      <w:r w:rsidRPr="00CB7917">
        <w:rPr>
          <w:rFonts w:ascii="Arial" w:hAnsi="Arial" w:cs="Arial"/>
          <w:sz w:val="24"/>
          <w:szCs w:val="24"/>
        </w:rPr>
        <w:t>. Toronto: Office of the Information and Privacy Commissioner.</w:t>
      </w:r>
    </w:p>
    <w:p w14:paraId="5E8AF69C" w14:textId="3EC0AF89"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Ewing, K. D. and Tham, J. C. (2023) ‘Democratic Decline and Authoritarian Drift: The UK's Protest Laws’, </w:t>
      </w:r>
      <w:r w:rsidRPr="00CB7917">
        <w:rPr>
          <w:rFonts w:ascii="Arial" w:hAnsi="Arial" w:cs="Arial"/>
          <w:i/>
          <w:iCs/>
          <w:sz w:val="24"/>
          <w:szCs w:val="24"/>
        </w:rPr>
        <w:t>Modern Law Review</w:t>
      </w:r>
      <w:r w:rsidRPr="00CB7917">
        <w:rPr>
          <w:rFonts w:ascii="Arial" w:hAnsi="Arial" w:cs="Arial"/>
          <w:sz w:val="24"/>
          <w:szCs w:val="24"/>
        </w:rPr>
        <w:t>, 86(1), pp. 30–55.</w:t>
      </w:r>
    </w:p>
    <w:p w14:paraId="1423AB05" w14:textId="1C6DC469"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Fussey, P. and Murray, D. (2019) </w:t>
      </w:r>
      <w:r w:rsidRPr="00CB7917">
        <w:rPr>
          <w:rFonts w:ascii="Arial" w:hAnsi="Arial" w:cs="Arial"/>
          <w:i/>
          <w:iCs/>
          <w:sz w:val="24"/>
          <w:szCs w:val="24"/>
        </w:rPr>
        <w:t>Independent Report on the London Metropolitan Police Service’s Trial of Live Facial Recognition Technology</w:t>
      </w:r>
      <w:r w:rsidRPr="00CB7917">
        <w:rPr>
          <w:rFonts w:ascii="Arial" w:hAnsi="Arial" w:cs="Arial"/>
          <w:sz w:val="24"/>
          <w:szCs w:val="24"/>
        </w:rPr>
        <w:t>. Essex: University of Essex Human Rights Centre.</w:t>
      </w:r>
    </w:p>
    <w:p w14:paraId="3764AB52" w14:textId="3A14B5C1" w:rsidR="009E632D"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Garvie, C. (2019) </w:t>
      </w:r>
      <w:r w:rsidRPr="00CB7917">
        <w:rPr>
          <w:rFonts w:ascii="Arial" w:hAnsi="Arial" w:cs="Arial"/>
          <w:i/>
          <w:iCs/>
          <w:sz w:val="24"/>
          <w:szCs w:val="24"/>
        </w:rPr>
        <w:t>America Under Watch: Face Recognition in Public Spaces</w:t>
      </w:r>
      <w:r w:rsidRPr="00CB7917">
        <w:rPr>
          <w:rFonts w:ascii="Arial" w:hAnsi="Arial" w:cs="Arial"/>
          <w:sz w:val="24"/>
          <w:szCs w:val="24"/>
        </w:rPr>
        <w:t>. Washington DC: Georgetown Law Center on Privacy &amp; Technology.</w:t>
      </w:r>
    </w:p>
    <w:p w14:paraId="038114AB" w14:textId="6D82D9EA" w:rsidR="001525AF" w:rsidRPr="00CB7917" w:rsidRDefault="001525AF" w:rsidP="00B17400">
      <w:pPr>
        <w:pStyle w:val="ListParagraph"/>
        <w:numPr>
          <w:ilvl w:val="0"/>
          <w:numId w:val="2"/>
        </w:numPr>
        <w:spacing w:line="360" w:lineRule="auto"/>
        <w:ind w:left="714" w:hanging="357"/>
        <w:rPr>
          <w:rFonts w:ascii="Arial" w:hAnsi="Arial" w:cs="Arial"/>
          <w:sz w:val="24"/>
          <w:szCs w:val="24"/>
        </w:rPr>
      </w:pPr>
      <w:r w:rsidRPr="001525AF">
        <w:rPr>
          <w:rFonts w:ascii="Arial" w:hAnsi="Arial" w:cs="Arial"/>
          <w:sz w:val="24"/>
          <w:szCs w:val="24"/>
        </w:rPr>
        <w:t xml:space="preserve">Gorringe, H. (2021) ‘Protest policing and legitimacy in the digital age’, </w:t>
      </w:r>
      <w:r w:rsidRPr="001525AF">
        <w:rPr>
          <w:rFonts w:ascii="Arial" w:hAnsi="Arial" w:cs="Arial"/>
          <w:i/>
          <w:iCs/>
          <w:sz w:val="24"/>
          <w:szCs w:val="24"/>
        </w:rPr>
        <w:t>British Journal of Criminology</w:t>
      </w:r>
      <w:r w:rsidRPr="001525AF">
        <w:rPr>
          <w:rFonts w:ascii="Arial" w:hAnsi="Arial" w:cs="Arial"/>
          <w:sz w:val="24"/>
          <w:szCs w:val="24"/>
        </w:rPr>
        <w:t>, 61(5), pp. 1290–130</w:t>
      </w:r>
    </w:p>
    <w:p w14:paraId="2C0D2DBA" w14:textId="4B7920D0"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Guardian Editorial (2025) ‘Ban on Palestine Action as “terrorists” is shameful’, </w:t>
      </w:r>
      <w:r w:rsidRPr="00CB7917">
        <w:rPr>
          <w:rFonts w:ascii="Arial" w:hAnsi="Arial" w:cs="Arial"/>
          <w:i/>
          <w:iCs/>
          <w:sz w:val="24"/>
          <w:szCs w:val="24"/>
        </w:rPr>
        <w:t>The Guardian</w:t>
      </w:r>
      <w:r w:rsidRPr="00CB7917">
        <w:rPr>
          <w:rFonts w:ascii="Arial" w:hAnsi="Arial" w:cs="Arial"/>
          <w:sz w:val="24"/>
          <w:szCs w:val="24"/>
        </w:rPr>
        <w:t>, 23 June.</w:t>
      </w:r>
    </w:p>
    <w:p w14:paraId="109FF03F" w14:textId="754551CF"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Home Office (2022) </w:t>
      </w:r>
      <w:r w:rsidRPr="00CB7917">
        <w:rPr>
          <w:rFonts w:ascii="Arial" w:hAnsi="Arial" w:cs="Arial"/>
          <w:i/>
          <w:iCs/>
          <w:sz w:val="24"/>
          <w:szCs w:val="24"/>
        </w:rPr>
        <w:t>Police, Crime, Sentencing and Courts Act 2022: Guidance</w:t>
      </w:r>
      <w:r w:rsidRPr="00CB7917">
        <w:rPr>
          <w:rFonts w:ascii="Arial" w:hAnsi="Arial" w:cs="Arial"/>
          <w:sz w:val="24"/>
          <w:szCs w:val="24"/>
        </w:rPr>
        <w:t>. London: HMSO.</w:t>
      </w:r>
    </w:p>
    <w:p w14:paraId="62D052CA" w14:textId="51CA15FA"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Joh, E. E. (2017) ‘The New Surveillance Discretion: Automated Suspicion, Big Data, and Policing’, </w:t>
      </w:r>
      <w:r w:rsidRPr="00CB7917">
        <w:rPr>
          <w:rFonts w:ascii="Arial" w:hAnsi="Arial" w:cs="Arial"/>
          <w:i/>
          <w:iCs/>
          <w:sz w:val="24"/>
          <w:szCs w:val="24"/>
        </w:rPr>
        <w:t>Harvard Law &amp; Policy Review</w:t>
      </w:r>
      <w:r w:rsidRPr="00CB7917">
        <w:rPr>
          <w:rFonts w:ascii="Arial" w:hAnsi="Arial" w:cs="Arial"/>
          <w:sz w:val="24"/>
          <w:szCs w:val="24"/>
        </w:rPr>
        <w:t>, 10, pp. 15–42.</w:t>
      </w:r>
    </w:p>
    <w:p w14:paraId="6D04E82C" w14:textId="0D0F53B1"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lastRenderedPageBreak/>
        <w:t xml:space="preserve">Liberty (2022) </w:t>
      </w:r>
      <w:r w:rsidRPr="00CB7917">
        <w:rPr>
          <w:rFonts w:ascii="Arial" w:hAnsi="Arial" w:cs="Arial"/>
          <w:i/>
          <w:iCs/>
          <w:sz w:val="24"/>
          <w:szCs w:val="24"/>
        </w:rPr>
        <w:t>Policing by Consent? Liberty’s response to the Police, Crime, Sentencing and Courts Act</w:t>
      </w:r>
      <w:r w:rsidRPr="00CB7917">
        <w:rPr>
          <w:rFonts w:ascii="Arial" w:hAnsi="Arial" w:cs="Arial"/>
          <w:sz w:val="24"/>
          <w:szCs w:val="24"/>
        </w:rPr>
        <w:t xml:space="preserve">. Available at: </w:t>
      </w:r>
      <w:hyperlink r:id="rId13" w:tgtFrame="_new" w:history="1">
        <w:r w:rsidRPr="00CB7917">
          <w:rPr>
            <w:rStyle w:val="Hyperlink"/>
            <w:rFonts w:ascii="Arial" w:hAnsi="Arial" w:cs="Arial"/>
            <w:sz w:val="24"/>
            <w:szCs w:val="24"/>
          </w:rPr>
          <w:t>https://www.libertyhumanrights.org.uk</w:t>
        </w:r>
      </w:hyperlink>
      <w:r w:rsidRPr="00CB7917">
        <w:rPr>
          <w:rFonts w:ascii="Arial" w:hAnsi="Arial" w:cs="Arial"/>
          <w:sz w:val="24"/>
          <w:szCs w:val="24"/>
        </w:rPr>
        <w:t xml:space="preserve"> (Accessed: </w:t>
      </w:r>
      <w:r w:rsidR="002A3E33">
        <w:rPr>
          <w:rFonts w:ascii="Arial" w:hAnsi="Arial" w:cs="Arial"/>
          <w:sz w:val="24"/>
          <w:szCs w:val="24"/>
        </w:rPr>
        <w:t>08 May</w:t>
      </w:r>
      <w:r w:rsidRPr="00CB7917">
        <w:rPr>
          <w:rFonts w:ascii="Arial" w:hAnsi="Arial" w:cs="Arial"/>
          <w:sz w:val="24"/>
          <w:szCs w:val="24"/>
        </w:rPr>
        <w:t xml:space="preserve"> 2025).</w:t>
      </w:r>
    </w:p>
    <w:p w14:paraId="704BC330" w14:textId="54C69FE6"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Lister, S. and Rowe, M. (2015) ‘Electing police and crime commissioners in England and Wales: prospecting for democratic policing at the local level’, </w:t>
      </w:r>
      <w:r w:rsidRPr="00CB7917">
        <w:rPr>
          <w:rFonts w:ascii="Arial" w:hAnsi="Arial" w:cs="Arial"/>
          <w:i/>
          <w:iCs/>
          <w:sz w:val="24"/>
          <w:szCs w:val="24"/>
        </w:rPr>
        <w:t>Policing and Society</w:t>
      </w:r>
      <w:r w:rsidRPr="00CB7917">
        <w:rPr>
          <w:rFonts w:ascii="Arial" w:hAnsi="Arial" w:cs="Arial"/>
          <w:sz w:val="24"/>
          <w:szCs w:val="24"/>
        </w:rPr>
        <w:t>, 25(4), pp. 358–377.</w:t>
      </w:r>
    </w:p>
    <w:p w14:paraId="258BF529" w14:textId="130821FC"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6A622C">
        <w:rPr>
          <w:rFonts w:ascii="Arial" w:hAnsi="Arial" w:cs="Arial"/>
          <w:sz w:val="24"/>
          <w:szCs w:val="24"/>
        </w:rPr>
        <w:t xml:space="preserve">Loader, I. and Mulcahy, A. </w:t>
      </w:r>
      <w:r w:rsidRPr="00CB7917">
        <w:rPr>
          <w:rFonts w:ascii="Arial" w:hAnsi="Arial" w:cs="Arial"/>
          <w:sz w:val="24"/>
          <w:szCs w:val="24"/>
        </w:rPr>
        <w:t xml:space="preserve">(2003) </w:t>
      </w:r>
      <w:r w:rsidRPr="00CB7917">
        <w:rPr>
          <w:rFonts w:ascii="Arial" w:hAnsi="Arial" w:cs="Arial"/>
          <w:i/>
          <w:iCs/>
          <w:sz w:val="24"/>
          <w:szCs w:val="24"/>
        </w:rPr>
        <w:t>Policing and the Condition of England: Memory, Politics and Culture</w:t>
      </w:r>
      <w:r w:rsidRPr="00CB7917">
        <w:rPr>
          <w:rFonts w:ascii="Arial" w:hAnsi="Arial" w:cs="Arial"/>
          <w:sz w:val="24"/>
          <w:szCs w:val="24"/>
        </w:rPr>
        <w:t>. Oxford: Oxford University Press.</w:t>
      </w:r>
    </w:p>
    <w:p w14:paraId="0548EEF4" w14:textId="2716B075"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Quakers in Britain (2025) </w:t>
      </w:r>
      <w:r w:rsidRPr="00CB7917">
        <w:rPr>
          <w:rFonts w:ascii="Arial" w:hAnsi="Arial" w:cs="Arial"/>
          <w:i/>
          <w:iCs/>
          <w:sz w:val="24"/>
          <w:szCs w:val="24"/>
        </w:rPr>
        <w:t>Quakers speak out against proscription of Palestine Action</w:t>
      </w:r>
      <w:r w:rsidRPr="00CB7917">
        <w:rPr>
          <w:rFonts w:ascii="Arial" w:hAnsi="Arial" w:cs="Arial"/>
          <w:sz w:val="24"/>
          <w:szCs w:val="24"/>
        </w:rPr>
        <w:t xml:space="preserve">. Available at: </w:t>
      </w:r>
      <w:hyperlink r:id="rId14" w:tgtFrame="_new" w:history="1">
        <w:r w:rsidRPr="00CB7917">
          <w:rPr>
            <w:rStyle w:val="Hyperlink"/>
            <w:rFonts w:ascii="Arial" w:hAnsi="Arial" w:cs="Arial"/>
            <w:sz w:val="24"/>
            <w:szCs w:val="24"/>
          </w:rPr>
          <w:t>https://www.quaker.org.uk</w:t>
        </w:r>
      </w:hyperlink>
      <w:r w:rsidRPr="00CB7917">
        <w:rPr>
          <w:rFonts w:ascii="Arial" w:hAnsi="Arial" w:cs="Arial"/>
          <w:sz w:val="24"/>
          <w:szCs w:val="24"/>
        </w:rPr>
        <w:t xml:space="preserve"> (Accessed: 23 June 2025).</w:t>
      </w:r>
    </w:p>
    <w:p w14:paraId="5A03BDF0" w14:textId="613047F0"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Reicher, S. et al. (2007) ‘Knowledge-Based Public Order Policing: Principles and Practice’, </w:t>
      </w:r>
      <w:r w:rsidRPr="00CB7917">
        <w:rPr>
          <w:rFonts w:ascii="Arial" w:hAnsi="Arial" w:cs="Arial"/>
          <w:i/>
          <w:iCs/>
          <w:sz w:val="24"/>
          <w:szCs w:val="24"/>
        </w:rPr>
        <w:t>Policing: A Journal of Policy and Practice</w:t>
      </w:r>
      <w:r w:rsidRPr="00CB7917">
        <w:rPr>
          <w:rFonts w:ascii="Arial" w:hAnsi="Arial" w:cs="Arial"/>
          <w:sz w:val="24"/>
          <w:szCs w:val="24"/>
        </w:rPr>
        <w:t>, 1(4), pp. 403–415.</w:t>
      </w:r>
    </w:p>
    <w:p w14:paraId="5C9A7BF9" w14:textId="1D1BC552"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Reuters (2025) ‘UK to ban campaign group Palestine Action under anti-terrorism laws’, </w:t>
      </w:r>
      <w:r w:rsidRPr="00CB7917">
        <w:rPr>
          <w:rFonts w:ascii="Arial" w:hAnsi="Arial" w:cs="Arial"/>
          <w:i/>
          <w:iCs/>
          <w:sz w:val="24"/>
          <w:szCs w:val="24"/>
        </w:rPr>
        <w:t>Reuters</w:t>
      </w:r>
      <w:r w:rsidRPr="00CB7917">
        <w:rPr>
          <w:rFonts w:ascii="Arial" w:hAnsi="Arial" w:cs="Arial"/>
          <w:sz w:val="24"/>
          <w:szCs w:val="24"/>
        </w:rPr>
        <w:t>, 23 June.</w:t>
      </w:r>
    </w:p>
    <w:p w14:paraId="2D92ECDB" w14:textId="7EF50CFD" w:rsidR="009E632D" w:rsidRPr="00CB7917" w:rsidRDefault="009E632D" w:rsidP="00CB7917">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South Wales Police (2020) </w:t>
      </w:r>
      <w:r w:rsidRPr="00CB7917">
        <w:rPr>
          <w:rFonts w:ascii="Arial" w:hAnsi="Arial" w:cs="Arial"/>
          <w:i/>
          <w:iCs/>
          <w:sz w:val="24"/>
          <w:szCs w:val="24"/>
        </w:rPr>
        <w:t>Response to Court Ruling on Facial Recognition</w:t>
      </w:r>
      <w:r w:rsidRPr="00CB7917">
        <w:rPr>
          <w:rFonts w:ascii="Arial" w:hAnsi="Arial" w:cs="Arial"/>
          <w:sz w:val="24"/>
          <w:szCs w:val="24"/>
        </w:rPr>
        <w:t xml:space="preserve">. Available at: </w:t>
      </w:r>
      <w:hyperlink r:id="rId15" w:tgtFrame="_new" w:history="1">
        <w:r w:rsidRPr="00CB7917">
          <w:rPr>
            <w:rStyle w:val="Hyperlink"/>
            <w:rFonts w:ascii="Arial" w:hAnsi="Arial" w:cs="Arial"/>
            <w:sz w:val="24"/>
            <w:szCs w:val="24"/>
          </w:rPr>
          <w:t>https://www.south-wales.police.uk</w:t>
        </w:r>
      </w:hyperlink>
      <w:r w:rsidRPr="00CB7917">
        <w:rPr>
          <w:rFonts w:ascii="Arial" w:hAnsi="Arial" w:cs="Arial"/>
          <w:sz w:val="24"/>
          <w:szCs w:val="24"/>
        </w:rPr>
        <w:t xml:space="preserve"> (Accessed: </w:t>
      </w:r>
      <w:r w:rsidR="00B17400" w:rsidRPr="00CB7917">
        <w:rPr>
          <w:rFonts w:ascii="Arial" w:hAnsi="Arial" w:cs="Arial"/>
          <w:sz w:val="24"/>
          <w:szCs w:val="24"/>
        </w:rPr>
        <w:t>01</w:t>
      </w:r>
      <w:r w:rsidRPr="00CB7917">
        <w:rPr>
          <w:rFonts w:ascii="Arial" w:hAnsi="Arial" w:cs="Arial"/>
          <w:sz w:val="24"/>
          <w:szCs w:val="24"/>
        </w:rPr>
        <w:t xml:space="preserve"> June 2025).</w:t>
      </w:r>
    </w:p>
    <w:p w14:paraId="78954886" w14:textId="66685E50"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White, A. (2020) ‘Protest Policing in the Age of Austerity’, </w:t>
      </w:r>
      <w:r w:rsidRPr="00CB7917">
        <w:rPr>
          <w:rFonts w:ascii="Arial" w:hAnsi="Arial" w:cs="Arial"/>
          <w:i/>
          <w:iCs/>
          <w:sz w:val="24"/>
          <w:szCs w:val="24"/>
        </w:rPr>
        <w:t>British Journal of Criminology</w:t>
      </w:r>
      <w:r w:rsidRPr="00CB7917">
        <w:rPr>
          <w:rFonts w:ascii="Arial" w:hAnsi="Arial" w:cs="Arial"/>
          <w:sz w:val="24"/>
          <w:szCs w:val="24"/>
        </w:rPr>
        <w:t>, 60(5), pp. 1250–1271.</w:t>
      </w:r>
    </w:p>
    <w:p w14:paraId="120C3B03" w14:textId="662910E6" w:rsidR="009E632D" w:rsidRPr="00CB7917" w:rsidRDefault="009E632D" w:rsidP="00B17400">
      <w:pPr>
        <w:pStyle w:val="ListParagraph"/>
        <w:numPr>
          <w:ilvl w:val="0"/>
          <w:numId w:val="2"/>
        </w:numPr>
        <w:spacing w:line="360" w:lineRule="auto"/>
        <w:ind w:left="714" w:hanging="357"/>
        <w:rPr>
          <w:rFonts w:ascii="Arial" w:hAnsi="Arial" w:cs="Arial"/>
          <w:sz w:val="24"/>
          <w:szCs w:val="24"/>
        </w:rPr>
      </w:pPr>
      <w:r w:rsidRPr="00CB7917">
        <w:rPr>
          <w:rFonts w:ascii="Arial" w:hAnsi="Arial" w:cs="Arial"/>
          <w:sz w:val="24"/>
          <w:szCs w:val="24"/>
        </w:rPr>
        <w:t xml:space="preserve">Zuboff, S. (2019) </w:t>
      </w:r>
      <w:r w:rsidRPr="00CB7917">
        <w:rPr>
          <w:rFonts w:ascii="Arial" w:hAnsi="Arial" w:cs="Arial"/>
          <w:i/>
          <w:iCs/>
          <w:sz w:val="24"/>
          <w:szCs w:val="24"/>
        </w:rPr>
        <w:t>The Age of Surveillance Capitalism: The Fight for a Human Future at the New Frontier of Power</w:t>
      </w:r>
      <w:r w:rsidRPr="00CB7917">
        <w:rPr>
          <w:rFonts w:ascii="Arial" w:hAnsi="Arial" w:cs="Arial"/>
          <w:sz w:val="24"/>
          <w:szCs w:val="24"/>
        </w:rPr>
        <w:t>. London: Profile Books.</w:t>
      </w:r>
    </w:p>
    <w:p w14:paraId="43A14E77" w14:textId="1E4C0FF0" w:rsidR="0042473D" w:rsidRPr="00CB7917" w:rsidRDefault="0042473D">
      <w:pPr>
        <w:rPr>
          <w:rFonts w:ascii="Arial" w:hAnsi="Arial" w:cs="Arial"/>
          <w:sz w:val="24"/>
          <w:szCs w:val="24"/>
        </w:rPr>
      </w:pPr>
      <w:r w:rsidRPr="00CB7917">
        <w:rPr>
          <w:rFonts w:ascii="Arial" w:hAnsi="Arial" w:cs="Arial"/>
          <w:sz w:val="24"/>
          <w:szCs w:val="24"/>
        </w:rPr>
        <w:br w:type="page"/>
      </w:r>
    </w:p>
    <w:p w14:paraId="670C2275" w14:textId="77777777" w:rsidR="0042473D" w:rsidRPr="00CB7917" w:rsidRDefault="0042473D" w:rsidP="00CB7917">
      <w:pPr>
        <w:rPr>
          <w:rFonts w:ascii="Arial" w:hAnsi="Arial" w:cs="Arial"/>
          <w:sz w:val="24"/>
          <w:szCs w:val="24"/>
        </w:rPr>
      </w:pPr>
    </w:p>
    <w:sectPr w:rsidR="0042473D" w:rsidRPr="00CB7917" w:rsidSect="00076E36">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FE0C0" w14:textId="77777777" w:rsidR="00D05FB3" w:rsidRDefault="00D05FB3" w:rsidP="00E300A5">
      <w:pPr>
        <w:spacing w:after="0" w:line="240" w:lineRule="auto"/>
      </w:pPr>
      <w:r>
        <w:separator/>
      </w:r>
    </w:p>
  </w:endnote>
  <w:endnote w:type="continuationSeparator" w:id="0">
    <w:p w14:paraId="41CE127B" w14:textId="77777777" w:rsidR="00D05FB3" w:rsidRDefault="00D05FB3" w:rsidP="00E30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043508"/>
      <w:docPartObj>
        <w:docPartGallery w:val="Page Numbers (Bottom of Page)"/>
        <w:docPartUnique/>
      </w:docPartObj>
    </w:sdtPr>
    <w:sdtContent>
      <w:p w14:paraId="6EAFF7D5" w14:textId="5D043016" w:rsidR="00E300A5" w:rsidRDefault="00E300A5">
        <w:pPr>
          <w:pStyle w:val="Footer"/>
        </w:pPr>
        <w:r>
          <w:fldChar w:fldCharType="begin"/>
        </w:r>
        <w:r>
          <w:instrText>PAGE   \* MERGEFORMAT</w:instrText>
        </w:r>
        <w:r>
          <w:fldChar w:fldCharType="separate"/>
        </w:r>
        <w:r>
          <w:t>2</w:t>
        </w:r>
        <w:r>
          <w:fldChar w:fldCharType="end"/>
        </w:r>
      </w:p>
    </w:sdtContent>
  </w:sdt>
  <w:p w14:paraId="40EC7DBF" w14:textId="77777777" w:rsidR="00E300A5" w:rsidRDefault="00E300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B05CD" w14:textId="77777777" w:rsidR="00D05FB3" w:rsidRDefault="00D05FB3" w:rsidP="00E300A5">
      <w:pPr>
        <w:spacing w:after="0" w:line="240" w:lineRule="auto"/>
      </w:pPr>
      <w:r>
        <w:separator/>
      </w:r>
    </w:p>
  </w:footnote>
  <w:footnote w:type="continuationSeparator" w:id="0">
    <w:p w14:paraId="37D68BA1" w14:textId="77777777" w:rsidR="00D05FB3" w:rsidRDefault="00D05FB3" w:rsidP="00E300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74E1D"/>
    <w:multiLevelType w:val="multilevel"/>
    <w:tmpl w:val="FD58C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BDE7CFA"/>
    <w:multiLevelType w:val="hybridMultilevel"/>
    <w:tmpl w:val="BA54C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1175874">
    <w:abstractNumId w:val="0"/>
  </w:num>
  <w:num w:numId="2" w16cid:durableId="18932327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E36"/>
    <w:rsid w:val="00030043"/>
    <w:rsid w:val="000751CF"/>
    <w:rsid w:val="00076E36"/>
    <w:rsid w:val="0008177B"/>
    <w:rsid w:val="000A176E"/>
    <w:rsid w:val="000B3D37"/>
    <w:rsid w:val="000C1908"/>
    <w:rsid w:val="000E5162"/>
    <w:rsid w:val="000F1AEE"/>
    <w:rsid w:val="000F5A01"/>
    <w:rsid w:val="001009D1"/>
    <w:rsid w:val="00107707"/>
    <w:rsid w:val="001079E2"/>
    <w:rsid w:val="00140644"/>
    <w:rsid w:val="00152010"/>
    <w:rsid w:val="001525AF"/>
    <w:rsid w:val="00170474"/>
    <w:rsid w:val="001B768F"/>
    <w:rsid w:val="001C5186"/>
    <w:rsid w:val="001E709B"/>
    <w:rsid w:val="001F15FE"/>
    <w:rsid w:val="001F5929"/>
    <w:rsid w:val="00200056"/>
    <w:rsid w:val="00207C21"/>
    <w:rsid w:val="00215010"/>
    <w:rsid w:val="002376C0"/>
    <w:rsid w:val="002A3E33"/>
    <w:rsid w:val="002A56CD"/>
    <w:rsid w:val="002B06D4"/>
    <w:rsid w:val="002F2E8E"/>
    <w:rsid w:val="002F4932"/>
    <w:rsid w:val="002F4FAA"/>
    <w:rsid w:val="002F7A89"/>
    <w:rsid w:val="0030175B"/>
    <w:rsid w:val="00306431"/>
    <w:rsid w:val="00307A78"/>
    <w:rsid w:val="0031227B"/>
    <w:rsid w:val="0034275E"/>
    <w:rsid w:val="00363E3D"/>
    <w:rsid w:val="00381A51"/>
    <w:rsid w:val="003978C9"/>
    <w:rsid w:val="003B3C67"/>
    <w:rsid w:val="003C5C4F"/>
    <w:rsid w:val="003E61E8"/>
    <w:rsid w:val="004007D4"/>
    <w:rsid w:val="0042473D"/>
    <w:rsid w:val="004727A1"/>
    <w:rsid w:val="004A7A99"/>
    <w:rsid w:val="0050750C"/>
    <w:rsid w:val="005247B0"/>
    <w:rsid w:val="00540963"/>
    <w:rsid w:val="0057246C"/>
    <w:rsid w:val="00580F71"/>
    <w:rsid w:val="00583A0F"/>
    <w:rsid w:val="00592379"/>
    <w:rsid w:val="005A2335"/>
    <w:rsid w:val="005C6FF7"/>
    <w:rsid w:val="00671084"/>
    <w:rsid w:val="0069149F"/>
    <w:rsid w:val="006A622C"/>
    <w:rsid w:val="006D14C5"/>
    <w:rsid w:val="006E0577"/>
    <w:rsid w:val="006F0B52"/>
    <w:rsid w:val="006F57AB"/>
    <w:rsid w:val="006F5D61"/>
    <w:rsid w:val="0070657D"/>
    <w:rsid w:val="00720053"/>
    <w:rsid w:val="00730320"/>
    <w:rsid w:val="007421A3"/>
    <w:rsid w:val="007A5E23"/>
    <w:rsid w:val="007A6F18"/>
    <w:rsid w:val="007C5FEF"/>
    <w:rsid w:val="007E66B6"/>
    <w:rsid w:val="00852C74"/>
    <w:rsid w:val="008662DC"/>
    <w:rsid w:val="00886569"/>
    <w:rsid w:val="00894E64"/>
    <w:rsid w:val="008B07E7"/>
    <w:rsid w:val="008C29D0"/>
    <w:rsid w:val="0090438D"/>
    <w:rsid w:val="00927724"/>
    <w:rsid w:val="00931DA2"/>
    <w:rsid w:val="00953895"/>
    <w:rsid w:val="00961796"/>
    <w:rsid w:val="00965EBB"/>
    <w:rsid w:val="00970E51"/>
    <w:rsid w:val="009918B6"/>
    <w:rsid w:val="00992CC1"/>
    <w:rsid w:val="009B2993"/>
    <w:rsid w:val="009E632D"/>
    <w:rsid w:val="009F1795"/>
    <w:rsid w:val="009F4468"/>
    <w:rsid w:val="00A05C7F"/>
    <w:rsid w:val="00A152DD"/>
    <w:rsid w:val="00A161A4"/>
    <w:rsid w:val="00A62800"/>
    <w:rsid w:val="00A6606D"/>
    <w:rsid w:val="00A679A1"/>
    <w:rsid w:val="00A80650"/>
    <w:rsid w:val="00A81EBE"/>
    <w:rsid w:val="00A90F8E"/>
    <w:rsid w:val="00A9177A"/>
    <w:rsid w:val="00A91C04"/>
    <w:rsid w:val="00AA50B1"/>
    <w:rsid w:val="00AC2CE8"/>
    <w:rsid w:val="00AD4B87"/>
    <w:rsid w:val="00AD4DDC"/>
    <w:rsid w:val="00AF6E69"/>
    <w:rsid w:val="00B17400"/>
    <w:rsid w:val="00B50579"/>
    <w:rsid w:val="00B76262"/>
    <w:rsid w:val="00B8368F"/>
    <w:rsid w:val="00B864CF"/>
    <w:rsid w:val="00B9382B"/>
    <w:rsid w:val="00BF1981"/>
    <w:rsid w:val="00BF2214"/>
    <w:rsid w:val="00C007B7"/>
    <w:rsid w:val="00C1520A"/>
    <w:rsid w:val="00C43CE6"/>
    <w:rsid w:val="00C45F4F"/>
    <w:rsid w:val="00C64CEB"/>
    <w:rsid w:val="00C83555"/>
    <w:rsid w:val="00C91D40"/>
    <w:rsid w:val="00C92E43"/>
    <w:rsid w:val="00CB1887"/>
    <w:rsid w:val="00CB7917"/>
    <w:rsid w:val="00CC4D00"/>
    <w:rsid w:val="00CE1D50"/>
    <w:rsid w:val="00D022AF"/>
    <w:rsid w:val="00D04C28"/>
    <w:rsid w:val="00D05FB3"/>
    <w:rsid w:val="00D30213"/>
    <w:rsid w:val="00D50CF3"/>
    <w:rsid w:val="00D51B57"/>
    <w:rsid w:val="00D64F03"/>
    <w:rsid w:val="00D65390"/>
    <w:rsid w:val="00D73513"/>
    <w:rsid w:val="00D737D9"/>
    <w:rsid w:val="00DA6BFA"/>
    <w:rsid w:val="00E00A45"/>
    <w:rsid w:val="00E300A5"/>
    <w:rsid w:val="00E30AA1"/>
    <w:rsid w:val="00E36CC5"/>
    <w:rsid w:val="00E4773C"/>
    <w:rsid w:val="00E546DC"/>
    <w:rsid w:val="00E61DB6"/>
    <w:rsid w:val="00E631D5"/>
    <w:rsid w:val="00E927B4"/>
    <w:rsid w:val="00EC61E6"/>
    <w:rsid w:val="00EC71F0"/>
    <w:rsid w:val="00EE40B3"/>
    <w:rsid w:val="00EF0950"/>
    <w:rsid w:val="00EF5F2C"/>
    <w:rsid w:val="00F06157"/>
    <w:rsid w:val="00F20780"/>
    <w:rsid w:val="00F33316"/>
    <w:rsid w:val="00F460A1"/>
    <w:rsid w:val="00FE1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EAD66"/>
  <w15:chartTrackingRefBased/>
  <w15:docId w15:val="{1FFAFAAF-5DA2-4E7C-A894-906C98C1D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E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6E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E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E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E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E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E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E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E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6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E36"/>
    <w:rPr>
      <w:rFonts w:eastAsiaTheme="majorEastAsia" w:cstheme="majorBidi"/>
      <w:color w:val="272727" w:themeColor="text1" w:themeTint="D8"/>
    </w:rPr>
  </w:style>
  <w:style w:type="paragraph" w:styleId="Title">
    <w:name w:val="Title"/>
    <w:basedOn w:val="Normal"/>
    <w:next w:val="Normal"/>
    <w:link w:val="TitleChar"/>
    <w:uiPriority w:val="10"/>
    <w:qFormat/>
    <w:rsid w:val="00076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E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E36"/>
    <w:pPr>
      <w:spacing w:before="160"/>
      <w:jc w:val="center"/>
    </w:pPr>
    <w:rPr>
      <w:i/>
      <w:iCs/>
      <w:color w:val="404040" w:themeColor="text1" w:themeTint="BF"/>
    </w:rPr>
  </w:style>
  <w:style w:type="character" w:customStyle="1" w:styleId="QuoteChar">
    <w:name w:val="Quote Char"/>
    <w:basedOn w:val="DefaultParagraphFont"/>
    <w:link w:val="Quote"/>
    <w:uiPriority w:val="29"/>
    <w:rsid w:val="00076E36"/>
    <w:rPr>
      <w:i/>
      <w:iCs/>
      <w:color w:val="404040" w:themeColor="text1" w:themeTint="BF"/>
    </w:rPr>
  </w:style>
  <w:style w:type="paragraph" w:styleId="ListParagraph">
    <w:name w:val="List Paragraph"/>
    <w:basedOn w:val="Normal"/>
    <w:uiPriority w:val="34"/>
    <w:qFormat/>
    <w:rsid w:val="00076E36"/>
    <w:pPr>
      <w:ind w:left="720"/>
      <w:contextualSpacing/>
    </w:pPr>
  </w:style>
  <w:style w:type="character" w:styleId="IntenseEmphasis">
    <w:name w:val="Intense Emphasis"/>
    <w:basedOn w:val="DefaultParagraphFont"/>
    <w:uiPriority w:val="21"/>
    <w:qFormat/>
    <w:rsid w:val="00076E36"/>
    <w:rPr>
      <w:i/>
      <w:iCs/>
      <w:color w:val="0F4761" w:themeColor="accent1" w:themeShade="BF"/>
    </w:rPr>
  </w:style>
  <w:style w:type="paragraph" w:styleId="IntenseQuote">
    <w:name w:val="Intense Quote"/>
    <w:basedOn w:val="Normal"/>
    <w:next w:val="Normal"/>
    <w:link w:val="IntenseQuoteChar"/>
    <w:uiPriority w:val="30"/>
    <w:qFormat/>
    <w:rsid w:val="00076E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E36"/>
    <w:rPr>
      <w:i/>
      <w:iCs/>
      <w:color w:val="0F4761" w:themeColor="accent1" w:themeShade="BF"/>
    </w:rPr>
  </w:style>
  <w:style w:type="character" w:styleId="IntenseReference">
    <w:name w:val="Intense Reference"/>
    <w:basedOn w:val="DefaultParagraphFont"/>
    <w:uiPriority w:val="32"/>
    <w:qFormat/>
    <w:rsid w:val="00076E36"/>
    <w:rPr>
      <w:b/>
      <w:bCs/>
      <w:smallCaps/>
      <w:color w:val="0F4761" w:themeColor="accent1" w:themeShade="BF"/>
      <w:spacing w:val="5"/>
    </w:rPr>
  </w:style>
  <w:style w:type="paragraph" w:styleId="NoSpacing">
    <w:name w:val="No Spacing"/>
    <w:link w:val="NoSpacingChar"/>
    <w:uiPriority w:val="1"/>
    <w:qFormat/>
    <w:rsid w:val="00076E36"/>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076E36"/>
    <w:rPr>
      <w:rFonts w:eastAsiaTheme="minorEastAsia"/>
      <w:lang w:eastAsia="en-GB"/>
    </w:rPr>
  </w:style>
  <w:style w:type="paragraph" w:styleId="TOCHeading">
    <w:name w:val="TOC Heading"/>
    <w:basedOn w:val="Heading1"/>
    <w:next w:val="Normal"/>
    <w:uiPriority w:val="39"/>
    <w:unhideWhenUsed/>
    <w:qFormat/>
    <w:rsid w:val="00B864CF"/>
    <w:pPr>
      <w:spacing w:before="240" w:after="0"/>
      <w:outlineLvl w:val="9"/>
    </w:pPr>
    <w:rPr>
      <w:sz w:val="32"/>
      <w:szCs w:val="32"/>
      <w:lang w:eastAsia="en-GB"/>
    </w:rPr>
  </w:style>
  <w:style w:type="paragraph" w:styleId="TOC1">
    <w:name w:val="toc 1"/>
    <w:basedOn w:val="Normal"/>
    <w:next w:val="Normal"/>
    <w:autoRedefine/>
    <w:uiPriority w:val="39"/>
    <w:unhideWhenUsed/>
    <w:rsid w:val="00B864CF"/>
    <w:pPr>
      <w:spacing w:after="100"/>
    </w:pPr>
  </w:style>
  <w:style w:type="paragraph" w:styleId="TOC2">
    <w:name w:val="toc 2"/>
    <w:basedOn w:val="Normal"/>
    <w:next w:val="Normal"/>
    <w:autoRedefine/>
    <w:uiPriority w:val="39"/>
    <w:unhideWhenUsed/>
    <w:rsid w:val="00B864CF"/>
    <w:pPr>
      <w:spacing w:after="100"/>
      <w:ind w:left="220"/>
    </w:pPr>
  </w:style>
  <w:style w:type="character" w:styleId="Hyperlink">
    <w:name w:val="Hyperlink"/>
    <w:basedOn w:val="DefaultParagraphFont"/>
    <w:uiPriority w:val="99"/>
    <w:unhideWhenUsed/>
    <w:rsid w:val="00B864CF"/>
    <w:rPr>
      <w:color w:val="467886" w:themeColor="hyperlink"/>
      <w:u w:val="single"/>
    </w:rPr>
  </w:style>
  <w:style w:type="character" w:styleId="UnresolvedMention">
    <w:name w:val="Unresolved Mention"/>
    <w:basedOn w:val="DefaultParagraphFont"/>
    <w:uiPriority w:val="99"/>
    <w:semiHidden/>
    <w:unhideWhenUsed/>
    <w:rsid w:val="00A62800"/>
    <w:rPr>
      <w:color w:val="605E5C"/>
      <w:shd w:val="clear" w:color="auto" w:fill="E1DFDD"/>
    </w:rPr>
  </w:style>
  <w:style w:type="paragraph" w:styleId="Header">
    <w:name w:val="header"/>
    <w:basedOn w:val="Normal"/>
    <w:link w:val="HeaderChar"/>
    <w:uiPriority w:val="99"/>
    <w:unhideWhenUsed/>
    <w:rsid w:val="00E30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00A5"/>
  </w:style>
  <w:style w:type="paragraph" w:styleId="Footer">
    <w:name w:val="footer"/>
    <w:basedOn w:val="Normal"/>
    <w:link w:val="FooterChar"/>
    <w:uiPriority w:val="99"/>
    <w:unhideWhenUsed/>
    <w:rsid w:val="00E3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00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283265">
      <w:bodyDiv w:val="1"/>
      <w:marLeft w:val="0"/>
      <w:marRight w:val="0"/>
      <w:marTop w:val="0"/>
      <w:marBottom w:val="0"/>
      <w:divBdr>
        <w:top w:val="none" w:sz="0" w:space="0" w:color="auto"/>
        <w:left w:val="none" w:sz="0" w:space="0" w:color="auto"/>
        <w:bottom w:val="none" w:sz="0" w:space="0" w:color="auto"/>
        <w:right w:val="none" w:sz="0" w:space="0" w:color="auto"/>
      </w:divBdr>
      <w:divsChild>
        <w:div w:id="1693916463">
          <w:marLeft w:val="0"/>
          <w:marRight w:val="0"/>
          <w:marTop w:val="0"/>
          <w:marBottom w:val="160"/>
          <w:divBdr>
            <w:top w:val="none" w:sz="0" w:space="0" w:color="auto"/>
            <w:left w:val="none" w:sz="0" w:space="0" w:color="auto"/>
            <w:bottom w:val="none" w:sz="0" w:space="0" w:color="auto"/>
            <w:right w:val="none" w:sz="0" w:space="0" w:color="auto"/>
          </w:divBdr>
        </w:div>
        <w:div w:id="792603282">
          <w:marLeft w:val="0"/>
          <w:marRight w:val="0"/>
          <w:marTop w:val="0"/>
          <w:marBottom w:val="160"/>
          <w:divBdr>
            <w:top w:val="none" w:sz="0" w:space="0" w:color="auto"/>
            <w:left w:val="none" w:sz="0" w:space="0" w:color="auto"/>
            <w:bottom w:val="none" w:sz="0" w:space="0" w:color="auto"/>
            <w:right w:val="none" w:sz="0" w:space="0" w:color="auto"/>
          </w:divBdr>
        </w:div>
        <w:div w:id="1095512548">
          <w:marLeft w:val="0"/>
          <w:marRight w:val="0"/>
          <w:marTop w:val="0"/>
          <w:marBottom w:val="160"/>
          <w:divBdr>
            <w:top w:val="none" w:sz="0" w:space="0" w:color="auto"/>
            <w:left w:val="none" w:sz="0" w:space="0" w:color="auto"/>
            <w:bottom w:val="none" w:sz="0" w:space="0" w:color="auto"/>
            <w:right w:val="none" w:sz="0" w:space="0" w:color="auto"/>
          </w:divBdr>
        </w:div>
      </w:divsChild>
    </w:div>
    <w:div w:id="396705691">
      <w:bodyDiv w:val="1"/>
      <w:marLeft w:val="0"/>
      <w:marRight w:val="0"/>
      <w:marTop w:val="0"/>
      <w:marBottom w:val="0"/>
      <w:divBdr>
        <w:top w:val="none" w:sz="0" w:space="0" w:color="auto"/>
        <w:left w:val="none" w:sz="0" w:space="0" w:color="auto"/>
        <w:bottom w:val="none" w:sz="0" w:space="0" w:color="auto"/>
        <w:right w:val="none" w:sz="0" w:space="0" w:color="auto"/>
      </w:divBdr>
      <w:divsChild>
        <w:div w:id="1032926923">
          <w:marLeft w:val="0"/>
          <w:marRight w:val="0"/>
          <w:marTop w:val="0"/>
          <w:marBottom w:val="160"/>
          <w:divBdr>
            <w:top w:val="none" w:sz="0" w:space="0" w:color="auto"/>
            <w:left w:val="none" w:sz="0" w:space="0" w:color="auto"/>
            <w:bottom w:val="none" w:sz="0" w:space="0" w:color="auto"/>
            <w:right w:val="none" w:sz="0" w:space="0" w:color="auto"/>
          </w:divBdr>
        </w:div>
        <w:div w:id="389156027">
          <w:marLeft w:val="0"/>
          <w:marRight w:val="0"/>
          <w:marTop w:val="0"/>
          <w:marBottom w:val="160"/>
          <w:divBdr>
            <w:top w:val="none" w:sz="0" w:space="0" w:color="auto"/>
            <w:left w:val="none" w:sz="0" w:space="0" w:color="auto"/>
            <w:bottom w:val="none" w:sz="0" w:space="0" w:color="auto"/>
            <w:right w:val="none" w:sz="0" w:space="0" w:color="auto"/>
          </w:divBdr>
        </w:div>
        <w:div w:id="1566332490">
          <w:marLeft w:val="0"/>
          <w:marRight w:val="0"/>
          <w:marTop w:val="0"/>
          <w:marBottom w:val="160"/>
          <w:divBdr>
            <w:top w:val="none" w:sz="0" w:space="0" w:color="auto"/>
            <w:left w:val="none" w:sz="0" w:space="0" w:color="auto"/>
            <w:bottom w:val="none" w:sz="0" w:space="0" w:color="auto"/>
            <w:right w:val="none" w:sz="0" w:space="0" w:color="auto"/>
          </w:divBdr>
        </w:div>
        <w:div w:id="1835796173">
          <w:marLeft w:val="0"/>
          <w:marRight w:val="0"/>
          <w:marTop w:val="0"/>
          <w:marBottom w:val="160"/>
          <w:divBdr>
            <w:top w:val="none" w:sz="0" w:space="0" w:color="auto"/>
            <w:left w:val="none" w:sz="0" w:space="0" w:color="auto"/>
            <w:bottom w:val="none" w:sz="0" w:space="0" w:color="auto"/>
            <w:right w:val="none" w:sz="0" w:space="0" w:color="auto"/>
          </w:divBdr>
        </w:div>
        <w:div w:id="1580944220">
          <w:marLeft w:val="0"/>
          <w:marRight w:val="0"/>
          <w:marTop w:val="0"/>
          <w:marBottom w:val="160"/>
          <w:divBdr>
            <w:top w:val="none" w:sz="0" w:space="0" w:color="auto"/>
            <w:left w:val="none" w:sz="0" w:space="0" w:color="auto"/>
            <w:bottom w:val="none" w:sz="0" w:space="0" w:color="auto"/>
            <w:right w:val="none" w:sz="0" w:space="0" w:color="auto"/>
          </w:divBdr>
        </w:div>
      </w:divsChild>
    </w:div>
    <w:div w:id="656886676">
      <w:bodyDiv w:val="1"/>
      <w:marLeft w:val="0"/>
      <w:marRight w:val="0"/>
      <w:marTop w:val="0"/>
      <w:marBottom w:val="0"/>
      <w:divBdr>
        <w:top w:val="none" w:sz="0" w:space="0" w:color="auto"/>
        <w:left w:val="none" w:sz="0" w:space="0" w:color="auto"/>
        <w:bottom w:val="none" w:sz="0" w:space="0" w:color="auto"/>
        <w:right w:val="none" w:sz="0" w:space="0" w:color="auto"/>
      </w:divBdr>
    </w:div>
    <w:div w:id="873929439">
      <w:bodyDiv w:val="1"/>
      <w:marLeft w:val="0"/>
      <w:marRight w:val="0"/>
      <w:marTop w:val="0"/>
      <w:marBottom w:val="0"/>
      <w:divBdr>
        <w:top w:val="none" w:sz="0" w:space="0" w:color="auto"/>
        <w:left w:val="none" w:sz="0" w:space="0" w:color="auto"/>
        <w:bottom w:val="none" w:sz="0" w:space="0" w:color="auto"/>
        <w:right w:val="none" w:sz="0" w:space="0" w:color="auto"/>
      </w:divBdr>
    </w:div>
    <w:div w:id="897672274">
      <w:bodyDiv w:val="1"/>
      <w:marLeft w:val="0"/>
      <w:marRight w:val="0"/>
      <w:marTop w:val="0"/>
      <w:marBottom w:val="0"/>
      <w:divBdr>
        <w:top w:val="none" w:sz="0" w:space="0" w:color="auto"/>
        <w:left w:val="none" w:sz="0" w:space="0" w:color="auto"/>
        <w:bottom w:val="none" w:sz="0" w:space="0" w:color="auto"/>
        <w:right w:val="none" w:sz="0" w:space="0" w:color="auto"/>
      </w:divBdr>
    </w:div>
    <w:div w:id="924726164">
      <w:bodyDiv w:val="1"/>
      <w:marLeft w:val="0"/>
      <w:marRight w:val="0"/>
      <w:marTop w:val="0"/>
      <w:marBottom w:val="0"/>
      <w:divBdr>
        <w:top w:val="none" w:sz="0" w:space="0" w:color="auto"/>
        <w:left w:val="none" w:sz="0" w:space="0" w:color="auto"/>
        <w:bottom w:val="none" w:sz="0" w:space="0" w:color="auto"/>
        <w:right w:val="none" w:sz="0" w:space="0" w:color="auto"/>
      </w:divBdr>
    </w:div>
    <w:div w:id="1339698123">
      <w:bodyDiv w:val="1"/>
      <w:marLeft w:val="0"/>
      <w:marRight w:val="0"/>
      <w:marTop w:val="0"/>
      <w:marBottom w:val="0"/>
      <w:divBdr>
        <w:top w:val="none" w:sz="0" w:space="0" w:color="auto"/>
        <w:left w:val="none" w:sz="0" w:space="0" w:color="auto"/>
        <w:bottom w:val="none" w:sz="0" w:space="0" w:color="auto"/>
        <w:right w:val="none" w:sz="0" w:space="0" w:color="auto"/>
      </w:divBdr>
      <w:divsChild>
        <w:div w:id="1622422242">
          <w:marLeft w:val="0"/>
          <w:marRight w:val="0"/>
          <w:marTop w:val="0"/>
          <w:marBottom w:val="160"/>
          <w:divBdr>
            <w:top w:val="none" w:sz="0" w:space="0" w:color="auto"/>
            <w:left w:val="none" w:sz="0" w:space="0" w:color="auto"/>
            <w:bottom w:val="none" w:sz="0" w:space="0" w:color="auto"/>
            <w:right w:val="none" w:sz="0" w:space="0" w:color="auto"/>
          </w:divBdr>
        </w:div>
        <w:div w:id="551695163">
          <w:marLeft w:val="0"/>
          <w:marRight w:val="0"/>
          <w:marTop w:val="0"/>
          <w:marBottom w:val="160"/>
          <w:divBdr>
            <w:top w:val="none" w:sz="0" w:space="0" w:color="auto"/>
            <w:left w:val="none" w:sz="0" w:space="0" w:color="auto"/>
            <w:bottom w:val="none" w:sz="0" w:space="0" w:color="auto"/>
            <w:right w:val="none" w:sz="0" w:space="0" w:color="auto"/>
          </w:divBdr>
        </w:div>
        <w:div w:id="1953055237">
          <w:marLeft w:val="0"/>
          <w:marRight w:val="0"/>
          <w:marTop w:val="0"/>
          <w:marBottom w:val="160"/>
          <w:divBdr>
            <w:top w:val="none" w:sz="0" w:space="0" w:color="auto"/>
            <w:left w:val="none" w:sz="0" w:space="0" w:color="auto"/>
            <w:bottom w:val="none" w:sz="0" w:space="0" w:color="auto"/>
            <w:right w:val="none" w:sz="0" w:space="0" w:color="auto"/>
          </w:divBdr>
        </w:div>
      </w:divsChild>
    </w:div>
    <w:div w:id="1489246983">
      <w:bodyDiv w:val="1"/>
      <w:marLeft w:val="0"/>
      <w:marRight w:val="0"/>
      <w:marTop w:val="0"/>
      <w:marBottom w:val="0"/>
      <w:divBdr>
        <w:top w:val="none" w:sz="0" w:space="0" w:color="auto"/>
        <w:left w:val="none" w:sz="0" w:space="0" w:color="auto"/>
        <w:bottom w:val="none" w:sz="0" w:space="0" w:color="auto"/>
        <w:right w:val="none" w:sz="0" w:space="0" w:color="auto"/>
      </w:divBdr>
    </w:div>
    <w:div w:id="1690913756">
      <w:bodyDiv w:val="1"/>
      <w:marLeft w:val="0"/>
      <w:marRight w:val="0"/>
      <w:marTop w:val="0"/>
      <w:marBottom w:val="0"/>
      <w:divBdr>
        <w:top w:val="none" w:sz="0" w:space="0" w:color="auto"/>
        <w:left w:val="none" w:sz="0" w:space="0" w:color="auto"/>
        <w:bottom w:val="none" w:sz="0" w:space="0" w:color="auto"/>
        <w:right w:val="none" w:sz="0" w:space="0" w:color="auto"/>
      </w:divBdr>
    </w:div>
    <w:div w:id="1698776046">
      <w:bodyDiv w:val="1"/>
      <w:marLeft w:val="0"/>
      <w:marRight w:val="0"/>
      <w:marTop w:val="0"/>
      <w:marBottom w:val="0"/>
      <w:divBdr>
        <w:top w:val="none" w:sz="0" w:space="0" w:color="auto"/>
        <w:left w:val="none" w:sz="0" w:space="0" w:color="auto"/>
        <w:bottom w:val="none" w:sz="0" w:space="0" w:color="auto"/>
        <w:right w:val="none" w:sz="0" w:space="0" w:color="auto"/>
      </w:divBdr>
    </w:div>
    <w:div w:id="1875271269">
      <w:bodyDiv w:val="1"/>
      <w:marLeft w:val="0"/>
      <w:marRight w:val="0"/>
      <w:marTop w:val="0"/>
      <w:marBottom w:val="0"/>
      <w:divBdr>
        <w:top w:val="none" w:sz="0" w:space="0" w:color="auto"/>
        <w:left w:val="none" w:sz="0" w:space="0" w:color="auto"/>
        <w:bottom w:val="none" w:sz="0" w:space="0" w:color="auto"/>
        <w:right w:val="none" w:sz="0" w:space="0" w:color="auto"/>
      </w:divBdr>
      <w:divsChild>
        <w:div w:id="1686666924">
          <w:marLeft w:val="0"/>
          <w:marRight w:val="0"/>
          <w:marTop w:val="0"/>
          <w:marBottom w:val="160"/>
          <w:divBdr>
            <w:top w:val="none" w:sz="0" w:space="0" w:color="auto"/>
            <w:left w:val="none" w:sz="0" w:space="0" w:color="auto"/>
            <w:bottom w:val="none" w:sz="0" w:space="0" w:color="auto"/>
            <w:right w:val="none" w:sz="0" w:space="0" w:color="auto"/>
          </w:divBdr>
        </w:div>
        <w:div w:id="1211260587">
          <w:marLeft w:val="0"/>
          <w:marRight w:val="0"/>
          <w:marTop w:val="0"/>
          <w:marBottom w:val="160"/>
          <w:divBdr>
            <w:top w:val="none" w:sz="0" w:space="0" w:color="auto"/>
            <w:left w:val="none" w:sz="0" w:space="0" w:color="auto"/>
            <w:bottom w:val="none" w:sz="0" w:space="0" w:color="auto"/>
            <w:right w:val="none" w:sz="0" w:space="0" w:color="auto"/>
          </w:divBdr>
        </w:div>
        <w:div w:id="1785423572">
          <w:marLeft w:val="0"/>
          <w:marRight w:val="0"/>
          <w:marTop w:val="0"/>
          <w:marBottom w:val="160"/>
          <w:divBdr>
            <w:top w:val="none" w:sz="0" w:space="0" w:color="auto"/>
            <w:left w:val="none" w:sz="0" w:space="0" w:color="auto"/>
            <w:bottom w:val="none" w:sz="0" w:space="0" w:color="auto"/>
            <w:right w:val="none" w:sz="0" w:space="0" w:color="auto"/>
          </w:divBdr>
        </w:div>
        <w:div w:id="2095466282">
          <w:marLeft w:val="0"/>
          <w:marRight w:val="0"/>
          <w:marTop w:val="0"/>
          <w:marBottom w:val="160"/>
          <w:divBdr>
            <w:top w:val="none" w:sz="0" w:space="0" w:color="auto"/>
            <w:left w:val="none" w:sz="0" w:space="0" w:color="auto"/>
            <w:bottom w:val="none" w:sz="0" w:space="0" w:color="auto"/>
            <w:right w:val="none" w:sz="0" w:space="0" w:color="auto"/>
          </w:divBdr>
        </w:div>
        <w:div w:id="865169405">
          <w:marLeft w:val="0"/>
          <w:marRight w:val="0"/>
          <w:marTop w:val="0"/>
          <w:marBottom w:val="160"/>
          <w:divBdr>
            <w:top w:val="none" w:sz="0" w:space="0" w:color="auto"/>
            <w:left w:val="none" w:sz="0" w:space="0" w:color="auto"/>
            <w:bottom w:val="none" w:sz="0" w:space="0" w:color="auto"/>
            <w:right w:val="none" w:sz="0" w:space="0" w:color="auto"/>
          </w:divBdr>
        </w:div>
      </w:divsChild>
    </w:div>
    <w:div w:id="1904482583">
      <w:bodyDiv w:val="1"/>
      <w:marLeft w:val="0"/>
      <w:marRight w:val="0"/>
      <w:marTop w:val="0"/>
      <w:marBottom w:val="0"/>
      <w:divBdr>
        <w:top w:val="none" w:sz="0" w:space="0" w:color="auto"/>
        <w:left w:val="none" w:sz="0" w:space="0" w:color="auto"/>
        <w:bottom w:val="none" w:sz="0" w:space="0" w:color="auto"/>
        <w:right w:val="none" w:sz="0" w:space="0" w:color="auto"/>
      </w:divBdr>
      <w:divsChild>
        <w:div w:id="1326859179">
          <w:marLeft w:val="0"/>
          <w:marRight w:val="0"/>
          <w:marTop w:val="0"/>
          <w:marBottom w:val="160"/>
          <w:divBdr>
            <w:top w:val="none" w:sz="0" w:space="0" w:color="auto"/>
            <w:left w:val="none" w:sz="0" w:space="0" w:color="auto"/>
            <w:bottom w:val="none" w:sz="0" w:space="0" w:color="auto"/>
            <w:right w:val="none" w:sz="0" w:space="0" w:color="auto"/>
          </w:divBdr>
        </w:div>
        <w:div w:id="561134255">
          <w:marLeft w:val="0"/>
          <w:marRight w:val="0"/>
          <w:marTop w:val="0"/>
          <w:marBottom w:val="160"/>
          <w:divBdr>
            <w:top w:val="none" w:sz="0" w:space="0" w:color="auto"/>
            <w:left w:val="none" w:sz="0" w:space="0" w:color="auto"/>
            <w:bottom w:val="none" w:sz="0" w:space="0" w:color="auto"/>
            <w:right w:val="none" w:sz="0" w:space="0" w:color="auto"/>
          </w:divBdr>
        </w:div>
        <w:div w:id="1803108973">
          <w:marLeft w:val="0"/>
          <w:marRight w:val="0"/>
          <w:marTop w:val="0"/>
          <w:marBottom w:val="160"/>
          <w:divBdr>
            <w:top w:val="none" w:sz="0" w:space="0" w:color="auto"/>
            <w:left w:val="none" w:sz="0" w:space="0" w:color="auto"/>
            <w:bottom w:val="none" w:sz="0" w:space="0" w:color="auto"/>
            <w:right w:val="none" w:sz="0" w:space="0" w:color="auto"/>
          </w:divBdr>
        </w:div>
        <w:div w:id="2062173373">
          <w:marLeft w:val="0"/>
          <w:marRight w:val="0"/>
          <w:marTop w:val="0"/>
          <w:marBottom w:val="160"/>
          <w:divBdr>
            <w:top w:val="none" w:sz="0" w:space="0" w:color="auto"/>
            <w:left w:val="none" w:sz="0" w:space="0" w:color="auto"/>
            <w:bottom w:val="none" w:sz="0" w:space="0" w:color="auto"/>
            <w:right w:val="none" w:sz="0" w:space="0" w:color="auto"/>
          </w:divBdr>
        </w:div>
        <w:div w:id="815561576">
          <w:marLeft w:val="0"/>
          <w:marRight w:val="0"/>
          <w:marTop w:val="0"/>
          <w:marBottom w:val="160"/>
          <w:divBdr>
            <w:top w:val="none" w:sz="0" w:space="0" w:color="auto"/>
            <w:left w:val="none" w:sz="0" w:space="0" w:color="auto"/>
            <w:bottom w:val="none" w:sz="0" w:space="0" w:color="auto"/>
            <w:right w:val="none" w:sz="0" w:space="0" w:color="auto"/>
          </w:divBdr>
        </w:div>
      </w:divsChild>
    </w:div>
    <w:div w:id="1922376003">
      <w:bodyDiv w:val="1"/>
      <w:marLeft w:val="0"/>
      <w:marRight w:val="0"/>
      <w:marTop w:val="0"/>
      <w:marBottom w:val="0"/>
      <w:divBdr>
        <w:top w:val="none" w:sz="0" w:space="0" w:color="auto"/>
        <w:left w:val="none" w:sz="0" w:space="0" w:color="auto"/>
        <w:bottom w:val="none" w:sz="0" w:space="0" w:color="auto"/>
        <w:right w:val="none" w:sz="0" w:space="0" w:color="auto"/>
      </w:divBdr>
      <w:divsChild>
        <w:div w:id="90319055">
          <w:marLeft w:val="0"/>
          <w:marRight w:val="0"/>
          <w:marTop w:val="0"/>
          <w:marBottom w:val="160"/>
          <w:divBdr>
            <w:top w:val="none" w:sz="0" w:space="0" w:color="auto"/>
            <w:left w:val="none" w:sz="0" w:space="0" w:color="auto"/>
            <w:bottom w:val="none" w:sz="0" w:space="0" w:color="auto"/>
            <w:right w:val="none" w:sz="0" w:space="0" w:color="auto"/>
          </w:divBdr>
        </w:div>
        <w:div w:id="729617593">
          <w:marLeft w:val="0"/>
          <w:marRight w:val="0"/>
          <w:marTop w:val="0"/>
          <w:marBottom w:val="160"/>
          <w:divBdr>
            <w:top w:val="none" w:sz="0" w:space="0" w:color="auto"/>
            <w:left w:val="none" w:sz="0" w:space="0" w:color="auto"/>
            <w:bottom w:val="none" w:sz="0" w:space="0" w:color="auto"/>
            <w:right w:val="none" w:sz="0" w:space="0" w:color="auto"/>
          </w:divBdr>
        </w:div>
        <w:div w:id="73166889">
          <w:marLeft w:val="0"/>
          <w:marRight w:val="0"/>
          <w:marTop w:val="0"/>
          <w:marBottom w:val="160"/>
          <w:divBdr>
            <w:top w:val="none" w:sz="0" w:space="0" w:color="auto"/>
            <w:left w:val="none" w:sz="0" w:space="0" w:color="auto"/>
            <w:bottom w:val="none" w:sz="0" w:space="0" w:color="auto"/>
            <w:right w:val="none" w:sz="0" w:space="0" w:color="auto"/>
          </w:divBdr>
        </w:div>
        <w:div w:id="144005586">
          <w:marLeft w:val="0"/>
          <w:marRight w:val="0"/>
          <w:marTop w:val="0"/>
          <w:marBottom w:val="160"/>
          <w:divBdr>
            <w:top w:val="none" w:sz="0" w:space="0" w:color="auto"/>
            <w:left w:val="none" w:sz="0" w:space="0" w:color="auto"/>
            <w:bottom w:val="none" w:sz="0" w:space="0" w:color="auto"/>
            <w:right w:val="none" w:sz="0" w:space="0" w:color="auto"/>
          </w:divBdr>
        </w:div>
      </w:divsChild>
    </w:div>
    <w:div w:id="2057044802">
      <w:bodyDiv w:val="1"/>
      <w:marLeft w:val="0"/>
      <w:marRight w:val="0"/>
      <w:marTop w:val="0"/>
      <w:marBottom w:val="0"/>
      <w:divBdr>
        <w:top w:val="none" w:sz="0" w:space="0" w:color="auto"/>
        <w:left w:val="none" w:sz="0" w:space="0" w:color="auto"/>
        <w:bottom w:val="none" w:sz="0" w:space="0" w:color="auto"/>
        <w:right w:val="none" w:sz="0" w:space="0" w:color="auto"/>
      </w:divBdr>
      <w:divsChild>
        <w:div w:id="1320385860">
          <w:marLeft w:val="0"/>
          <w:marRight w:val="0"/>
          <w:marTop w:val="0"/>
          <w:marBottom w:val="160"/>
          <w:divBdr>
            <w:top w:val="none" w:sz="0" w:space="0" w:color="auto"/>
            <w:left w:val="none" w:sz="0" w:space="0" w:color="auto"/>
            <w:bottom w:val="none" w:sz="0" w:space="0" w:color="auto"/>
            <w:right w:val="none" w:sz="0" w:space="0" w:color="auto"/>
          </w:divBdr>
        </w:div>
        <w:div w:id="1262451716">
          <w:marLeft w:val="0"/>
          <w:marRight w:val="0"/>
          <w:marTop w:val="0"/>
          <w:marBottom w:val="160"/>
          <w:divBdr>
            <w:top w:val="none" w:sz="0" w:space="0" w:color="auto"/>
            <w:left w:val="none" w:sz="0" w:space="0" w:color="auto"/>
            <w:bottom w:val="none" w:sz="0" w:space="0" w:color="auto"/>
            <w:right w:val="none" w:sz="0" w:space="0" w:color="auto"/>
          </w:divBdr>
        </w:div>
        <w:div w:id="1081371546">
          <w:marLeft w:val="0"/>
          <w:marRight w:val="0"/>
          <w:marTop w:val="0"/>
          <w:marBottom w:val="160"/>
          <w:divBdr>
            <w:top w:val="none" w:sz="0" w:space="0" w:color="auto"/>
            <w:left w:val="none" w:sz="0" w:space="0" w:color="auto"/>
            <w:bottom w:val="none" w:sz="0" w:space="0" w:color="auto"/>
            <w:right w:val="none" w:sz="0" w:space="0" w:color="auto"/>
          </w:divBdr>
        </w:div>
        <w:div w:id="613439579">
          <w:marLeft w:val="0"/>
          <w:marRight w:val="0"/>
          <w:marTop w:val="0"/>
          <w:marBottom w:val="160"/>
          <w:divBdr>
            <w:top w:val="none" w:sz="0" w:space="0" w:color="auto"/>
            <w:left w:val="none" w:sz="0" w:space="0" w:color="auto"/>
            <w:bottom w:val="none" w:sz="0" w:space="0" w:color="auto"/>
            <w:right w:val="none" w:sz="0" w:space="0" w:color="auto"/>
          </w:divBdr>
        </w:div>
        <w:div w:id="726994408">
          <w:marLeft w:val="0"/>
          <w:marRight w:val="0"/>
          <w:marTop w:val="0"/>
          <w:marBottom w:val="160"/>
          <w:divBdr>
            <w:top w:val="none" w:sz="0" w:space="0" w:color="auto"/>
            <w:left w:val="none" w:sz="0" w:space="0" w:color="auto"/>
            <w:bottom w:val="none" w:sz="0" w:space="0" w:color="auto"/>
            <w:right w:val="none" w:sz="0" w:space="0" w:color="auto"/>
          </w:divBdr>
        </w:div>
      </w:divsChild>
    </w:div>
    <w:div w:id="2078435823">
      <w:bodyDiv w:val="1"/>
      <w:marLeft w:val="0"/>
      <w:marRight w:val="0"/>
      <w:marTop w:val="0"/>
      <w:marBottom w:val="0"/>
      <w:divBdr>
        <w:top w:val="none" w:sz="0" w:space="0" w:color="auto"/>
        <w:left w:val="none" w:sz="0" w:space="0" w:color="auto"/>
        <w:bottom w:val="none" w:sz="0" w:space="0" w:color="auto"/>
        <w:right w:val="none" w:sz="0" w:space="0" w:color="auto"/>
      </w:divBdr>
    </w:div>
    <w:div w:id="2113353246">
      <w:bodyDiv w:val="1"/>
      <w:marLeft w:val="0"/>
      <w:marRight w:val="0"/>
      <w:marTop w:val="0"/>
      <w:marBottom w:val="0"/>
      <w:divBdr>
        <w:top w:val="none" w:sz="0" w:space="0" w:color="auto"/>
        <w:left w:val="none" w:sz="0" w:space="0" w:color="auto"/>
        <w:bottom w:val="none" w:sz="0" w:space="0" w:color="auto"/>
        <w:right w:val="none" w:sz="0" w:space="0" w:color="auto"/>
      </w:divBdr>
      <w:divsChild>
        <w:div w:id="72706220">
          <w:marLeft w:val="0"/>
          <w:marRight w:val="0"/>
          <w:marTop w:val="0"/>
          <w:marBottom w:val="160"/>
          <w:divBdr>
            <w:top w:val="none" w:sz="0" w:space="0" w:color="auto"/>
            <w:left w:val="none" w:sz="0" w:space="0" w:color="auto"/>
            <w:bottom w:val="none" w:sz="0" w:space="0" w:color="auto"/>
            <w:right w:val="none" w:sz="0" w:space="0" w:color="auto"/>
          </w:divBdr>
        </w:div>
        <w:div w:id="838890589">
          <w:marLeft w:val="0"/>
          <w:marRight w:val="0"/>
          <w:marTop w:val="0"/>
          <w:marBottom w:val="160"/>
          <w:divBdr>
            <w:top w:val="none" w:sz="0" w:space="0" w:color="auto"/>
            <w:left w:val="none" w:sz="0" w:space="0" w:color="auto"/>
            <w:bottom w:val="none" w:sz="0" w:space="0" w:color="auto"/>
            <w:right w:val="none" w:sz="0" w:space="0" w:color="auto"/>
          </w:divBdr>
        </w:div>
        <w:div w:id="948195325">
          <w:marLeft w:val="0"/>
          <w:marRight w:val="0"/>
          <w:marTop w:val="0"/>
          <w:marBottom w:val="160"/>
          <w:divBdr>
            <w:top w:val="none" w:sz="0" w:space="0" w:color="auto"/>
            <w:left w:val="none" w:sz="0" w:space="0" w:color="auto"/>
            <w:bottom w:val="none" w:sz="0" w:space="0" w:color="auto"/>
            <w:right w:val="none" w:sz="0" w:space="0" w:color="auto"/>
          </w:divBdr>
        </w:div>
        <w:div w:id="1197932667">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ibertyhumanrights.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gbrotherwatch.org.uk/wp-content/uploads/2021/03/Face-Off-final-digital-1.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mnesty.org.uk" TargetMode="External"/><Relationship Id="rId5" Type="http://schemas.openxmlformats.org/officeDocument/2006/relationships/numbering" Target="numbering.xml"/><Relationship Id="rId15" Type="http://schemas.openxmlformats.org/officeDocument/2006/relationships/hyperlink" Target="https://www.south-wales.police.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quak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5" ma:contentTypeDescription="Create a new document." ma:contentTypeScope="" ma:versionID="8fdf92efb31e9a00e080f6bad7ba7310">
  <xsd:schema xmlns:xsd="http://www.w3.org/2001/XMLSchema" xmlns:xs="http://www.w3.org/2001/XMLSchema" xmlns:p="http://schemas.microsoft.com/office/2006/metadata/properties" xmlns:ns3="ea615e75-cfa6-4777-b3e2-cd5725779d91" targetNamespace="http://schemas.microsoft.com/office/2006/metadata/properties" ma:root="true" ma:fieldsID="d797653d956bcc18febc6868dcd7621d"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1D34C-4463-4DA5-AC62-4AA949EF8D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DFC351-7A65-4C72-BE82-3F14BD73AD83}">
  <ds:schemaRefs>
    <ds:schemaRef ds:uri="http://schemas.microsoft.com/sharepoint/v3/contenttype/forms"/>
  </ds:schemaRefs>
</ds:datastoreItem>
</file>

<file path=customXml/itemProps3.xml><?xml version="1.0" encoding="utf-8"?>
<ds:datastoreItem xmlns:ds="http://schemas.openxmlformats.org/officeDocument/2006/customXml" ds:itemID="{9DC92471-A1F5-45EF-BB3F-8961692F93D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2D0E770-349A-4319-AAAF-1BF90EE22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2483</Words>
  <Characters>15350</Characters>
  <Application>Microsoft Office Word</Application>
  <DocSecurity>0</DocSecurity>
  <Lines>201</Lines>
  <Paragraphs>24</Paragraphs>
  <ScaleCrop>false</ScaleCrop>
  <HeadingPairs>
    <vt:vector size="2" baseType="variant">
      <vt:variant>
        <vt:lpstr>Title</vt:lpstr>
      </vt:variant>
      <vt:variant>
        <vt:i4>1</vt:i4>
      </vt:variant>
    </vt:vector>
  </HeadingPairs>
  <TitlesOfParts>
    <vt:vector size="1" baseType="lpstr">
      <vt:lpstr>Policing and the policitical landscape – bmpo7003d</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Policing and the policitical landscape – bmpo7003d</dc:title>
  <dc:subject/>
  <dc:creator>Kendra Wedgwood</dc:creator>
  <cp:keywords/>
  <dc:description/>
  <cp:lastModifiedBy>Kendra Wedgwood (2406211)</cp:lastModifiedBy>
  <cp:revision>9</cp:revision>
  <dcterms:created xsi:type="dcterms:W3CDTF">2025-06-30T19:04:00Z</dcterms:created>
  <dcterms:modified xsi:type="dcterms:W3CDTF">2025-07-21T16:19:00Z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