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E6955" w14:textId="77777777" w:rsidR="00B12817" w:rsidRDefault="00B12817" w:rsidP="00B12817">
      <w:pPr>
        <w:jc w:val="center"/>
      </w:pPr>
    </w:p>
    <w:p w14:paraId="15DBAAA3" w14:textId="77777777" w:rsidR="00B12817" w:rsidRDefault="00B12817" w:rsidP="00B12817">
      <w:pPr>
        <w:jc w:val="center"/>
      </w:pPr>
    </w:p>
    <w:p w14:paraId="272DF101" w14:textId="77777777" w:rsidR="00B12817" w:rsidRDefault="00B12817" w:rsidP="00B12817">
      <w:pPr>
        <w:jc w:val="center"/>
      </w:pPr>
    </w:p>
    <w:p w14:paraId="28837946" w14:textId="77777777" w:rsidR="00B12817" w:rsidRDefault="00B12817" w:rsidP="00B12817">
      <w:pPr>
        <w:jc w:val="center"/>
      </w:pPr>
    </w:p>
    <w:p w14:paraId="56D037F6" w14:textId="77777777" w:rsidR="00B12817" w:rsidRDefault="00B12817" w:rsidP="00B12817">
      <w:pPr>
        <w:jc w:val="center"/>
      </w:pPr>
    </w:p>
    <w:p w14:paraId="0CFFC7CA" w14:textId="77777777" w:rsidR="00B12817" w:rsidRPr="00B12817" w:rsidRDefault="00B12817" w:rsidP="00B12817">
      <w:pPr>
        <w:jc w:val="center"/>
        <w:rPr>
          <w:b/>
        </w:rPr>
      </w:pPr>
      <w:r w:rsidRPr="00B12817">
        <w:rPr>
          <w:b/>
        </w:rPr>
        <w:t>Law and Legal Practice</w:t>
      </w:r>
    </w:p>
    <w:p w14:paraId="4BA047AE" w14:textId="3AAB92B0" w:rsidR="00B12817" w:rsidRDefault="00E03BD9" w:rsidP="00B12817">
      <w:pPr>
        <w:jc w:val="center"/>
      </w:pPr>
      <w:r>
        <w:t>STUDENT NAME:</w:t>
      </w:r>
    </w:p>
    <w:p w14:paraId="5EEAB9FF" w14:textId="63274460" w:rsidR="00FD2D3B" w:rsidRDefault="00FD2D3B" w:rsidP="00B12817">
      <w:pPr>
        <w:jc w:val="center"/>
      </w:pPr>
      <w:r w:rsidRPr="00FD2D3B">
        <w:t>Ruxandra Florea</w:t>
      </w:r>
    </w:p>
    <w:p w14:paraId="0CE7F4EA" w14:textId="39AB59CC" w:rsidR="00E03BD9" w:rsidRDefault="00E03BD9" w:rsidP="00E03BD9">
      <w:pPr>
        <w:jc w:val="center"/>
      </w:pPr>
      <w:r>
        <w:t>STUDET NUMBER:2225234</w:t>
      </w:r>
    </w:p>
    <w:p w14:paraId="7A7A8BD9" w14:textId="1C280FAA" w:rsidR="00B12817" w:rsidRDefault="00B12817" w:rsidP="00B12817">
      <w:pPr>
        <w:jc w:val="center"/>
      </w:pPr>
      <w:r>
        <w:t>Assignment Due Date</w:t>
      </w:r>
      <w:r w:rsidR="00E03BD9">
        <w:t>:</w:t>
      </w:r>
    </w:p>
    <w:p w14:paraId="47EDBE5B" w14:textId="4ADAFED2" w:rsidR="00E03BD9" w:rsidRDefault="00E03BD9" w:rsidP="00B12817">
      <w:pPr>
        <w:jc w:val="center"/>
      </w:pPr>
      <w:r>
        <w:t>10.03.2023</w:t>
      </w:r>
    </w:p>
    <w:p w14:paraId="4A53FA5E" w14:textId="77777777" w:rsidR="00B12817" w:rsidRDefault="00B12817">
      <w:pPr>
        <w:spacing w:after="200" w:line="276" w:lineRule="auto"/>
      </w:pPr>
      <w:r>
        <w:br w:type="page"/>
      </w:r>
    </w:p>
    <w:p w14:paraId="12B8CFC7" w14:textId="77777777" w:rsidR="00B12817" w:rsidRPr="00B12817" w:rsidRDefault="00B12817" w:rsidP="00B12817">
      <w:pPr>
        <w:jc w:val="center"/>
        <w:rPr>
          <w:b/>
        </w:rPr>
      </w:pPr>
      <w:r w:rsidRPr="00B12817">
        <w:rPr>
          <w:b/>
        </w:rPr>
        <w:lastRenderedPageBreak/>
        <w:t>Law and Legal Practice</w:t>
      </w:r>
    </w:p>
    <w:p w14:paraId="5707C0C9" w14:textId="77777777" w:rsidR="00E01C9C" w:rsidRDefault="00E01C9C" w:rsidP="00B12817">
      <w:pPr>
        <w:ind w:firstLine="720"/>
      </w:pPr>
      <w:r w:rsidRPr="00E01C9C">
        <w:t xml:space="preserve">Human rights are the fundamental principles that guide the conduct of governments and other institutions toward individuals. </w:t>
      </w:r>
      <w:r w:rsidR="005F1133" w:rsidRPr="005F1133">
        <w:t xml:space="preserve">The Human Rights Act of 1998 (HRA), which incorporates the European Convention on Human Rights (ECHR) into UK legislation, is the </w:t>
      </w:r>
      <w:r w:rsidR="005F1133">
        <w:t>leading</w:t>
      </w:r>
      <w:r w:rsidR="005F1133" w:rsidRPr="005F1133">
        <w:t xml:space="preserve"> domestic instrument for defending human rights in the United Kingdom. The Bill of Rights Bill, a new piece of legislation put forth by the government of the United Kingdom, would replace and repeal the Human Rights Act of 1998. (Smith, 2022).</w:t>
      </w:r>
      <w:r w:rsidRPr="00E01C9C">
        <w:t xml:space="preserve"> The proposed Bill of Rights Bill aims to create a new set of rights and responsibilities for UK citizens that are more closely aligned with British values and traditions. However, many have expressed concerns that introducing such legislation could damage the rule of law and impact the ability of individuals to protect their human rights. </w:t>
      </w:r>
      <w:r w:rsidR="00CF1D3E" w:rsidRPr="00CF1D3E">
        <w:t xml:space="preserve">This essay seeks to evaluate the potential impact of the Bill of Rights Bill on the rule of law and the protection of human rights in the UK. In particular, the essay will analyze the key features of the Bill of Rights Bill, </w:t>
      </w:r>
      <w:r w:rsidR="00CF1D3E">
        <w:t xml:space="preserve">the </w:t>
      </w:r>
      <w:r w:rsidR="00CF1D3E" w:rsidRPr="00CF1D3E">
        <w:t>reasons for its creation, its advantages and disadvantages, and potential reform suggestions.</w:t>
      </w:r>
    </w:p>
    <w:p w14:paraId="5F7BC166" w14:textId="77777777" w:rsidR="00BB43ED" w:rsidRPr="00BB43ED" w:rsidRDefault="00BB43ED" w:rsidP="00BB43ED">
      <w:pPr>
        <w:jc w:val="center"/>
        <w:rPr>
          <w:b/>
        </w:rPr>
      </w:pPr>
      <w:r w:rsidRPr="00BB43ED">
        <w:rPr>
          <w:b/>
        </w:rPr>
        <w:t>T</w:t>
      </w:r>
      <w:r>
        <w:rPr>
          <w:b/>
        </w:rPr>
        <w:t>he Human Rights Act 1998</w:t>
      </w:r>
    </w:p>
    <w:p w14:paraId="29B752DA" w14:textId="77777777" w:rsidR="00394245" w:rsidRDefault="005F1133" w:rsidP="00394245">
      <w:pPr>
        <w:ind w:firstLine="720"/>
      </w:pPr>
      <w:r w:rsidRPr="005F1133">
        <w:t>The UK</w:t>
      </w:r>
      <w:r>
        <w:t>’</w:t>
      </w:r>
      <w:r w:rsidRPr="005F1133">
        <w:t>s Human Rights Act of 1998 transposes the ECHR</w:t>
      </w:r>
      <w:r>
        <w:t>’</w:t>
      </w:r>
      <w:r w:rsidRPr="005F1133">
        <w:t xml:space="preserve">s fundamental freedoms into national legislation (Paterson, 2021). The HRA </w:t>
      </w:r>
      <w:r>
        <w:t>ensures</w:t>
      </w:r>
      <w:r w:rsidRPr="005F1133">
        <w:t xml:space="preserve"> that people in the UK have access to the same rights and safeguards as those provided by the ECHR. The act also </w:t>
      </w:r>
      <w:r>
        <w:t>allows</w:t>
      </w:r>
      <w:r w:rsidRPr="005F1133">
        <w:t xml:space="preserve"> people to file lawsuits against public officials in UK courts instead of Strasbourg</w:t>
      </w:r>
      <w:r>
        <w:t>’</w:t>
      </w:r>
      <w:r w:rsidRPr="005F1133">
        <w:t xml:space="preserve">s European Court of Human Rights. Additionally, the HRA is a crucial weapon for advancing and defending human rights in the UK (Paterson, 2021). It has played a crucial role in </w:t>
      </w:r>
      <w:r>
        <w:t>several</w:t>
      </w:r>
      <w:r w:rsidRPr="005F1133">
        <w:t xml:space="preserve"> well-known instances involving minority rights, freedom of expression, and privacy rights.</w:t>
      </w:r>
      <w:r w:rsidR="00394245">
        <w:t xml:space="preserve"> </w:t>
      </w:r>
    </w:p>
    <w:p w14:paraId="78F24524" w14:textId="77777777" w:rsidR="00394245" w:rsidRDefault="00394245" w:rsidP="00394245">
      <w:pPr>
        <w:ind w:firstLine="720"/>
      </w:pPr>
      <w:r>
        <w:t xml:space="preserve">According to Paterson(2021), HRA has helped to protect vulnerable people, including those with disabilities and women victims of </w:t>
      </w:r>
      <w:r w:rsidR="00BA42AE">
        <w:t>local</w:t>
      </w:r>
      <w:r>
        <w:t xml:space="preserve"> violence. The Human Rights Act is essential for promoting and protecting </w:t>
      </w:r>
      <w:r w:rsidR="00045D93" w:rsidRPr="00045D93">
        <w:t xml:space="preserve">political </w:t>
      </w:r>
      <w:r>
        <w:t xml:space="preserve">and </w:t>
      </w:r>
      <w:r w:rsidR="00045D93" w:rsidRPr="00045D93">
        <w:t xml:space="preserve">civil </w:t>
      </w:r>
      <w:r>
        <w:t xml:space="preserve">rights in the UK. In particular, HRA </w:t>
      </w:r>
      <w:r>
        <w:lastRenderedPageBreak/>
        <w:t xml:space="preserve">protects an individual’s right to life, </w:t>
      </w:r>
      <w:r w:rsidR="00BA42AE" w:rsidRPr="00BA42AE">
        <w:t>security</w:t>
      </w:r>
      <w:r w:rsidR="00355EE5">
        <w:t>,</w:t>
      </w:r>
      <w:r>
        <w:t xml:space="preserve"> </w:t>
      </w:r>
      <w:r w:rsidR="00BA42AE" w:rsidRPr="00BA42AE">
        <w:t>liberty</w:t>
      </w:r>
      <w:r>
        <w:t>, right against torture and inhuman treatment, conscience and religion, and freedom from degrading treatment or punishment, among other rights</w:t>
      </w:r>
      <w:r w:rsidR="001640D3">
        <w:t xml:space="preserve"> (</w:t>
      </w:r>
      <w:r w:rsidR="001640D3" w:rsidRPr="001640D3">
        <w:rPr>
          <w:lang w:val="en-AU"/>
        </w:rPr>
        <w:t>Kuijer</w:t>
      </w:r>
      <w:r w:rsidR="001640D3">
        <w:rPr>
          <w:lang w:val="en-AU"/>
        </w:rPr>
        <w:t>, 2020)</w:t>
      </w:r>
      <w:r>
        <w:t xml:space="preserve">. </w:t>
      </w:r>
      <w:r w:rsidR="00D80629" w:rsidRPr="00D80629">
        <w:t xml:space="preserve">Nevertheless, some people have been pushing for a new British Bill of Rights for </w:t>
      </w:r>
      <w:r w:rsidR="003B1C95">
        <w:t>several</w:t>
      </w:r>
      <w:r w:rsidR="00D80629" w:rsidRPr="00D80629">
        <w:t xml:space="preserve"> years despite its significant contribution to </w:t>
      </w:r>
      <w:r w:rsidR="003B1C95">
        <w:t>protecting</w:t>
      </w:r>
      <w:r w:rsidR="00D80629" w:rsidRPr="00D80629">
        <w:t xml:space="preserve"> human rights in the UK.</w:t>
      </w:r>
      <w:r>
        <w:t xml:space="preserve"> Although the government has not released official proposals, many parliamentarians have expressed their support.</w:t>
      </w:r>
    </w:p>
    <w:p w14:paraId="01536F04" w14:textId="77777777" w:rsidR="00E01C9C" w:rsidRPr="009A45D6" w:rsidRDefault="008358D0" w:rsidP="00D80629">
      <w:pPr>
        <w:jc w:val="center"/>
        <w:rPr>
          <w:b/>
        </w:rPr>
      </w:pPr>
      <w:r w:rsidRPr="009A45D6">
        <w:rPr>
          <w:b/>
        </w:rPr>
        <w:t>Bill of Rights Bill</w:t>
      </w:r>
    </w:p>
    <w:p w14:paraId="78D6A685" w14:textId="77777777" w:rsidR="008358D0" w:rsidRPr="008358D0" w:rsidRDefault="0026187D" w:rsidP="00D80629">
      <w:pPr>
        <w:ind w:firstLine="720"/>
      </w:pPr>
      <w:r w:rsidRPr="0026187D">
        <w:t xml:space="preserve">The UK government has put out the Bill of Rights Bill as a replacement for the Human Rights Act of 1998. By establishing a new legal framework that assures the UK is not bound by </w:t>
      </w:r>
      <w:r>
        <w:t>the European Court of Human Rights ruling</w:t>
      </w:r>
      <w:r w:rsidRPr="0026187D">
        <w:t>s but permits UK courts to interpret and implement human rights legislation, it seeks to accomplish this.</w:t>
      </w:r>
      <w:r w:rsidR="009A45D6" w:rsidRPr="009A45D6">
        <w:t xml:space="preserve"> Schimmelfennig (2020) argues that introducing a Bill of Rights Bill to replace HRA could be justified on the basis that it would improve the UK’s relationship with Europe as it would bring about greater consistency with EU law on human rights. </w:t>
      </w:r>
      <w:r w:rsidRPr="0026187D">
        <w:t>For instance, the ECHR mandates that nations guarantee that certain rights and liberties, such as the right to free expression, are upheld by all EU members. However, only a small number of states—including the UK—have ratified the ECHR.</w:t>
      </w:r>
    </w:p>
    <w:p w14:paraId="5DBF33C0" w14:textId="77777777" w:rsidR="00C84EA1" w:rsidRPr="00C84EA1" w:rsidRDefault="00C84EA1" w:rsidP="00C84EA1">
      <w:pPr>
        <w:jc w:val="center"/>
        <w:rPr>
          <w:b/>
        </w:rPr>
      </w:pPr>
      <w:r w:rsidRPr="00C84EA1">
        <w:rPr>
          <w:b/>
        </w:rPr>
        <w:t>The Main Aims and Objectives of the Bill of Rights Bill</w:t>
      </w:r>
    </w:p>
    <w:p w14:paraId="0B3146A9" w14:textId="77777777" w:rsidR="00C84EA1" w:rsidRDefault="00C84EA1" w:rsidP="00C84EA1">
      <w:pPr>
        <w:ind w:firstLine="720"/>
      </w:pPr>
      <w:r w:rsidRPr="00C84EA1">
        <w:t xml:space="preserve">The main aims and objectives of the Bill of Rights Bill are to incorporate human rights into UK law while balancing the rights of individuals with the </w:t>
      </w:r>
      <w:r w:rsidR="001640D3">
        <w:t>broa</w:t>
      </w:r>
      <w:r w:rsidRPr="00C84EA1">
        <w:t xml:space="preserve">der public interest. </w:t>
      </w:r>
      <w:r w:rsidR="003B1C95" w:rsidRPr="003B1C95">
        <w:t>The legislation aims to guarantee that UK courts have the ultimate word on human rights matters and that the UK is not bound by the rulings of the European Court of Human Rights (Paterson, 2021).</w:t>
      </w:r>
      <w:r w:rsidRPr="00C84EA1">
        <w:t xml:space="preserve"> It also aims to protect the UK’s sovereignty and national security while safeguarding individual rights.</w:t>
      </w:r>
      <w:r w:rsidR="00D603CE" w:rsidRPr="00D603CE">
        <w:t xml:space="preserve"> Furthermore, the new legislation aims to clarify rights and responsibilities for individual citizens in a way consistent with British values and traditions. </w:t>
      </w:r>
      <w:r w:rsidR="00D603CE" w:rsidRPr="00D603CE">
        <w:lastRenderedPageBreak/>
        <w:t xml:space="preserve">This clarification is necessary since HRA does not incorporate all human rights into UK law. In addition, the act provides a mechanism for challenging public authorities for breaching or failing to protect human rights, which critics argue promotes judicial activism. </w:t>
      </w:r>
    </w:p>
    <w:p w14:paraId="7C70892C" w14:textId="77777777" w:rsidR="00D454ED" w:rsidRDefault="00B248E1" w:rsidP="00D454ED">
      <w:pPr>
        <w:ind w:firstLine="720"/>
      </w:pPr>
      <w:r w:rsidRPr="00B248E1">
        <w:t xml:space="preserve">The European Convention on Human Rights of 1950 (ECHR) is a global agreement that outlines the civil and political rights of every person living in the EU (Schimmelfennig, 2020). All </w:t>
      </w:r>
      <w:r>
        <w:t>EU</w:t>
      </w:r>
      <w:r w:rsidRPr="00B248E1">
        <w:t xml:space="preserve"> members have approved it, including the Republic of Ireland</w:t>
      </w:r>
      <w:r>
        <w:t xml:space="preserve"> and the </w:t>
      </w:r>
      <w:r w:rsidRPr="00B248E1">
        <w:t>UK.</w:t>
      </w:r>
      <w:r w:rsidR="00355EE5" w:rsidRPr="00355EE5">
        <w:t xml:space="preserve"> Under this convention</w:t>
      </w:r>
      <w:r w:rsidR="00355EE5">
        <w:t>,</w:t>
      </w:r>
      <w:r w:rsidR="00355EE5" w:rsidRPr="00355EE5">
        <w:t xml:space="preserve"> individuals are entitled to submit a case against any State within the EU before the European Court of Human Rights if they </w:t>
      </w:r>
      <w:r w:rsidR="00355EE5">
        <w:t>cannot</w:t>
      </w:r>
      <w:r w:rsidR="00355EE5" w:rsidRPr="00355EE5">
        <w:t xml:space="preserve"> h</w:t>
      </w:r>
      <w:r w:rsidR="00355EE5">
        <w:t>ear their case</w:t>
      </w:r>
      <w:r w:rsidR="00355EE5" w:rsidRPr="00355EE5">
        <w:t xml:space="preserve"> in local courts.</w:t>
      </w:r>
      <w:r w:rsidR="00355EE5">
        <w:t xml:space="preserve"> </w:t>
      </w:r>
      <w:r w:rsidR="00D454ED" w:rsidRPr="00D454ED">
        <w:t>The government believes that the current system, based on the Human Rights Act 1998, is flawed and needs to be reformed to provide greater clarity and consistency</w:t>
      </w:r>
      <w:r w:rsidR="001640D3">
        <w:t xml:space="preserve"> (</w:t>
      </w:r>
      <w:r w:rsidR="001640D3" w:rsidRPr="001640D3">
        <w:rPr>
          <w:lang w:val="en-AU"/>
        </w:rPr>
        <w:t>Schimmelfennig</w:t>
      </w:r>
      <w:r w:rsidR="001640D3">
        <w:rPr>
          <w:lang w:val="en-AU"/>
        </w:rPr>
        <w:t>, 2020)</w:t>
      </w:r>
      <w:r w:rsidR="00D454ED" w:rsidRPr="00D454ED">
        <w:t xml:space="preserve">. </w:t>
      </w:r>
      <w:r w:rsidR="009914CC" w:rsidRPr="009914CC">
        <w:t xml:space="preserve">The government also contends that UK courts should have the last word on human rights matters rather than being constrained by </w:t>
      </w:r>
      <w:r w:rsidR="00296C7F">
        <w:t>the European Court of Human Rights ruling</w:t>
      </w:r>
      <w:r w:rsidR="009914CC" w:rsidRPr="009914CC">
        <w:t>s.</w:t>
      </w:r>
    </w:p>
    <w:p w14:paraId="044B5DA4" w14:textId="77777777" w:rsidR="00C84EA1" w:rsidRDefault="00296C7F" w:rsidP="00D603CE">
      <w:pPr>
        <w:ind w:firstLine="720"/>
      </w:pPr>
      <w:r w:rsidRPr="00296C7F">
        <w:t>The UK</w:t>
      </w:r>
      <w:r>
        <w:t>’</w:t>
      </w:r>
      <w:r w:rsidRPr="00296C7F">
        <w:t>s exit from the EU is governed by the European Union (Withdrawal) Act 2018 legislation. The act repeals the European Communities Act of 1972, which was responsible for the UK</w:t>
      </w:r>
      <w:r>
        <w:t>’</w:t>
      </w:r>
      <w:r w:rsidRPr="00296C7F">
        <w:t>s EU membership</w:t>
      </w:r>
      <w:r>
        <w:t>, and</w:t>
      </w:r>
      <w:r w:rsidRPr="00296C7F">
        <w:t xml:space="preserve"> translates EU legislation into UK domestic law (Gerards, 2019). The government</w:t>
      </w:r>
      <w:r>
        <w:t>’</w:t>
      </w:r>
      <w:r w:rsidRPr="00296C7F">
        <w:t xml:space="preserve">s decision to pursue the repeal and replacement of the HRA may have been influenced by </w:t>
      </w:r>
      <w:r>
        <w:t>several</w:t>
      </w:r>
      <w:r w:rsidRPr="00296C7F">
        <w:t xml:space="preserve"> issues. </w:t>
      </w:r>
      <w:r>
        <w:t>According to others, the government may be trying to separate itself from the European Union (Withdrawal) Act and the EU in the aftermath of Brexit</w:t>
      </w:r>
      <w:r w:rsidRPr="00296C7F">
        <w:t xml:space="preserve">, </w:t>
      </w:r>
      <w:r>
        <w:t xml:space="preserve">and </w:t>
      </w:r>
      <w:r w:rsidRPr="00296C7F">
        <w:t>contend that this is one of the primary motivations (Smith, 2022).</w:t>
      </w:r>
      <w:r>
        <w:t xml:space="preserve"> </w:t>
      </w:r>
      <w:r w:rsidRPr="00296C7F">
        <w:t>An example of a UK statute that allowed for the UK</w:t>
      </w:r>
      <w:r>
        <w:t>’</w:t>
      </w:r>
      <w:r w:rsidRPr="00296C7F">
        <w:t>s membership in the European Communities—the forerunner of the European Union—is the European Communities Act of 1972</w:t>
      </w:r>
      <w:r w:rsidR="004741AE">
        <w:t xml:space="preserve"> (</w:t>
      </w:r>
      <w:r w:rsidR="004741AE" w:rsidRPr="001640D3">
        <w:rPr>
          <w:lang w:val="en-AU"/>
        </w:rPr>
        <w:t>Smith</w:t>
      </w:r>
      <w:r w:rsidR="004741AE">
        <w:rPr>
          <w:lang w:val="en-AU"/>
        </w:rPr>
        <w:t>, 2022)</w:t>
      </w:r>
      <w:r w:rsidRPr="00296C7F">
        <w:t xml:space="preserve">. It established the rule that EU law takes precedence over UK law and integrated EU law into UK domestic law. The European Union (Withdrawal) Act 2018 revoked the law (Paterson, 2021). Concerns about baseless and pointless human rights claims </w:t>
      </w:r>
      <w:r w:rsidRPr="00296C7F">
        <w:lastRenderedPageBreak/>
        <w:t>have been raised by the government</w:t>
      </w:r>
      <w:r>
        <w:t>’</w:t>
      </w:r>
      <w:r w:rsidRPr="00296C7F">
        <w:t>s allegations that attorneys and campaigners have exploited the HRA.</w:t>
      </w:r>
    </w:p>
    <w:p w14:paraId="5A540B68" w14:textId="77777777" w:rsidR="00032D82" w:rsidRDefault="00D454ED" w:rsidP="00032D82">
      <w:pPr>
        <w:ind w:firstLine="720"/>
      </w:pPr>
      <w:r>
        <w:t>However, t</w:t>
      </w:r>
      <w:r w:rsidR="00032D82" w:rsidRPr="00032D82">
        <w:t xml:space="preserve">he changes that </w:t>
      </w:r>
      <w:r w:rsidR="00032D82">
        <w:t>the Bill of Rights Bill will make</w:t>
      </w:r>
      <w:r w:rsidR="00032D82" w:rsidRPr="00032D82">
        <w:t xml:space="preserve"> are not yet </w:t>
      </w:r>
      <w:r w:rsidR="001640D3">
        <w:t>evident</w:t>
      </w:r>
      <w:r w:rsidR="00032D82" w:rsidRPr="00032D82">
        <w:t>, as the legislation has not been introduced.</w:t>
      </w:r>
      <w:r w:rsidR="001640D3">
        <w:t xml:space="preserve"> There are</w:t>
      </w:r>
      <w:r w:rsidR="00032D82" w:rsidRPr="00032D82">
        <w:t xml:space="preserve"> </w:t>
      </w:r>
      <w:r w:rsidR="00032D82">
        <w:t>several possible changes</w:t>
      </w:r>
      <w:r w:rsidR="00032D82" w:rsidRPr="00032D82">
        <w:t xml:space="preserve"> have been suggested. One possible change is that the Bill of Rights Bill could seek to limit the application of human rights laws in the UK, making it harder for individuals to bring claims before the courts. The Bill of Rights Bill could also seek to strengthen the UK</w:t>
      </w:r>
      <w:r w:rsidR="00032D82">
        <w:t>’</w:t>
      </w:r>
      <w:r w:rsidR="00032D82" w:rsidRPr="00032D82">
        <w:t>s sovereignty and independence from the EU by reducing the influence of EU law on UK courts</w:t>
      </w:r>
      <w:r w:rsidR="001640D3">
        <w:t xml:space="preserve"> (</w:t>
      </w:r>
      <w:r w:rsidR="001640D3" w:rsidRPr="001640D3">
        <w:rPr>
          <w:lang w:val="en-AU"/>
        </w:rPr>
        <w:t>Kuijer</w:t>
      </w:r>
      <w:r w:rsidR="001640D3">
        <w:rPr>
          <w:lang w:val="en-AU"/>
        </w:rPr>
        <w:t>, 2020)</w:t>
      </w:r>
      <w:r w:rsidR="00032D82" w:rsidRPr="00032D82">
        <w:t xml:space="preserve">. Some have suggested that the Bill of Rights Bill could provide </w:t>
      </w:r>
      <w:r w:rsidR="001640D3">
        <w:t>more excellent</w:t>
      </w:r>
      <w:r w:rsidR="00032D82" w:rsidRPr="00032D82">
        <w:t xml:space="preserve"> protection for certain groups, such as victims of crime or military personnel. However, it is not yet clear how these protections would be implemented or enforced.</w:t>
      </w:r>
    </w:p>
    <w:p w14:paraId="654682C6" w14:textId="77777777" w:rsidR="00B62057" w:rsidRPr="00B62057" w:rsidRDefault="00B62057" w:rsidP="001640D3">
      <w:pPr>
        <w:jc w:val="center"/>
        <w:rPr>
          <w:b/>
        </w:rPr>
      </w:pPr>
      <w:r w:rsidRPr="00B62057">
        <w:rPr>
          <w:b/>
        </w:rPr>
        <w:t>Advantages of the Bill of Rights Bill</w:t>
      </w:r>
    </w:p>
    <w:p w14:paraId="5D13D8A5" w14:textId="77777777" w:rsidR="00B62057" w:rsidRDefault="00B62057" w:rsidP="00B62057">
      <w:pPr>
        <w:ind w:firstLine="720"/>
      </w:pPr>
      <w:r>
        <w:t xml:space="preserve">One advantage of the Bill of Rights Bill is that it seeks to incorporate human rights into UK law. The bill aims to establish a new legal framework for human rights in Britain, </w:t>
      </w:r>
      <w:r w:rsidR="001640D3">
        <w:t>protecting</w:t>
      </w:r>
      <w:r>
        <w:t xml:space="preserve"> individuals’ rights and freedoms. However, HRA did not incorporate all human rights into UK law, meaning that some human rights remain outside UK law. By incorporating these other human rights into the UK’s legal framework, the bill will increase the protection of individuals from violations by public authorities or private bodies with no accountability to citizens.</w:t>
      </w:r>
    </w:p>
    <w:p w14:paraId="5D6B0F4D" w14:textId="77777777" w:rsidR="00B62057" w:rsidRDefault="00B62057" w:rsidP="00B62057">
      <w:pPr>
        <w:ind w:firstLine="720"/>
      </w:pPr>
      <w:r>
        <w:t>Another potential advantage of the Bill of Rights Bill is that it seeks to clarify citizens’ rights and responsibilities for them under UK laws. The Bill of Rights Bill is needed because the Human Rights Act did not cover all human rights. Therefore, the Bill of Rights Bill will clarify certain rights and responsibilities for individuals in a way consistent with British values and traditions</w:t>
      </w:r>
      <w:r w:rsidR="001640D3">
        <w:t xml:space="preserve"> (</w:t>
      </w:r>
      <w:r w:rsidR="001640D3" w:rsidRPr="001640D3">
        <w:rPr>
          <w:lang w:val="en-AU"/>
        </w:rPr>
        <w:t>Smith</w:t>
      </w:r>
      <w:r w:rsidR="001640D3">
        <w:rPr>
          <w:lang w:val="en-AU"/>
        </w:rPr>
        <w:t>, 2022)</w:t>
      </w:r>
      <w:r>
        <w:t>. This new legislation will protect human rights while respecting traditions and British values.</w:t>
      </w:r>
    </w:p>
    <w:p w14:paraId="6F36E33F" w14:textId="77777777" w:rsidR="00B62057" w:rsidRPr="00B62057" w:rsidRDefault="00B62057" w:rsidP="00B62057">
      <w:pPr>
        <w:jc w:val="center"/>
        <w:rPr>
          <w:b/>
        </w:rPr>
      </w:pPr>
      <w:r w:rsidRPr="00B62057">
        <w:rPr>
          <w:b/>
        </w:rPr>
        <w:lastRenderedPageBreak/>
        <w:t>Disadvantages of the Bill of Rights Bill</w:t>
      </w:r>
    </w:p>
    <w:p w14:paraId="27B8E5C5" w14:textId="77777777" w:rsidR="00B62057" w:rsidRDefault="00B62057" w:rsidP="00B62057">
      <w:pPr>
        <w:ind w:firstLine="720"/>
      </w:pPr>
      <w:r>
        <w:t>The main disadvantage of the Bill of Rights Bill is that it could lead to restrictions on citizens’ rights. The bill provides a mechanism for challenging public authorities for breaching or failing to protect human rights. However, critics argue that this provision promotes judicial activism and increases the risk of unaccountable courts making decisions without proper scrutiny or oversight.</w:t>
      </w:r>
    </w:p>
    <w:p w14:paraId="7B537008" w14:textId="77777777" w:rsidR="00B62057" w:rsidRDefault="00B62057" w:rsidP="00B62057">
      <w:pPr>
        <w:ind w:firstLine="720"/>
      </w:pPr>
      <w:r>
        <w:t>Another potential disadvantage of the Bill of Rights Bill is that it will restrict citizens’ freedom by limiting their ability to rely on human rights. The bill proposes to repeal the Human Rights Act 1998, which grants individuals the right to claim human rights violations in court</w:t>
      </w:r>
      <w:r w:rsidR="001640D3">
        <w:t xml:space="preserve"> (</w:t>
      </w:r>
      <w:r w:rsidR="001640D3" w:rsidRPr="001640D3">
        <w:rPr>
          <w:lang w:val="en-AU"/>
        </w:rPr>
        <w:t>Kuijer</w:t>
      </w:r>
      <w:r w:rsidR="001640D3">
        <w:rPr>
          <w:lang w:val="en-AU"/>
        </w:rPr>
        <w:t>, 2020)</w:t>
      </w:r>
      <w:r>
        <w:t xml:space="preserve">. Repealing the HRA would mean that citizens would no longer be able to challenge decisions made by public bodies if they believe they violate their fundamental rights and freedoms. Citizens could instead only challenge such decisions through a more costly and lengthy legal process known as </w:t>
      </w:r>
      <w:r w:rsidR="00243CD4">
        <w:t xml:space="preserve">a </w:t>
      </w:r>
      <w:r>
        <w:t xml:space="preserve">judicial review rather than relying on </w:t>
      </w:r>
      <w:r w:rsidR="001640D3">
        <w:t>more straightforward</w:t>
      </w:r>
      <w:r>
        <w:t>, cheaper remedies available under HRA.</w:t>
      </w:r>
    </w:p>
    <w:p w14:paraId="4AFDEF52" w14:textId="77777777" w:rsidR="001640D3" w:rsidRDefault="001640D3" w:rsidP="001640D3">
      <w:pPr>
        <w:ind w:firstLine="720"/>
      </w:pPr>
      <w:r>
        <w:t>In conclusion, the proposed Bill of Rights Bill by the UK government seeks to replace the Human Rights Act 1998 and incorporate human rights into UK law while balancing individual rights and the broader public interest. While some argue that the new legislation would provide greater clarity and consistency and safeguard the UK’s sovereignty and national security, others are concerned that it could damage the rule of law and impact the ability of individuals to protect their human rights. It is vital to balance protecting individual rights and the public interest while upholding the rule of law. Any new legislation should ensure that human rights are protected, the courts have the final say on human rights issues, and there is no dilution of human rights standards. Additionally, the government should engage in extensive consultation and collaboration with stakeholders to ensure that the new legislation addresses their concerns and priorities.</w:t>
      </w:r>
    </w:p>
    <w:p w14:paraId="0AD305EB" w14:textId="77777777" w:rsidR="001640D3" w:rsidRDefault="001640D3">
      <w:pPr>
        <w:spacing w:after="200" w:line="276" w:lineRule="auto"/>
      </w:pPr>
      <w:r>
        <w:lastRenderedPageBreak/>
        <w:br w:type="page"/>
      </w:r>
    </w:p>
    <w:p w14:paraId="5C96B5C7" w14:textId="77777777" w:rsidR="001640D3" w:rsidRPr="001640D3" w:rsidRDefault="001640D3" w:rsidP="001640D3">
      <w:pPr>
        <w:jc w:val="center"/>
        <w:rPr>
          <w:b/>
        </w:rPr>
      </w:pPr>
      <w:r w:rsidRPr="001640D3">
        <w:rPr>
          <w:b/>
        </w:rPr>
        <w:lastRenderedPageBreak/>
        <w:t>References</w:t>
      </w:r>
    </w:p>
    <w:p w14:paraId="1CC86FFB" w14:textId="77777777" w:rsidR="00B12817" w:rsidRDefault="00B12817" w:rsidP="001640D3">
      <w:pPr>
        <w:ind w:left="720" w:hanging="720"/>
        <w:rPr>
          <w:lang w:val="en-AU"/>
        </w:rPr>
      </w:pPr>
      <w:r w:rsidRPr="001640D3">
        <w:rPr>
          <w:lang w:val="en-AU"/>
        </w:rPr>
        <w:t>Gerards, J. (2019). </w:t>
      </w:r>
      <w:r w:rsidRPr="001640D3">
        <w:rPr>
          <w:i/>
          <w:iCs/>
          <w:lang w:val="en-AU"/>
        </w:rPr>
        <w:t>General Principles of the European Convention on Human Rights</w:t>
      </w:r>
      <w:r w:rsidRPr="001640D3">
        <w:rPr>
          <w:lang w:val="en-AU"/>
        </w:rPr>
        <w:t>. Cambridge University Press.</w:t>
      </w:r>
    </w:p>
    <w:p w14:paraId="507CBE1C" w14:textId="77777777" w:rsidR="00B12817" w:rsidRDefault="00B12817" w:rsidP="001640D3">
      <w:pPr>
        <w:ind w:left="720" w:hanging="720"/>
        <w:rPr>
          <w:lang w:val="en-AU"/>
        </w:rPr>
      </w:pPr>
      <w:r w:rsidRPr="001640D3">
        <w:rPr>
          <w:lang w:val="en-AU"/>
        </w:rPr>
        <w:t>Kuijer, M. (2020). The challenging relationship between the European Convention on Human Rights and the EU legal order: consequences of a delayed accession. </w:t>
      </w:r>
      <w:r w:rsidRPr="001640D3">
        <w:rPr>
          <w:i/>
          <w:iCs/>
          <w:lang w:val="en-AU"/>
        </w:rPr>
        <w:t>The International Journal of Human Rights</w:t>
      </w:r>
      <w:r w:rsidRPr="001640D3">
        <w:rPr>
          <w:lang w:val="en-AU"/>
        </w:rPr>
        <w:t>, </w:t>
      </w:r>
      <w:r w:rsidRPr="001640D3">
        <w:rPr>
          <w:i/>
          <w:iCs/>
          <w:lang w:val="en-AU"/>
        </w:rPr>
        <w:t>24</w:t>
      </w:r>
      <w:r w:rsidRPr="001640D3">
        <w:rPr>
          <w:lang w:val="en-AU"/>
        </w:rPr>
        <w:t xml:space="preserve">(7), 998-1010. </w:t>
      </w:r>
      <w:hyperlink r:id="rId6" w:history="1">
        <w:r w:rsidRPr="001640D3">
          <w:rPr>
            <w:rStyle w:val="Hyperlink"/>
            <w:lang w:val="en-AU"/>
          </w:rPr>
          <w:t>https://doi.org/10.1080/13642987.2018.1535433</w:t>
        </w:r>
      </w:hyperlink>
    </w:p>
    <w:p w14:paraId="5C960E6A" w14:textId="77777777" w:rsidR="00B12817" w:rsidRDefault="00B12817" w:rsidP="001640D3">
      <w:pPr>
        <w:ind w:left="720" w:hanging="720"/>
        <w:rPr>
          <w:lang w:val="en-AU"/>
        </w:rPr>
      </w:pPr>
      <w:r w:rsidRPr="001640D3">
        <w:rPr>
          <w:lang w:val="en-AU"/>
        </w:rPr>
        <w:t>Kyneswood, N. (2015). Can the proposed British Bill of Rights and Responsibilities command greater respect than the UK Human Rights Act 1998?. </w:t>
      </w:r>
      <w:r w:rsidRPr="001640D3">
        <w:rPr>
          <w:i/>
          <w:iCs/>
          <w:lang w:val="en-AU"/>
        </w:rPr>
        <w:t>ISLRev</w:t>
      </w:r>
      <w:r w:rsidRPr="001640D3">
        <w:rPr>
          <w:lang w:val="en-AU"/>
        </w:rPr>
        <w:t>, </w:t>
      </w:r>
      <w:r w:rsidRPr="001640D3">
        <w:rPr>
          <w:i/>
          <w:iCs/>
          <w:lang w:val="en-AU"/>
        </w:rPr>
        <w:t>3</w:t>
      </w:r>
      <w:r w:rsidRPr="001640D3">
        <w:rPr>
          <w:lang w:val="en-AU"/>
        </w:rPr>
        <w:t xml:space="preserve">, 18. </w:t>
      </w:r>
      <w:hyperlink r:id="rId7" w:history="1">
        <w:r w:rsidRPr="001640D3">
          <w:rPr>
            <w:rStyle w:val="Hyperlink"/>
            <w:lang w:val="en-AU"/>
          </w:rPr>
          <w:t>https://heinonline.org/HOL/LandingPage?handle=hein.journals/ialsrev3&amp;div=6&amp;id=&amp;page</w:t>
        </w:r>
      </w:hyperlink>
      <w:r w:rsidRPr="001640D3">
        <w:rPr>
          <w:lang w:val="en-AU"/>
        </w:rPr>
        <w:t>=</w:t>
      </w:r>
    </w:p>
    <w:p w14:paraId="03B3D4F9" w14:textId="77777777" w:rsidR="00B12817" w:rsidRDefault="00B12817" w:rsidP="001640D3">
      <w:pPr>
        <w:ind w:left="720" w:hanging="720"/>
        <w:rPr>
          <w:lang w:val="en-AU"/>
        </w:rPr>
      </w:pPr>
      <w:r w:rsidRPr="001640D3">
        <w:rPr>
          <w:lang w:val="en-AU"/>
        </w:rPr>
        <w:t>Paterson, L. (2021). The relationship of the 1918 and 1872 Education (Scotland) Acts. </w:t>
      </w:r>
      <w:r w:rsidRPr="001640D3">
        <w:rPr>
          <w:i/>
          <w:iCs/>
          <w:lang w:val="en-AU"/>
        </w:rPr>
        <w:t>Scottish Educational Review</w:t>
      </w:r>
      <w:r w:rsidRPr="001640D3">
        <w:rPr>
          <w:lang w:val="en-AU"/>
        </w:rPr>
        <w:t>, </w:t>
      </w:r>
      <w:r w:rsidRPr="001640D3">
        <w:rPr>
          <w:i/>
          <w:iCs/>
          <w:lang w:val="en-AU"/>
        </w:rPr>
        <w:t>53</w:t>
      </w:r>
      <w:r w:rsidRPr="001640D3">
        <w:rPr>
          <w:lang w:val="en-AU"/>
        </w:rPr>
        <w:t>(2), 88-103.</w:t>
      </w:r>
      <w:r w:rsidRPr="001640D3">
        <w:t xml:space="preserve"> </w:t>
      </w:r>
      <w:hyperlink r:id="rId8" w:history="1">
        <w:r w:rsidRPr="002826D4">
          <w:rPr>
            <w:rStyle w:val="Hyperlink"/>
            <w:lang w:val="en-AU"/>
          </w:rPr>
          <w:t>https://brill.com/view/journals/ser/53/2/article-p88_7.xml</w:t>
        </w:r>
      </w:hyperlink>
    </w:p>
    <w:p w14:paraId="24FE0D7B" w14:textId="77777777" w:rsidR="00B12817" w:rsidRDefault="00B12817" w:rsidP="001640D3">
      <w:pPr>
        <w:ind w:left="720" w:hanging="720"/>
        <w:rPr>
          <w:lang w:val="en-AU"/>
        </w:rPr>
      </w:pPr>
      <w:r w:rsidRPr="001640D3">
        <w:rPr>
          <w:lang w:val="en-AU"/>
        </w:rPr>
        <w:t>Schimmelfennig, F. (2020). Politicisation management in the European Union. </w:t>
      </w:r>
      <w:r w:rsidRPr="001640D3">
        <w:rPr>
          <w:i/>
          <w:iCs/>
          <w:lang w:val="en-AU"/>
        </w:rPr>
        <w:t>Journal of European Public Policy</w:t>
      </w:r>
      <w:r w:rsidRPr="001640D3">
        <w:rPr>
          <w:lang w:val="en-AU"/>
        </w:rPr>
        <w:t>, </w:t>
      </w:r>
      <w:r w:rsidRPr="001640D3">
        <w:rPr>
          <w:i/>
          <w:iCs/>
          <w:lang w:val="en-AU"/>
        </w:rPr>
        <w:t>27</w:t>
      </w:r>
      <w:r w:rsidRPr="001640D3">
        <w:rPr>
          <w:lang w:val="en-AU"/>
        </w:rPr>
        <w:t xml:space="preserve">(3), 342-361. </w:t>
      </w:r>
      <w:hyperlink r:id="rId9" w:history="1">
        <w:r w:rsidRPr="001640D3">
          <w:rPr>
            <w:rStyle w:val="Hyperlink"/>
            <w:lang w:val="en-AU"/>
          </w:rPr>
          <w:t>https://doi.org/10.1080/13501763.2020.1712458</w:t>
        </w:r>
      </w:hyperlink>
    </w:p>
    <w:p w14:paraId="4157E3ED" w14:textId="77777777" w:rsidR="00B12817" w:rsidRDefault="00B12817" w:rsidP="001640D3">
      <w:pPr>
        <w:ind w:left="720" w:hanging="720"/>
        <w:rPr>
          <w:lang w:val="en-AU"/>
        </w:rPr>
      </w:pPr>
      <w:r w:rsidRPr="001640D3">
        <w:rPr>
          <w:lang w:val="en-AU"/>
        </w:rPr>
        <w:t>Smith, R. K. (2022). </w:t>
      </w:r>
      <w:r w:rsidRPr="001640D3">
        <w:rPr>
          <w:i/>
          <w:iCs/>
          <w:lang w:val="en-AU"/>
        </w:rPr>
        <w:t>International human rights law</w:t>
      </w:r>
      <w:r w:rsidRPr="001640D3">
        <w:rPr>
          <w:lang w:val="en-AU"/>
        </w:rPr>
        <w:t>. Oxford University Press.</w:t>
      </w:r>
    </w:p>
    <w:p w14:paraId="63CFD66F" w14:textId="77777777" w:rsidR="001640D3" w:rsidRPr="001640D3" w:rsidRDefault="001640D3" w:rsidP="001640D3">
      <w:pPr>
        <w:ind w:left="720" w:hanging="720"/>
        <w:rPr>
          <w:lang w:val="en-AU"/>
        </w:rPr>
      </w:pPr>
    </w:p>
    <w:p w14:paraId="37624A46" w14:textId="77777777" w:rsidR="001640D3" w:rsidRDefault="001640D3" w:rsidP="001640D3">
      <w:pPr>
        <w:ind w:firstLine="720"/>
      </w:pPr>
    </w:p>
    <w:p w14:paraId="50C83320" w14:textId="77777777" w:rsidR="001640D3" w:rsidRDefault="001640D3" w:rsidP="001640D3">
      <w:pPr>
        <w:ind w:firstLine="720"/>
      </w:pPr>
    </w:p>
    <w:p w14:paraId="2B5E2858" w14:textId="77777777" w:rsidR="001640D3" w:rsidRDefault="001640D3" w:rsidP="00B62057">
      <w:pPr>
        <w:ind w:firstLine="720"/>
      </w:pPr>
    </w:p>
    <w:p w14:paraId="563E8A04" w14:textId="77777777" w:rsidR="00032D82" w:rsidRDefault="00032D82" w:rsidP="00B62057">
      <w:pPr>
        <w:ind w:firstLine="720"/>
      </w:pPr>
    </w:p>
    <w:sectPr w:rsidR="00032D82">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B8429" w14:textId="77777777" w:rsidR="00DF2C06" w:rsidRDefault="00DF2C06" w:rsidP="00D603CE">
      <w:pPr>
        <w:spacing w:line="240" w:lineRule="auto"/>
      </w:pPr>
      <w:r>
        <w:separator/>
      </w:r>
    </w:p>
  </w:endnote>
  <w:endnote w:type="continuationSeparator" w:id="0">
    <w:p w14:paraId="186F6FAD" w14:textId="77777777" w:rsidR="00DF2C06" w:rsidRDefault="00DF2C06" w:rsidP="00D603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E3395" w14:textId="77777777" w:rsidR="00D603CE" w:rsidRDefault="00D603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9FE66" w14:textId="77777777" w:rsidR="00D603CE" w:rsidRDefault="00D603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87659" w14:textId="77777777" w:rsidR="00D603CE" w:rsidRDefault="00D603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FC73E" w14:textId="77777777" w:rsidR="00DF2C06" w:rsidRDefault="00DF2C06" w:rsidP="00D603CE">
      <w:pPr>
        <w:spacing w:line="240" w:lineRule="auto"/>
      </w:pPr>
      <w:r>
        <w:separator/>
      </w:r>
    </w:p>
  </w:footnote>
  <w:footnote w:type="continuationSeparator" w:id="0">
    <w:p w14:paraId="22E02F4D" w14:textId="77777777" w:rsidR="00DF2C06" w:rsidRDefault="00DF2C06" w:rsidP="00D603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934AE" w14:textId="77777777" w:rsidR="00D603CE" w:rsidRDefault="00D603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5239412"/>
      <w:docPartObj>
        <w:docPartGallery w:val="Page Numbers (Top of Page)"/>
        <w:docPartUnique/>
      </w:docPartObj>
    </w:sdtPr>
    <w:sdtEndPr>
      <w:rPr>
        <w:noProof/>
      </w:rPr>
    </w:sdtEndPr>
    <w:sdtContent>
      <w:p w14:paraId="4F3B0A6D" w14:textId="77777777" w:rsidR="00D603CE" w:rsidRDefault="00D603CE" w:rsidP="00D603CE">
        <w:pPr>
          <w:pStyle w:val="Header"/>
          <w:spacing w:line="480" w:lineRule="auto"/>
          <w:jc w:val="right"/>
        </w:pPr>
        <w:r>
          <w:fldChar w:fldCharType="begin"/>
        </w:r>
        <w:r>
          <w:instrText xml:space="preserve"> PAGE   \* MERGEFORMAT </w:instrText>
        </w:r>
        <w:r>
          <w:fldChar w:fldCharType="separate"/>
        </w:r>
        <w:r w:rsidR="00383021">
          <w:rPr>
            <w:noProof/>
          </w:rPr>
          <w:t>1</w:t>
        </w:r>
        <w:r>
          <w:rPr>
            <w:noProof/>
          </w:rPr>
          <w:fldChar w:fldCharType="end"/>
        </w:r>
      </w:p>
    </w:sdtContent>
  </w:sdt>
  <w:p w14:paraId="270BDF4D" w14:textId="77777777" w:rsidR="00D603CE" w:rsidRDefault="00D603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458D6" w14:textId="77777777" w:rsidR="00D603CE" w:rsidRDefault="00D603C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A0NbG0MDAwMbWwMDVW0lEKTi0uzszPAykwrgUAsww/0iwAAAA="/>
  </w:docVars>
  <w:rsids>
    <w:rsidRoot w:val="00E01C9C"/>
    <w:rsid w:val="00004A73"/>
    <w:rsid w:val="00020C5D"/>
    <w:rsid w:val="00032D82"/>
    <w:rsid w:val="00042E65"/>
    <w:rsid w:val="00045D93"/>
    <w:rsid w:val="001640D3"/>
    <w:rsid w:val="00243CD4"/>
    <w:rsid w:val="0026187D"/>
    <w:rsid w:val="00296C7F"/>
    <w:rsid w:val="00333468"/>
    <w:rsid w:val="00355EE5"/>
    <w:rsid w:val="00383021"/>
    <w:rsid w:val="00394245"/>
    <w:rsid w:val="003B1C95"/>
    <w:rsid w:val="004741AE"/>
    <w:rsid w:val="005B4030"/>
    <w:rsid w:val="005F1133"/>
    <w:rsid w:val="008358D0"/>
    <w:rsid w:val="009914CC"/>
    <w:rsid w:val="009A45D6"/>
    <w:rsid w:val="009F6C14"/>
    <w:rsid w:val="00B12817"/>
    <w:rsid w:val="00B248E1"/>
    <w:rsid w:val="00B62057"/>
    <w:rsid w:val="00BA42AE"/>
    <w:rsid w:val="00BB43ED"/>
    <w:rsid w:val="00C1738F"/>
    <w:rsid w:val="00C84EA1"/>
    <w:rsid w:val="00CF1D3E"/>
    <w:rsid w:val="00D02701"/>
    <w:rsid w:val="00D454ED"/>
    <w:rsid w:val="00D603CE"/>
    <w:rsid w:val="00D80629"/>
    <w:rsid w:val="00DF0AB8"/>
    <w:rsid w:val="00DF2C06"/>
    <w:rsid w:val="00E01C9C"/>
    <w:rsid w:val="00E03BD9"/>
    <w:rsid w:val="00FD2D3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3C495"/>
  <w15:docId w15:val="{A4057BCF-BDE3-4402-8F68-2E7DDC8C2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C9C"/>
    <w:pPr>
      <w:spacing w:after="0" w:line="480" w:lineRule="auto"/>
    </w:pPr>
    <w:rPr>
      <w:rFonts w:ascii="Times New Roman" w:hAnsi="Times New Roman"/>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03CE"/>
    <w:pPr>
      <w:tabs>
        <w:tab w:val="center" w:pos="4513"/>
        <w:tab w:val="right" w:pos="9026"/>
      </w:tabs>
      <w:spacing w:line="240" w:lineRule="auto"/>
    </w:pPr>
  </w:style>
  <w:style w:type="character" w:customStyle="1" w:styleId="HeaderChar">
    <w:name w:val="Header Char"/>
    <w:basedOn w:val="DefaultParagraphFont"/>
    <w:link w:val="Header"/>
    <w:uiPriority w:val="99"/>
    <w:rsid w:val="00D603CE"/>
    <w:rPr>
      <w:rFonts w:ascii="Times New Roman" w:hAnsi="Times New Roman"/>
      <w:sz w:val="24"/>
      <w:lang w:val="en-GB"/>
    </w:rPr>
  </w:style>
  <w:style w:type="paragraph" w:styleId="Footer">
    <w:name w:val="footer"/>
    <w:basedOn w:val="Normal"/>
    <w:link w:val="FooterChar"/>
    <w:uiPriority w:val="99"/>
    <w:unhideWhenUsed/>
    <w:rsid w:val="00D603CE"/>
    <w:pPr>
      <w:tabs>
        <w:tab w:val="center" w:pos="4513"/>
        <w:tab w:val="right" w:pos="9026"/>
      </w:tabs>
      <w:spacing w:line="240" w:lineRule="auto"/>
    </w:pPr>
  </w:style>
  <w:style w:type="character" w:customStyle="1" w:styleId="FooterChar">
    <w:name w:val="Footer Char"/>
    <w:basedOn w:val="DefaultParagraphFont"/>
    <w:link w:val="Footer"/>
    <w:uiPriority w:val="99"/>
    <w:rsid w:val="00D603CE"/>
    <w:rPr>
      <w:rFonts w:ascii="Times New Roman" w:hAnsi="Times New Roman"/>
      <w:sz w:val="24"/>
      <w:lang w:val="en-GB"/>
    </w:rPr>
  </w:style>
  <w:style w:type="character" w:styleId="Hyperlink">
    <w:name w:val="Hyperlink"/>
    <w:basedOn w:val="DefaultParagraphFont"/>
    <w:uiPriority w:val="99"/>
    <w:unhideWhenUsed/>
    <w:rsid w:val="001640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511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ill.com/view/journals/ser/53/2/article-p88_7.xml"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heinonline.org/HOL/LandingPage?handle=hein.journals/ialsrev3&amp;div=6&amp;id=&amp;page"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080/13642987.2018.1535433" TargetMode="Externa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oi.org/10.1080/13501763.2020.1712458"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1757</Words>
  <Characters>10015</Characters>
  <Application>Microsoft Office Word</Application>
  <DocSecurity>0</DocSecurity>
  <Lines>83</Lines>
  <Paragraphs>23</Paragraphs>
  <ScaleCrop>false</ScaleCrop>
  <Company/>
  <LinksUpToDate>false</LinksUpToDate>
  <CharactersWithSpaces>11749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edwin</dc:creator>
  <cp:lastModifiedBy>cosmin lautaru</cp:lastModifiedBy>
  <cp:revision>5</cp:revision>
  <dcterms:created xsi:type="dcterms:W3CDTF">2023-02-17T08:22:00Z</dcterms:created>
  <dcterms:modified xsi:type="dcterms:W3CDTF">2023-03-06T17:58:00Z</dcterms:modified>
</cp:coreProperties>
</file>