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Rule="auto"/>
        <w:jc w:val="center"/>
        <w:rPr>
          <w:b w:val="1"/>
          <w:bCs w:val="1"/>
          <w:color w:val="183b56"/>
          <w:sz w:val="22"/>
          <w:szCs w:val="22"/>
        </w:rPr>
      </w:pPr>
      <w:r w:rsidDel="00000000" w:rsidR="00000000" w:rsidRPr="00000000">
        <w:rPr>
          <w:rtl w:val="0"/>
        </w:rPr>
      </w:r>
    </w:p>
    <w:p w:rsidR="00000000" w:rsidDel="00000000" w:rsidP="00000000" w:rsidRDefault="00000000" w:rsidRPr="00000000" w14:paraId="00000002">
      <w:pPr>
        <w:spacing w:after="240" w:before="200" w:lineRule="auto"/>
        <w:jc w:val="center"/>
        <w:rPr>
          <w:sz w:val="22"/>
          <w:szCs w:val="22"/>
        </w:rPr>
      </w:pPr>
      <w:r w:rsidDel="00000000" w:rsidR="00000000" w:rsidRPr="00000000">
        <w:rPr>
          <w:b w:val="1"/>
          <w:bCs w:val="1"/>
          <w:color w:val="24445a"/>
          <w:sz w:val="22"/>
          <w:szCs w:val="22"/>
          <w:rtl w:val="0"/>
        </w:rPr>
        <w:t xml:space="preserve">LCHS7003  |  COMMUNITY CARE AND LONG-TERM CONDITIONS</w:t>
      </w:r>
      <w:r w:rsidDel="00000000" w:rsidR="00000000" w:rsidRPr="00000000">
        <w:rPr>
          <w:rtl w:val="0"/>
        </w:rPr>
      </w:r>
    </w:p>
    <w:p w:rsidR="00000000" w:rsidDel="00000000" w:rsidP="00000000" w:rsidRDefault="00000000" w:rsidRPr="00000000" w14:paraId="00000003">
      <w:pPr>
        <w:shd w:fill="00a9ce" w:val="clear"/>
        <w:spacing w:after="0" w:line="240" w:lineRule="auto"/>
        <w:ind w:left="792" w:right="648" w:firstLine="0"/>
        <w:jc w:val="left"/>
        <w:rPr>
          <w:sz w:val="22"/>
          <w:szCs w:val="22"/>
        </w:rPr>
      </w:pPr>
      <w:r w:rsidDel="00000000" w:rsidR="00000000" w:rsidRPr="00000000">
        <w:rPr>
          <w:color w:val="ffffff"/>
          <w:sz w:val="22"/>
          <w:szCs w:val="22"/>
          <w:rtl w:val="0"/>
        </w:rPr>
        <w:t xml:space="preserve">STROKE AND ITS</w:t>
        <w:br w:type="textWrapping"/>
        <w:t xml:space="preserve">LONG-TERM CONSEQUENCES</w:t>
      </w:r>
      <w:r w:rsidDel="00000000" w:rsidR="00000000" w:rsidRPr="00000000">
        <w:rPr>
          <w:rtl w:val="0"/>
        </w:rPr>
      </w:r>
    </w:p>
    <w:p w:rsidR="00000000" w:rsidDel="00000000" w:rsidP="00000000" w:rsidRDefault="00000000" w:rsidRPr="00000000" w14:paraId="00000004">
      <w:pPr>
        <w:shd w:fill="00a9ce" w:val="clear"/>
        <w:spacing w:after="0" w:line="240" w:lineRule="auto"/>
        <w:ind w:left="792" w:right="648" w:firstLine="0"/>
        <w:jc w:val="left"/>
        <w:rPr>
          <w:sz w:val="22"/>
          <w:szCs w:val="22"/>
        </w:rPr>
      </w:pPr>
      <w:r w:rsidDel="00000000" w:rsidR="00000000" w:rsidRPr="00000000">
        <w:rPr>
          <w:color w:val="ffffff"/>
          <w:sz w:val="22"/>
          <w:szCs w:val="22"/>
          <w:rtl w:val="0"/>
        </w:rPr>
        <w:t xml:space="preserve">A Critical Evaluation of Rehabilitation, Psychological Recovery,</w:t>
        <w:br w:type="textWrapping"/>
        <w:t xml:space="preserve">Social Reintegration and Community-Based Care</w:t>
      </w:r>
      <w:r w:rsidDel="00000000" w:rsidR="00000000" w:rsidRPr="00000000">
        <w:rPr>
          <w:rtl w:val="0"/>
        </w:rPr>
      </w:r>
    </w:p>
    <w:p w:rsidR="00000000" w:rsidDel="00000000" w:rsidP="00000000" w:rsidRDefault="00000000" w:rsidRPr="00000000" w14:paraId="00000005">
      <w:pPr>
        <w:keepLines w:val="1"/>
        <w:spacing w:after="60" w:before="40" w:lineRule="auto"/>
        <w:jc w:val="center"/>
        <w:rPr>
          <w:sz w:val="22"/>
          <w:szCs w:val="22"/>
        </w:rPr>
      </w:pPr>
      <w:r w:rsidDel="00000000" w:rsidR="00000000" w:rsidRPr="00000000">
        <w:rPr>
          <w:sz w:val="22"/>
          <w:szCs w:val="22"/>
        </w:rPr>
        <w:drawing>
          <wp:inline distB="0" distT="0" distL="0" distR="0">
            <wp:extent cx="7552944" cy="503834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7552944" cy="5038344"/>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after="40" w:before="60" w:lineRule="auto"/>
        <w:jc w:val="center"/>
        <w:rPr>
          <w:color w:val="000000"/>
          <w:sz w:val="22"/>
          <w:szCs w:val="22"/>
        </w:rPr>
      </w:pPr>
      <w:r w:rsidDel="00000000" w:rsidR="00000000" w:rsidRPr="00000000">
        <w:rPr>
          <w:rtl w:val="0"/>
        </w:rPr>
      </w:r>
    </w:p>
    <w:tbl>
      <w:tblPr>
        <w:tblStyle w:val="Table1"/>
        <w:tblW w:w="10368.0" w:type="dxa"/>
        <w:jc w:val="center"/>
        <w:tblLayout w:type="fixed"/>
        <w:tblLook w:val="0400"/>
      </w:tblPr>
      <w:tblGrid>
        <w:gridCol w:w="2232"/>
        <w:gridCol w:w="8136"/>
        <w:tblGridChange w:id="0">
          <w:tblGrid>
            <w:gridCol w:w="2232"/>
            <w:gridCol w:w="8136"/>
          </w:tblGrid>
        </w:tblGridChange>
      </w:tblGrid>
      <w:tr>
        <w:trPr>
          <w:cantSplit w:val="0"/>
          <w:tblHeader w:val="0"/>
        </w:trPr>
        <w:tc>
          <w:tcPr>
            <w:tcBorders>
              <w:top w:color="d5e7eb" w:space="0" w:sz="4" w:val="single"/>
              <w:left w:color="d5e7eb" w:space="0" w:sz="4" w:val="single"/>
              <w:bottom w:color="d5e7eb" w:space="0" w:sz="4" w:val="single"/>
              <w:right w:color="d5e7eb" w:space="0" w:sz="4" w:val="single"/>
            </w:tcBorders>
            <w:shd w:fill="f2fafc" w:val="clear"/>
            <w:vAlign w:val="center"/>
          </w:tcPr>
          <w:p w:rsidR="00000000" w:rsidDel="00000000" w:rsidP="00000000" w:rsidRDefault="00000000" w:rsidRPr="00000000" w14:paraId="00000007">
            <w:pPr>
              <w:spacing w:after="0" w:line="240" w:lineRule="auto"/>
              <w:jc w:val="left"/>
              <w:rPr>
                <w:sz w:val="22"/>
                <w:szCs w:val="22"/>
              </w:rPr>
            </w:pPr>
            <w:r w:rsidDel="00000000" w:rsidR="00000000" w:rsidRPr="00000000">
              <w:rPr>
                <w:b w:val="1"/>
                <w:bCs w:val="1"/>
                <w:color w:val="24445a"/>
                <w:sz w:val="22"/>
                <w:szCs w:val="22"/>
                <w:rtl w:val="0"/>
              </w:rPr>
              <w:t xml:space="preserve">Student name</w:t>
            </w:r>
            <w:r w:rsidDel="00000000" w:rsidR="00000000" w:rsidRPr="00000000">
              <w:rPr>
                <w:rtl w:val="0"/>
              </w:rPr>
            </w:r>
          </w:p>
        </w:tc>
        <w:tc>
          <w:tcPr>
            <w:tcBorders>
              <w:top w:color="d5e7eb" w:space="0" w:sz="4" w:val="single"/>
              <w:left w:color="d5e7eb" w:space="0" w:sz="4" w:val="single"/>
              <w:bottom w:color="d5e7eb" w:space="0" w:sz="4" w:val="single"/>
              <w:right w:color="d5e7eb" w:space="0" w:sz="4" w:val="single"/>
            </w:tcBorders>
            <w:shd w:fill="ffffff" w:val="clear"/>
            <w:vAlign w:val="center"/>
          </w:tcPr>
          <w:p w:rsidR="00000000" w:rsidDel="00000000" w:rsidP="00000000" w:rsidRDefault="00000000" w:rsidRPr="00000000" w14:paraId="00000008">
            <w:pPr>
              <w:spacing w:after="0" w:line="240" w:lineRule="auto"/>
              <w:jc w:val="left"/>
              <w:rPr>
                <w:sz w:val="22"/>
                <w:szCs w:val="22"/>
              </w:rPr>
            </w:pPr>
            <w:r w:rsidDel="00000000" w:rsidR="00000000" w:rsidRPr="00000000">
              <w:rPr>
                <w:sz w:val="22"/>
                <w:szCs w:val="22"/>
                <w:rtl w:val="0"/>
              </w:rPr>
              <w:t xml:space="preserve">Nehanshi patel</w:t>
            </w:r>
          </w:p>
        </w:tc>
      </w:tr>
      <w:tr>
        <w:trPr>
          <w:cantSplit w:val="0"/>
          <w:tblHeader w:val="0"/>
        </w:trPr>
        <w:tc>
          <w:tcPr>
            <w:tcBorders>
              <w:top w:color="d5e7eb" w:space="0" w:sz="4" w:val="single"/>
              <w:left w:color="d5e7eb" w:space="0" w:sz="4" w:val="single"/>
              <w:bottom w:color="d5e7eb" w:space="0" w:sz="4" w:val="single"/>
              <w:right w:color="d5e7eb" w:space="0" w:sz="4" w:val="single"/>
            </w:tcBorders>
            <w:shd w:fill="f2fafc" w:val="clear"/>
            <w:vAlign w:val="center"/>
          </w:tcPr>
          <w:p w:rsidR="00000000" w:rsidDel="00000000" w:rsidP="00000000" w:rsidRDefault="00000000" w:rsidRPr="00000000" w14:paraId="00000009">
            <w:pPr>
              <w:spacing w:after="0" w:line="240" w:lineRule="auto"/>
              <w:jc w:val="left"/>
              <w:rPr>
                <w:sz w:val="22"/>
                <w:szCs w:val="22"/>
              </w:rPr>
            </w:pPr>
            <w:r w:rsidDel="00000000" w:rsidR="00000000" w:rsidRPr="00000000">
              <w:rPr>
                <w:b w:val="1"/>
                <w:bCs w:val="1"/>
                <w:color w:val="24445a"/>
                <w:sz w:val="22"/>
                <w:szCs w:val="22"/>
                <w:rtl w:val="0"/>
              </w:rPr>
              <w:t xml:space="preserve">Student ID number</w:t>
            </w:r>
            <w:r w:rsidDel="00000000" w:rsidR="00000000" w:rsidRPr="00000000">
              <w:rPr>
                <w:rtl w:val="0"/>
              </w:rPr>
            </w:r>
          </w:p>
        </w:tc>
        <w:tc>
          <w:tcPr>
            <w:tcBorders>
              <w:top w:color="d5e7eb" w:space="0" w:sz="4" w:val="single"/>
              <w:left w:color="d5e7eb" w:space="0" w:sz="4" w:val="single"/>
              <w:bottom w:color="d5e7eb" w:space="0" w:sz="4" w:val="single"/>
              <w:right w:color="d5e7eb" w:space="0" w:sz="4" w:val="single"/>
            </w:tcBorders>
            <w:shd w:fill="ffffff" w:val="clear"/>
            <w:vAlign w:val="center"/>
          </w:tcPr>
          <w:p w:rsidR="00000000" w:rsidDel="00000000" w:rsidP="00000000" w:rsidRDefault="00000000" w:rsidRPr="00000000" w14:paraId="0000000A">
            <w:pPr>
              <w:spacing w:after="0" w:line="240" w:lineRule="auto"/>
              <w:jc w:val="left"/>
              <w:rPr>
                <w:sz w:val="22"/>
                <w:szCs w:val="22"/>
              </w:rPr>
            </w:pPr>
            <w:r w:rsidDel="00000000" w:rsidR="00000000" w:rsidRPr="00000000">
              <w:rPr>
                <w:sz w:val="22"/>
                <w:szCs w:val="22"/>
                <w:rtl w:val="0"/>
              </w:rPr>
              <w:t xml:space="preserve">2609789</w:t>
            </w:r>
          </w:p>
        </w:tc>
      </w:tr>
      <w:tr>
        <w:trPr>
          <w:cantSplit w:val="0"/>
          <w:tblHeader w:val="0"/>
        </w:trPr>
        <w:tc>
          <w:tcPr>
            <w:tcBorders>
              <w:top w:color="d5e7eb" w:space="0" w:sz="4" w:val="single"/>
              <w:left w:color="d5e7eb" w:space="0" w:sz="4" w:val="single"/>
              <w:bottom w:color="d5e7eb" w:space="0" w:sz="4" w:val="single"/>
              <w:right w:color="d5e7eb" w:space="0" w:sz="4" w:val="single"/>
            </w:tcBorders>
            <w:shd w:fill="f2fafc" w:val="clear"/>
            <w:vAlign w:val="center"/>
          </w:tcPr>
          <w:p w:rsidR="00000000" w:rsidDel="00000000" w:rsidP="00000000" w:rsidRDefault="00000000" w:rsidRPr="00000000" w14:paraId="0000000B">
            <w:pPr>
              <w:spacing w:after="0" w:line="240" w:lineRule="auto"/>
              <w:jc w:val="left"/>
              <w:rPr>
                <w:sz w:val="22"/>
                <w:szCs w:val="22"/>
              </w:rPr>
            </w:pPr>
            <w:r w:rsidDel="00000000" w:rsidR="00000000" w:rsidRPr="00000000">
              <w:rPr>
                <w:b w:val="1"/>
                <w:bCs w:val="1"/>
                <w:color w:val="24445a"/>
                <w:sz w:val="22"/>
                <w:szCs w:val="22"/>
                <w:rtl w:val="0"/>
              </w:rPr>
              <w:t xml:space="preserve">Lecturer</w:t>
            </w:r>
            <w:r w:rsidDel="00000000" w:rsidR="00000000" w:rsidRPr="00000000">
              <w:rPr>
                <w:rtl w:val="0"/>
              </w:rPr>
            </w:r>
          </w:p>
        </w:tc>
        <w:tc>
          <w:tcPr>
            <w:tcBorders>
              <w:top w:color="d5e7eb" w:space="0" w:sz="4" w:val="single"/>
              <w:left w:color="d5e7eb" w:space="0" w:sz="4" w:val="single"/>
              <w:bottom w:color="d5e7eb" w:space="0" w:sz="4" w:val="single"/>
              <w:right w:color="d5e7eb" w:space="0" w:sz="4" w:val="single"/>
            </w:tcBorders>
            <w:shd w:fill="ffffff" w:val="clear"/>
            <w:vAlign w:val="center"/>
          </w:tcPr>
          <w:p w:rsidR="00000000" w:rsidDel="00000000" w:rsidP="00000000" w:rsidRDefault="00000000" w:rsidRPr="00000000" w14:paraId="0000000C">
            <w:pPr>
              <w:spacing w:after="0" w:line="240" w:lineRule="auto"/>
              <w:jc w:val="left"/>
              <w:rPr>
                <w:sz w:val="22"/>
                <w:szCs w:val="22"/>
              </w:rPr>
            </w:pPr>
            <w:r w:rsidDel="00000000" w:rsidR="00000000" w:rsidRPr="00000000">
              <w:rPr>
                <w:sz w:val="22"/>
                <w:szCs w:val="22"/>
                <w:rtl w:val="0"/>
              </w:rPr>
              <w:t xml:space="preserve">Dr Aishat Bakre</w:t>
            </w:r>
          </w:p>
        </w:tc>
      </w:tr>
      <w:tr>
        <w:trPr>
          <w:cantSplit w:val="0"/>
          <w:tblHeader w:val="0"/>
        </w:trPr>
        <w:tc>
          <w:tcPr>
            <w:tcBorders>
              <w:top w:color="d5e7eb" w:space="0" w:sz="4" w:val="single"/>
              <w:left w:color="d5e7eb" w:space="0" w:sz="4" w:val="single"/>
              <w:bottom w:color="d5e7eb" w:space="0" w:sz="4" w:val="single"/>
              <w:right w:color="d5e7eb" w:space="0" w:sz="4" w:val="single"/>
            </w:tcBorders>
            <w:shd w:fill="f2fafc" w:val="clear"/>
            <w:vAlign w:val="center"/>
          </w:tcPr>
          <w:p w:rsidR="00000000" w:rsidDel="00000000" w:rsidP="00000000" w:rsidRDefault="00000000" w:rsidRPr="00000000" w14:paraId="0000000D">
            <w:pPr>
              <w:spacing w:after="0" w:line="240" w:lineRule="auto"/>
              <w:jc w:val="left"/>
              <w:rPr>
                <w:sz w:val="22"/>
                <w:szCs w:val="22"/>
              </w:rPr>
            </w:pPr>
            <w:r w:rsidDel="00000000" w:rsidR="00000000" w:rsidRPr="00000000">
              <w:rPr>
                <w:b w:val="1"/>
                <w:bCs w:val="1"/>
                <w:color w:val="24445a"/>
                <w:sz w:val="22"/>
                <w:szCs w:val="22"/>
                <w:rtl w:val="0"/>
              </w:rPr>
              <w:t xml:space="preserve">Programme</w:t>
            </w:r>
            <w:r w:rsidDel="00000000" w:rsidR="00000000" w:rsidRPr="00000000">
              <w:rPr>
                <w:rtl w:val="0"/>
              </w:rPr>
            </w:r>
          </w:p>
        </w:tc>
        <w:tc>
          <w:tcPr>
            <w:tcBorders>
              <w:top w:color="d5e7eb" w:space="0" w:sz="4" w:val="single"/>
              <w:left w:color="d5e7eb" w:space="0" w:sz="4" w:val="single"/>
              <w:bottom w:color="d5e7eb" w:space="0" w:sz="4" w:val="single"/>
              <w:right w:color="d5e7eb" w:space="0" w:sz="4" w:val="single"/>
            </w:tcBorders>
            <w:shd w:fill="ffffff" w:val="clear"/>
            <w:vAlign w:val="center"/>
          </w:tcPr>
          <w:p w:rsidR="00000000" w:rsidDel="00000000" w:rsidP="00000000" w:rsidRDefault="00000000" w:rsidRPr="00000000" w14:paraId="0000000E">
            <w:pPr>
              <w:spacing w:after="0" w:line="240" w:lineRule="auto"/>
              <w:jc w:val="left"/>
              <w:rPr>
                <w:sz w:val="22"/>
                <w:szCs w:val="22"/>
              </w:rPr>
            </w:pPr>
            <w:r w:rsidDel="00000000" w:rsidR="00000000" w:rsidRPr="00000000">
              <w:rPr>
                <w:sz w:val="22"/>
                <w:szCs w:val="22"/>
                <w:rtl w:val="0"/>
              </w:rPr>
              <w:t xml:space="preserve">MSc Public Health and Social Care in Practice</w:t>
            </w:r>
          </w:p>
        </w:tc>
      </w:tr>
    </w:tbl>
    <w:p w:rsidR="00000000" w:rsidDel="00000000" w:rsidP="00000000" w:rsidRDefault="00000000" w:rsidRPr="00000000" w14:paraId="0000000F">
      <w:pPr>
        <w:spacing w:after="40" w:before="60" w:lineRule="auto"/>
        <w:jc w:val="center"/>
        <w:rPr>
          <w:color w:val="000000"/>
          <w:sz w:val="22"/>
          <w:szCs w:val="22"/>
        </w:rPr>
      </w:pPr>
      <w:r w:rsidDel="00000000" w:rsidR="00000000" w:rsidRPr="00000000">
        <w:rPr>
          <w:rtl w:val="0"/>
        </w:rPr>
      </w:r>
    </w:p>
    <w:p w:rsidR="00000000" w:rsidDel="00000000" w:rsidP="00000000" w:rsidRDefault="00000000" w:rsidRPr="00000000" w14:paraId="00000010">
      <w:pPr>
        <w:shd w:fill="00a9ce" w:val="clear"/>
        <w:spacing w:after="140" w:before="100" w:line="240" w:lineRule="auto"/>
        <w:ind w:left="504" w:right="504" w:firstLine="0"/>
        <w:jc w:val="center"/>
        <w:rPr>
          <w:sz w:val="22"/>
          <w:szCs w:val="22"/>
        </w:rPr>
      </w:pPr>
      <w:r w:rsidDel="00000000" w:rsidR="00000000" w:rsidRPr="00000000">
        <w:rPr>
          <w:color w:val="ffffff"/>
          <w:sz w:val="22"/>
          <w:szCs w:val="22"/>
          <w:rtl w:val="0"/>
        </w:rPr>
        <w:t xml:space="preserve">Evidence-based information • Person-centred care • Long-term recovery</w:t>
      </w:r>
      <w:r w:rsidDel="00000000" w:rsidR="00000000" w:rsidRPr="00000000">
        <w:rPr>
          <w:rtl w:val="0"/>
        </w:rPr>
      </w:r>
    </w:p>
    <w:p w:rsidR="00000000" w:rsidDel="00000000" w:rsidP="00000000" w:rsidRDefault="00000000" w:rsidRPr="00000000" w14:paraId="00000011">
      <w:pPr>
        <w:spacing w:after="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after="160" w:lineRule="auto"/>
        <w:jc w:val="center"/>
        <w:rPr>
          <w:color w:val="000000"/>
          <w:sz w:val="24"/>
          <w:szCs w:val="24"/>
        </w:rPr>
      </w:pPr>
      <w:r w:rsidDel="00000000" w:rsidR="00000000" w:rsidRPr="00000000">
        <w:rPr>
          <w:color w:val="000000"/>
          <w:sz w:val="24"/>
          <w:szCs w:val="24"/>
          <w:rtl w:val="0"/>
        </w:rPr>
        <w:t xml:space="preserve">Table of Contents</w:t>
      </w:r>
    </w:p>
    <w:p w:rsidR="00000000" w:rsidDel="00000000" w:rsidP="00000000" w:rsidRDefault="00000000" w:rsidRPr="00000000" w14:paraId="00000013">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1. Definition of Stroke</w:t>
        <w:tab/>
        <w:t xml:space="preserve">3</w:t>
      </w:r>
    </w:p>
    <w:p w:rsidR="00000000" w:rsidDel="00000000" w:rsidP="00000000" w:rsidRDefault="00000000" w:rsidRPr="00000000" w14:paraId="00000014">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2. Worldwide and United Kingdom (UK) Comparison of Stroke Prevalence/Burden</w:t>
        <w:tab/>
        <w:t xml:space="preserve">3</w:t>
      </w:r>
    </w:p>
    <w:p w:rsidR="00000000" w:rsidDel="00000000" w:rsidP="00000000" w:rsidRDefault="00000000" w:rsidRPr="00000000" w14:paraId="00000015">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3. Risk Factors for Stroke</w:t>
        <w:tab/>
        <w:t xml:space="preserve">3</w:t>
      </w:r>
    </w:p>
    <w:p w:rsidR="00000000" w:rsidDel="00000000" w:rsidP="00000000" w:rsidRDefault="00000000" w:rsidRPr="00000000" w14:paraId="00000016">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4. Long-Term Consequences of Stroke</w:t>
        <w:tab/>
        <w:t xml:space="preserve">4</w:t>
      </w:r>
    </w:p>
    <w:p w:rsidR="00000000" w:rsidDel="00000000" w:rsidP="00000000" w:rsidRDefault="00000000" w:rsidRPr="00000000" w14:paraId="00000017">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Physical implications of stroke and its long-term consequences</w:t>
        <w:tab/>
        <w:t xml:space="preserve">4</w:t>
      </w:r>
    </w:p>
    <w:p w:rsidR="00000000" w:rsidDel="00000000" w:rsidP="00000000" w:rsidRDefault="00000000" w:rsidRPr="00000000" w14:paraId="00000018">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Psychological implications of stroke and its long-term consequences</w:t>
        <w:tab/>
        <w:t xml:space="preserve">4</w:t>
      </w:r>
    </w:p>
    <w:p w:rsidR="00000000" w:rsidDel="00000000" w:rsidP="00000000" w:rsidRDefault="00000000" w:rsidRPr="00000000" w14:paraId="00000019">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Social implications of stroke and its long-term consequences</w:t>
        <w:tab/>
        <w:t xml:space="preserve">5</w:t>
      </w:r>
    </w:p>
    <w:p w:rsidR="00000000" w:rsidDel="00000000" w:rsidP="00000000" w:rsidRDefault="00000000" w:rsidRPr="00000000" w14:paraId="0000001A">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5. Evidence-based Treatment and Management in the National Health Service (NHS)</w:t>
        <w:tab/>
        <w:t xml:space="preserve">5</w:t>
      </w:r>
    </w:p>
    <w:p w:rsidR="00000000" w:rsidDel="00000000" w:rsidP="00000000" w:rsidRDefault="00000000" w:rsidRPr="00000000" w14:paraId="0000001B">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6. Theoretical Models and Frameworks for Improved Outcomes</w:t>
        <w:tab/>
        <w:t xml:space="preserve">6</w:t>
      </w:r>
    </w:p>
    <w:p w:rsidR="00000000" w:rsidDel="00000000" w:rsidP="00000000" w:rsidRDefault="00000000" w:rsidRPr="00000000" w14:paraId="0000001C">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House of Care Model</w:t>
        <w:tab/>
        <w:t xml:space="preserve">6</w:t>
      </w:r>
    </w:p>
    <w:p w:rsidR="00000000" w:rsidDel="00000000" w:rsidP="00000000" w:rsidRDefault="00000000" w:rsidRPr="00000000" w14:paraId="0000001D">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Chronic Care Model</w:t>
        <w:tab/>
        <w:t xml:space="preserve">6</w:t>
      </w:r>
    </w:p>
    <w:p w:rsidR="00000000" w:rsidDel="00000000" w:rsidP="00000000" w:rsidRDefault="00000000" w:rsidRPr="00000000" w14:paraId="0000001E">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7. Health and Social Care Policies and Agendas</w:t>
        <w:tab/>
        <w:t xml:space="preserve">7</w:t>
      </w:r>
    </w:p>
    <w:p w:rsidR="00000000" w:rsidDel="00000000" w:rsidP="00000000" w:rsidRDefault="00000000" w:rsidRPr="00000000" w14:paraId="0000001F">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8. Recommendations for person-centered care and end of life care for stroke</w:t>
        <w:tab/>
        <w:t xml:space="preserve">7</w:t>
      </w:r>
    </w:p>
    <w:p w:rsidR="00000000" w:rsidDel="00000000" w:rsidP="00000000" w:rsidRDefault="00000000" w:rsidRPr="00000000" w14:paraId="00000020">
      <w:pPr>
        <w:keepLines w:val="1"/>
        <w:tabs>
          <w:tab w:val="right" w:leader="none" w:pos="10224"/>
        </w:tabs>
        <w:spacing w:after="60" w:lineRule="auto"/>
        <w:ind w:left="648" w:right="648" w:firstLine="0"/>
        <w:jc w:val="center"/>
        <w:rPr>
          <w:color w:val="000000"/>
          <w:sz w:val="22"/>
          <w:szCs w:val="22"/>
        </w:rPr>
      </w:pPr>
      <w:r w:rsidDel="00000000" w:rsidR="00000000" w:rsidRPr="00000000">
        <w:rPr>
          <w:color w:val="000000"/>
          <w:sz w:val="22"/>
          <w:szCs w:val="22"/>
          <w:rtl w:val="0"/>
        </w:rPr>
        <w:t xml:space="preserve">9. Conclusion</w:t>
        <w:tab/>
        <w:t xml:space="preserve">8</w:t>
      </w:r>
    </w:p>
    <w:p w:rsidR="00000000" w:rsidDel="00000000" w:rsidP="00000000" w:rsidRDefault="00000000" w:rsidRPr="00000000" w14:paraId="00000021">
      <w:pPr>
        <w:keepLines w:val="1"/>
        <w:tabs>
          <w:tab w:val="right" w:leader="none" w:pos="10224"/>
        </w:tabs>
        <w:spacing w:after="60" w:lineRule="auto"/>
        <w:ind w:left="648" w:right="648" w:firstLine="0"/>
        <w:jc w:val="center"/>
        <w:rPr>
          <w:color w:val="000000"/>
          <w:sz w:val="22"/>
          <w:szCs w:val="22"/>
        </w:rPr>
        <w:sectPr>
          <w:headerReference r:id="rId7" w:type="default"/>
          <w:headerReference r:id="rId8" w:type="first"/>
          <w:footerReference r:id="rId9" w:type="default"/>
          <w:footerReference r:id="rId10" w:type="first"/>
          <w:pgSz w:h="16838" w:w="11906" w:orient="portrait"/>
          <w:pgMar w:bottom="259" w:top="216" w:left="0" w:right="0" w:header="72" w:footer="72"/>
          <w:pgNumType w:start="1"/>
          <w:titlePg w:val="1"/>
        </w:sectPr>
      </w:pPr>
      <w:r w:rsidDel="00000000" w:rsidR="00000000" w:rsidRPr="00000000">
        <w:rPr>
          <w:color w:val="000000"/>
          <w:sz w:val="22"/>
          <w:szCs w:val="22"/>
          <w:rtl w:val="0"/>
        </w:rPr>
        <w:t xml:space="preserve">Reference List</w:t>
        <w:tab/>
        <w:t xml:space="preserve">9</w:t>
      </w:r>
    </w:p>
    <w:p w:rsidR="00000000" w:rsidDel="00000000" w:rsidP="00000000" w:rsidRDefault="00000000" w:rsidRPr="00000000" w14:paraId="00000022">
      <w:pPr>
        <w:pStyle w:val="Heading1"/>
        <w:rPr>
          <w:color w:val="000000"/>
          <w:sz w:val="24"/>
          <w:szCs w:val="24"/>
        </w:rPr>
      </w:pPr>
      <w:r w:rsidDel="00000000" w:rsidR="00000000" w:rsidRPr="00000000">
        <w:rPr>
          <w:color w:val="000000"/>
          <w:sz w:val="24"/>
          <w:szCs w:val="24"/>
          <w:rtl w:val="0"/>
        </w:rPr>
        <w:t xml:space="preserve">1. Definition of Stroke</w:t>
      </w:r>
    </w:p>
    <w:p w:rsidR="00000000" w:rsidDel="00000000" w:rsidP="00000000" w:rsidRDefault="00000000" w:rsidRPr="00000000" w14:paraId="00000023">
      <w:pPr>
        <w:rPr>
          <w:color w:val="000000"/>
          <w:sz w:val="22"/>
          <w:szCs w:val="22"/>
        </w:rPr>
      </w:pPr>
      <w:r w:rsidDel="00000000" w:rsidR="00000000" w:rsidRPr="00000000">
        <w:rPr>
          <w:color w:val="000000"/>
          <w:sz w:val="22"/>
          <w:szCs w:val="22"/>
          <w:rtl w:val="0"/>
        </w:rPr>
        <w:t xml:space="preserve">A stroke is an emergency where blood supply to parts of the brain becomes disrupted through either blockage or bleeding. According to the World Health Organization (WHO, 2025), a stroke entails disruption of the blood flow to the brain while the Royal College of Physicians (2023) give guidance for UK practice. Ischaemic stroke results from blockage of blood vessels in the brain due to a clot while haemorrhagic stroke involves rupture of vessels.</w:t>
      </w:r>
    </w:p>
    <w:p w:rsidR="00000000" w:rsidDel="00000000" w:rsidP="00000000" w:rsidRDefault="00000000" w:rsidRPr="00000000" w14:paraId="00000024">
      <w:pPr>
        <w:rPr>
          <w:color w:val="000000"/>
          <w:sz w:val="22"/>
          <w:szCs w:val="22"/>
        </w:rPr>
      </w:pPr>
      <w:r w:rsidDel="00000000" w:rsidR="00000000" w:rsidRPr="00000000">
        <w:rPr>
          <w:color w:val="000000"/>
          <w:sz w:val="22"/>
          <w:szCs w:val="22"/>
          <w:rtl w:val="0"/>
        </w:rPr>
        <w:t xml:space="preserve">The effects of a stroke may include impairment in moving, balance, talking, swallowing, seeing, memory, mood and behavior. The outcome of recovery varies from almost complete recovery, disability, tiredness and difficulty in communicating. It should involve aspects such as self-confidence, relationships, meaningful activities and home-based rehabilitation, rather than just physical recovery alone. According to the National Institute for Health and Care Excellence (NICE, 2023) and the Royal College of Physicians (2023), rehabilitation should be tailored to individuals’ needs and goals.</w:t>
      </w:r>
    </w:p>
    <w:p w:rsidR="00000000" w:rsidDel="00000000" w:rsidP="00000000" w:rsidRDefault="00000000" w:rsidRPr="00000000" w14:paraId="00000025">
      <w:pPr>
        <w:pStyle w:val="Heading1"/>
        <w:rPr>
          <w:color w:val="000000"/>
          <w:sz w:val="24"/>
          <w:szCs w:val="24"/>
        </w:rPr>
      </w:pPr>
      <w:r w:rsidDel="00000000" w:rsidR="00000000" w:rsidRPr="00000000">
        <w:rPr>
          <w:color w:val="000000"/>
          <w:sz w:val="24"/>
          <w:szCs w:val="24"/>
          <w:rtl w:val="0"/>
        </w:rPr>
        <w:t xml:space="preserve">2. Worldwide and United Kingdom (UK) Comparison of Stroke Prevalence/Burden</w:t>
      </w:r>
    </w:p>
    <w:p w:rsidR="00000000" w:rsidDel="00000000" w:rsidP="00000000" w:rsidRDefault="00000000" w:rsidRPr="00000000" w14:paraId="00000026">
      <w:pPr>
        <w:rPr>
          <w:color w:val="000000"/>
          <w:sz w:val="22"/>
          <w:szCs w:val="22"/>
        </w:rPr>
      </w:pPr>
      <w:r w:rsidDel="00000000" w:rsidR="00000000" w:rsidRPr="00000000">
        <w:rPr>
          <w:color w:val="000000"/>
          <w:sz w:val="22"/>
          <w:szCs w:val="22"/>
          <w:rtl w:val="0"/>
        </w:rPr>
        <w:t xml:space="preserve">A stroke is one of the significant causes of death and disability worldwide. According to GBD Study 2021, there were 11.9 million new strokes, 93.8 million people alive after stroke, and 7.3 million stroke deaths worldwide in 2021. Stroke was the cause of around 160.5 million disability-adjusted life years, highlighting the burden that extends beyond the acute episode (GBD 2021 Stroke Risk Factor Collaborators, 2025). Quality of the data varies by country, therefore, these numbers cannot be used for prediction of an individual outcome.</w:t>
      </w:r>
    </w:p>
    <w:p w:rsidR="00000000" w:rsidDel="00000000" w:rsidP="00000000" w:rsidRDefault="00000000" w:rsidRPr="00000000" w14:paraId="00000027">
      <w:pPr>
        <w:rPr>
          <w:color w:val="000000"/>
          <w:sz w:val="22"/>
          <w:szCs w:val="22"/>
        </w:rPr>
      </w:pPr>
      <w:r w:rsidDel="00000000" w:rsidR="00000000" w:rsidRPr="00000000">
        <w:rPr>
          <w:color w:val="000000"/>
          <w:sz w:val="22"/>
          <w:szCs w:val="22"/>
          <w:rtl w:val="0"/>
        </w:rPr>
        <w:t xml:space="preserve">In the United Kingdom (UK), around 100,000 people suffer from a stroke each year, and around 1.3 million people live with stroke complications (Stroke Association, 2025). According to NICE (2023a), around 84,350 strokes occur every year in England, and around 126,000 hospital admissions related to a stroke take place. However, these numbers cannot be compared directly since the first is related to newly occurring cases and those who survive stroke, whereas the second is related only to hospital admissions (Sup, 2020).</w:t>
      </w:r>
    </w:p>
    <w:p w:rsidR="00000000" w:rsidDel="00000000" w:rsidP="00000000" w:rsidRDefault="00000000" w:rsidRPr="00000000" w14:paraId="00000028">
      <w:pPr>
        <w:jc w:val="center"/>
        <w:rPr>
          <w:color w:val="000000"/>
          <w:sz w:val="24"/>
          <w:szCs w:val="24"/>
        </w:rPr>
      </w:pPr>
      <w:r w:rsidDel="00000000" w:rsidR="00000000" w:rsidRPr="00000000">
        <w:rPr>
          <w:b w:val="1"/>
          <w:bCs w:val="1"/>
          <w:color w:val="000000"/>
          <w:sz w:val="24"/>
          <w:szCs w:val="24"/>
          <w:rtl w:val="0"/>
        </w:rPr>
        <w:t xml:space="preserve">Table 1: Worldwide and UK indicators of stroke burden</w:t>
      </w:r>
      <w:r w:rsidDel="00000000" w:rsidR="00000000" w:rsidRPr="00000000">
        <w:rPr>
          <w:rtl w:val="0"/>
        </w:rPr>
      </w:r>
    </w:p>
    <w:tbl>
      <w:tblPr>
        <w:tblStyle w:val="Table2"/>
        <w:tblW w:w="511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11"/>
        <w:gridCol w:w="1231"/>
        <w:gridCol w:w="1976"/>
        <w:tblGridChange w:id="0">
          <w:tblGrid>
            <w:gridCol w:w="1911"/>
            <w:gridCol w:w="1231"/>
            <w:gridCol w:w="1976"/>
          </w:tblGrid>
        </w:tblGridChange>
      </w:tblGrid>
      <w:tr>
        <w:trPr>
          <w:cantSplit w:val="0"/>
          <w:trHeight w:val="416" w:hRule="atLeast"/>
          <w:tblHeader w:val="0"/>
        </w:trPr>
        <w:tc>
          <w:tcPr/>
          <w:p w:rsidR="00000000" w:rsidDel="00000000" w:rsidP="00000000" w:rsidRDefault="00000000" w:rsidRPr="00000000" w14:paraId="00000029">
            <w:pPr>
              <w:spacing w:after="20" w:lineRule="auto"/>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Indicator</w:t>
            </w:r>
            <w:r w:rsidDel="00000000" w:rsidR="00000000" w:rsidRPr="00000000">
              <w:rPr>
                <w:rtl w:val="0"/>
              </w:rPr>
            </w:r>
          </w:p>
        </w:tc>
        <w:tc>
          <w:tcPr/>
          <w:p w:rsidR="00000000" w:rsidDel="00000000" w:rsidP="00000000" w:rsidRDefault="00000000" w:rsidRPr="00000000" w14:paraId="0000002A">
            <w:pPr>
              <w:spacing w:after="20" w:lineRule="auto"/>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Estimate</w:t>
            </w:r>
            <w:r w:rsidDel="00000000" w:rsidR="00000000" w:rsidRPr="00000000">
              <w:rPr>
                <w:rtl w:val="0"/>
              </w:rPr>
            </w:r>
          </w:p>
        </w:tc>
        <w:tc>
          <w:tcPr/>
          <w:p w:rsidR="00000000" w:rsidDel="00000000" w:rsidP="00000000" w:rsidRDefault="00000000" w:rsidRPr="00000000" w14:paraId="0000002B">
            <w:pPr>
              <w:spacing w:after="20" w:lineRule="auto"/>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Source / meaning</w:t>
            </w:r>
            <w:r w:rsidDel="00000000" w:rsidR="00000000" w:rsidRPr="00000000">
              <w:rPr>
                <w:rtl w:val="0"/>
              </w:rPr>
            </w:r>
          </w:p>
        </w:tc>
      </w:tr>
      <w:tr>
        <w:trPr>
          <w:cantSplit w:val="0"/>
          <w:tblHeader w:val="0"/>
        </w:trPr>
        <w:tc>
          <w:tcPr/>
          <w:p w:rsidR="00000000" w:rsidDel="00000000" w:rsidP="00000000" w:rsidRDefault="00000000" w:rsidRPr="00000000" w14:paraId="0000002C">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New stroke events worldwide (2021)</w:t>
            </w:r>
          </w:p>
        </w:tc>
        <w:tc>
          <w:tcPr/>
          <w:p w:rsidR="00000000" w:rsidDel="00000000" w:rsidP="00000000" w:rsidRDefault="00000000" w:rsidRPr="00000000" w14:paraId="0000002D">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11.9 million</w:t>
            </w:r>
          </w:p>
        </w:tc>
        <w:tc>
          <w:tcPr/>
          <w:p w:rsidR="00000000" w:rsidDel="00000000" w:rsidP="00000000" w:rsidRDefault="00000000" w:rsidRPr="00000000" w14:paraId="0000002E">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GBD Study 2021 estimate</w:t>
            </w:r>
          </w:p>
        </w:tc>
      </w:tr>
      <w:tr>
        <w:trPr>
          <w:cantSplit w:val="0"/>
          <w:tblHeader w:val="0"/>
        </w:trPr>
        <w:tc>
          <w:tcPr/>
          <w:p w:rsidR="00000000" w:rsidDel="00000000" w:rsidP="00000000" w:rsidRDefault="00000000" w:rsidRPr="00000000" w14:paraId="0000002F">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People living with stroke worldwide (2021)</w:t>
            </w:r>
          </w:p>
        </w:tc>
        <w:tc>
          <w:tcPr/>
          <w:p w:rsidR="00000000" w:rsidDel="00000000" w:rsidP="00000000" w:rsidRDefault="00000000" w:rsidRPr="00000000" w14:paraId="00000030">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93.8 million</w:t>
            </w:r>
          </w:p>
        </w:tc>
        <w:tc>
          <w:tcPr/>
          <w:p w:rsidR="00000000" w:rsidDel="00000000" w:rsidP="00000000" w:rsidRDefault="00000000" w:rsidRPr="00000000" w14:paraId="00000031">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Indicates extensive long-term care needs</w:t>
            </w:r>
          </w:p>
        </w:tc>
      </w:tr>
      <w:tr>
        <w:trPr>
          <w:cantSplit w:val="0"/>
          <w:tblHeader w:val="0"/>
        </w:trPr>
        <w:tc>
          <w:tcPr/>
          <w:p w:rsidR="00000000" w:rsidDel="00000000" w:rsidP="00000000" w:rsidRDefault="00000000" w:rsidRPr="00000000" w14:paraId="00000032">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Stroke deaths worldwide (2021)</w:t>
            </w:r>
          </w:p>
        </w:tc>
        <w:tc>
          <w:tcPr/>
          <w:p w:rsidR="00000000" w:rsidDel="00000000" w:rsidP="00000000" w:rsidRDefault="00000000" w:rsidRPr="00000000" w14:paraId="00000033">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7.3 million</w:t>
            </w:r>
          </w:p>
        </w:tc>
        <w:tc>
          <w:tcPr/>
          <w:p w:rsidR="00000000" w:rsidDel="00000000" w:rsidP="00000000" w:rsidRDefault="00000000" w:rsidRPr="00000000" w14:paraId="00000034">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Reflects high mortality burden</w:t>
            </w:r>
          </w:p>
        </w:tc>
      </w:tr>
      <w:tr>
        <w:trPr>
          <w:cantSplit w:val="0"/>
          <w:tblHeader w:val="0"/>
        </w:trPr>
        <w:tc>
          <w:tcPr/>
          <w:p w:rsidR="00000000" w:rsidDel="00000000" w:rsidP="00000000" w:rsidRDefault="00000000" w:rsidRPr="00000000" w14:paraId="00000035">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New strokes each year in the UK</w:t>
            </w:r>
          </w:p>
        </w:tc>
        <w:tc>
          <w:tcPr/>
          <w:p w:rsidR="00000000" w:rsidDel="00000000" w:rsidP="00000000" w:rsidRDefault="00000000" w:rsidRPr="00000000" w14:paraId="00000036">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About 100,000</w:t>
            </w:r>
          </w:p>
        </w:tc>
        <w:tc>
          <w:tcPr/>
          <w:p w:rsidR="00000000" w:rsidDel="00000000" w:rsidP="00000000" w:rsidRDefault="00000000" w:rsidRPr="00000000" w14:paraId="00000037">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Stroke Association UK estimate</w:t>
            </w:r>
          </w:p>
        </w:tc>
      </w:tr>
      <w:tr>
        <w:trPr>
          <w:cantSplit w:val="0"/>
          <w:tblHeader w:val="0"/>
        </w:trPr>
        <w:tc>
          <w:tcPr/>
          <w:p w:rsidR="00000000" w:rsidDel="00000000" w:rsidP="00000000" w:rsidRDefault="00000000" w:rsidRPr="00000000" w14:paraId="00000038">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People living after stroke in the UK</w:t>
            </w:r>
          </w:p>
        </w:tc>
        <w:tc>
          <w:tcPr/>
          <w:p w:rsidR="00000000" w:rsidDel="00000000" w:rsidP="00000000" w:rsidRDefault="00000000" w:rsidRPr="00000000" w14:paraId="00000039">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About 1.3 million</w:t>
            </w:r>
          </w:p>
        </w:tc>
        <w:tc>
          <w:tcPr/>
          <w:p w:rsidR="00000000" w:rsidDel="00000000" w:rsidP="00000000" w:rsidRDefault="00000000" w:rsidRPr="00000000" w14:paraId="0000003A">
            <w:pPr>
              <w:spacing w:after="2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Includes people with varied support needs</w:t>
            </w:r>
          </w:p>
        </w:tc>
      </w:tr>
    </w:tbl>
    <w:p w:rsidR="00000000" w:rsidDel="00000000" w:rsidP="00000000" w:rsidRDefault="00000000" w:rsidRPr="00000000" w14:paraId="0000003B">
      <w:pPr>
        <w:rPr>
          <w:b w:val="1"/>
          <w:bCs w:val="1"/>
          <w:color w:val="000000"/>
          <w:sz w:val="22"/>
          <w:szCs w:val="22"/>
        </w:rPr>
      </w:pPr>
      <w:r w:rsidDel="00000000" w:rsidR="00000000" w:rsidRPr="00000000">
        <w:rPr>
          <w:color w:val="000000"/>
          <w:sz w:val="22"/>
          <w:szCs w:val="22"/>
          <w:rtl w:val="0"/>
        </w:rPr>
        <w:t xml:space="preserve">Combined, the figures demonstrate that stroke is an international public-health problem and a significant UK long-term care problem. The global figure of 93.8 million survivors suggests that there is a large demand for rehabilitation, communication, psychological support and carer support; the UK figure of 1.3 million survivors demonstrates the magnitude of the community support required in the UK. The figures should be treated with caution since the global figure is for the year 2021, the geographical spread is different, and English hospital admission does not mean the same as first-ever stroke incidence. However, both sets of figures highlight the reason why planners must consider more than immediate care and must consider participation and quality of life as well as survival. For the planners, this means considering funding rehabilitation and community care provision for those living in the community and for their carers (GBD 2021 Stroke Risk Factor Collaborators, 2025; Stroke Association, 2025; Zawawi, Aziz, Fisher, Ahmad and Walker, 2020).</w:t>
      </w:r>
      <w:r w:rsidDel="00000000" w:rsidR="00000000" w:rsidRPr="00000000">
        <w:rPr>
          <w:rtl w:val="0"/>
        </w:rPr>
      </w:r>
    </w:p>
    <w:p w:rsidR="00000000" w:rsidDel="00000000" w:rsidP="00000000" w:rsidRDefault="00000000" w:rsidRPr="00000000" w14:paraId="0000003C">
      <w:pPr>
        <w:pStyle w:val="Heading1"/>
        <w:rPr>
          <w:color w:val="000000"/>
          <w:sz w:val="24"/>
          <w:szCs w:val="24"/>
        </w:rPr>
      </w:pPr>
      <w:r w:rsidDel="00000000" w:rsidR="00000000" w:rsidRPr="00000000">
        <w:rPr>
          <w:color w:val="000000"/>
          <w:sz w:val="24"/>
          <w:szCs w:val="24"/>
          <w:rtl w:val="0"/>
        </w:rPr>
        <w:t xml:space="preserve">3. Risk Factors for Stroke</w:t>
      </w:r>
    </w:p>
    <w:p w:rsidR="00000000" w:rsidDel="00000000" w:rsidP="00000000" w:rsidRDefault="00000000" w:rsidRPr="00000000" w14:paraId="0000003D">
      <w:pPr>
        <w:rPr>
          <w:sz w:val="22"/>
          <w:szCs w:val="22"/>
        </w:rPr>
      </w:pPr>
      <w:r w:rsidDel="00000000" w:rsidR="00000000" w:rsidRPr="00000000">
        <w:rPr>
          <w:color w:val="000000"/>
          <w:sz w:val="22"/>
          <w:szCs w:val="22"/>
          <w:rtl w:val="0"/>
        </w:rPr>
        <w:t xml:space="preserve">A stroke risk involves the health of blood vessels and personal and social factors. Modifiable risks include hypertension and high cholesterol levels, smoking, diabetes, atrial fibrillation, obesity, physical inactivity, improper nutrition, and excessive alcohol consumption. Although prevention is possible, not all cases of stroke have one cause (Kleindorfer, Towfighi, Chaturvedi, Cockroft, Gutierrez, Lombardi-Hill, Kamel, Kernan, Kittner, Leira, Lennon, Meschia, Nguyen, Pollak, Santangeli, Sharrief, Smith, Turan and Williams, 2021; GBD 2021 Stroke Risk Factor Collaborators, 2025)</w:t>
      </w:r>
      <w:r w:rsidDel="00000000" w:rsidR="00000000" w:rsidRPr="00000000">
        <w:rPr>
          <w:sz w:val="22"/>
          <w:szCs w:val="22"/>
          <w:rtl w:val="0"/>
        </w:rPr>
        <w:t xml:space="preserve">.</w:t>
      </w:r>
    </w:p>
    <w:p w:rsidR="00000000" w:rsidDel="00000000" w:rsidP="00000000" w:rsidRDefault="00000000" w:rsidRPr="00000000" w14:paraId="0000003E">
      <w:pPr>
        <w:pStyle w:val="Heading2"/>
        <w:rPr>
          <w:sz w:val="24"/>
          <w:szCs w:val="24"/>
        </w:rPr>
      </w:pPr>
      <w:r w:rsidDel="00000000" w:rsidR="00000000" w:rsidRPr="00000000">
        <w:rPr>
          <w:sz w:val="24"/>
          <w:szCs w:val="24"/>
          <w:rtl w:val="0"/>
        </w:rPr>
        <w:t xml:space="preserve">Modifiable risk factors</w:t>
      </w:r>
    </w:p>
    <w:p w:rsidR="00000000" w:rsidDel="00000000" w:rsidP="00000000" w:rsidRDefault="00000000" w:rsidRPr="00000000" w14:paraId="0000003F">
      <w:pPr>
        <w:rPr>
          <w:color w:val="000000"/>
          <w:sz w:val="22"/>
          <w:szCs w:val="22"/>
        </w:rPr>
      </w:pPr>
      <w:r w:rsidDel="00000000" w:rsidR="00000000" w:rsidRPr="00000000">
        <w:rPr>
          <w:color w:val="000000"/>
          <w:sz w:val="22"/>
          <w:szCs w:val="22"/>
          <w:rtl w:val="0"/>
        </w:rPr>
        <w:t xml:space="preserve">High blood pressure increases the chances of developing either stroke. Diagnosis, management with the use of medications and other forms of care are important. Patients might suffer from atrial fibrillation, where clots move to the brain. It is important to diagnose and manage the condition using anticoagulants in appropriate patients (Kleindorfer, Towfighi, Chaturvedi, Cockroft, Gutierrez, Lombardi-Hill, Kamel, Kernan, Kittner, Leira, Lennon, Meschia, Nguyen, Pollak, Santangeli, Sharrief, Smith, Turan and Williams, 2021; Royal College of Physicians, 2023).</w:t>
      </w:r>
    </w:p>
    <w:p w:rsidR="00000000" w:rsidDel="00000000" w:rsidP="00000000" w:rsidRDefault="00000000" w:rsidRPr="00000000" w14:paraId="00000040">
      <w:pPr>
        <w:rPr>
          <w:sz w:val="22"/>
          <w:szCs w:val="22"/>
        </w:rPr>
      </w:pPr>
      <w:r w:rsidDel="00000000" w:rsidR="00000000" w:rsidRPr="00000000">
        <w:rPr>
          <w:sz w:val="22"/>
          <w:szCs w:val="22"/>
          <w:rtl w:val="0"/>
        </w:rPr>
        <w:t xml:space="preserve">Smoking, physical inactivity, nutrition, and harmful alcohol consumption influence vascular well-being. It is not enough to give advice when healthy food, proper physical activities, medical visits, or prescribed medications are difficult to obtain. Prevention needs to overcome obstacles of affordability and access, and it remains relevant even after a stroke to avoid recurrence (NHS England, 2021; Kleindorfer, Towfighi, Chaturvedi, Cockroft, Gutierrez, Lombardi-Hill, Kamel, Kernan, Kittner, Leira, Lennon, Meschia, Nguyen, Pollak, Santangeli, Sharrief, Smith, Turan and Williams, 2021).</w:t>
      </w:r>
    </w:p>
    <w:p w:rsidR="00000000" w:rsidDel="00000000" w:rsidP="00000000" w:rsidRDefault="00000000" w:rsidRPr="00000000" w14:paraId="00000041">
      <w:pPr>
        <w:pStyle w:val="Heading2"/>
        <w:rPr>
          <w:sz w:val="24"/>
          <w:szCs w:val="24"/>
        </w:rPr>
      </w:pPr>
      <w:r w:rsidDel="00000000" w:rsidR="00000000" w:rsidRPr="00000000">
        <w:rPr>
          <w:sz w:val="24"/>
          <w:szCs w:val="24"/>
          <w:rtl w:val="0"/>
        </w:rPr>
        <w:t xml:space="preserve">Non-modifiable risk factors</w:t>
      </w:r>
    </w:p>
    <w:p w:rsidR="00000000" w:rsidDel="00000000" w:rsidP="00000000" w:rsidRDefault="00000000" w:rsidRPr="00000000" w14:paraId="00000042">
      <w:pPr>
        <w:rPr/>
      </w:pPr>
      <w:r w:rsidDel="00000000" w:rsidR="00000000" w:rsidRPr="00000000">
        <w:rPr>
          <w:sz w:val="22"/>
          <w:szCs w:val="22"/>
          <w:rtl w:val="0"/>
        </w:rPr>
        <w:t xml:space="preserve">Risk increases with age, but a stroke can occur at any age. History of family disease, genetics, and prior stroke or transient ischaemic attack all play their role. Sex and ethnic differences need to be assessed equally without stereotyping an individual. Many risk factors are treatable despite being modifiable (GBD 2021 Stroke Risk Factor Collaborators, 2025; Kleindorfer, Towfighi, Chaturvedi, Cockroft, Gutierrez, Lombardi-Hill, Kamel, Kernan, Kittner, Leira, Lennon, Meschia, Nguyen, Pollak, Santangeli, Sharrief, Smith, Turan and Williams, 2021).</w:t>
      </w:r>
      <w:r w:rsidDel="00000000" w:rsidR="00000000" w:rsidRPr="00000000">
        <w:rPr>
          <w:rtl w:val="0"/>
        </w:rPr>
      </w:r>
    </w:p>
    <w:p w:rsidR="00000000" w:rsidDel="00000000" w:rsidP="00000000" w:rsidRDefault="00000000" w:rsidRPr="00000000" w14:paraId="00000043">
      <w:pPr>
        <w:pStyle w:val="Heading1"/>
        <w:rPr>
          <w:color w:val="000000"/>
          <w:sz w:val="24"/>
          <w:szCs w:val="24"/>
        </w:rPr>
      </w:pPr>
      <w:r w:rsidDel="00000000" w:rsidR="00000000" w:rsidRPr="00000000">
        <w:rPr>
          <w:color w:val="000000"/>
          <w:sz w:val="24"/>
          <w:szCs w:val="24"/>
          <w:rtl w:val="0"/>
        </w:rPr>
        <w:t xml:space="preserve">4. Long-Term Consequences of Stroke</w:t>
      </w:r>
    </w:p>
    <w:p w:rsidR="00000000" w:rsidDel="00000000" w:rsidP="00000000" w:rsidRDefault="00000000" w:rsidRPr="00000000" w14:paraId="00000044">
      <w:pPr>
        <w:rPr>
          <w:sz w:val="22"/>
          <w:szCs w:val="22"/>
        </w:rPr>
      </w:pPr>
      <w:r w:rsidDel="00000000" w:rsidR="00000000" w:rsidRPr="00000000">
        <w:rPr>
          <w:color w:val="000000"/>
          <w:sz w:val="22"/>
          <w:szCs w:val="22"/>
          <w:rtl w:val="0"/>
        </w:rPr>
        <w:t xml:space="preserve">Effects of stroke </w:t>
      </w:r>
      <w:r w:rsidDel="00000000" w:rsidR="00000000" w:rsidRPr="00000000">
        <w:rPr>
          <w:sz w:val="22"/>
          <w:szCs w:val="22"/>
          <w:rtl w:val="0"/>
        </w:rPr>
        <w:t xml:space="preserve">vary with time. Concentrating solely on physical mobility may overlook issues such as fatigue, cognition, mood, communication, and participation. Evaluation must take into account body function, patient goals, family situation, and the environment (NICE, 2023; Stolwyk, Mihaljcic, Wong, Chapman and Rogers, 2021).</w:t>
      </w:r>
    </w:p>
    <w:p w:rsidR="00000000" w:rsidDel="00000000" w:rsidP="00000000" w:rsidRDefault="00000000" w:rsidRPr="00000000" w14:paraId="00000045">
      <w:pPr>
        <w:pStyle w:val="Heading2"/>
        <w:rPr>
          <w:color w:val="000000"/>
          <w:sz w:val="24"/>
          <w:szCs w:val="24"/>
        </w:rPr>
      </w:pPr>
      <w:r w:rsidDel="00000000" w:rsidR="00000000" w:rsidRPr="00000000">
        <w:rPr>
          <w:color w:val="000000"/>
          <w:sz w:val="24"/>
          <w:szCs w:val="24"/>
          <w:rtl w:val="0"/>
        </w:rPr>
        <w:t xml:space="preserve">Physical implications of stroke and its long-term consequences</w:t>
      </w:r>
    </w:p>
    <w:p w:rsidR="00000000" w:rsidDel="00000000" w:rsidP="00000000" w:rsidRDefault="00000000" w:rsidRPr="00000000" w14:paraId="00000046">
      <w:pPr>
        <w:rPr/>
      </w:pPr>
      <w:r w:rsidDel="00000000" w:rsidR="00000000" w:rsidRPr="00000000">
        <w:rPr>
          <w:color w:val="000000"/>
          <w:sz w:val="22"/>
          <w:szCs w:val="22"/>
          <w:rtl w:val="0"/>
        </w:rPr>
        <w:t xml:space="preserve">The physical effects of stroke include weakness, lack of balance, pain, spasticity, trouble with swallowing or speaking, vision changes, and difficulties performing activities of daily living. Fatigue can still persist despite improved mobility. Reviews describe fatigue as a prevalent problem, yet recognize different definitions, measurement and timing of fatigue, so no single prevalence rate should be generalized (Aali, Drummond, das Nair and Shokraneh, 2020; Zhan, Zhang, Wen, Wang, Yan, Zhan, Chen, Xu and Lu, 2023).</w:t>
      </w:r>
      <w:r w:rsidDel="00000000" w:rsidR="00000000" w:rsidRPr="00000000">
        <w:rPr>
          <w:rtl w:val="0"/>
        </w:rPr>
      </w:r>
    </w:p>
    <w:p w:rsidR="00000000" w:rsidDel="00000000" w:rsidP="00000000" w:rsidRDefault="00000000" w:rsidRPr="00000000" w14:paraId="00000047">
      <w:pPr>
        <w:rPr/>
      </w:pPr>
      <w:r w:rsidDel="00000000" w:rsidR="00000000" w:rsidRPr="00000000">
        <w:rPr>
          <w:color w:val="000000"/>
          <w:sz w:val="22"/>
          <w:szCs w:val="22"/>
          <w:rtl w:val="0"/>
        </w:rPr>
        <w:t xml:space="preserve">Recovery varies between individuals. Repetitive, task-specific practice can restore function. Bilateral arm training may improve motor impairment, but its effect on daily function and participation remains uncertain (Gnanaprakasam, Karthikbabu, Ravishankar and Solomon, 2023). Virtual reality may make practice engaging, but it should not replace traditional rehabilitation for everyone (Soleimani, Ghazisaeedi and Heydari, 2024).</w:t>
      </w:r>
      <w:r w:rsidDel="00000000" w:rsidR="00000000" w:rsidRPr="00000000">
        <w:rPr>
          <w:rtl w:val="0"/>
        </w:rPr>
      </w:r>
    </w:p>
    <w:p w:rsidR="00000000" w:rsidDel="00000000" w:rsidP="00000000" w:rsidRDefault="00000000" w:rsidRPr="00000000" w14:paraId="00000048">
      <w:pPr>
        <w:rPr/>
      </w:pPr>
      <w:r w:rsidDel="00000000" w:rsidR="00000000" w:rsidRPr="00000000">
        <w:rPr>
          <w:color w:val="000000"/>
          <w:sz w:val="22"/>
          <w:szCs w:val="22"/>
          <w:rtl w:val="0"/>
        </w:rPr>
        <w:t xml:space="preserve">Studies differ in follow-up periods and outcome measures, often emphasising impairment rather than everyday function. Average treatment effects cannot show whether someone can cook, parent or return to work. Reviews should therefore combine clinical measures with goals chosen by stroke survivors.</w:t>
      </w:r>
      <w:r w:rsidDel="00000000" w:rsidR="00000000" w:rsidRPr="00000000">
        <w:rPr>
          <w:rtl w:val="0"/>
        </w:rPr>
      </w:r>
    </w:p>
    <w:p w:rsidR="00000000" w:rsidDel="00000000" w:rsidP="00000000" w:rsidRDefault="00000000" w:rsidRPr="00000000" w14:paraId="00000049">
      <w:pPr>
        <w:pStyle w:val="Heading2"/>
        <w:rPr>
          <w:color w:val="000000"/>
          <w:sz w:val="24"/>
          <w:szCs w:val="24"/>
        </w:rPr>
      </w:pPr>
      <w:r w:rsidDel="00000000" w:rsidR="00000000" w:rsidRPr="00000000">
        <w:rPr>
          <w:color w:val="000000"/>
          <w:sz w:val="24"/>
          <w:szCs w:val="24"/>
          <w:rtl w:val="0"/>
        </w:rPr>
        <w:t xml:space="preserve">Psychological implications of stroke and its long-term consequences</w:t>
      </w:r>
    </w:p>
    <w:p w:rsidR="00000000" w:rsidDel="00000000" w:rsidP="00000000" w:rsidRDefault="00000000" w:rsidRPr="00000000" w14:paraId="0000004A">
      <w:pPr>
        <w:rPr>
          <w:color w:val="000000"/>
          <w:sz w:val="22"/>
          <w:szCs w:val="22"/>
        </w:rPr>
      </w:pPr>
      <w:r w:rsidDel="00000000" w:rsidR="00000000" w:rsidRPr="00000000">
        <w:rPr>
          <w:color w:val="000000"/>
          <w:sz w:val="22"/>
          <w:szCs w:val="22"/>
          <w:rtl w:val="0"/>
        </w:rPr>
        <w:t xml:space="preserve">Depression and anxiety can influence social interactions, rehabilitation, and quality of life. According to a review of 77 meta-analyses, the prevalence of depression was estimated at 27%, although it depended on clinical interview and rating scale assessment (Liu, Xu, Marshall, Wolfe, Wang and O’Connell, 2023). The prevalence of anxiety among survivors was about 20% when assessed by interviews and 25% when assessed by rating scales (Knapp, Dunn-Roberts, Sahib, Cook, Astin, Kontou and Thomas, 2020).</w:t>
      </w:r>
    </w:p>
    <w:p w:rsidR="00000000" w:rsidDel="00000000" w:rsidP="00000000" w:rsidRDefault="00000000" w:rsidRPr="00000000" w14:paraId="0000004B">
      <w:pPr>
        <w:rPr>
          <w:color w:val="000000"/>
          <w:sz w:val="22"/>
          <w:szCs w:val="22"/>
        </w:rPr>
      </w:pPr>
      <w:r w:rsidDel="00000000" w:rsidR="00000000" w:rsidRPr="00000000">
        <w:rPr>
          <w:color w:val="000000"/>
          <w:sz w:val="22"/>
          <w:szCs w:val="22"/>
          <w:rtl w:val="0"/>
        </w:rPr>
        <w:t>Loss of independence, the fear of recurrence of stroke, problems with communication, financial strain, and uncertainty can contribute to depression. Cognitive impairment was also linked with lower levels of activity and participation. Its prevalence was estimated at 39-47% in the included studies, while populations and methods were different (Stolwyk, Mihaljcic, Wong, Chapman and Rogers, 2021; Ma, Yang, Wang, Huang, Nan, Feng, Yan and Han, 2025). Screening should include assessment of aphasia, hearing problems, fatigue, and education level in order not to confuse communication problems with lack of efforts.</w:t>
      </w:r>
    </w:p>
    <w:p w:rsidR="00000000" w:rsidDel="00000000" w:rsidP="00000000" w:rsidRDefault="00000000" w:rsidRPr="00000000" w14:paraId="0000004C">
      <w:pPr>
        <w:rPr>
          <w:color w:val="000000"/>
          <w:sz w:val="22"/>
          <w:szCs w:val="22"/>
        </w:rPr>
      </w:pPr>
      <w:r w:rsidDel="00000000" w:rsidR="00000000" w:rsidRPr="00000000">
        <w:rPr>
          <w:color w:val="000000"/>
          <w:sz w:val="22"/>
          <w:szCs w:val="22"/>
          <w:rtl w:val="0"/>
        </w:rPr>
        <w:t xml:space="preserve">Psychological recovery involves providing comprehensive information, regular assessment, and evidence-based intervention if necessary. Evidence-based practice states that psychological intervention has to meet the needs and preferences of patients (NICE, 2022; NICE, 2023). The access to psychology services can be difficult if such services are not incorporated into stroke management.</w:t>
      </w:r>
    </w:p>
    <w:p w:rsidR="00000000" w:rsidDel="00000000" w:rsidP="00000000" w:rsidRDefault="00000000" w:rsidRPr="00000000" w14:paraId="0000004D">
      <w:pPr>
        <w:pStyle w:val="Heading2"/>
        <w:rPr>
          <w:color w:val="000000"/>
          <w:sz w:val="22"/>
          <w:szCs w:val="22"/>
        </w:rPr>
      </w:pPr>
      <w:r w:rsidDel="00000000" w:rsidR="00000000" w:rsidRPr="00000000">
        <w:rPr>
          <w:color w:val="000000"/>
          <w:sz w:val="22"/>
          <w:szCs w:val="22"/>
          <w:rtl w:val="0"/>
        </w:rPr>
        <w:t xml:space="preserve">Social implications of stroke and its long-term consequences</w:t>
      </w:r>
    </w:p>
    <w:p w:rsidR="00000000" w:rsidDel="00000000" w:rsidP="00000000" w:rsidRDefault="00000000" w:rsidRPr="00000000" w14:paraId="0000004E">
      <w:pPr>
        <w:rPr>
          <w:color w:val="000000"/>
          <w:sz w:val="22"/>
          <w:szCs w:val="22"/>
        </w:rPr>
      </w:pPr>
      <w:r w:rsidDel="00000000" w:rsidR="00000000" w:rsidRPr="00000000">
        <w:rPr>
          <w:color w:val="000000"/>
          <w:sz w:val="22"/>
          <w:szCs w:val="22"/>
          <w:rtl w:val="0"/>
        </w:rPr>
        <w:t xml:space="preserve">Stroke can affect family relationships, employment and community involvement. Aphasia may make conversation difficult, while mobility problems and inaccessible transport can restrict social participation beyond formal treatment. Social activity should be treated as a rehabilitation outcome, although no single intervention suits everyone (Zhang, Schwade, Smith, Wood and Young, 2020).</w:t>
      </w:r>
    </w:p>
    <w:p w:rsidR="00000000" w:rsidDel="00000000" w:rsidP="00000000" w:rsidRDefault="00000000" w:rsidRPr="00000000" w14:paraId="0000004F">
      <w:pPr>
        <w:rPr>
          <w:color w:val="000000"/>
          <w:sz w:val="22"/>
          <w:szCs w:val="22"/>
        </w:rPr>
      </w:pPr>
      <w:r w:rsidDel="00000000" w:rsidR="00000000" w:rsidRPr="00000000">
        <w:rPr>
          <w:color w:val="000000"/>
          <w:sz w:val="22"/>
          <w:szCs w:val="22"/>
          <w:rtl w:val="0"/>
        </w:rPr>
        <w:t>Returning to work can support income, routine and identity, but depends on fatigue, cognition, job demands and employer flexibility (Green, McGovern and Hinkle, 2021; La Torre, Lia, Francavilla, Chiappetta and De Sio, 2022). Teams should discuss work early and contact employers only with the survivor’s agreement.</w:t>
      </w:r>
    </w:p>
    <w:p w:rsidR="00000000" w:rsidDel="00000000" w:rsidP="00000000" w:rsidRDefault="00000000" w:rsidRPr="00000000" w14:paraId="00000050">
      <w:pPr>
        <w:rPr>
          <w:color w:val="000000"/>
          <w:sz w:val="22"/>
          <w:szCs w:val="22"/>
        </w:rPr>
      </w:pPr>
      <w:r w:rsidDel="00000000" w:rsidR="00000000" w:rsidRPr="00000000">
        <w:rPr>
          <w:color w:val="000000"/>
          <w:sz w:val="22"/>
          <w:szCs w:val="22"/>
          <w:rtl w:val="0"/>
        </w:rPr>
        <w:t>Social integration is not solely the survivor’s responsibility. Accessible transport, inclusive activities, communication groups, peer links and workplace adjustments matter. Community referrals help only when services are available, affordable and accessible, so teams should check whether participation has actually improved (Guo, Zhang, Lin, Mei, Liu, Zhang, Wang, Li and Fu, 2021; Zhang, Schwade, Smith, Wood and Young, 2020).</w:t>
      </w:r>
    </w:p>
    <w:p w:rsidR="00000000" w:rsidDel="00000000" w:rsidP="00000000" w:rsidRDefault="00000000" w:rsidRPr="00000000" w14:paraId="00000051">
      <w:pPr>
        <w:rPr>
          <w:color w:val="000000"/>
          <w:sz w:val="22"/>
          <w:szCs w:val="22"/>
        </w:rPr>
      </w:pPr>
      <w:r w:rsidDel="00000000" w:rsidR="00000000" w:rsidRPr="00000000">
        <w:rPr>
          <w:color w:val="000000"/>
          <w:sz w:val="22"/>
          <w:szCs w:val="22"/>
          <w:rtl w:val="0"/>
        </w:rPr>
        <w:t>Carers may help with daily activities, communication, medication and appointments, affecting their own health, finances and relationships (Wang, Liu, Wu, Zhang and Fang, 2023). Survivors may need rehabilitation and community access, while carers need information, practical skills, rest and health support. Services should not assume that unpaid care is always available (Zawawi, Aziz, Fisher, Ahmad and Walker, 2020; Jammal, Kolt and Liu, 2024).</w:t>
      </w:r>
    </w:p>
    <w:p w:rsidR="00000000" w:rsidDel="00000000" w:rsidP="00000000" w:rsidRDefault="00000000" w:rsidRPr="00000000" w14:paraId="00000052">
      <w:pPr>
        <w:pStyle w:val="Heading1"/>
        <w:rPr>
          <w:color w:val="000000"/>
          <w:sz w:val="24"/>
          <w:szCs w:val="24"/>
        </w:rPr>
      </w:pPr>
      <w:r w:rsidDel="00000000" w:rsidR="00000000" w:rsidRPr="00000000">
        <w:rPr>
          <w:color w:val="000000"/>
          <w:sz w:val="24"/>
          <w:szCs w:val="24"/>
          <w:rtl w:val="0"/>
        </w:rPr>
        <w:t xml:space="preserve">5. Evidence-based Treatment and Management in the National Health Service (NHS)</w:t>
      </w:r>
    </w:p>
    <w:p w:rsidR="00000000" w:rsidDel="00000000" w:rsidP="00000000" w:rsidRDefault="00000000" w:rsidRPr="00000000" w14:paraId="00000053">
      <w:pPr>
        <w:rPr>
          <w:color w:val="000000"/>
          <w:sz w:val="22"/>
          <w:szCs w:val="22"/>
        </w:rPr>
      </w:pPr>
      <w:r w:rsidDel="00000000" w:rsidR="00000000" w:rsidRPr="00000000">
        <w:rPr>
          <w:color w:val="000000"/>
          <w:sz w:val="22"/>
          <w:szCs w:val="22"/>
          <w:rtl w:val="0"/>
        </w:rPr>
        <w:t>Immediate care should determine the stroke type. Depending on imaging, time, and suitability, selected ischemic strokes could receive thrombolysis or thrombectomy; haemorrhagic strokes will need specialist treatment. Prevention of recurrence may involve blood pressure and cholesterol treatments, antiplatelet or anticoagulant drugs when required, and support in managing risk factors. Treatment should match the cause of the stroke since an inappropriate choice may be dangerous (Royal College of Physicians, 2023; Kleindorfer, Towfighi, Chaturvedi, Cockroft, Gutierrez, Lombardi-Hill, Kamel, Kernan, Kittner, Leira, Lennon, Meschia, Nguyen, Pollak, Santangeli, Sharrief, Smith, Turan and Williams, 2021).</w:t>
      </w:r>
    </w:p>
    <w:p w:rsidR="00000000" w:rsidDel="00000000" w:rsidP="00000000" w:rsidRDefault="00000000" w:rsidRPr="00000000" w14:paraId="00000054">
      <w:pPr>
        <w:rPr>
          <w:color w:val="000000"/>
          <w:sz w:val="22"/>
          <w:szCs w:val="22"/>
        </w:rPr>
      </w:pPr>
      <w:r w:rsidDel="00000000" w:rsidR="00000000" w:rsidRPr="00000000">
        <w:rPr>
          <w:color w:val="000000"/>
          <w:sz w:val="22"/>
          <w:szCs w:val="22"/>
          <w:rtl w:val="0"/>
        </w:rPr>
        <w:t xml:space="preserve">After stabilisation, people need multidisciplinary specialist rehabilitation. NICE advises needs-based treatment of up to three hours daily across all relevant disciplines on at least five days a week when this is possible and suitable. The level and nature of therapy should be determined by individual needs and not set as a quota (NICE, 2023).</w:t>
      </w:r>
    </w:p>
    <w:p w:rsidR="00000000" w:rsidDel="00000000" w:rsidP="00000000" w:rsidRDefault="00000000" w:rsidRPr="00000000" w14:paraId="00000055">
      <w:pPr>
        <w:rPr>
          <w:color w:val="000000"/>
          <w:sz w:val="22"/>
          <w:szCs w:val="22"/>
        </w:rPr>
      </w:pPr>
      <w:r w:rsidDel="00000000" w:rsidR="00000000" w:rsidRPr="00000000">
        <w:rPr>
          <w:color w:val="000000"/>
          <w:sz w:val="22"/>
          <w:szCs w:val="22"/>
          <w:rtl w:val="0"/>
        </w:rPr>
        <w:t>Physiotherapy assists in building strength, balance, and mobility; occupational therapy in activities of daily living and adaptation at home; and speech and language therapy in communication and swallowing difficulties. Other professionals who may be required include doctors, nurses, dietitians, pharmacists, psychologists and social workers. The goals should be set and agreed with the patient and assessed according to clinical and functional criteria (Royal College of Physicians, 2023; Gnanaprakasam, Karthikbabu, Ravishankar and Solomon, 2023).</w:t>
      </w:r>
    </w:p>
    <w:p w:rsidR="00000000" w:rsidDel="00000000" w:rsidP="00000000" w:rsidRDefault="00000000" w:rsidRPr="00000000" w14:paraId="00000056">
      <w:pPr>
        <w:rPr>
          <w:color w:val="000000"/>
          <w:sz w:val="22"/>
          <w:szCs w:val="22"/>
        </w:rPr>
      </w:pPr>
      <w:r w:rsidDel="00000000" w:rsidR="00000000" w:rsidRPr="00000000">
        <w:rPr>
          <w:color w:val="000000"/>
          <w:sz w:val="22"/>
          <w:szCs w:val="22"/>
          <w:rtl w:val="0"/>
        </w:rPr>
        <w:t xml:space="preserve">Early supported discharge will allow those people who qualify to continue specialist rehabilitation in their homes and improve their independence while reducing the duration of hospital stay. However, this depends on local provision, which is not possible for everybody. Prompt follow-up and information sharing are crucial (NICE, 2023; NHS England, 2022).</w:t>
      </w:r>
    </w:p>
    <w:p w:rsidR="00000000" w:rsidDel="00000000" w:rsidP="00000000" w:rsidRDefault="00000000" w:rsidRPr="00000000" w14:paraId="00000057">
      <w:pPr>
        <w:rPr>
          <w:color w:val="000000"/>
          <w:sz w:val="22"/>
          <w:szCs w:val="22"/>
        </w:rPr>
      </w:pPr>
      <w:r w:rsidDel="00000000" w:rsidR="00000000" w:rsidRPr="00000000">
        <w:rPr>
          <w:color w:val="000000"/>
          <w:sz w:val="22"/>
          <w:szCs w:val="22"/>
          <w:rtl w:val="0"/>
        </w:rPr>
        <w:t xml:space="preserve">Regular reviews should evaluate the level of function, fatigue, mood, cognitive abilities, communication skills, pain, nutritional state, medications, and carers' requirements. NHS Integrated Community Stroke Service coordinates specialist home rehabilitation and primary, social and voluntary care services. Access depends on local capacity, hence services should report about their capacity, results, and experiences and invest in staffing and community capacity (NHS England, 2022; NHS England, 2024; Sentinel Stroke National Audit Programme (SSNAP), 2024).</w:t>
      </w:r>
    </w:p>
    <w:p w:rsidR="00000000" w:rsidDel="00000000" w:rsidP="00000000" w:rsidRDefault="00000000" w:rsidRPr="00000000" w14:paraId="00000058">
      <w:pPr>
        <w:rPr>
          <w:b w:val="1"/>
          <w:bCs w:val="1"/>
          <w:color w:val="ee0000"/>
          <w:sz w:val="22"/>
          <w:szCs w:val="22"/>
        </w:rPr>
      </w:pPr>
      <w:r w:rsidDel="00000000" w:rsidR="00000000" w:rsidRPr="00000000">
        <w:rPr>
          <w:color w:val="000000"/>
          <w:sz w:val="22"/>
          <w:szCs w:val="22"/>
          <w:rtl w:val="0"/>
        </w:rPr>
        <w:t xml:space="preserve">In case of significant disabilities, recurring problems or poor recovery, discussion of future care, quality of life, and personal wishes should take place. Palliative care can help in improving the quality of life as well as in rehabilitation and is not limited to end-of-life care. Such plans should be regularly revised taking into account any changes and needs and including family members where appropriate (Royal College of Physicians, 2023; NICE, 2021).</w:t>
      </w:r>
      <w:r w:rsidDel="00000000" w:rsidR="00000000" w:rsidRPr="00000000">
        <w:rPr>
          <w:rtl w:val="0"/>
        </w:rPr>
      </w:r>
    </w:p>
    <w:p w:rsidR="00000000" w:rsidDel="00000000" w:rsidP="00000000" w:rsidRDefault="00000000" w:rsidRPr="00000000" w14:paraId="00000059">
      <w:pPr>
        <w:pStyle w:val="Heading1"/>
        <w:rPr>
          <w:color w:val="000000"/>
          <w:sz w:val="24"/>
          <w:szCs w:val="24"/>
        </w:rPr>
      </w:pPr>
      <w:r w:rsidDel="00000000" w:rsidR="00000000" w:rsidRPr="00000000">
        <w:rPr>
          <w:color w:val="000000"/>
          <w:sz w:val="24"/>
          <w:szCs w:val="24"/>
          <w:rtl w:val="0"/>
        </w:rPr>
        <w:t xml:space="preserve">6. Theoretical Models and Frameworks for Improved Outcomes</w:t>
      </w:r>
    </w:p>
    <w:p w:rsidR="00000000" w:rsidDel="00000000" w:rsidP="00000000" w:rsidRDefault="00000000" w:rsidRPr="00000000" w14:paraId="0000005A">
      <w:pPr>
        <w:pStyle w:val="Heading2"/>
        <w:rPr>
          <w:color w:val="000000"/>
          <w:sz w:val="24"/>
          <w:szCs w:val="24"/>
        </w:rPr>
      </w:pPr>
      <w:r w:rsidDel="00000000" w:rsidR="00000000" w:rsidRPr="00000000">
        <w:rPr>
          <w:color w:val="000000"/>
          <w:sz w:val="24"/>
          <w:szCs w:val="24"/>
          <w:rtl w:val="0"/>
        </w:rPr>
        <w:t xml:space="preserve">House of Care framework for long-term stroke recovery (UK model) </w:t>
      </w:r>
    </w:p>
    <w:p w:rsidR="00000000" w:rsidDel="00000000" w:rsidP="00000000" w:rsidRDefault="00000000" w:rsidRPr="00000000" w14:paraId="0000005B">
      <w:pPr>
        <w:rPr>
          <w:color w:val="000000"/>
          <w:sz w:val="22"/>
          <w:szCs w:val="22"/>
        </w:rPr>
      </w:pPr>
      <w:r w:rsidDel="00000000" w:rsidR="00000000" w:rsidRPr="00000000">
        <w:rPr>
          <w:color w:val="000000"/>
          <w:sz w:val="22"/>
          <w:szCs w:val="22"/>
          <w:rtl w:val="0"/>
        </w:rPr>
        <w:t xml:space="preserve">House of Care is a UK-based personalized model of care for long-term care. In this model, the roof symbolizes person-centered care and shared aspirations, like walking independently, communicating with family members or resuming work activities. One of the walls stands for informed individuals and carers who require accessible information and self-management. The other wall symbolizes professionals in partnership, like stroke specialists, GPs, therapists, mental health professionals, social workers and voluntary organizations. Organizational and clinical processes make up the floor by means of assessment, shared information, care planning and review. Commissioning, leadership, workforce and resources make up the base. In case there is no sufficient number of staff, funding and community services, the model will not produce any positive results. Team should assess whether the goals are met, the information is accessible for those with aphasia, and carers are supported instead of being taken for granted (Whittington Health NHS Trust, 2026; NICE, 2021).</w:t>
      </w:r>
    </w:p>
    <w:p w:rsidR="00000000" w:rsidDel="00000000" w:rsidP="00000000" w:rsidRDefault="00000000" w:rsidRPr="00000000" w14:paraId="0000005C">
      <w:pPr>
        <w:keepLines w:val="1"/>
        <w:spacing w:after="60" w:before="40" w:lineRule="auto"/>
        <w:rPr>
          <w:color w:val="000000"/>
          <w:sz w:val="22"/>
          <w:szCs w:val="22"/>
        </w:rPr>
      </w:pPr>
      <w:r w:rsidDel="00000000" w:rsidR="00000000" w:rsidRPr="00000000">
        <w:rPr>
          <w:color w:val="000000"/>
          <w:sz w:val="22"/>
          <w:szCs w:val="22"/>
        </w:rPr>
        <w:drawing>
          <wp:inline distB="0" distT="0" distL="0" distR="0">
            <wp:extent cx="2880360" cy="2253931"/>
            <wp:effectExtent b="0" l="0" r="0" t="0"/>
            <wp:docPr descr="NHS Personalised Care Operating Model" id="3" name="image3.png"/>
            <a:graphic>
              <a:graphicData uri="http://schemas.openxmlformats.org/drawingml/2006/picture">
                <pic:pic>
                  <pic:nvPicPr>
                    <pic:cNvPr descr="NHS Personalised Care Operating Model" id="0" name="image3.png"/>
                    <pic:cNvPicPr preferRelativeResize="0"/>
                  </pic:nvPicPr>
                  <pic:blipFill>
                    <a:blip r:embed="rId11"/>
                    <a:srcRect b="0" l="0" r="0" t="0"/>
                    <a:stretch>
                      <a:fillRect/>
                    </a:stretch>
                  </pic:blipFill>
                  <pic:spPr>
                    <a:xfrm>
                      <a:off x="0" y="0"/>
                      <a:ext cx="2880360" cy="2253931"/>
                    </a:xfrm>
                    <a:prstGeom prst="rect"/>
                    <a:ln/>
                  </pic:spPr>
                </pic:pic>
              </a:graphicData>
            </a:graphic>
          </wp:inline>
        </w:drawing>
      </w:r>
      <w:r w:rsidDel="00000000" w:rsidR="00000000" w:rsidRPr="00000000">
        <w:rPr>
          <w:rtl w:val="0"/>
        </w:rPr>
      </w:r>
    </w:p>
    <w:tbl>
      <w:tblPr>
        <w:tblStyle w:val="Table3"/>
        <w:tblW w:w="4536.0" w:type="dxa"/>
        <w:jc w:val="left"/>
        <w:tblInd w:w="-108.0" w:type="dxa"/>
        <w:tblLayout w:type="fixed"/>
        <w:tblLook w:val="04A0"/>
      </w:tblPr>
      <w:tblGrid>
        <w:gridCol w:w="4536"/>
        <w:tblGridChange w:id="0">
          <w:tblGrid>
            <w:gridCol w:w="4536"/>
          </w:tblGrid>
        </w:tblGridChange>
      </w:tblGrid>
      <w:tr>
        <w:trPr>
          <w:cantSplit w:val="0"/>
          <w:tblHeader w:val="0"/>
        </w:trPr>
        <w:tc>
          <w:tcPr>
            <w:tcBorders>
              <w:top w:color="d5e7eb" w:space="0" w:sz="4" w:val="single"/>
              <w:left w:color="d5e7eb" w:space="0" w:sz="4" w:val="single"/>
              <w:bottom w:color="d5e7eb" w:space="0" w:sz="4" w:val="single"/>
              <w:right w:color="d5e7eb" w:space="0" w:sz="4" w:val="single"/>
            </w:tcBorders>
            <w:shd w:fill="e8f5f8" w:val="clear"/>
            <w:vAlign w:val="center"/>
          </w:tcPr>
          <w:p w:rsidR="00000000" w:rsidDel="00000000" w:rsidP="00000000" w:rsidRDefault="00000000" w:rsidRPr="00000000" w14:paraId="0000005D">
            <w:pPr>
              <w:spacing w:after="40" w:before="60" w:lineRule="auto"/>
              <w:jc w:val="center"/>
              <w:rPr>
                <w:color w:val="000000"/>
                <w:sz w:val="24"/>
                <w:szCs w:val="24"/>
              </w:rPr>
            </w:pPr>
            <w:r w:rsidDel="00000000" w:rsidR="00000000" w:rsidRPr="00000000">
              <w:rPr>
                <w:color w:val="000000"/>
                <w:sz w:val="24"/>
                <w:szCs w:val="24"/>
                <w:rtl w:val="0"/>
              </w:rPr>
              <w:t xml:space="preserve">Figure 1. UK House of Care model.</w:t>
            </w:r>
          </w:p>
          <w:p w:rsidR="00000000" w:rsidDel="00000000" w:rsidP="00000000" w:rsidRDefault="00000000" w:rsidRPr="00000000" w14:paraId="0000005E">
            <w:pPr>
              <w:jc w:val="center"/>
              <w:rPr>
                <w:color w:val="000000"/>
                <w:sz w:val="22"/>
                <w:szCs w:val="22"/>
              </w:rPr>
            </w:pPr>
            <w:r w:rsidDel="00000000" w:rsidR="00000000" w:rsidRPr="00000000">
              <w:rPr>
                <w:color w:val="000000"/>
                <w:sz w:val="24"/>
                <w:szCs w:val="24"/>
                <w:rtl w:val="0"/>
              </w:rPr>
              <w:t xml:space="preserve">Source: </w:t>
            </w:r>
            <w:hyperlink r:id="rId12">
              <w:r w:rsidDel="00000000" w:rsidR="00000000" w:rsidRPr="00000000">
                <w:rPr>
                  <w:color w:val="000000"/>
                  <w:sz w:val="24"/>
                  <w:szCs w:val="24"/>
                  <w:u w:val="single"/>
                  <w:rtl w:val="0"/>
                </w:rPr>
                <w:t xml:space="preserve">https://www.whittington.nhs.uk/default.asp?c=31000&amp;print=1</w:t>
              </w:r>
            </w:hyperlink>
            <w:r w:rsidDel="00000000" w:rsidR="00000000" w:rsidRPr="00000000">
              <w:rPr>
                <w:rtl w:val="0"/>
              </w:rPr>
            </w:r>
          </w:p>
        </w:tc>
      </w:tr>
    </w:tbl>
    <w:p w:rsidR="00000000" w:rsidDel="00000000" w:rsidP="00000000" w:rsidRDefault="00000000" w:rsidRPr="00000000" w14:paraId="0000005F">
      <w:pPr>
        <w:rPr>
          <w:color w:val="000000"/>
          <w:sz w:val="22"/>
          <w:szCs w:val="22"/>
        </w:rPr>
      </w:pPr>
      <w:r w:rsidDel="00000000" w:rsidR="00000000" w:rsidRPr="00000000">
        <w:rPr>
          <w:color w:val="000000"/>
          <w:sz w:val="22"/>
          <w:szCs w:val="22"/>
          <w:rtl w:val="0"/>
        </w:rPr>
        <w:t xml:space="preserve">The model's strength is its focus on partnership, self-management and continuity. However, a framework alone cannot guarantee timely therapy, accessible transport, psychological support or follow-up. Delivery depends on local workforce, funding and commissioning. Stroke services should therefore monitor waiting times, rehabilitation dose, progress towards personal goals, social participation and carer needs, while involving the survivor and carer in decisions by agreement (Whittington Health NHS Trust, 2026; NICE, 2021).</w:t>
      </w:r>
    </w:p>
    <w:p w:rsidR="00000000" w:rsidDel="00000000" w:rsidP="00000000" w:rsidRDefault="00000000" w:rsidRPr="00000000" w14:paraId="00000060">
      <w:pPr>
        <w:pStyle w:val="Heading2"/>
        <w:rPr>
          <w:color w:val="000000"/>
          <w:sz w:val="24"/>
          <w:szCs w:val="24"/>
        </w:rPr>
      </w:pPr>
      <w:r w:rsidDel="00000000" w:rsidR="00000000" w:rsidRPr="00000000">
        <w:rPr>
          <w:color w:val="000000"/>
          <w:sz w:val="24"/>
          <w:szCs w:val="24"/>
          <w:rtl w:val="0"/>
        </w:rPr>
        <w:t xml:space="preserve">Chronic Care Model (CCM) for long-term stroke care (international model</w:t>
      </w:r>
    </w:p>
    <w:p w:rsidR="00000000" w:rsidDel="00000000" w:rsidP="00000000" w:rsidRDefault="00000000" w:rsidRPr="00000000" w14:paraId="00000061">
      <w:pPr>
        <w:rPr>
          <w:color w:val="000000"/>
          <w:sz w:val="22"/>
          <w:szCs w:val="22"/>
        </w:rPr>
      </w:pPr>
      <w:r w:rsidDel="00000000" w:rsidR="00000000" w:rsidRPr="00000000">
        <w:rPr>
          <w:color w:val="000000"/>
          <w:sz w:val="22"/>
          <w:szCs w:val="22"/>
          <w:rtl w:val="0"/>
        </w:rPr>
        <w:t>The Chronic Care Model (CCM) is a global framework made up of six interrelated components. Health system organization involves accountability and resources. Community resources and policies link survivors with transportation, peer groups, and voluntary organizations. Self-management support enables them to know about medications, risk factors, fatigue, and recovery goals. Delivery system design defines where rehabilitation and follow-ups are provided from the hospital to the community level. Decision support enables healthcare professionals to use guidelines and consult specialists. Clinical information systems enable teams to exchange information and conduct reviews. They are all interdependent: a care plan will be useless without exchanging records or if there are no local services available. The outcomes should be about independence, participation, quality of life and accessibility rather than appointment numbers. Reviewing routinely could reveal missed follow-ups, postal code-based inequality, and whether there are any achievements made by service contacts with survivors (Wagner, Austin, Davis, Hindmarsh, Schaefer and Bonomi, 2001).</w:t>
      </w:r>
    </w:p>
    <w:p w:rsidR="00000000" w:rsidDel="00000000" w:rsidP="00000000" w:rsidRDefault="00000000" w:rsidRPr="00000000" w14:paraId="00000062">
      <w:pPr>
        <w:keepLines w:val="1"/>
        <w:spacing w:after="60" w:before="40" w:lineRule="auto"/>
        <w:rPr>
          <w:color w:val="000000"/>
          <w:sz w:val="22"/>
          <w:szCs w:val="22"/>
        </w:rPr>
      </w:pPr>
      <w:r w:rsidDel="00000000" w:rsidR="00000000" w:rsidRPr="00000000">
        <w:rPr>
          <w:color w:val="000000"/>
          <w:sz w:val="22"/>
          <w:szCs w:val="22"/>
        </w:rPr>
        <w:drawing>
          <wp:inline distB="0" distT="0" distL="0" distR="0">
            <wp:extent cx="2880360" cy="2569858"/>
            <wp:effectExtent b="0" l="0" r="0" t="0"/>
            <wp:docPr descr="Figure 3. WHO International Classification of Functioning, Disability and Health (ICF) framework" id="2" name="image2.png"/>
            <a:graphic>
              <a:graphicData uri="http://schemas.openxmlformats.org/drawingml/2006/picture">
                <pic:pic>
                  <pic:nvPicPr>
                    <pic:cNvPr descr="Figure 3. WHO International Classification of Functioning, Disability and Health (ICF) framework" id="0" name="image2.png"/>
                    <pic:cNvPicPr preferRelativeResize="0"/>
                  </pic:nvPicPr>
                  <pic:blipFill>
                    <a:blip r:embed="rId13"/>
                    <a:srcRect b="0" l="0" r="0" t="0"/>
                    <a:stretch>
                      <a:fillRect/>
                    </a:stretch>
                  </pic:blipFill>
                  <pic:spPr>
                    <a:xfrm>
                      <a:off x="0" y="0"/>
                      <a:ext cx="2880360" cy="2569858"/>
                    </a:xfrm>
                    <a:prstGeom prst="rect"/>
                    <a:ln/>
                  </pic:spPr>
                </pic:pic>
              </a:graphicData>
            </a:graphic>
          </wp:inline>
        </w:drawing>
      </w:r>
      <w:r w:rsidDel="00000000" w:rsidR="00000000" w:rsidRPr="00000000">
        <w:rPr>
          <w:rtl w:val="0"/>
        </w:rPr>
      </w:r>
    </w:p>
    <w:tbl>
      <w:tblPr>
        <w:tblStyle w:val="Table4"/>
        <w:tblW w:w="4536.0" w:type="dxa"/>
        <w:jc w:val="center"/>
        <w:tblLayout w:type="fixed"/>
        <w:tblLook w:val="0400"/>
      </w:tblPr>
      <w:tblGrid>
        <w:gridCol w:w="4536"/>
        <w:tblGridChange w:id="0">
          <w:tblGrid>
            <w:gridCol w:w="4536"/>
          </w:tblGrid>
        </w:tblGridChange>
      </w:tblGrid>
      <w:tr>
        <w:trPr>
          <w:cantSplit w:val="0"/>
          <w:tblHeader w:val="0"/>
        </w:trPr>
        <w:tc>
          <w:tcPr>
            <w:tcBorders>
              <w:top w:color="d5e7eb" w:space="0" w:sz="4" w:val="single"/>
              <w:left w:color="d5e7eb" w:space="0" w:sz="4" w:val="single"/>
              <w:bottom w:color="d5e7eb" w:space="0" w:sz="4" w:val="single"/>
              <w:right w:color="d5e7eb" w:space="0" w:sz="4" w:val="single"/>
            </w:tcBorders>
            <w:shd w:fill="e8f5f8" w:val="clear"/>
            <w:vAlign w:val="center"/>
          </w:tcPr>
          <w:p w:rsidR="00000000" w:rsidDel="00000000" w:rsidP="00000000" w:rsidRDefault="00000000" w:rsidRPr="00000000" w14:paraId="00000063">
            <w:pPr>
              <w:spacing w:after="40" w:before="60" w:lineRule="auto"/>
              <w:jc w:val="center"/>
              <w:rPr>
                <w:color w:val="000000"/>
                <w:sz w:val="24"/>
                <w:szCs w:val="24"/>
              </w:rPr>
            </w:pPr>
            <w:r w:rsidDel="00000000" w:rsidR="00000000" w:rsidRPr="00000000">
              <w:rPr>
                <w:b w:val="1"/>
                <w:bCs w:val="1"/>
                <w:color w:val="000000"/>
                <w:sz w:val="24"/>
                <w:szCs w:val="24"/>
                <w:rtl w:val="0"/>
              </w:rPr>
              <w:t xml:space="preserve">Figure 2. International Chronic Care Model: six key components for stroke care.</w:t>
            </w:r>
            <w:r w:rsidDel="00000000" w:rsidR="00000000" w:rsidRPr="00000000">
              <w:rPr>
                <w:rtl w:val="0"/>
              </w:rPr>
            </w:r>
          </w:p>
          <w:p w:rsidR="00000000" w:rsidDel="00000000" w:rsidP="00000000" w:rsidRDefault="00000000" w:rsidRPr="00000000" w14:paraId="00000064">
            <w:pPr>
              <w:jc w:val="center"/>
              <w:rPr>
                <w:color w:val="000000"/>
                <w:sz w:val="22"/>
                <w:szCs w:val="22"/>
              </w:rPr>
            </w:pPr>
            <w:r w:rsidDel="00000000" w:rsidR="00000000" w:rsidRPr="00000000">
              <w:rPr>
                <w:color w:val="000000"/>
                <w:sz w:val="24"/>
                <w:szCs w:val="24"/>
                <w:rtl w:val="0"/>
              </w:rPr>
              <w:t xml:space="preserve">Source: </w:t>
            </w:r>
            <w:hyperlink r:id="rId14">
              <w:r w:rsidDel="00000000" w:rsidR="00000000" w:rsidRPr="00000000">
                <w:rPr>
                  <w:color w:val="000000"/>
                  <w:sz w:val="24"/>
                  <w:szCs w:val="24"/>
                  <w:u w:val="single"/>
                  <w:rtl w:val="0"/>
                </w:rPr>
                <w:t xml:space="preserve">https://doi.org/10.1377/hlthaff.20.6.64</w:t>
              </w:r>
            </w:hyperlink>
            <w:r w:rsidDel="00000000" w:rsidR="00000000" w:rsidRPr="00000000">
              <w:rPr>
                <w:rtl w:val="0"/>
              </w:rPr>
            </w:r>
          </w:p>
        </w:tc>
      </w:tr>
    </w:tbl>
    <w:p w:rsidR="00000000" w:rsidDel="00000000" w:rsidP="00000000" w:rsidRDefault="00000000" w:rsidRPr="00000000" w14:paraId="00000065">
      <w:pPr>
        <w:rPr>
          <w:sz w:val="22"/>
          <w:szCs w:val="22"/>
        </w:rPr>
      </w:pPr>
      <w:r w:rsidDel="00000000" w:rsidR="00000000" w:rsidRPr="00000000">
        <w:rPr>
          <w:sz w:val="22"/>
          <w:szCs w:val="22"/>
          <w:rtl w:val="0"/>
        </w:rPr>
        <w:t>The model's strength is that it links informed patients and carers with prepared, proactive teams. Yet, implementation requires information systems, workforce training, community services and resources, which vary between countries. The model can be adapted to services, but outcomes and equity must be monitored. Used alongside the UK House of Care, it connects service design with person-centred partnership (Wagner, Austin, Davis, Hindmarsh, Schaefer and Bonomi, 2001; NHS England, 2022).</w:t>
      </w:r>
    </w:p>
    <w:p w:rsidR="00000000" w:rsidDel="00000000" w:rsidP="00000000" w:rsidRDefault="00000000" w:rsidRPr="00000000" w14:paraId="00000066">
      <w:pPr>
        <w:pStyle w:val="Heading1"/>
        <w:rPr>
          <w:color w:val="000000"/>
          <w:sz w:val="24"/>
          <w:szCs w:val="24"/>
        </w:rPr>
      </w:pPr>
      <w:r w:rsidDel="00000000" w:rsidR="00000000" w:rsidRPr="00000000">
        <w:rPr>
          <w:color w:val="000000"/>
          <w:sz w:val="24"/>
          <w:szCs w:val="24"/>
          <w:rtl w:val="0"/>
        </w:rPr>
        <w:t xml:space="preserve">7. Health and Social Care Policies and Agendas</w:t>
      </w:r>
    </w:p>
    <w:p w:rsidR="00000000" w:rsidDel="00000000" w:rsidP="00000000" w:rsidRDefault="00000000" w:rsidRPr="00000000" w14:paraId="00000067">
      <w:pPr>
        <w:rPr>
          <w:color w:val="000000"/>
          <w:sz w:val="22"/>
          <w:szCs w:val="22"/>
        </w:rPr>
      </w:pPr>
      <w:r w:rsidDel="00000000" w:rsidR="00000000" w:rsidRPr="00000000">
        <w:rPr>
          <w:color w:val="000000"/>
          <w:sz w:val="22"/>
          <w:szCs w:val="22"/>
          <w:rtl w:val="0"/>
        </w:rPr>
        <w:t xml:space="preserve">UK priorities encompass provision of specialized treatment in time, rehabilitation, recurrence prevention, personalized services and community reintegration. 2023 National Clinical Guideline for Stroke and NICE NG236 provide clinical and rehabilitation guidelines, and NHS England service models seek to reduce variance through Integrated Stroke Delivery Networks (Royal College of Physicians, 2023; NICE, 2023; NHS England, 2021).</w:t>
      </w:r>
    </w:p>
    <w:p w:rsidR="00000000" w:rsidDel="00000000" w:rsidP="00000000" w:rsidRDefault="00000000" w:rsidRPr="00000000" w14:paraId="00000068">
      <w:pPr>
        <w:rPr>
          <w:color w:val="000000"/>
          <w:sz w:val="22"/>
          <w:szCs w:val="22"/>
        </w:rPr>
      </w:pPr>
      <w:r w:rsidDel="00000000" w:rsidR="00000000" w:rsidRPr="00000000">
        <w:rPr>
          <w:color w:val="000000"/>
          <w:sz w:val="22"/>
          <w:szCs w:val="22"/>
          <w:rtl w:val="0"/>
        </w:rPr>
        <w:t xml:space="preserve">Implementation requires staff, funding, accessibility of facilities and collaboration between NHS and local authority services. Variation in early supported discharge and premature ending of rehabilitation is noted by NICE; hence, NHS England is trying to introduce integrated community rehabilitation (NICE, 2023a; NHS England, 2024). Delayed or prematurely stopped therapy may cause unmet fatigue, communication or participation needs.</w:t>
      </w:r>
    </w:p>
    <w:p w:rsidR="00000000" w:rsidDel="00000000" w:rsidP="00000000" w:rsidRDefault="00000000" w:rsidRPr="00000000" w14:paraId="00000069">
      <w:pPr>
        <w:rPr>
          <w:color w:val="000000"/>
          <w:sz w:val="22"/>
          <w:szCs w:val="22"/>
        </w:rPr>
      </w:pPr>
      <w:r w:rsidDel="00000000" w:rsidR="00000000" w:rsidRPr="00000000">
        <w:rPr>
          <w:color w:val="000000"/>
          <w:sz w:val="22"/>
          <w:szCs w:val="22"/>
          <w:rtl w:val="0"/>
        </w:rPr>
        <w:t>Psychological recovery is also important. Depression guidance allows evidence-based assessment and treatment; however, stroke survivors require adapted communication, additional time and collaboration between stroke and mental health teams (NICE, 2022). There are no stroke survivors with severe aphasia or cognitive impairment included in the studies; thus, the evidence has limitations. Uncertainty cannot be an excuse for neglecting psychological needs (Liu, Xu, Marshall, Wolfe, Wang and O’Connell, 2023; Knapp, Dunn-Roberts, Sahib, Cook, Astin, Kontou and Thomas</w:t>
      </w:r>
      <w:r w:rsidDel="00000000" w:rsidR="00000000" w:rsidRPr="00000000">
        <w:rPr>
          <w:i w:val="1"/>
          <w:iCs w:val="1"/>
          <w:color w:val="000000"/>
          <w:sz w:val="22"/>
          <w:szCs w:val="22"/>
          <w:rtl w:val="0"/>
        </w:rPr>
        <w:t/>
      </w:r>
      <w:r w:rsidDel="00000000" w:rsidR="00000000" w:rsidRPr="00000000">
        <w:rPr>
          <w:color w:val="000000"/>
          <w:sz w:val="22"/>
          <w:szCs w:val="22"/>
          <w:rtl w:val="0"/>
        </w:rPr>
        <w:t>, 2020).</w:t>
      </w:r>
    </w:p>
    <w:p w:rsidR="00000000" w:rsidDel="00000000" w:rsidP="00000000" w:rsidRDefault="00000000" w:rsidRPr="00000000" w14:paraId="0000006A">
      <w:pPr>
        <w:rPr>
          <w:color w:val="000000"/>
          <w:sz w:val="22"/>
          <w:szCs w:val="22"/>
        </w:rPr>
      </w:pPr>
      <w:r w:rsidDel="00000000" w:rsidR="00000000" w:rsidRPr="00000000">
        <w:rPr>
          <w:color w:val="000000"/>
          <w:sz w:val="22"/>
          <w:szCs w:val="22"/>
          <w:rtl w:val="0"/>
        </w:rPr>
        <w:t xml:space="preserve">According to the WHO’s Rehabilitation 2030 policy, rehabilitation is meant to be incorporated into health systems as well as being funded, staffed, informed and researched. Post-stroke needs are meant to last for many years after discharge (WHO, 2023b). Policies, thus, must take into account such aspects as independence, participation, quality of life, carer well-being and equity rather than quick discharge and quantity of therapies.</w:t>
      </w:r>
    </w:p>
    <w:p w:rsidR="00000000" w:rsidDel="00000000" w:rsidP="00000000" w:rsidRDefault="00000000" w:rsidRPr="00000000" w14:paraId="0000006B">
      <w:pPr>
        <w:rPr>
          <w:b w:val="1"/>
          <w:bCs w:val="1"/>
          <w:color w:val="000000"/>
          <w:sz w:val="22"/>
          <w:szCs w:val="22"/>
        </w:rPr>
      </w:pPr>
      <w:r w:rsidDel="00000000" w:rsidR="00000000" w:rsidRPr="00000000">
        <w:rPr>
          <w:color w:val="000000"/>
          <w:sz w:val="22"/>
          <w:szCs w:val="22"/>
          <w:rtl w:val="0"/>
        </w:rPr>
        <w:t>Performance indicators can help to direct attention towards early therapy and discharge, but will overlook loneliness, carer distress, communication difficulties and unfulfilled needs. Follow-up audit data are incomplete, therefore, services differences require special caution. Commissioners must include stroke survivors (including those with aphasia) and carers in the process of design, and must publish clear data on waiting time, therapy, personal aims and outcomes in localities and among various groups. The Sentinel Stroke National Audit Programme (SSNAP) may help with improvement, but auditing must combine the experiences of survivors and evidence about community care (SSNAP, 2024; Zawawi, Aziz, Fisher, Ahmad and Walker, 2020).</w:t>
      </w:r>
      <w:r w:rsidDel="00000000" w:rsidR="00000000" w:rsidRPr="00000000">
        <w:rPr>
          <w:rtl w:val="0"/>
        </w:rPr>
      </w:r>
    </w:p>
    <w:p w:rsidR="00000000" w:rsidDel="00000000" w:rsidP="00000000" w:rsidRDefault="00000000" w:rsidRPr="00000000" w14:paraId="0000006C">
      <w:pPr>
        <w:pStyle w:val="Heading1"/>
        <w:rPr>
          <w:color w:val="000000"/>
          <w:sz w:val="24"/>
          <w:szCs w:val="24"/>
        </w:rPr>
      </w:pPr>
      <w:r w:rsidDel="00000000" w:rsidR="00000000" w:rsidRPr="00000000">
        <w:rPr>
          <w:color w:val="000000"/>
          <w:sz w:val="24"/>
          <w:szCs w:val="24"/>
          <w:rtl w:val="0"/>
        </w:rPr>
        <w:t xml:space="preserve">8. Recommendations for person-centered care and end of life care for stroke</w:t>
      </w:r>
    </w:p>
    <w:p w:rsidR="00000000" w:rsidDel="00000000" w:rsidP="00000000" w:rsidRDefault="00000000" w:rsidRPr="00000000" w14:paraId="0000006D">
      <w:pPr>
        <w:rPr>
          <w:color w:val="000000"/>
          <w:sz w:val="22"/>
          <w:szCs w:val="22"/>
        </w:rPr>
      </w:pPr>
      <w:r w:rsidDel="00000000" w:rsidR="00000000" w:rsidRPr="00000000">
        <w:rPr>
          <w:color w:val="000000"/>
          <w:sz w:val="22"/>
          <w:szCs w:val="22"/>
          <w:rtl w:val="0"/>
        </w:rPr>
        <w:t xml:space="preserve">Firstly, each pathway should have an identified contact point, individual care plan, and follow-up. The care plan must include personal goals, medication, symptoms of concern, mobility, communication ability, mood, fatigue, equipment, carer support, and urgent contacts. This would improve coordination of care and is consistent with NICE and NHS community model guidelines (NICE, 2023; NHS England, 2022).</w:t>
      </w:r>
    </w:p>
    <w:p w:rsidR="00000000" w:rsidDel="00000000" w:rsidP="00000000" w:rsidRDefault="00000000" w:rsidRPr="00000000" w14:paraId="0000006E">
      <w:pPr>
        <w:rPr>
          <w:color w:val="000000"/>
          <w:sz w:val="22"/>
          <w:szCs w:val="22"/>
        </w:rPr>
      </w:pPr>
      <w:r w:rsidDel="00000000" w:rsidR="00000000" w:rsidRPr="00000000">
        <w:rPr>
          <w:color w:val="000000"/>
          <w:sz w:val="22"/>
          <w:szCs w:val="22"/>
          <w:rtl w:val="0"/>
        </w:rPr>
        <w:t xml:space="preserve">Secondly, rehabilitation should remain needs and goal-based. Services should have appropriate intensity, measure functional outcomes, and should not stop therapy due to the passage of a certain time period. Therapy could be offered face-to-face, at home, in a group, or via digital means taking into account preferences, safety, digital literacy and communication needs (NICE, 2023; Soleimani, Ghazisaeedi and Heydari, 2024).</w:t>
      </w:r>
    </w:p>
    <w:p w:rsidR="00000000" w:rsidDel="00000000" w:rsidP="00000000" w:rsidRDefault="00000000" w:rsidRPr="00000000" w14:paraId="0000006F">
      <w:pPr>
        <w:rPr>
          <w:color w:val="000000"/>
          <w:sz w:val="22"/>
          <w:szCs w:val="22"/>
        </w:rPr>
      </w:pPr>
      <w:r w:rsidDel="00000000" w:rsidR="00000000" w:rsidRPr="00000000">
        <w:rPr>
          <w:color w:val="000000"/>
          <w:sz w:val="22"/>
          <w:szCs w:val="22"/>
          <w:rtl w:val="0"/>
        </w:rPr>
        <w:t>Thirdly, routine reviews should assess mood, fatigue, and cognitive function including at six months and afterwards if needed. Training and pathways should integrate stroke, primary care, and mental health services. Tools should be modified according to the needs of aphasic patients as this condition is very common and affects participation (Liu, Xu, Marshall, Wolfe, Wang and O’Connell, 2023; Stolwyk, Mihaljcic, Wong, Chapman and Rogers</w:t>
      </w:r>
      <w:r w:rsidDel="00000000" w:rsidR="00000000" w:rsidRPr="00000000">
        <w:rPr>
          <w:i w:val="1"/>
          <w:iCs w:val="1"/>
          <w:color w:val="000000"/>
          <w:sz w:val="22"/>
          <w:szCs w:val="22"/>
          <w:rtl w:val="0"/>
        </w:rPr>
        <w:t/>
      </w:r>
      <w:r w:rsidDel="00000000" w:rsidR="00000000" w:rsidRPr="00000000">
        <w:rPr>
          <w:color w:val="000000"/>
          <w:sz w:val="22"/>
          <w:szCs w:val="22"/>
          <w:rtl w:val="0"/>
        </w:rPr>
        <w:t>, 2021).</w:t>
      </w:r>
    </w:p>
    <w:p w:rsidR="00000000" w:rsidDel="00000000" w:rsidP="00000000" w:rsidRDefault="00000000" w:rsidRPr="00000000" w14:paraId="00000070">
      <w:pPr>
        <w:rPr>
          <w:color w:val="000000"/>
          <w:sz w:val="22"/>
          <w:szCs w:val="22"/>
        </w:rPr>
      </w:pPr>
      <w:r w:rsidDel="00000000" w:rsidR="00000000" w:rsidRPr="00000000">
        <w:rPr>
          <w:color w:val="000000"/>
          <w:sz w:val="22"/>
          <w:szCs w:val="22"/>
          <w:rtl w:val="0"/>
        </w:rPr>
        <w:t xml:space="preserve">Fourthly, measure social integration as one of the outcomes of rehabilitation. After gaining consent, refer people to peer support, accessible community activities, communication groups, vocational rehabilitation, and services providing advice regarding housing or benefits. Employers should consider phased return to work and reasonable adjustments. It is necessary to check for the availability of these services in the area and transport facilities (Zhang, Schwade, Smith, Wood and Young, 2020; La Torre, Lia, Francavilla, Chiappetta and De Sio, 2022).</w:t>
      </w:r>
    </w:p>
    <w:p w:rsidR="00000000" w:rsidDel="00000000" w:rsidP="00000000" w:rsidRDefault="00000000" w:rsidRPr="00000000" w14:paraId="00000071">
      <w:pPr>
        <w:rPr>
          <w:color w:val="000000"/>
          <w:sz w:val="22"/>
          <w:szCs w:val="22"/>
        </w:rPr>
      </w:pPr>
      <w:r w:rsidDel="00000000" w:rsidR="00000000" w:rsidRPr="00000000">
        <w:rPr>
          <w:color w:val="000000"/>
          <w:sz w:val="22"/>
          <w:szCs w:val="22"/>
          <w:rtl w:val="0"/>
        </w:rPr>
        <w:t>Finally, carers should be offered education, training, carer's assessment, emotional support, and respite services. Do not presume that it is always possible for someone to look after stroke survivor on an informal basis. Commissioners should audit access to and outcomes of services by geography and demographic category, publish waiting times, and consult stroke survivors and their carers on service design. Sensitively discuss advance care planning in case if it applies to their wishes and dignity (Bakas, McCarthy and Miller</w:t>
      </w:r>
      <w:r w:rsidDel="00000000" w:rsidR="00000000" w:rsidRPr="00000000">
        <w:rPr>
          <w:i w:val="1"/>
          <w:iCs w:val="1"/>
          <w:color w:val="000000"/>
          <w:sz w:val="22"/>
          <w:szCs w:val="22"/>
          <w:rtl w:val="0"/>
        </w:rPr>
        <w:t/>
      </w:r>
      <w:r w:rsidDel="00000000" w:rsidR="00000000" w:rsidRPr="00000000">
        <w:rPr>
          <w:color w:val="000000"/>
          <w:sz w:val="22"/>
          <w:szCs w:val="22"/>
          <w:rtl w:val="0"/>
        </w:rPr>
        <w:t>, 2022; Jammal, Kolt and Liu</w:t>
      </w:r>
      <w:r w:rsidDel="00000000" w:rsidR="00000000" w:rsidRPr="00000000">
        <w:rPr>
          <w:i w:val="1"/>
          <w:iCs w:val="1"/>
          <w:color w:val="000000"/>
          <w:sz w:val="22"/>
          <w:szCs w:val="22"/>
          <w:rtl w:val="0"/>
        </w:rPr>
        <w:t/>
      </w:r>
      <w:r w:rsidDel="00000000" w:rsidR="00000000" w:rsidRPr="00000000">
        <w:rPr>
          <w:color w:val="000000"/>
          <w:sz w:val="22"/>
          <w:szCs w:val="22"/>
          <w:rtl w:val="0"/>
        </w:rPr>
        <w:t>, 2024; NICE, 2021).</w:t>
      </w:r>
    </w:p>
    <w:p w:rsidR="00000000" w:rsidDel="00000000" w:rsidP="00000000" w:rsidRDefault="00000000" w:rsidRPr="00000000" w14:paraId="00000072">
      <w:pPr>
        <w:rPr>
          <w:color w:val="000000"/>
          <w:sz w:val="22"/>
          <w:szCs w:val="22"/>
        </w:rPr>
      </w:pPr>
      <w:r w:rsidDel="00000000" w:rsidR="00000000" w:rsidRPr="00000000">
        <w:rPr>
          <w:color w:val="000000"/>
          <w:sz w:val="22"/>
          <w:szCs w:val="22"/>
          <w:rtl w:val="0"/>
        </w:rPr>
        <w:t xml:space="preserve">Commissioning plans must include provisions for continuity following the first episode of rehabilitation and identification of the responsible team in case if there is persistent need or emerging need. Identification of a contact point and clear access to specialist review become especially relevant after later decline or complications.</w:t>
      </w:r>
    </w:p>
    <w:p w:rsidR="00000000" w:rsidDel="00000000" w:rsidP="00000000" w:rsidRDefault="00000000" w:rsidRPr="00000000" w14:paraId="00000073">
      <w:pPr>
        <w:pStyle w:val="Heading1"/>
        <w:rPr>
          <w:color w:val="000000"/>
          <w:sz w:val="24"/>
          <w:szCs w:val="24"/>
        </w:rPr>
      </w:pPr>
      <w:r w:rsidDel="00000000" w:rsidR="00000000" w:rsidRPr="00000000">
        <w:rPr>
          <w:color w:val="000000"/>
          <w:sz w:val="24"/>
          <w:szCs w:val="24"/>
          <w:rtl w:val="0"/>
        </w:rPr>
        <w:t xml:space="preserve">9. Conclusion</w:t>
      </w:r>
    </w:p>
    <w:p w:rsidR="00000000" w:rsidDel="00000000" w:rsidP="00000000" w:rsidRDefault="00000000" w:rsidRPr="00000000" w14:paraId="00000074">
      <w:pPr>
        <w:rPr>
          <w:color w:val="000000"/>
          <w:sz w:val="22"/>
          <w:szCs w:val="22"/>
        </w:rPr>
      </w:pPr>
      <w:r w:rsidDel="00000000" w:rsidR="00000000" w:rsidRPr="00000000">
        <w:rPr>
          <w:color w:val="000000"/>
          <w:sz w:val="22"/>
          <w:szCs w:val="22"/>
          <w:rtl w:val="0"/>
        </w:rPr>
        <w:t xml:space="preserve">A stroke impacts functioning, mood, relationships, employment and social inclusion. The international and national figures highlight the consistent requirement for treatment and continued care for strokes. Multidisciplinary rehabilitation is useful to enhance functioning but is contingent on accessibility, personal goals and familial resources. The House of Care and Chronic Care models can align services with personal recovery goals. Areas that require priority include ongoing rehabilitation based on need, psychological interventions, care for caregivers and community-based care. Success should be measured based on people's values in addition to clinical successes. </w:t>
      </w:r>
    </w:p>
    <w:p w:rsidR="00000000" w:rsidDel="00000000" w:rsidP="00000000" w:rsidRDefault="00000000" w:rsidRPr="00000000" w14:paraId="00000075">
      <w:pPr>
        <w:rPr>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spacing w:after="100" w:before="140" w:lineRule="auto"/>
        <w:jc w:val="left"/>
        <w:rPr>
          <w:sz w:val="22"/>
          <w:szCs w:val="22"/>
        </w:rPr>
      </w:pPr>
      <w:r w:rsidDel="00000000" w:rsidR="00000000" w:rsidRPr="00000000">
        <w:rPr>
          <w:sz w:val="22"/>
          <w:szCs w:val="22"/>
          <w:rtl w:val="0"/>
        </w:rPr>
        <w:t xml:space="preserve">Reference List</w:t>
      </w:r>
    </w:p>
    <w:p w:rsidR="00000000" w:rsidDel="00000000" w:rsidP="00000000" w:rsidRDefault="00000000" w:rsidRPr="00000000" w14:paraId="00000077">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Aali, G., Drummond, A., das Nair, R. and Shokraneh, F. (2020) ‘Post-stroke fatigue: a scoping review’, F1000Research, 9, 242. Available at: </w:t>
      </w:r>
      <w:hyperlink r:id="rId15">
        <w:r w:rsidDel="00000000" w:rsidR="00000000" w:rsidRPr="00000000">
          <w:rPr>
            <w:rFonts w:ascii="Arial" w:cs="Arial" w:eastAsia="Arial" w:hAnsi="Arial"/>
            <w:color w:val="0563c1"/>
            <w:sz w:val="22"/>
            <w:szCs w:val="22"/>
            <w:u w:val="single"/>
            <w:rtl w:val="0"/>
          </w:rPr>
          <w:t xml:space="preserve">https://doi.org/10.12688/f1000research.22880.2</w:t>
        </w:r>
      </w:hyperlink>
      <w:r w:rsidDel="00000000" w:rsidR="00000000" w:rsidRPr="00000000">
        <w:rPr>
          <w:rtl w:val="0"/>
        </w:rPr>
      </w:r>
    </w:p>
    <w:p w:rsidR="00000000" w:rsidDel="00000000" w:rsidP="00000000" w:rsidRDefault="00000000" w:rsidRPr="00000000" w14:paraId="00000078">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Tamilyn Bakas, Michael J. McCarthy and Elaine L. Miller (2022) ‘Systematic review of the evidence for stroke family caregiver and dyad interventions’, Stroke, 53(6), pp. 2093–2102. Available at: </w:t>
      </w:r>
      <w:hyperlink r:id="rId16">
        <w:r w:rsidDel="00000000" w:rsidR="00000000" w:rsidRPr="00000000">
          <w:rPr>
            <w:rFonts w:ascii="Arial" w:cs="Arial" w:eastAsia="Arial" w:hAnsi="Arial"/>
            <w:color w:val="0000ff"/>
            <w:sz w:val="22"/>
            <w:szCs w:val="22"/>
            <w:u w:val="single"/>
            <w:rtl w:val="0"/>
          </w:rPr>
          <w:t xml:space="preserve">https://doi.org/10.1161/STROKEAHA.121.034090</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9">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GBD 2021 Stroke Risk Factor Collaborators (2025) ‘Global, regional, and national burden of stroke and its risk factors, 1990–2021: a systematic analysis for the Global Burden of Disease Study 2021’, The Lancet Neurology. Available at: </w:t>
      </w:r>
      <w:hyperlink r:id="rId17">
        <w:r w:rsidDel="00000000" w:rsidR="00000000" w:rsidRPr="00000000">
          <w:rPr>
            <w:rFonts w:ascii="Arial" w:cs="Arial" w:eastAsia="Arial" w:hAnsi="Arial"/>
            <w:color w:val="0563c1"/>
            <w:sz w:val="22"/>
            <w:szCs w:val="22"/>
            <w:u w:val="single"/>
            <w:rtl w:val="0"/>
          </w:rPr>
          <w:t xml:space="preserve">https://pmc.ncbi.nlm.nih.gov/articles/PMC12254192/</w:t>
        </w:r>
      </w:hyperlink>
      <w:r w:rsidDel="00000000" w:rsidR="00000000" w:rsidRPr="00000000">
        <w:rPr>
          <w:rtl w:val="0"/>
        </w:rPr>
      </w:r>
    </w:p>
    <w:p w:rsidR="00000000" w:rsidDel="00000000" w:rsidP="00000000" w:rsidRDefault="00000000" w:rsidRPr="00000000" w14:paraId="0000007A">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Alexander Gnanaprakasam, Suruliraj Karthikbabu, N. Ravishankar and John M. Solomon (2023) ‘Effect of task-based bilateral arm training on upper limb recovery after stroke: a systematic review and meta-analysis’, Journal of Stroke and Cerebrovascular Diseases, 32(7), 107131. Available at: </w:t>
      </w:r>
      <w:hyperlink r:id="rId18">
        <w:r w:rsidDel="00000000" w:rsidR="00000000" w:rsidRPr="00000000">
          <w:rPr>
            <w:rFonts w:ascii="Arial" w:cs="Arial" w:eastAsia="Arial" w:hAnsi="Arial"/>
            <w:color w:val="0000ff"/>
            <w:sz w:val="22"/>
            <w:szCs w:val="22"/>
            <w:u w:val="single"/>
            <w:rtl w:val="0"/>
          </w:rPr>
          <w:t xml:space="preserve">https://doi.org/10.1016/j.jstrokecerebrovasdis.2023.107131</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B">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 T.L., McGovern, H. and Hinkle, J.L. (2021) ‘Understanding return to work after stroke internationally: a scoping review’, Journal of Neuroscience Nursing, 53(5), pp. 194–200. Available at: </w:t>
      </w:r>
      <w:hyperlink r:id="rId19">
        <w:r w:rsidDel="00000000" w:rsidR="00000000" w:rsidRPr="00000000">
          <w:rPr>
            <w:rFonts w:ascii="Arial" w:cs="Arial" w:eastAsia="Arial" w:hAnsi="Arial"/>
            <w:color w:val="0563c1"/>
            <w:sz w:val="22"/>
            <w:szCs w:val="22"/>
            <w:u w:val="single"/>
            <w:rtl w:val="0"/>
          </w:rPr>
          <w:t xml:space="preserve">https://doi.org/10.1097/JNN.0000000000000603</w:t>
        </w:r>
      </w:hyperlink>
      <w:r w:rsidDel="00000000" w:rsidR="00000000" w:rsidRPr="00000000">
        <w:rPr>
          <w:rtl w:val="0"/>
        </w:rPr>
      </w:r>
    </w:p>
    <w:p w:rsidR="00000000" w:rsidDel="00000000" w:rsidP="00000000" w:rsidRDefault="00000000" w:rsidRPr="00000000" w14:paraId="0000007C">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Yunfei Guo, Zhenxiang Zhang, Beilei Lin, Yongxia Mei, Qingxuan Liu, Leyun Zhang, Wenna Wang, Yuan Li and Zhongrong Fu (2021) ‘The unmet needs of community-dwelling stroke survivors: a systematic review of qualitative studies’, International Journal of Environmental Research and Public Health, 18(4), 2140. Available at: </w:t>
      </w:r>
      <w:hyperlink r:id="rId20">
        <w:r w:rsidDel="00000000" w:rsidR="00000000" w:rsidRPr="00000000">
          <w:rPr>
            <w:rFonts w:ascii="Arial" w:cs="Arial" w:eastAsia="Arial" w:hAnsi="Arial"/>
            <w:color w:val="0000ff"/>
            <w:sz w:val="22"/>
            <w:szCs w:val="22"/>
            <w:u w:val="single"/>
            <w:rtl w:val="0"/>
          </w:rPr>
          <w:t xml:space="preserve">https://doi.org/10.3390/ijerph18042140</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D">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Jammal, M., Kolt, G.S. and Liu, K.P.Y. (2024) ‘The impact of caregiving on the roles and valued activities of stroke carers: a systematic review of qualitative studies’, PLOS ONE, 19(5), e0304501. Available at: </w:t>
      </w:r>
      <w:hyperlink r:id="rId21">
        <w:r w:rsidDel="00000000" w:rsidR="00000000" w:rsidRPr="00000000">
          <w:rPr>
            <w:rFonts w:ascii="Arial" w:cs="Arial" w:eastAsia="Arial" w:hAnsi="Arial"/>
            <w:color w:val="0563c1"/>
            <w:sz w:val="22"/>
            <w:szCs w:val="22"/>
            <w:u w:val="single"/>
            <w:rtl w:val="0"/>
          </w:rPr>
          <w:t xml:space="preserve">https://doi.org/10.1371/journal.pone.0304501</w:t>
        </w:r>
      </w:hyperlink>
      <w:r w:rsidDel="00000000" w:rsidR="00000000" w:rsidRPr="00000000">
        <w:rPr>
          <w:rtl w:val="0"/>
        </w:rPr>
      </w:r>
    </w:p>
    <w:p w:rsidR="00000000" w:rsidDel="00000000" w:rsidP="00000000" w:rsidRDefault="00000000" w:rsidRPr="00000000" w14:paraId="0000007E">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Dawn O. Kleindorfer, Amytis Towfighi, Seemant Chaturvedi, Kevin M. Cockroft, Jose Gutierrez, Debbie Lombardi-Hill, Hooman Kamel, Walter N. Kernan, Steven J. Kittner, Enrique C. Leira, Olive Lennon, James F. Meschia, Thanh N. Nguyen, Peter M. Pollak, Pasquale Santangeli, Anjail Sharrief, Sidney C. Smith Jr, Tanya N. Turan and Linda S. Williams (2021) ‘2021 guideline for the prevention of stroke in patients with stroke and transient ischemic attack’, Stroke, 52(7), pp. e364–e467. Available at: </w:t>
      </w:r>
      <w:hyperlink r:id="rId22">
        <w:r w:rsidDel="00000000" w:rsidR="00000000" w:rsidRPr="00000000">
          <w:rPr>
            <w:rFonts w:ascii="Arial" w:cs="Arial" w:eastAsia="Arial" w:hAnsi="Arial"/>
            <w:color w:val="0000ff"/>
            <w:sz w:val="22"/>
            <w:szCs w:val="22"/>
            <w:u w:val="single"/>
            <w:rtl w:val="0"/>
          </w:rPr>
          <w:t xml:space="preserve">https://doi.org/10.1161/STR.0000000000000375</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7F">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Peter Knapp, Alexander Dunn-Roberts, Nimah Sahib, Liz Cook, Felicity Astin, Eirini Kontou and Shirley A. Thomas (2020) ‘Frequency of anxiety after stroke: an updated systematic review and meta-analysis of observational studies’, International Journal of Stroke, 15(3), pp. 244–255. Available at: </w:t>
      </w:r>
      <w:hyperlink r:id="rId23">
        <w:r w:rsidDel="00000000" w:rsidR="00000000" w:rsidRPr="00000000">
          <w:rPr>
            <w:rFonts w:ascii="Arial" w:cs="Arial" w:eastAsia="Arial" w:hAnsi="Arial"/>
            <w:color w:val="0000ff"/>
            <w:sz w:val="22"/>
            <w:szCs w:val="22"/>
            <w:u w:val="single"/>
            <w:rtl w:val="0"/>
          </w:rPr>
          <w:t xml:space="preserve">https://doi.org/10.1177/1747493019896958</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80">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 Torre, G., Lia, L., Francavilla, F., Chiappetta, M. and De Sio, S. (2022) ‘Factors that facilitate and hinder the return to work after stroke: an overview of systematic reviews’, Medicina del Lavoro, 113(3), e2022029. Available at: </w:t>
      </w:r>
      <w:hyperlink r:id="rId24">
        <w:r w:rsidDel="00000000" w:rsidR="00000000" w:rsidRPr="00000000">
          <w:rPr>
            <w:rFonts w:ascii="Arial" w:cs="Arial" w:eastAsia="Arial" w:hAnsi="Arial"/>
            <w:color w:val="0563c1"/>
            <w:sz w:val="22"/>
            <w:szCs w:val="22"/>
            <w:u w:val="single"/>
            <w:rtl w:val="0"/>
          </w:rPr>
          <w:t xml:space="preserve">https://doi.org/10.23749/mdl.v113i3.13238</w:t>
        </w:r>
      </w:hyperlink>
      <w:r w:rsidDel="00000000" w:rsidR="00000000" w:rsidRPr="00000000">
        <w:rPr>
          <w:rtl w:val="0"/>
        </w:rPr>
      </w:r>
    </w:p>
    <w:p w:rsidR="00000000" w:rsidDel="00000000" w:rsidP="00000000" w:rsidRDefault="00000000" w:rsidRPr="00000000" w14:paraId="00000081">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Liu, L., Xu, M., Marshall, I.J., Wolfe, C.D.A., Wang, Y. and O’Connell, M.D.L. (2023) ‘Prevalence and natural history of depression after stroke: a systematic review and meta-analysis of observational studies’, PLOS Medicine, 20(3), e1004200. Available at: </w:t>
      </w:r>
      <w:hyperlink r:id="rId25">
        <w:r w:rsidDel="00000000" w:rsidR="00000000" w:rsidRPr="00000000">
          <w:rPr>
            <w:rFonts w:ascii="Arial" w:cs="Arial" w:eastAsia="Arial" w:hAnsi="Arial"/>
            <w:color w:val="0563c1"/>
            <w:sz w:val="22"/>
            <w:szCs w:val="22"/>
            <w:u w:val="single"/>
            <w:rtl w:val="0"/>
          </w:rPr>
          <w:t xml:space="preserve">https://doi.org/10.1371/journal.pmed.1004200</w:t>
        </w:r>
      </w:hyperlink>
      <w:r w:rsidDel="00000000" w:rsidR="00000000" w:rsidRPr="00000000">
        <w:rPr>
          <w:rtl w:val="0"/>
        </w:rPr>
      </w:r>
    </w:p>
    <w:p w:rsidR="00000000" w:rsidDel="00000000" w:rsidP="00000000" w:rsidRDefault="00000000" w:rsidRPr="00000000" w14:paraId="00000082">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Yuxia Ma, Yifang Yang, Xinyu Wang, Yanan Huang, Jinhan Nan, Juanjuan Feng, Fanghong Yan and Lin Han (2025) ‘Prevalence and risk factors of poststroke cognitive impairment: a systematic review and meta-analysis’, Public Health Nursing, 42(2), pp. 1047–1059. Available at:</w:t>
      </w:r>
      <w:r w:rsidDel="00000000" w:rsidR="00000000" w:rsidRPr="00000000">
        <w:rPr>
          <w:rFonts w:ascii="Arial" w:cs="Arial" w:eastAsia="Arial" w:hAnsi="Arial"/>
          <w:color w:val="ff0000"/>
          <w:sz w:val="22"/>
          <w:szCs w:val="22"/>
          <w:rtl w:val="0"/>
        </w:rPr>
        <w:t xml:space="preserve"> </w:t>
      </w:r>
      <w:hyperlink r:id="rId26">
        <w:r w:rsidDel="00000000" w:rsidR="00000000" w:rsidRPr="00000000">
          <w:rPr>
            <w:rFonts w:ascii="Arial" w:cs="Arial" w:eastAsia="Arial" w:hAnsi="Arial"/>
            <w:color w:val="0000ff"/>
            <w:sz w:val="22"/>
            <w:szCs w:val="22"/>
            <w:u w:val="single"/>
            <w:rtl w:val="0"/>
          </w:rPr>
          <w:t xml:space="preserve">https://doi.org/10.1111/phn.13503</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83">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(2021) Shared decision making. NICE guideline NG197. Available at: </w:t>
      </w:r>
      <w:hyperlink r:id="rId27">
        <w:r w:rsidDel="00000000" w:rsidR="00000000" w:rsidRPr="00000000">
          <w:rPr>
            <w:rFonts w:ascii="Arial" w:cs="Arial" w:eastAsia="Arial" w:hAnsi="Arial"/>
            <w:color w:val="0563c1"/>
            <w:sz w:val="22"/>
            <w:szCs w:val="22"/>
            <w:u w:val="single"/>
            <w:rtl w:val="0"/>
          </w:rPr>
          <w:t xml:space="preserve">https://www.nice.org.uk/guidance/ng197</w:t>
        </w:r>
      </w:hyperlink>
      <w:r w:rsidDel="00000000" w:rsidR="00000000" w:rsidRPr="00000000">
        <w:rPr>
          <w:rtl w:val="0"/>
        </w:rPr>
      </w:r>
    </w:p>
    <w:p w:rsidR="00000000" w:rsidDel="00000000" w:rsidP="00000000" w:rsidRDefault="00000000" w:rsidRPr="00000000" w14:paraId="00000084">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(2022) Depression in adults: treatment and management. NICE guideline NG222. Available at: </w:t>
      </w:r>
      <w:hyperlink r:id="rId28">
        <w:r w:rsidDel="00000000" w:rsidR="00000000" w:rsidRPr="00000000">
          <w:rPr>
            <w:rFonts w:ascii="Arial" w:cs="Arial" w:eastAsia="Arial" w:hAnsi="Arial"/>
            <w:color w:val="0563c1"/>
            <w:sz w:val="22"/>
            <w:szCs w:val="22"/>
            <w:u w:val="single"/>
            <w:rtl w:val="0"/>
          </w:rPr>
          <w:t xml:space="preserve">https://www.nice.org.uk/guidance/ng222</w:t>
        </w:r>
      </w:hyperlink>
      <w:r w:rsidDel="00000000" w:rsidR="00000000" w:rsidRPr="00000000">
        <w:rPr>
          <w:rtl w:val="0"/>
        </w:rPr>
      </w:r>
    </w:p>
    <w:p w:rsidR="00000000" w:rsidDel="00000000" w:rsidP="00000000" w:rsidRDefault="00000000" w:rsidRPr="00000000" w14:paraId="00000085">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(2023) Stroke rehabilitation in adults. NICE guideline NG236. Available at: </w:t>
      </w:r>
      <w:hyperlink r:id="rId29">
        <w:r w:rsidDel="00000000" w:rsidR="00000000" w:rsidRPr="00000000">
          <w:rPr>
            <w:rFonts w:ascii="Arial" w:cs="Arial" w:eastAsia="Arial" w:hAnsi="Arial"/>
            <w:color w:val="0563c1"/>
            <w:sz w:val="22"/>
            <w:szCs w:val="22"/>
            <w:u w:val="single"/>
            <w:rtl w:val="0"/>
          </w:rPr>
          <w:t xml:space="preserve">https://www.nice.org.uk/guidance/ng236</w:t>
        </w:r>
      </w:hyperlink>
      <w:r w:rsidDel="00000000" w:rsidR="00000000" w:rsidRPr="00000000">
        <w:rPr>
          <w:rtl w:val="0"/>
        </w:rPr>
      </w:r>
    </w:p>
    <w:p w:rsidR="00000000" w:rsidDel="00000000" w:rsidP="00000000" w:rsidRDefault="00000000" w:rsidRPr="00000000" w14:paraId="00000086">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Institute for Health and Care Excellence (NICE) (2023a) Stroke rehabilitation in adults: resource impact summary report. Available at: </w:t>
      </w:r>
      <w:hyperlink r:id="rId30">
        <w:r w:rsidDel="00000000" w:rsidR="00000000" w:rsidRPr="00000000">
          <w:rPr>
            <w:rFonts w:ascii="Arial" w:cs="Arial" w:eastAsia="Arial" w:hAnsi="Arial"/>
            <w:color w:val="0563c1"/>
            <w:sz w:val="22"/>
            <w:szCs w:val="22"/>
            <w:u w:val="single"/>
            <w:rtl w:val="0"/>
          </w:rPr>
          <w:t xml:space="preserve">https://www.nice.org.uk/guidance/ng236/resources/resource-impact-summary-report-13195300429</w:t>
        </w:r>
      </w:hyperlink>
      <w:r w:rsidDel="00000000" w:rsidR="00000000" w:rsidRPr="00000000">
        <w:rPr>
          <w:rtl w:val="0"/>
        </w:rPr>
      </w:r>
    </w:p>
    <w:p w:rsidR="00000000" w:rsidDel="00000000" w:rsidP="00000000" w:rsidRDefault="00000000" w:rsidRPr="00000000" w14:paraId="00000087">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(2021) National Stroke Service Model: Integrated Stroke Delivery Networks. Available at: </w:t>
      </w:r>
      <w:hyperlink r:id="rId31">
        <w:r w:rsidDel="00000000" w:rsidR="00000000" w:rsidRPr="00000000">
          <w:rPr>
            <w:rFonts w:ascii="Arial" w:cs="Arial" w:eastAsia="Arial" w:hAnsi="Arial"/>
            <w:color w:val="0563c1"/>
            <w:sz w:val="22"/>
            <w:szCs w:val="22"/>
            <w:u w:val="single"/>
            <w:rtl w:val="0"/>
          </w:rPr>
          <w:t xml:space="preserve">https://www.england.nhs.uk/publication/national-stroke-service-model-integrated-stroke-delivery-networks/</w:t>
        </w:r>
      </w:hyperlink>
      <w:r w:rsidDel="00000000" w:rsidR="00000000" w:rsidRPr="00000000">
        <w:rPr>
          <w:rtl w:val="0"/>
        </w:rPr>
      </w:r>
    </w:p>
    <w:p w:rsidR="00000000" w:rsidDel="00000000" w:rsidP="00000000" w:rsidRDefault="00000000" w:rsidRPr="00000000" w14:paraId="00000088">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(2022) National service model for an integrated community stroke service. Available at: </w:t>
      </w:r>
      <w:hyperlink r:id="rId32">
        <w:r w:rsidDel="00000000" w:rsidR="00000000" w:rsidRPr="00000000">
          <w:rPr>
            <w:rFonts w:ascii="Arial" w:cs="Arial" w:eastAsia="Arial" w:hAnsi="Arial"/>
            <w:color w:val="0563c1"/>
            <w:sz w:val="22"/>
            <w:szCs w:val="22"/>
            <w:u w:val="single"/>
            <w:rtl w:val="0"/>
          </w:rPr>
          <w:t xml:space="preserve">https://www.england.nhs.uk/publication/national-service-model-for-an-integrated-community-stroke-service/</w:t>
        </w:r>
      </w:hyperlink>
      <w:r w:rsidDel="00000000" w:rsidR="00000000" w:rsidRPr="00000000">
        <w:rPr>
          <w:rtl w:val="0"/>
        </w:rPr>
      </w:r>
    </w:p>
    <w:p w:rsidR="00000000" w:rsidDel="00000000" w:rsidP="00000000" w:rsidRDefault="00000000" w:rsidRPr="00000000" w14:paraId="00000089">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England (2024) NHS England’s work on stroke. Available at: </w:t>
      </w:r>
      <w:hyperlink r:id="rId33">
        <w:r w:rsidDel="00000000" w:rsidR="00000000" w:rsidRPr="00000000">
          <w:rPr>
            <w:rFonts w:ascii="Arial" w:cs="Arial" w:eastAsia="Arial" w:hAnsi="Arial"/>
            <w:color w:val="0563c1"/>
            <w:sz w:val="22"/>
            <w:szCs w:val="22"/>
            <w:u w:val="single"/>
            <w:rtl w:val="0"/>
          </w:rPr>
          <w:t xml:space="preserve">https://www.england.nhs.uk/ourwork/clinical-policy/stroke/</w:t>
        </w:r>
      </w:hyperlink>
      <w:r w:rsidDel="00000000" w:rsidR="00000000" w:rsidRPr="00000000">
        <w:rPr>
          <w:rtl w:val="0"/>
        </w:rPr>
      </w:r>
    </w:p>
    <w:p w:rsidR="00000000" w:rsidDel="00000000" w:rsidP="00000000" w:rsidRDefault="00000000" w:rsidRPr="00000000" w14:paraId="0000008A">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Royal College of Physicians (RCP) (2023) National Clinical Guideline for Stroke for the UK and Ireland. Available at: </w:t>
      </w:r>
      <w:hyperlink r:id="rId34">
        <w:r w:rsidDel="00000000" w:rsidR="00000000" w:rsidRPr="00000000">
          <w:rPr>
            <w:rFonts w:ascii="Arial" w:cs="Arial" w:eastAsia="Arial" w:hAnsi="Arial"/>
            <w:color w:val="0563c1"/>
            <w:sz w:val="22"/>
            <w:szCs w:val="22"/>
            <w:u w:val="single"/>
            <w:rtl w:val="0"/>
          </w:rPr>
          <w:t xml:space="preserve">https://www.rcp.ac.uk/resources/national-clinical-guideline-for-stroke-2023/</w:t>
        </w:r>
      </w:hyperlink>
      <w:r w:rsidDel="00000000" w:rsidR="00000000" w:rsidRPr="00000000">
        <w:rPr>
          <w:rtl w:val="0"/>
        </w:rPr>
      </w:r>
    </w:p>
    <w:p w:rsidR="00000000" w:rsidDel="00000000" w:rsidP="00000000" w:rsidRDefault="00000000" w:rsidRPr="00000000" w14:paraId="0000008B">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Sentinel Stroke National Audit Programme (SSNAP) (2024) National stroke audit: annual reporting. Available at: </w:t>
      </w:r>
      <w:hyperlink r:id="rId35">
        <w:r w:rsidDel="00000000" w:rsidR="00000000" w:rsidRPr="00000000">
          <w:rPr>
            <w:rFonts w:ascii="Arial" w:cs="Arial" w:eastAsia="Arial" w:hAnsi="Arial"/>
            <w:color w:val="0563c1"/>
            <w:sz w:val="22"/>
            <w:szCs w:val="22"/>
            <w:u w:val="single"/>
            <w:rtl w:val="0"/>
          </w:rPr>
          <w:t xml:space="preserve">https://www.strokeaudit.org/SupportFiles/Documents/Annual-report/2024/SSNAP-Annual-Report-2024-Outcomes-Spotlight-Report.aspx</w:t>
        </w:r>
      </w:hyperlink>
      <w:r w:rsidDel="00000000" w:rsidR="00000000" w:rsidRPr="00000000">
        <w:rPr>
          <w:rtl w:val="0"/>
        </w:rPr>
      </w:r>
    </w:p>
    <w:p w:rsidR="00000000" w:rsidDel="00000000" w:rsidP="00000000" w:rsidRDefault="00000000" w:rsidRPr="00000000" w14:paraId="0000008C">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Soleimani, M., Ghazisaeedi, M. and Heydari, S. (2024) ‘The efficacy of virtual reality for upper limb rehabilitation in stroke patients: a systematic review and meta-analysis’, BMC Medical Informatics and Decision Making, 24, 135. Available at: </w:t>
      </w:r>
      <w:hyperlink r:id="rId36">
        <w:r w:rsidDel="00000000" w:rsidR="00000000" w:rsidRPr="00000000">
          <w:rPr>
            <w:rFonts w:ascii="Arial" w:cs="Arial" w:eastAsia="Arial" w:hAnsi="Arial"/>
            <w:color w:val="0563c1"/>
            <w:sz w:val="22"/>
            <w:szCs w:val="22"/>
            <w:u w:val="single"/>
            <w:rtl w:val="0"/>
          </w:rPr>
          <w:t xml:space="preserve">https://doi.org/10.1186/s12911-024-02534-y</w:t>
        </w:r>
      </w:hyperlink>
      <w:r w:rsidDel="00000000" w:rsidR="00000000" w:rsidRPr="00000000">
        <w:rPr>
          <w:rtl w:val="0"/>
        </w:rPr>
      </w:r>
    </w:p>
    <w:p w:rsidR="00000000" w:rsidDel="00000000" w:rsidP="00000000" w:rsidRDefault="00000000" w:rsidRPr="00000000" w14:paraId="0000008D">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Stolwyk, R.J., Mihaljcic, T., Wong, D.K., Chapman, J.E. and Rogers, J.M. (2021) ‘Poststroke cognitive impairment negatively impacts activity and participation outcomes: a systematic review and meta-analysis’, Stroke, 52(2), pp. 748–760. Available at: </w:t>
      </w:r>
      <w:hyperlink r:id="rId37">
        <w:r w:rsidDel="00000000" w:rsidR="00000000" w:rsidRPr="00000000">
          <w:rPr>
            <w:rFonts w:ascii="Arial" w:cs="Arial" w:eastAsia="Arial" w:hAnsi="Arial"/>
            <w:color w:val="0563c1"/>
            <w:sz w:val="22"/>
            <w:szCs w:val="22"/>
            <w:u w:val="single"/>
            <w:rtl w:val="0"/>
          </w:rPr>
          <w:t xml:space="preserve">https://doi.org/10.1161/STROKEAHA.120.032215</w:t>
        </w:r>
      </w:hyperlink>
      <w:r w:rsidDel="00000000" w:rsidR="00000000" w:rsidRPr="00000000">
        <w:rPr>
          <w:rtl w:val="0"/>
        </w:rPr>
      </w:r>
    </w:p>
    <w:p w:rsidR="00000000" w:rsidDel="00000000" w:rsidP="00000000" w:rsidRDefault="00000000" w:rsidRPr="00000000" w14:paraId="0000008E">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Stroke Association (2025) Stroke statistics. Available at: </w:t>
      </w:r>
      <w:hyperlink r:id="rId38">
        <w:r w:rsidDel="00000000" w:rsidR="00000000" w:rsidRPr="00000000">
          <w:rPr>
            <w:rFonts w:ascii="Arial" w:cs="Arial" w:eastAsia="Arial" w:hAnsi="Arial"/>
            <w:color w:val="0563c1"/>
            <w:sz w:val="22"/>
            <w:szCs w:val="22"/>
            <w:u w:val="single"/>
            <w:rtl w:val="0"/>
          </w:rPr>
          <w:t xml:space="preserve">https://www.stroke.org.uk/node/9</w:t>
        </w:r>
      </w:hyperlink>
      <w:r w:rsidDel="00000000" w:rsidR="00000000" w:rsidRPr="00000000">
        <w:rPr>
          <w:rtl w:val="0"/>
        </w:rPr>
      </w:r>
    </w:p>
    <w:p w:rsidR="00000000" w:rsidDel="00000000" w:rsidP="00000000" w:rsidRDefault="00000000" w:rsidRPr="00000000" w14:paraId="0000008F">
      <w:pPr>
        <w:spacing w:after="6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Wagner, E.H., Austin, B.T., Davis, C., Hindmarsh, M., Schaefer, J. and Bonomi, A. (2001) ‘Improving chronic illness care: translating evidence into action’, Health Affairs, 20(6), pp. 64–78. Available at: </w:t>
      </w:r>
      <w:hyperlink r:id="rId39">
        <w:r w:rsidDel="00000000" w:rsidR="00000000" w:rsidRPr="00000000">
          <w:rPr>
            <w:rFonts w:ascii="Arial" w:cs="Arial" w:eastAsia="Arial" w:hAnsi="Arial"/>
            <w:color w:val="0000ff"/>
            <w:sz w:val="22"/>
            <w:szCs w:val="22"/>
            <w:u w:val="single"/>
            <w:rtl w:val="0"/>
          </w:rPr>
          <w:t xml:space="preserve">https://doi.org/10.1377/hlthaff.20.6.64</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0">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Wang, L., Liu, J., Wu, L., Zhang, J. and Fang, H. (2023) ‘Caregiving experiences of stroke caregivers: a systematic review and meta-synthesis of qualitative studies’, Medicine, 102(13), e33392. Available at: </w:t>
      </w:r>
      <w:hyperlink r:id="rId40">
        <w:r w:rsidDel="00000000" w:rsidR="00000000" w:rsidRPr="00000000">
          <w:rPr>
            <w:rFonts w:ascii="Arial" w:cs="Arial" w:eastAsia="Arial" w:hAnsi="Arial"/>
            <w:color w:val="0563c1"/>
            <w:sz w:val="22"/>
            <w:szCs w:val="22"/>
            <w:u w:val="single"/>
            <w:rtl w:val="0"/>
          </w:rPr>
          <w:t xml:space="preserve">https://doi.org/10.1097/MD.0000000000033392</w:t>
        </w:r>
      </w:hyperlink>
      <w:r w:rsidDel="00000000" w:rsidR="00000000" w:rsidRPr="00000000">
        <w:rPr>
          <w:rtl w:val="0"/>
        </w:rPr>
      </w:r>
    </w:p>
    <w:p w:rsidR="00000000" w:rsidDel="00000000" w:rsidP="00000000" w:rsidRDefault="00000000" w:rsidRPr="00000000" w14:paraId="00000091">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Whittington Health NHS Trust (2026) House of Care. Available at: https://www.whittington.nhs.uk/default.asp?c=31000&amp;print=1</w:t>
      </w:r>
    </w:p>
    <w:p w:rsidR="00000000" w:rsidDel="00000000" w:rsidP="00000000" w:rsidRDefault="00000000" w:rsidRPr="00000000" w14:paraId="00000092">
      <w:pPr>
        <w:spacing w:after="24"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World Health Organization (2023b) Rehabilitation 2030: a call for action. Available at: https://www.who.int/initiatives/rehabilitation-2030</w:t>
      </w:r>
    </w:p>
    <w:p w:rsidR="00000000" w:rsidDel="00000000" w:rsidP="00000000" w:rsidRDefault="00000000" w:rsidRPr="00000000" w14:paraId="00000093">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World Health Organization (2025) Stroke: fact sheet. Available at: </w:t>
      </w:r>
      <w:hyperlink r:id="rId41">
        <w:r w:rsidDel="00000000" w:rsidR="00000000" w:rsidRPr="00000000">
          <w:rPr>
            <w:rFonts w:ascii="Arial" w:cs="Arial" w:eastAsia="Arial" w:hAnsi="Arial"/>
            <w:color w:val="0000ff"/>
            <w:sz w:val="22"/>
            <w:szCs w:val="22"/>
            <w:u w:val="single"/>
            <w:rtl w:val="0"/>
          </w:rPr>
          <w:t xml:space="preserve">https://www.who.int/vietnam/news/fact-sheets/detail/stroke</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94">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Zawawi, N.S.M., Aziz, N.A., Fisher, R., Ahmad, K. and Walker, M.F. (2020) ‘The unmet needs of stroke survivors and stroke caregivers: a systematic narrative review’, Journal of Stroke and Cerebrovascular Diseases, 29(8), 104875. Available at: </w:t>
      </w:r>
      <w:hyperlink r:id="rId42">
        <w:r w:rsidDel="00000000" w:rsidR="00000000" w:rsidRPr="00000000">
          <w:rPr>
            <w:rFonts w:ascii="Arial" w:cs="Arial" w:eastAsia="Arial" w:hAnsi="Arial"/>
            <w:color w:val="0563c1"/>
            <w:sz w:val="22"/>
            <w:szCs w:val="22"/>
            <w:u w:val="single"/>
            <w:rtl w:val="0"/>
          </w:rPr>
          <w:t xml:space="preserve">https://doi.org/10.1016/j.jstrokecerebrovasdis.2020.104875</w:t>
        </w:r>
      </w:hyperlink>
      <w:r w:rsidDel="00000000" w:rsidR="00000000" w:rsidRPr="00000000">
        <w:rPr>
          <w:rtl w:val="0"/>
        </w:rPr>
      </w:r>
    </w:p>
    <w:p w:rsidR="00000000" w:rsidDel="00000000" w:rsidP="00000000" w:rsidRDefault="00000000" w:rsidRPr="00000000" w14:paraId="00000095">
      <w:pPr>
        <w:spacing w:after="24" w:line="240" w:lineRule="auto"/>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Jie Zhan, Peiming Zhang, Hao Wen, Yiqiao Wang, Xiaoting Yan, Lechang Zhan, Hongxia Chen, Nenggui Xu and Liming Lu (2023) ‘Global prevalence estimates of poststroke fatigue: a systematic review and meta-analysis’, International Journal of Stroke, 18(9), pp. 1040–1050. Available at: </w:t>
      </w:r>
      <w:hyperlink r:id="rId43">
        <w:r w:rsidDel="00000000" w:rsidR="00000000" w:rsidRPr="00000000">
          <w:rPr>
            <w:rFonts w:ascii="Arial" w:cs="Arial" w:eastAsia="Arial" w:hAnsi="Arial"/>
            <w:color w:val="0000ff"/>
            <w:sz w:val="22"/>
            <w:szCs w:val="22"/>
            <w:u w:val="single"/>
            <w:rtl w:val="0"/>
          </w:rPr>
          <w:t xml:space="preserve">https://doi.org/10.1177/17474930221138701</w:t>
        </w:r>
      </w:hyperlink>
      <w:r w:rsidDel="00000000" w:rsidR="00000000" w:rsidRPr="00000000">
        <w:rPr>
          <w:rFonts w:ascii="Arial" w:cs="Arial" w:eastAsia="Arial" w:hAnsi="Arial"/>
          <w:color w:val="ff0000"/>
          <w:sz w:val="22"/>
          <w:szCs w:val="22"/>
          <w:rtl w:val="0"/>
        </w:rPr>
        <w:t xml:space="preserve"> </w:t>
      </w:r>
      <w:r w:rsidDel="00000000" w:rsidR="00000000" w:rsidRPr="00000000">
        <w:rPr>
          <w:rtl w:val="0"/>
        </w:rPr>
      </w:r>
    </w:p>
    <w:p w:rsidR="00000000" w:rsidDel="00000000" w:rsidP="00000000" w:rsidRDefault="00000000" w:rsidRPr="00000000" w14:paraId="00000096">
      <w:pPr>
        <w:spacing w:after="24"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Zhang, Q., Schwade, M., Smith, Y., Wood, R. and Young, L. (2020) ‘Exercise-based interventions for post-stroke social participation: a systematic review and network meta-analysis’, International Journal of Nursing Studies, 111, 103738. Available at: </w:t>
      </w:r>
      <w:hyperlink r:id="rId44">
        <w:r w:rsidDel="00000000" w:rsidR="00000000" w:rsidRPr="00000000">
          <w:rPr>
            <w:rFonts w:ascii="Arial" w:cs="Arial" w:eastAsia="Arial" w:hAnsi="Arial"/>
            <w:color w:val="0563c1"/>
            <w:sz w:val="22"/>
            <w:szCs w:val="22"/>
            <w:u w:val="single"/>
            <w:rtl w:val="0"/>
          </w:rPr>
          <w:t xml:space="preserve">https://doi.org/10.1016/j.ijnurstu.2020.103738</w:t>
        </w:r>
      </w:hyperlink>
      <w:r w:rsidDel="00000000" w:rsidR="00000000" w:rsidRPr="00000000">
        <w:rPr>
          <w:rtl w:val="0"/>
        </w:rPr>
      </w:r>
    </w:p>
    <w:sectPr>
      <w:headerReference r:id="rId45" w:type="default"/>
      <w:footerReference r:id="rId46" w:type="default"/>
      <w:type w:val="nextPage"/>
      <w:pgSz w:h="16838" w:w="11906" w:orient="portrait"/>
      <w:pgMar w:bottom="691" w:top="835" w:left="835" w:right="835" w:header="288" w:footer="403"/>
      <w:cols w:equalWidth="0" w:num="2">
        <w:col w:space="432" w:w="4901.999999999999"/>
        <w:col w:space="0" w:w="4901.999999999999"/>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Noto Sans"/>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A">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left"/>
      <w:rPr/>
    </w:pPr>
    <w:r w:rsidDel="00000000" w:rsidR="00000000" w:rsidRPr="00000000">
      <w:rPr>
        <w:i w:val="1"/>
        <w:iCs w:val="1"/>
        <w:color w:val="00a9ce"/>
        <w:sz w:val="17"/>
        <w:szCs w:val="17"/>
      </w:rPr>
      <w:fldChar w:fldCharType="begin"/>
      <w:instrText xml:space="preserve">PAGE</w:instrText>
      <w:fldChar w:fldCharType="separate"/>
      <w:fldChar w:fldCharType="end"/>
    </w:r>
    <w:r w:rsidDel="00000000" w:rsidR="00000000" w:rsidRPr="00000000">
      <w:rPr>
        <w:i w:val="1"/>
        <w:iCs w:val="1"/>
        <w:color w:val="00a9ce"/>
        <w:sz w:val="17"/>
        <w:szCs w:val="17"/>
        <w:rtl w:val="0"/>
      </w:rPr>
      <w:t xml:space="preserve">  |  Stroke and long-term recovery</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C">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left"/>
      <w:rPr/>
    </w:pPr>
    <w:r w:rsidDel="00000000" w:rsidR="00000000" w:rsidRPr="00000000">
      <w:rPr>
        <w:i w:val="1"/>
        <w:iCs w:val="1"/>
        <w:color w:val="00a9ce"/>
        <w:sz w:val="17"/>
        <w:szCs w:val="17"/>
      </w:rPr>
      <w:fldChar w:fldCharType="begin"/>
      <w:instrText xml:space="preserve">PAGE</w:instrText>
      <w:fldChar w:fldCharType="separate"/>
      <w:fldChar w:fldCharType="end"/>
    </w:r>
    <w:r w:rsidDel="00000000" w:rsidR="00000000" w:rsidRPr="00000000">
      <w:rPr>
        <w:i w:val="1"/>
        <w:iCs w:val="1"/>
        <w:color w:val="00a9ce"/>
        <w:sz w:val="17"/>
        <w:szCs w:val="17"/>
        <w:rtl w:val="0"/>
      </w:rPr>
      <w:t xml:space="preserve">  |  Stroke and long-term recovery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7">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right"/>
      <w:rPr>
        <w:b w:val="1"/>
        <w:bCs w:val="1"/>
        <w:color w:val="0b8392"/>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8">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9">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right"/>
      <w:rPr>
        <w:b w:val="1"/>
        <w:bCs w:val="1"/>
        <w:color w:val="0b839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Noto Sans" w:cs="Noto Sans" w:eastAsia="Noto Sans" w:hAnsi="Noto Sans"/>
        <w:color w:val="23272a"/>
        <w:lang w:val="en"/>
      </w:rPr>
    </w:rPrDefault>
    <w:pPrDefault>
      <w:pPr>
        <w:spacing w:after="100" w:line="269"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160" w:line="240" w:lineRule="auto"/>
    </w:pPr>
    <w:rPr>
      <w:b w:val="1"/>
      <w:bCs w:val="1"/>
      <w:color w:val="00a9ce"/>
      <w:sz w:val="28"/>
      <w:szCs w:val="28"/>
    </w:rPr>
  </w:style>
  <w:style w:type="paragraph" w:styleId="Heading2">
    <w:name w:val="heading 2"/>
    <w:basedOn w:val="Normal"/>
    <w:next w:val="Normal"/>
    <w:pPr>
      <w:keepNext w:val="1"/>
      <w:keepLines w:val="1"/>
      <w:spacing w:after="60" w:before="120" w:line="240" w:lineRule="auto"/>
    </w:pPr>
    <w:rPr>
      <w:b w:val="1"/>
      <w:bCs w:val="1"/>
      <w:color w:val="00a9ce"/>
      <w:sz w:val="23"/>
      <w:szCs w:val="23"/>
    </w:rPr>
  </w:style>
  <w:style w:type="paragraph" w:styleId="Heading3">
    <w:name w:val="heading 3"/>
    <w:basedOn w:val="Normal"/>
    <w:next w:val="Normal"/>
    <w:pPr>
      <w:keepNext w:val="1"/>
      <w:keepLines w:val="1"/>
      <w:spacing w:after="60" w:before="120" w:line="240" w:lineRule="auto"/>
    </w:pPr>
    <w:rPr>
      <w:b w:val="1"/>
      <w:bCs w:val="1"/>
      <w:color w:val="00a9ce"/>
      <w:sz w:val="23"/>
      <w:szCs w:val="23"/>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keepNext w:val="1"/>
      <w:pBdr>
        <w:bottom w:color="4f81bd" w:space="4" w:sz="8" w:val="single"/>
      </w:pBdr>
      <w:spacing w:line="240" w:lineRule="auto"/>
    </w:pPr>
    <w:rPr>
      <w:rFonts w:ascii="Calibri" w:cs="Calibri" w:eastAsia="Calibri" w:hAnsi="Calibri"/>
      <w:b w:val="1"/>
      <w:bCs w:val="1"/>
      <w:color w:val="183b56"/>
      <w:sz w:val="52"/>
      <w:szCs w:val="52"/>
    </w:rPr>
  </w:style>
  <w:style w:type="paragraph" w:styleId="Subtitle">
    <w:name w:val="Subtitle"/>
    <w:basedOn w:val="Normal"/>
    <w:next w:val="Normal"/>
    <w:pPr/>
    <w:rPr>
      <w:rFonts w:ascii="Calibri" w:cs="Calibri" w:eastAsia="Calibri" w:hAnsi="Calibri"/>
      <w:i w:val="1"/>
      <w:iCs w:val="1"/>
      <w:color w:val="4f81bd"/>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97/MD.0000000000033392" TargetMode="External"/><Relationship Id="rId20" Type="http://schemas.openxmlformats.org/officeDocument/2006/relationships/hyperlink" Target="https://doi.org/10.3390/ijerph18042140" TargetMode="External"/><Relationship Id="rId42" Type="http://schemas.openxmlformats.org/officeDocument/2006/relationships/hyperlink" Target="https://doi.org/10.1016/j.jstrokecerebrovasdis.2020.104875" TargetMode="External"/><Relationship Id="rId41" Type="http://schemas.openxmlformats.org/officeDocument/2006/relationships/hyperlink" Target="https://www.who.int/vietnam/news/fact-sheets/detail/stroke" TargetMode="External"/><Relationship Id="rId22" Type="http://schemas.openxmlformats.org/officeDocument/2006/relationships/hyperlink" Target="https://doi.org/10.1161/STR.0000000000000375" TargetMode="External"/><Relationship Id="rId44" Type="http://schemas.openxmlformats.org/officeDocument/2006/relationships/hyperlink" Target="https://doi.org/10.1016/j.ijnurstu.2020.103738" TargetMode="External"/><Relationship Id="rId21" Type="http://schemas.openxmlformats.org/officeDocument/2006/relationships/hyperlink" Target="https://doi.org/10.1371/journal.pone.0304501" TargetMode="External"/><Relationship Id="rId43" Type="http://schemas.openxmlformats.org/officeDocument/2006/relationships/hyperlink" Target="https://doi.org/10.1177/17474930221138701" TargetMode="External"/><Relationship Id="rId24" Type="http://schemas.openxmlformats.org/officeDocument/2006/relationships/hyperlink" Target="https://doi.org/10.23749/mdl.v113i3.13238" TargetMode="External"/><Relationship Id="rId46" Type="http://schemas.openxmlformats.org/officeDocument/2006/relationships/footer" Target="footer3.xml"/><Relationship Id="rId23" Type="http://schemas.openxmlformats.org/officeDocument/2006/relationships/hyperlink" Target="https://doi.org/10.1177/1747493019896958" TargetMode="External"/><Relationship Id="rId45"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26" Type="http://schemas.openxmlformats.org/officeDocument/2006/relationships/hyperlink" Target="https://doi.org/10.1111/phn.13503" TargetMode="External"/><Relationship Id="rId25" Type="http://schemas.openxmlformats.org/officeDocument/2006/relationships/hyperlink" Target="https://doi.org/10.1371/journal.pmed.1004200" TargetMode="External"/><Relationship Id="rId28" Type="http://schemas.openxmlformats.org/officeDocument/2006/relationships/hyperlink" Target="https://www.nice.org.uk/guidance/ng222" TargetMode="External"/><Relationship Id="rId27" Type="http://schemas.openxmlformats.org/officeDocument/2006/relationships/hyperlink" Target="https://www.nice.org.uk/guidance/ng197"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nice.org.uk/guidance/ng236" TargetMode="External"/><Relationship Id="rId7" Type="http://schemas.openxmlformats.org/officeDocument/2006/relationships/header" Target="header1.xml"/><Relationship Id="rId8" Type="http://schemas.openxmlformats.org/officeDocument/2006/relationships/header" Target="header2.xml"/><Relationship Id="rId31" Type="http://schemas.openxmlformats.org/officeDocument/2006/relationships/hyperlink" Target="https://www.england.nhs.uk/publication/national-stroke-service-model-integrated-stroke-delivery-networks/" TargetMode="External"/><Relationship Id="rId30" Type="http://schemas.openxmlformats.org/officeDocument/2006/relationships/hyperlink" Target="https://www.nice.org.uk/guidance/ng236/resources/resource-impact-summary-report-13195300429" TargetMode="External"/><Relationship Id="rId11" Type="http://schemas.openxmlformats.org/officeDocument/2006/relationships/image" Target="media/image3.png"/><Relationship Id="rId33" Type="http://schemas.openxmlformats.org/officeDocument/2006/relationships/hyperlink" Target="https://www.england.nhs.uk/ourwork/clinical-policy/stroke/" TargetMode="External"/><Relationship Id="rId10" Type="http://schemas.openxmlformats.org/officeDocument/2006/relationships/footer" Target="footer2.xml"/><Relationship Id="rId32" Type="http://schemas.openxmlformats.org/officeDocument/2006/relationships/hyperlink" Target="https://www.england.nhs.uk/publication/national-service-model-for-an-integrated-community-stroke-service/" TargetMode="External"/><Relationship Id="rId13" Type="http://schemas.openxmlformats.org/officeDocument/2006/relationships/image" Target="media/image2.png"/><Relationship Id="rId35" Type="http://schemas.openxmlformats.org/officeDocument/2006/relationships/hyperlink" Target="https://www.strokeaudit.org/SupportFiles/Documents/Annual-report/2024/SSNAP-Annual-Report-2024-Outcomes-Spotlight-Report.aspx" TargetMode="External"/><Relationship Id="rId12" Type="http://schemas.openxmlformats.org/officeDocument/2006/relationships/hyperlink" Target="https://www.whittington.nhs.uk/default.asp?c=31000&amp;print=1" TargetMode="External"/><Relationship Id="rId34" Type="http://schemas.openxmlformats.org/officeDocument/2006/relationships/hyperlink" Target="https://www.rcp.ac.uk/resources/national-clinical-guideline-for-stroke-2023/" TargetMode="External"/><Relationship Id="rId15" Type="http://schemas.openxmlformats.org/officeDocument/2006/relationships/hyperlink" Target="https://doi.org/10.12688/f1000research.22880.2" TargetMode="External"/><Relationship Id="rId37" Type="http://schemas.openxmlformats.org/officeDocument/2006/relationships/hyperlink" Target="https://doi.org/10.1161/STROKEAHA.120.032215" TargetMode="External"/><Relationship Id="rId14" Type="http://schemas.openxmlformats.org/officeDocument/2006/relationships/hyperlink" Target="https://doi.org/10.1377/hlthaff.20.6.64" TargetMode="External"/><Relationship Id="rId36" Type="http://schemas.openxmlformats.org/officeDocument/2006/relationships/hyperlink" Target="https://doi.org/10.1186/s12911-024-02534-y" TargetMode="External"/><Relationship Id="rId17" Type="http://schemas.openxmlformats.org/officeDocument/2006/relationships/hyperlink" Target="https://pmc.ncbi.nlm.nih.gov/articles/PMC12254192/" TargetMode="External"/><Relationship Id="rId39" Type="http://schemas.openxmlformats.org/officeDocument/2006/relationships/hyperlink" Target="https://doi.org/10.1377/hlthaff.20.6.64" TargetMode="External"/><Relationship Id="rId16" Type="http://schemas.openxmlformats.org/officeDocument/2006/relationships/hyperlink" Target="https://doi.org/10.1161/STROKEAHA.121.034090" TargetMode="External"/><Relationship Id="rId38" Type="http://schemas.openxmlformats.org/officeDocument/2006/relationships/hyperlink" Target="https://www.stroke.org.uk/node/9" TargetMode="External"/><Relationship Id="rId19" Type="http://schemas.openxmlformats.org/officeDocument/2006/relationships/hyperlink" Target="https://doi.org/10.1097/JNN.0000000000000603" TargetMode="External"/><Relationship Id="rId18" Type="http://schemas.openxmlformats.org/officeDocument/2006/relationships/hyperlink" Target="https://doi.org/10.1016/j.jstrokecerebrovasdis.2023.107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