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2FC" w:rsidRPr="00DD3483" w:rsidRDefault="00CD32FC" w:rsidP="00DD3483">
      <w:pPr>
        <w:spacing w:line="360" w:lineRule="auto"/>
        <w:jc w:val="center"/>
        <w:rPr>
          <w:rFonts w:ascii="Century Gothic" w:hAnsi="Century Gothic"/>
          <w:sz w:val="28"/>
          <w:u w:val="single"/>
        </w:rPr>
      </w:pPr>
      <w:r w:rsidRPr="00DD3483">
        <w:rPr>
          <w:rFonts w:ascii="Century Gothic" w:hAnsi="Century Gothic"/>
          <w:sz w:val="28"/>
          <w:u w:val="single"/>
        </w:rPr>
        <w:t>Evaluate the significance of the Mishnah within Judaism.</w:t>
      </w:r>
    </w:p>
    <w:p w:rsidR="003459E9" w:rsidRDefault="00CD32FC" w:rsidP="00DD3483">
      <w:pPr>
        <w:spacing w:line="360" w:lineRule="auto"/>
        <w:rPr>
          <w:rFonts w:ascii="Century Gothic" w:hAnsi="Century Gothic"/>
          <w:sz w:val="24"/>
        </w:rPr>
      </w:pPr>
      <w:r w:rsidRPr="00C15EBC">
        <w:rPr>
          <w:rFonts w:ascii="Century Gothic" w:hAnsi="Century Gothic"/>
          <w:sz w:val="24"/>
        </w:rPr>
        <w:t>The</w:t>
      </w:r>
      <w:r w:rsidRPr="00C15EBC">
        <w:rPr>
          <w:rFonts w:ascii="Century Gothic" w:hAnsi="Century Gothic"/>
          <w:i/>
          <w:sz w:val="24"/>
        </w:rPr>
        <w:t xml:space="preserve"> Mishnah</w:t>
      </w:r>
      <w:r w:rsidRPr="00C15EBC">
        <w:rPr>
          <w:rFonts w:ascii="Century Gothic" w:hAnsi="Century Gothic"/>
          <w:sz w:val="24"/>
        </w:rPr>
        <w:t xml:space="preserve"> which may also be known as the Oral Torah can be seen to be one of the most important books in the Jewish faith according to some </w:t>
      </w:r>
      <w:bookmarkStart w:id="0" w:name="_GoBack"/>
      <w:bookmarkEnd w:id="0"/>
      <w:r w:rsidRPr="00C15EBC">
        <w:rPr>
          <w:rFonts w:ascii="Century Gothic" w:hAnsi="Century Gothic"/>
          <w:sz w:val="24"/>
        </w:rPr>
        <w:t>followers.</w:t>
      </w:r>
      <w:r w:rsidR="00C15EBC">
        <w:rPr>
          <w:rFonts w:ascii="Century Gothic" w:hAnsi="Century Gothic"/>
          <w:sz w:val="24"/>
        </w:rPr>
        <w:t xml:space="preserve"> It is </w:t>
      </w:r>
      <w:r w:rsidR="002045A7">
        <w:rPr>
          <w:rFonts w:ascii="Century Gothic" w:hAnsi="Century Gothic"/>
          <w:sz w:val="24"/>
        </w:rPr>
        <w:t>believed by</w:t>
      </w:r>
      <w:r w:rsidR="004409AE">
        <w:rPr>
          <w:rFonts w:ascii="Century Gothic" w:hAnsi="Century Gothic"/>
          <w:sz w:val="24"/>
        </w:rPr>
        <w:t xml:space="preserve"> the </w:t>
      </w:r>
      <w:r w:rsidR="00D11FF4">
        <w:rPr>
          <w:rFonts w:ascii="Century Gothic" w:hAnsi="Century Gothic"/>
          <w:sz w:val="24"/>
        </w:rPr>
        <w:t>Pharisees</w:t>
      </w:r>
      <w:r w:rsidR="004409AE">
        <w:rPr>
          <w:rFonts w:ascii="Century Gothic" w:hAnsi="Century Gothic"/>
          <w:sz w:val="24"/>
        </w:rPr>
        <w:t xml:space="preserve"> </w:t>
      </w:r>
      <w:r w:rsidR="00C15EBC">
        <w:rPr>
          <w:rFonts w:ascii="Century Gothic" w:hAnsi="Century Gothic"/>
          <w:sz w:val="24"/>
        </w:rPr>
        <w:t>that whilst Moses was on M</w:t>
      </w:r>
      <w:r w:rsidR="00DD3483">
        <w:rPr>
          <w:rFonts w:ascii="Century Gothic" w:hAnsi="Century Gothic"/>
          <w:sz w:val="24"/>
        </w:rPr>
        <w:t>ou</w:t>
      </w:r>
      <w:r w:rsidR="00C15EBC">
        <w:rPr>
          <w:rFonts w:ascii="Century Gothic" w:hAnsi="Century Gothic"/>
          <w:sz w:val="24"/>
        </w:rPr>
        <w:t xml:space="preserve">nt </w:t>
      </w:r>
      <w:r w:rsidR="003459E9">
        <w:rPr>
          <w:rFonts w:ascii="Century Gothic" w:hAnsi="Century Gothic"/>
          <w:sz w:val="24"/>
        </w:rPr>
        <w:t>Sinai</w:t>
      </w:r>
      <w:r w:rsidR="00C15EBC">
        <w:rPr>
          <w:rFonts w:ascii="Century Gothic" w:hAnsi="Century Gothic"/>
          <w:sz w:val="24"/>
        </w:rPr>
        <w:t xml:space="preserve"> receiving the Torah from God, he also received the Oral Torah which is perceived t</w:t>
      </w:r>
      <w:r w:rsidR="00DD3483">
        <w:rPr>
          <w:rFonts w:ascii="Century Gothic" w:hAnsi="Century Gothic"/>
          <w:sz w:val="24"/>
        </w:rPr>
        <w:t>o</w:t>
      </w:r>
      <w:r w:rsidR="00C15EBC">
        <w:rPr>
          <w:rFonts w:ascii="Century Gothic" w:hAnsi="Century Gothic"/>
          <w:sz w:val="24"/>
        </w:rPr>
        <w:t xml:space="preserve"> be the companion to the five books. This is emphasised in the “Chapters of the </w:t>
      </w:r>
      <w:r w:rsidR="003459E9">
        <w:rPr>
          <w:rFonts w:ascii="Century Gothic" w:hAnsi="Century Gothic"/>
          <w:sz w:val="24"/>
        </w:rPr>
        <w:t>fathers</w:t>
      </w:r>
      <w:r w:rsidR="00C15EBC">
        <w:rPr>
          <w:rFonts w:ascii="Century Gothic" w:hAnsi="Century Gothic"/>
          <w:sz w:val="24"/>
        </w:rPr>
        <w:t>”</w:t>
      </w:r>
      <w:r w:rsidR="004774F1">
        <w:rPr>
          <w:rFonts w:ascii="Century Gothic" w:hAnsi="Century Gothic"/>
          <w:sz w:val="20"/>
        </w:rPr>
        <w:t>1</w:t>
      </w:r>
      <w:r w:rsidR="00C15EBC">
        <w:rPr>
          <w:rFonts w:ascii="Century Gothic" w:hAnsi="Century Gothic"/>
          <w:sz w:val="24"/>
        </w:rPr>
        <w:t xml:space="preserve"> </w:t>
      </w:r>
      <w:r w:rsidR="003459E9">
        <w:rPr>
          <w:rFonts w:ascii="Century Gothic" w:hAnsi="Century Gothic"/>
          <w:sz w:val="24"/>
        </w:rPr>
        <w:t>tractate</w:t>
      </w:r>
      <w:r w:rsidR="00C15EBC">
        <w:rPr>
          <w:rFonts w:ascii="Century Gothic" w:hAnsi="Century Gothic"/>
          <w:sz w:val="24"/>
        </w:rPr>
        <w:t xml:space="preserve"> of the Mishnah which states</w:t>
      </w:r>
      <w:r w:rsidR="004409AE">
        <w:rPr>
          <w:rFonts w:ascii="Century Gothic" w:hAnsi="Century Gothic"/>
          <w:sz w:val="24"/>
        </w:rPr>
        <w:t>;</w:t>
      </w:r>
    </w:p>
    <w:p w:rsidR="003F1F2F" w:rsidRDefault="00C15EBC" w:rsidP="004774F1">
      <w:pPr>
        <w:spacing w:line="360" w:lineRule="auto"/>
        <w:jc w:val="center"/>
        <w:rPr>
          <w:rFonts w:ascii="Century Gothic" w:hAnsi="Century Gothic"/>
        </w:rPr>
      </w:pPr>
      <w:r w:rsidRPr="003459E9">
        <w:rPr>
          <w:rFonts w:ascii="Century Gothic" w:hAnsi="Century Gothic"/>
        </w:rPr>
        <w:t xml:space="preserve">“Moses </w:t>
      </w:r>
      <w:r w:rsidR="003459E9" w:rsidRPr="003459E9">
        <w:rPr>
          <w:rFonts w:ascii="Century Gothic" w:hAnsi="Century Gothic"/>
        </w:rPr>
        <w:t>received</w:t>
      </w:r>
      <w:r w:rsidRPr="003459E9">
        <w:rPr>
          <w:rFonts w:ascii="Century Gothic" w:hAnsi="Century Gothic"/>
        </w:rPr>
        <w:t xml:space="preserve"> the </w:t>
      </w:r>
      <w:r w:rsidR="003459E9" w:rsidRPr="003459E9">
        <w:rPr>
          <w:rFonts w:ascii="Century Gothic" w:hAnsi="Century Gothic"/>
        </w:rPr>
        <w:t>T</w:t>
      </w:r>
      <w:r w:rsidRPr="003459E9">
        <w:rPr>
          <w:rFonts w:ascii="Century Gothic" w:hAnsi="Century Gothic"/>
        </w:rPr>
        <w:t xml:space="preserve">orah from </w:t>
      </w:r>
      <w:r w:rsidR="003459E9" w:rsidRPr="003459E9">
        <w:rPr>
          <w:rFonts w:ascii="Century Gothic" w:hAnsi="Century Gothic"/>
        </w:rPr>
        <w:t>Sinai</w:t>
      </w:r>
      <w:r w:rsidRPr="003459E9">
        <w:rPr>
          <w:rFonts w:ascii="Century Gothic" w:hAnsi="Century Gothic"/>
        </w:rPr>
        <w:t xml:space="preserve"> and </w:t>
      </w:r>
      <w:r w:rsidR="003459E9" w:rsidRPr="003459E9">
        <w:rPr>
          <w:rFonts w:ascii="Century Gothic" w:hAnsi="Century Gothic"/>
        </w:rPr>
        <w:t>transmitted it to Joshua; Joshua to the elder; the elders to the prophets; and the prophets to the men of the great assembly</w:t>
      </w:r>
      <w:r w:rsidR="00D875E9">
        <w:rPr>
          <w:rFonts w:ascii="Century Gothic" w:hAnsi="Century Gothic"/>
        </w:rPr>
        <w:t>”</w:t>
      </w:r>
      <w:r w:rsidR="004774F1" w:rsidRPr="004774F1">
        <w:rPr>
          <w:rFonts w:ascii="Century Gothic" w:hAnsi="Century Gothic"/>
          <w:sz w:val="20"/>
        </w:rPr>
        <w:t>2</w:t>
      </w:r>
    </w:p>
    <w:p w:rsidR="004409AE" w:rsidRDefault="004409AE" w:rsidP="00DD3483">
      <w:pPr>
        <w:spacing w:line="360" w:lineRule="auto"/>
        <w:rPr>
          <w:rFonts w:ascii="Century Gothic" w:hAnsi="Century Gothic"/>
          <w:sz w:val="24"/>
        </w:rPr>
      </w:pPr>
      <w:r>
        <w:rPr>
          <w:rFonts w:ascii="Century Gothic" w:hAnsi="Century Gothic"/>
          <w:sz w:val="24"/>
        </w:rPr>
        <w:t xml:space="preserve">The Oral Torah was intended to be a companion to the Written law </w:t>
      </w:r>
      <w:proofErr w:type="gramStart"/>
      <w:r>
        <w:rPr>
          <w:rFonts w:ascii="Century Gothic" w:hAnsi="Century Gothic"/>
          <w:sz w:val="24"/>
        </w:rPr>
        <w:t>in order to</w:t>
      </w:r>
      <w:proofErr w:type="gramEnd"/>
      <w:r>
        <w:rPr>
          <w:rFonts w:ascii="Century Gothic" w:hAnsi="Century Gothic"/>
          <w:sz w:val="24"/>
        </w:rPr>
        <w:t xml:space="preserve"> give the Israelites a greater understanding of the law which was presented to them by Moses in the five books, as suggested in </w:t>
      </w:r>
      <w:r w:rsidR="008F4EF5">
        <w:rPr>
          <w:rFonts w:ascii="Century Gothic" w:hAnsi="Century Gothic"/>
          <w:sz w:val="24"/>
        </w:rPr>
        <w:t xml:space="preserve">Exodus </w:t>
      </w:r>
      <w:r w:rsidR="002045A7">
        <w:rPr>
          <w:rFonts w:ascii="Century Gothic" w:hAnsi="Century Gothic"/>
          <w:sz w:val="24"/>
        </w:rPr>
        <w:t>thirty-one</w:t>
      </w:r>
      <w:r w:rsidR="008F4EF5">
        <w:rPr>
          <w:rFonts w:ascii="Century Gothic" w:hAnsi="Century Gothic"/>
          <w:sz w:val="24"/>
        </w:rPr>
        <w:t>.</w:t>
      </w:r>
    </w:p>
    <w:p w:rsidR="004409AE" w:rsidRDefault="008F4EF5" w:rsidP="00DD3483">
      <w:pPr>
        <w:spacing w:line="360" w:lineRule="auto"/>
        <w:rPr>
          <w:rFonts w:ascii="Century Gothic" w:hAnsi="Century Gothic"/>
          <w:sz w:val="24"/>
        </w:rPr>
      </w:pPr>
      <w:r>
        <w:rPr>
          <w:rFonts w:ascii="Century Gothic" w:hAnsi="Century Gothic"/>
          <w:sz w:val="24"/>
        </w:rPr>
        <w:t>It’s Hebrew name in translation can mean “that which is memorized by rote”</w:t>
      </w:r>
      <w:r w:rsidR="004774F1">
        <w:rPr>
          <w:rFonts w:ascii="Century Gothic" w:hAnsi="Century Gothic"/>
        </w:rPr>
        <w:t>3</w:t>
      </w:r>
      <w:r w:rsidR="0055636F">
        <w:rPr>
          <w:rFonts w:ascii="Century Gothic" w:hAnsi="Century Gothic"/>
          <w:sz w:val="24"/>
        </w:rPr>
        <w:t xml:space="preserve"> (segal)</w:t>
      </w:r>
      <w:r w:rsidR="002045A7">
        <w:rPr>
          <w:rFonts w:ascii="Century Gothic" w:hAnsi="Century Gothic"/>
          <w:sz w:val="24"/>
        </w:rPr>
        <w:t xml:space="preserve"> this represents the tradition of learning at the time as the laws were passed down orally from master to pupil; with a specialist in each discipline within every generation. As the laws were never intended to be written down, the scholars of each generation were known as the </w:t>
      </w:r>
      <w:r w:rsidR="002045A7" w:rsidRPr="002045A7">
        <w:rPr>
          <w:rFonts w:ascii="Century Gothic" w:hAnsi="Century Gothic"/>
          <w:i/>
          <w:sz w:val="24"/>
        </w:rPr>
        <w:t>Amoriam</w:t>
      </w:r>
      <w:r w:rsidR="002045A7">
        <w:rPr>
          <w:rFonts w:ascii="Century Gothic" w:hAnsi="Century Gothic"/>
          <w:i/>
          <w:sz w:val="24"/>
        </w:rPr>
        <w:t xml:space="preserve">, </w:t>
      </w:r>
      <w:r w:rsidR="002045A7">
        <w:rPr>
          <w:rFonts w:ascii="Century Gothic" w:hAnsi="Century Gothic"/>
          <w:sz w:val="24"/>
        </w:rPr>
        <w:t>a Hebrew word to describe those whose occupation it was to recite the Oral Torah aloud in order to allow others to hear.</w:t>
      </w:r>
    </w:p>
    <w:p w:rsidR="002045A7" w:rsidRDefault="002045A7" w:rsidP="00DD3483">
      <w:pPr>
        <w:spacing w:line="360" w:lineRule="auto"/>
        <w:rPr>
          <w:rFonts w:ascii="Century Gothic" w:hAnsi="Century Gothic"/>
          <w:sz w:val="24"/>
        </w:rPr>
      </w:pPr>
      <w:r>
        <w:rPr>
          <w:rFonts w:ascii="Century Gothic" w:hAnsi="Century Gothic"/>
          <w:sz w:val="24"/>
        </w:rPr>
        <w:t xml:space="preserve">After the failed </w:t>
      </w:r>
      <w:r w:rsidR="002C0397">
        <w:rPr>
          <w:rFonts w:ascii="Century Gothic" w:hAnsi="Century Gothic"/>
          <w:sz w:val="24"/>
        </w:rPr>
        <w:t>revolt</w:t>
      </w:r>
      <w:r>
        <w:rPr>
          <w:rFonts w:ascii="Century Gothic" w:hAnsi="Century Gothic"/>
          <w:sz w:val="24"/>
        </w:rPr>
        <w:t xml:space="preserve"> at Bar Kokhba</w:t>
      </w:r>
      <w:r w:rsidR="002C0397">
        <w:rPr>
          <w:rFonts w:ascii="Century Gothic" w:hAnsi="Century Gothic"/>
          <w:sz w:val="24"/>
        </w:rPr>
        <w:t>,</w:t>
      </w:r>
      <w:r>
        <w:rPr>
          <w:rFonts w:ascii="Century Gothic" w:hAnsi="Century Gothic"/>
          <w:sz w:val="24"/>
        </w:rPr>
        <w:t xml:space="preserve"> the </w:t>
      </w:r>
      <w:r w:rsidR="002C0397">
        <w:rPr>
          <w:rFonts w:ascii="Century Gothic" w:hAnsi="Century Gothic"/>
          <w:sz w:val="24"/>
        </w:rPr>
        <w:t xml:space="preserve">centre of Jewish scholarship had moved from Judea to Galilee as the uprising had caused the suppression of </w:t>
      </w:r>
      <w:r w:rsidR="002C0397">
        <w:rPr>
          <w:rFonts w:ascii="Century Gothic" w:hAnsi="Century Gothic"/>
          <w:sz w:val="24"/>
        </w:rPr>
        <w:lastRenderedPageBreak/>
        <w:t xml:space="preserve">the Jewish Community in Judea. </w:t>
      </w:r>
      <w:r w:rsidR="00D11FF4">
        <w:rPr>
          <w:rFonts w:ascii="Century Gothic" w:hAnsi="Century Gothic"/>
          <w:sz w:val="24"/>
        </w:rPr>
        <w:t>Thus,</w:t>
      </w:r>
      <w:r w:rsidR="002C0397">
        <w:rPr>
          <w:rFonts w:ascii="Century Gothic" w:hAnsi="Century Gothic"/>
          <w:sz w:val="24"/>
        </w:rPr>
        <w:t xml:space="preserve"> leading to a rapid decline in Hebrew being a spoken language.</w:t>
      </w:r>
      <w:r w:rsidR="004774F1">
        <w:rPr>
          <w:rFonts w:ascii="Century Gothic" w:hAnsi="Century Gothic"/>
        </w:rPr>
        <w:t>4</w:t>
      </w:r>
      <w:r w:rsidR="002C0397">
        <w:rPr>
          <w:rFonts w:ascii="Century Gothic" w:hAnsi="Century Gothic"/>
          <w:sz w:val="24"/>
        </w:rPr>
        <w:t xml:space="preserve"> </w:t>
      </w:r>
      <w:r w:rsidR="00D11FF4">
        <w:rPr>
          <w:rFonts w:ascii="Century Gothic" w:hAnsi="Century Gothic"/>
          <w:sz w:val="24"/>
        </w:rPr>
        <w:t>Additionally,</w:t>
      </w:r>
      <w:r w:rsidR="002C0397">
        <w:rPr>
          <w:rFonts w:ascii="Century Gothic" w:hAnsi="Century Gothic"/>
          <w:sz w:val="24"/>
        </w:rPr>
        <w:t xml:space="preserve"> as the faith and population of the </w:t>
      </w:r>
      <w:r w:rsidR="00173600">
        <w:rPr>
          <w:rFonts w:ascii="Century Gothic" w:hAnsi="Century Gothic"/>
          <w:sz w:val="24"/>
        </w:rPr>
        <w:t>Israelites</w:t>
      </w:r>
      <w:r w:rsidR="002C0397">
        <w:rPr>
          <w:rFonts w:ascii="Century Gothic" w:hAnsi="Century Gothic"/>
          <w:sz w:val="24"/>
        </w:rPr>
        <w:t xml:space="preserve"> was beginning to dwindle after the loss of the holy land and the </w:t>
      </w:r>
      <w:r w:rsidR="00173600">
        <w:rPr>
          <w:rFonts w:ascii="Century Gothic" w:hAnsi="Century Gothic"/>
          <w:sz w:val="24"/>
        </w:rPr>
        <w:t>Tempe in 70 CE;</w:t>
      </w:r>
      <w:r w:rsidR="002C0397">
        <w:rPr>
          <w:rFonts w:ascii="Century Gothic" w:hAnsi="Century Gothic"/>
          <w:sz w:val="24"/>
        </w:rPr>
        <w:t xml:space="preserve"> it was decided that a written version of the Oral Torah would </w:t>
      </w:r>
      <w:r w:rsidR="00173600">
        <w:rPr>
          <w:rFonts w:ascii="Century Gothic" w:hAnsi="Century Gothic"/>
          <w:sz w:val="24"/>
        </w:rPr>
        <w:t>b</w:t>
      </w:r>
      <w:r w:rsidR="002C0397">
        <w:rPr>
          <w:rFonts w:ascii="Century Gothic" w:hAnsi="Century Gothic"/>
          <w:sz w:val="24"/>
        </w:rPr>
        <w:t>e best.</w:t>
      </w:r>
    </w:p>
    <w:p w:rsidR="002C0397" w:rsidRPr="004774F1" w:rsidRDefault="002C0397" w:rsidP="00DD3483">
      <w:pPr>
        <w:spacing w:line="360" w:lineRule="auto"/>
        <w:rPr>
          <w:rFonts w:ascii="Century Gothic" w:hAnsi="Century Gothic"/>
        </w:rPr>
      </w:pPr>
      <w:r>
        <w:rPr>
          <w:rFonts w:ascii="Century Gothic" w:hAnsi="Century Gothic"/>
          <w:sz w:val="24"/>
        </w:rPr>
        <w:t xml:space="preserve">This decision and task was undertaken by Rabbi Judah ha-Nasi who is also </w:t>
      </w:r>
      <w:r w:rsidR="00173600">
        <w:rPr>
          <w:rFonts w:ascii="Century Gothic" w:hAnsi="Century Gothic"/>
          <w:sz w:val="24"/>
        </w:rPr>
        <w:t>known</w:t>
      </w:r>
      <w:r>
        <w:rPr>
          <w:rFonts w:ascii="Century Gothic" w:hAnsi="Century Gothic"/>
          <w:sz w:val="24"/>
        </w:rPr>
        <w:t xml:space="preserve"> as </w:t>
      </w:r>
      <w:r w:rsidR="00173600">
        <w:rPr>
          <w:rFonts w:ascii="Century Gothic" w:hAnsi="Century Gothic"/>
          <w:sz w:val="24"/>
        </w:rPr>
        <w:t>The Pri</w:t>
      </w:r>
      <w:r w:rsidR="00DD3483">
        <w:rPr>
          <w:rFonts w:ascii="Century Gothic" w:hAnsi="Century Gothic"/>
          <w:sz w:val="24"/>
        </w:rPr>
        <w:t>n</w:t>
      </w:r>
      <w:r w:rsidR="00173600">
        <w:rPr>
          <w:rFonts w:ascii="Century Gothic" w:hAnsi="Century Gothic"/>
          <w:sz w:val="24"/>
        </w:rPr>
        <w:t xml:space="preserve">ce; he is the only person In Jewish history to receive such an </w:t>
      </w:r>
      <w:r w:rsidR="00D11FF4">
        <w:rPr>
          <w:rFonts w:ascii="Century Gothic" w:hAnsi="Century Gothic"/>
          <w:sz w:val="24"/>
        </w:rPr>
        <w:t>honour. Additionally, he was highly regarded for his piety and devotion to the values of scholarship and political law</w:t>
      </w:r>
      <w:r w:rsidR="00DD3483">
        <w:rPr>
          <w:rFonts w:ascii="Century Gothic" w:hAnsi="Century Gothic"/>
          <w:sz w:val="24"/>
        </w:rPr>
        <w:t>.</w:t>
      </w:r>
      <w:r w:rsidR="00D81F88">
        <w:rPr>
          <w:rFonts w:ascii="Century Gothic" w:hAnsi="Century Gothic"/>
          <w:sz w:val="24"/>
        </w:rPr>
        <w:t xml:space="preserve"> His argument for needing a consistent written</w:t>
      </w:r>
      <w:r w:rsidR="0095737B">
        <w:rPr>
          <w:rFonts w:ascii="Century Gothic" w:hAnsi="Century Gothic"/>
          <w:sz w:val="24"/>
        </w:rPr>
        <w:t xml:space="preserve"> account of the Oral Torah can be seen in</w:t>
      </w:r>
      <w:r w:rsidR="006D3E63">
        <w:rPr>
          <w:rFonts w:ascii="Century Gothic" w:hAnsi="Century Gothic"/>
          <w:sz w:val="24"/>
        </w:rPr>
        <w:t xml:space="preserve"> Psalms 119:126</w:t>
      </w:r>
      <w:r w:rsidR="004774F1">
        <w:rPr>
          <w:rFonts w:ascii="Century Gothic" w:hAnsi="Century Gothic"/>
          <w:sz w:val="24"/>
        </w:rPr>
        <w:t xml:space="preserve"> </w:t>
      </w:r>
      <w:r w:rsidR="004774F1">
        <w:rPr>
          <w:rFonts w:ascii="Century Gothic" w:hAnsi="Century Gothic"/>
        </w:rPr>
        <w:t>5</w:t>
      </w:r>
      <w:r w:rsidR="006D3E63">
        <w:rPr>
          <w:rFonts w:ascii="Century Gothic" w:hAnsi="Century Gothic"/>
          <w:sz w:val="24"/>
        </w:rPr>
        <w:t xml:space="preserve"> whilst also stating that the Jewish line faced extinction thus the teachings and law becoming extinct also.</w:t>
      </w:r>
      <w:r w:rsidR="00D81F88">
        <w:rPr>
          <w:rFonts w:ascii="Century Gothic" w:hAnsi="Century Gothic"/>
          <w:sz w:val="24"/>
        </w:rPr>
        <w:t xml:space="preserve"> </w:t>
      </w:r>
      <w:r w:rsidR="00173600">
        <w:rPr>
          <w:rFonts w:ascii="Century Gothic" w:hAnsi="Century Gothic"/>
          <w:sz w:val="24"/>
        </w:rPr>
        <w:t xml:space="preserve"> According to some </w:t>
      </w:r>
      <w:r w:rsidR="00D11FF4">
        <w:rPr>
          <w:rFonts w:ascii="Century Gothic" w:hAnsi="Century Gothic"/>
          <w:sz w:val="24"/>
        </w:rPr>
        <w:t>reports</w:t>
      </w:r>
      <w:r w:rsidR="00173600">
        <w:rPr>
          <w:rFonts w:ascii="Century Gothic" w:hAnsi="Century Gothic"/>
          <w:sz w:val="24"/>
        </w:rPr>
        <w:t xml:space="preserve"> t</w:t>
      </w:r>
      <w:r w:rsidR="00D11FF4">
        <w:rPr>
          <w:rFonts w:ascii="Century Gothic" w:hAnsi="Century Gothic"/>
          <w:sz w:val="24"/>
        </w:rPr>
        <w:t xml:space="preserve">his was not the first time someone had decided to compile a record of the oral law as some of the law </w:t>
      </w:r>
      <w:r w:rsidR="001C6A73">
        <w:rPr>
          <w:rFonts w:ascii="Century Gothic" w:hAnsi="Century Gothic"/>
          <w:sz w:val="24"/>
        </w:rPr>
        <w:t>scholars</w:t>
      </w:r>
      <w:r w:rsidR="00D11FF4">
        <w:rPr>
          <w:rFonts w:ascii="Century Gothic" w:hAnsi="Century Gothic"/>
          <w:sz w:val="24"/>
        </w:rPr>
        <w:t xml:space="preserve"> of the time had written down some of the notes in order to keep the memory fresh and avoid forgetting. This was allowed for multiple reasons, the first of which </w:t>
      </w:r>
      <w:r w:rsidR="001C6A73">
        <w:rPr>
          <w:rFonts w:ascii="Century Gothic" w:hAnsi="Century Gothic"/>
          <w:sz w:val="24"/>
        </w:rPr>
        <w:t xml:space="preserve">being that writing down the oral law would limit scope, the second being that as it is such a large corpus of text, it is not possible to learn from a textbook as other layman laws may. A pupil to teacher or </w:t>
      </w:r>
      <w:r w:rsidR="001C6A73" w:rsidRPr="001C6A73">
        <w:rPr>
          <w:rFonts w:ascii="Century Gothic" w:hAnsi="Century Gothic"/>
          <w:i/>
          <w:sz w:val="24"/>
        </w:rPr>
        <w:t>Rabbi</w:t>
      </w:r>
      <w:r w:rsidR="001C6A73">
        <w:rPr>
          <w:rFonts w:ascii="Century Gothic" w:hAnsi="Century Gothic"/>
          <w:i/>
          <w:sz w:val="24"/>
        </w:rPr>
        <w:t xml:space="preserve"> </w:t>
      </w:r>
      <w:r w:rsidR="00403025" w:rsidRPr="00403025">
        <w:rPr>
          <w:rFonts w:ascii="Century Gothic" w:hAnsi="Century Gothic"/>
          <w:sz w:val="24"/>
        </w:rPr>
        <w:t>relationship</w:t>
      </w:r>
      <w:r w:rsidR="00403025">
        <w:rPr>
          <w:rFonts w:ascii="Century Gothic" w:hAnsi="Century Gothic"/>
          <w:i/>
          <w:sz w:val="24"/>
        </w:rPr>
        <w:t xml:space="preserve"> </w:t>
      </w:r>
      <w:r w:rsidR="001C6A73">
        <w:rPr>
          <w:rFonts w:ascii="Century Gothic" w:hAnsi="Century Gothic"/>
          <w:sz w:val="24"/>
        </w:rPr>
        <w:t>is needed. T</w:t>
      </w:r>
      <w:r w:rsidR="00403025">
        <w:rPr>
          <w:rFonts w:ascii="Century Gothic" w:hAnsi="Century Gothic"/>
          <w:sz w:val="24"/>
        </w:rPr>
        <w:t>h</w:t>
      </w:r>
      <w:r w:rsidR="001C6A73">
        <w:rPr>
          <w:rFonts w:ascii="Century Gothic" w:hAnsi="Century Gothic"/>
          <w:sz w:val="24"/>
        </w:rPr>
        <w:t xml:space="preserve">is point Is emphasised by Jacob Neusener who </w:t>
      </w:r>
      <w:r w:rsidR="00802913">
        <w:rPr>
          <w:rFonts w:ascii="Century Gothic" w:hAnsi="Century Gothic"/>
          <w:sz w:val="24"/>
        </w:rPr>
        <w:t>states,</w:t>
      </w:r>
      <w:r w:rsidR="001C6A73">
        <w:rPr>
          <w:rFonts w:ascii="Century Gothic" w:hAnsi="Century Gothic"/>
          <w:sz w:val="24"/>
        </w:rPr>
        <w:t xml:space="preserve"> “The Mishnah is smallminded, picayune, obvious, dull, routine- everything its age was not” </w:t>
      </w:r>
      <w:r w:rsidR="004774F1">
        <w:rPr>
          <w:rFonts w:ascii="Century Gothic" w:hAnsi="Century Gothic"/>
        </w:rPr>
        <w:t>6</w:t>
      </w:r>
    </w:p>
    <w:p w:rsidR="009D0272" w:rsidRDefault="001C6A73" w:rsidP="00DD3483">
      <w:pPr>
        <w:spacing w:line="360" w:lineRule="auto"/>
        <w:rPr>
          <w:rFonts w:ascii="Century Gothic" w:hAnsi="Century Gothic"/>
          <w:sz w:val="24"/>
        </w:rPr>
      </w:pPr>
      <w:r>
        <w:rPr>
          <w:rFonts w:ascii="Century Gothic" w:hAnsi="Century Gothic"/>
          <w:sz w:val="24"/>
        </w:rPr>
        <w:t>The above quote begins to describe how the Mishnah is laid out</w:t>
      </w:r>
      <w:r w:rsidR="0015638C">
        <w:rPr>
          <w:rFonts w:ascii="Century Gothic" w:hAnsi="Century Gothic"/>
          <w:sz w:val="24"/>
        </w:rPr>
        <w:t>.</w:t>
      </w:r>
      <w:r w:rsidR="009D0272">
        <w:rPr>
          <w:rFonts w:ascii="Century Gothic" w:hAnsi="Century Gothic"/>
          <w:sz w:val="24"/>
        </w:rPr>
        <w:t xml:space="preserve"> Everything in the Mishnah falls in to one of two categories, </w:t>
      </w:r>
      <w:r w:rsidR="009D0272" w:rsidRPr="009D0272">
        <w:rPr>
          <w:rFonts w:ascii="Century Gothic" w:hAnsi="Century Gothic"/>
          <w:i/>
          <w:sz w:val="24"/>
        </w:rPr>
        <w:t>Halakha</w:t>
      </w:r>
      <w:r w:rsidR="009D0272">
        <w:rPr>
          <w:rFonts w:ascii="Century Gothic" w:hAnsi="Century Gothic"/>
          <w:sz w:val="24"/>
        </w:rPr>
        <w:t xml:space="preserve"> meaning law, or </w:t>
      </w:r>
      <w:r w:rsidR="009D0272" w:rsidRPr="009D0272">
        <w:rPr>
          <w:rFonts w:ascii="Century Gothic" w:hAnsi="Century Gothic"/>
          <w:i/>
          <w:sz w:val="24"/>
        </w:rPr>
        <w:lastRenderedPageBreak/>
        <w:t>Aggadah</w:t>
      </w:r>
      <w:r w:rsidR="009D0272">
        <w:rPr>
          <w:rFonts w:ascii="Century Gothic" w:hAnsi="Century Gothic"/>
          <w:sz w:val="24"/>
        </w:rPr>
        <w:t xml:space="preserve"> meaning Lore</w:t>
      </w:r>
      <w:r w:rsidR="00705C60">
        <w:rPr>
          <w:rFonts w:ascii="Century Gothic" w:hAnsi="Century Gothic"/>
          <w:sz w:val="24"/>
        </w:rPr>
        <w:t xml:space="preserve"> </w:t>
      </w:r>
      <w:r w:rsidR="00B7704B">
        <w:rPr>
          <w:rFonts w:ascii="Century Gothic" w:hAnsi="Century Gothic"/>
          <w:sz w:val="20"/>
        </w:rPr>
        <w:t>7</w:t>
      </w:r>
      <w:r w:rsidR="009D0272">
        <w:rPr>
          <w:rFonts w:ascii="Century Gothic" w:hAnsi="Century Gothic"/>
          <w:sz w:val="24"/>
        </w:rPr>
        <w:t xml:space="preserve">. The Halakha covers all legal traditions such as those dealing with the six hundred and thirteen </w:t>
      </w:r>
      <w:r w:rsidR="009D0272" w:rsidRPr="00B7704B">
        <w:rPr>
          <w:rFonts w:ascii="Century Gothic" w:hAnsi="Century Gothic"/>
          <w:i/>
          <w:sz w:val="24"/>
        </w:rPr>
        <w:t>mitzvot</w:t>
      </w:r>
      <w:r w:rsidR="009D0272">
        <w:rPr>
          <w:rFonts w:ascii="Century Gothic" w:hAnsi="Century Gothic"/>
          <w:sz w:val="24"/>
        </w:rPr>
        <w:t xml:space="preserve">; whilst the Aggadah covers everything that falls outside of the </w:t>
      </w:r>
      <w:proofErr w:type="gramStart"/>
      <w:r w:rsidR="009D0272">
        <w:rPr>
          <w:rFonts w:ascii="Century Gothic" w:hAnsi="Century Gothic"/>
          <w:sz w:val="24"/>
        </w:rPr>
        <w:t>aforementioned category</w:t>
      </w:r>
      <w:proofErr w:type="gramEnd"/>
      <w:r w:rsidR="009D0272">
        <w:rPr>
          <w:rFonts w:ascii="Century Gothic" w:hAnsi="Century Gothic"/>
          <w:sz w:val="24"/>
        </w:rPr>
        <w:t>. Such things covered include the Aggadah include; folk law, science and theoretical subjects as well as expenditure on what may be stated in the Torah.</w:t>
      </w:r>
    </w:p>
    <w:p w:rsidR="007807CE" w:rsidRDefault="009D0272" w:rsidP="00DD3483">
      <w:pPr>
        <w:spacing w:line="360" w:lineRule="auto"/>
        <w:rPr>
          <w:rFonts w:ascii="Century Gothic" w:hAnsi="Century Gothic"/>
          <w:sz w:val="24"/>
        </w:rPr>
      </w:pPr>
      <w:r>
        <w:rPr>
          <w:rFonts w:ascii="Century Gothic" w:hAnsi="Century Gothic"/>
          <w:sz w:val="24"/>
        </w:rPr>
        <w:t>T</w:t>
      </w:r>
      <w:r w:rsidR="00BE1B8F">
        <w:rPr>
          <w:rFonts w:ascii="Century Gothic" w:hAnsi="Century Gothic"/>
          <w:sz w:val="24"/>
        </w:rPr>
        <w:t xml:space="preserve">he body of Oral Law is divided in to six </w:t>
      </w:r>
      <w:r w:rsidR="008055AE" w:rsidRPr="00BE1B8F">
        <w:rPr>
          <w:rFonts w:ascii="Century Gothic" w:hAnsi="Century Gothic"/>
          <w:i/>
          <w:sz w:val="24"/>
        </w:rPr>
        <w:t>Seder’s</w:t>
      </w:r>
      <w:r w:rsidR="00BE1B8F">
        <w:rPr>
          <w:rFonts w:ascii="Century Gothic" w:hAnsi="Century Gothic"/>
          <w:sz w:val="24"/>
        </w:rPr>
        <w:t xml:space="preserve"> (Orders</w:t>
      </w:r>
      <w:r w:rsidR="008055AE">
        <w:rPr>
          <w:rFonts w:ascii="Century Gothic" w:hAnsi="Century Gothic"/>
          <w:sz w:val="24"/>
        </w:rPr>
        <w:t>,</w:t>
      </w:r>
      <w:r w:rsidR="00BE1B8F">
        <w:rPr>
          <w:rFonts w:ascii="Century Gothic" w:hAnsi="Century Gothic"/>
          <w:sz w:val="24"/>
        </w:rPr>
        <w:t>)</w:t>
      </w:r>
      <w:r w:rsidR="008055AE">
        <w:rPr>
          <w:rFonts w:ascii="Century Gothic" w:hAnsi="Century Gothic"/>
          <w:sz w:val="24"/>
        </w:rPr>
        <w:t xml:space="preserve"> each with its respected number of tractates. In total there are six Seder’s and sixty-three tractates, with the largest amount seen in one order being twelve</w:t>
      </w:r>
      <w:r w:rsidR="00BE1B8F">
        <w:rPr>
          <w:rFonts w:ascii="Century Gothic" w:hAnsi="Century Gothic"/>
          <w:sz w:val="24"/>
        </w:rPr>
        <w:t xml:space="preserve"> The First of </w:t>
      </w:r>
      <w:r w:rsidR="007807CE">
        <w:rPr>
          <w:rFonts w:ascii="Century Gothic" w:hAnsi="Century Gothic"/>
          <w:sz w:val="24"/>
        </w:rPr>
        <w:t>which</w:t>
      </w:r>
      <w:r w:rsidR="00BE1B8F">
        <w:rPr>
          <w:rFonts w:ascii="Century Gothic" w:hAnsi="Century Gothic"/>
          <w:sz w:val="24"/>
        </w:rPr>
        <w:t xml:space="preserve"> being </w:t>
      </w:r>
      <w:r w:rsidR="00BE1B8F" w:rsidRPr="00BE1B8F">
        <w:rPr>
          <w:rFonts w:ascii="Century Gothic" w:hAnsi="Century Gothic"/>
          <w:i/>
          <w:sz w:val="24"/>
        </w:rPr>
        <w:t>Zera’im</w:t>
      </w:r>
      <w:r w:rsidR="00BE1B8F">
        <w:rPr>
          <w:rFonts w:ascii="Century Gothic" w:hAnsi="Century Gothic"/>
          <w:i/>
          <w:sz w:val="24"/>
        </w:rPr>
        <w:t xml:space="preserve"> </w:t>
      </w:r>
      <w:r w:rsidR="00BE1B8F">
        <w:rPr>
          <w:rFonts w:ascii="Century Gothic" w:hAnsi="Century Gothic"/>
          <w:sz w:val="24"/>
        </w:rPr>
        <w:t xml:space="preserve">(Seeds.) </w:t>
      </w:r>
      <w:r w:rsidR="007807CE">
        <w:rPr>
          <w:rFonts w:ascii="Century Gothic" w:hAnsi="Century Gothic"/>
          <w:sz w:val="24"/>
        </w:rPr>
        <w:t xml:space="preserve">This Seder addresses the benedictions, regulation and prayers regarding agriculture and tithes to the poor, priests and Levites. Benedictions and agricultural laws were placed together in this section as it is </w:t>
      </w:r>
      <w:r w:rsidR="009E6EB0">
        <w:rPr>
          <w:rFonts w:ascii="Century Gothic" w:hAnsi="Century Gothic"/>
          <w:sz w:val="24"/>
        </w:rPr>
        <w:t>believed</w:t>
      </w:r>
      <w:r w:rsidR="007807CE">
        <w:rPr>
          <w:rFonts w:ascii="Century Gothic" w:hAnsi="Century Gothic"/>
          <w:sz w:val="24"/>
        </w:rPr>
        <w:t xml:space="preserve"> food is a gift from God, therefor thanking God for that blessing is seen as key before disgusting any other subject. Additionally, this </w:t>
      </w:r>
      <w:r w:rsidR="009E6EB0">
        <w:rPr>
          <w:rFonts w:ascii="Century Gothic" w:hAnsi="Century Gothic"/>
          <w:sz w:val="24"/>
        </w:rPr>
        <w:t>Seder</w:t>
      </w:r>
      <w:r w:rsidR="007807CE">
        <w:rPr>
          <w:rFonts w:ascii="Century Gothic" w:hAnsi="Century Gothic"/>
          <w:sz w:val="24"/>
        </w:rPr>
        <w:t xml:space="preserve"> </w:t>
      </w:r>
      <w:r w:rsidR="009E6EB0">
        <w:rPr>
          <w:rFonts w:ascii="Century Gothic" w:hAnsi="Century Gothic"/>
          <w:sz w:val="24"/>
        </w:rPr>
        <w:t>discusses</w:t>
      </w:r>
      <w:r w:rsidR="007807CE">
        <w:rPr>
          <w:rFonts w:ascii="Century Gothic" w:hAnsi="Century Gothic"/>
          <w:sz w:val="24"/>
        </w:rPr>
        <w:t xml:space="preserve"> the laws on mixing fabrics and the sowing of certain seeds together.</w:t>
      </w:r>
    </w:p>
    <w:p w:rsidR="008120E1" w:rsidRPr="00B7704B" w:rsidRDefault="007807CE" w:rsidP="00DD3483">
      <w:pPr>
        <w:spacing w:line="360" w:lineRule="auto"/>
        <w:rPr>
          <w:rFonts w:ascii="Century Gothic" w:hAnsi="Century Gothic"/>
        </w:rPr>
      </w:pPr>
      <w:r>
        <w:rPr>
          <w:rFonts w:ascii="Century Gothic" w:hAnsi="Century Gothic"/>
          <w:sz w:val="24"/>
        </w:rPr>
        <w:t>The second Seder</w:t>
      </w:r>
      <w:r w:rsidR="009E6EB0" w:rsidRPr="009E6EB0">
        <w:rPr>
          <w:rFonts w:ascii="Century Gothic" w:hAnsi="Century Gothic"/>
          <w:sz w:val="24"/>
        </w:rPr>
        <w:t xml:space="preserve"> </w:t>
      </w:r>
      <w:r w:rsidR="009E6EB0">
        <w:rPr>
          <w:rFonts w:ascii="Century Gothic" w:hAnsi="Century Gothic"/>
          <w:sz w:val="24"/>
        </w:rPr>
        <w:t xml:space="preserve">Mo’ed, meaning “fixed seasons” </w:t>
      </w:r>
      <w:r w:rsidR="00B7704B">
        <w:rPr>
          <w:rFonts w:ascii="Century Gothic" w:hAnsi="Century Gothic"/>
          <w:sz w:val="20"/>
        </w:rPr>
        <w:t>8</w:t>
      </w:r>
      <w:r>
        <w:rPr>
          <w:rFonts w:ascii="Century Gothic" w:hAnsi="Century Gothic"/>
          <w:sz w:val="24"/>
        </w:rPr>
        <w:t xml:space="preserve"> </w:t>
      </w:r>
      <w:r w:rsidR="009E6EB0">
        <w:rPr>
          <w:rFonts w:ascii="Century Gothic" w:hAnsi="Century Gothic"/>
          <w:sz w:val="24"/>
        </w:rPr>
        <w:t>contains</w:t>
      </w:r>
      <w:r>
        <w:rPr>
          <w:rFonts w:ascii="Century Gothic" w:hAnsi="Century Gothic"/>
          <w:sz w:val="24"/>
        </w:rPr>
        <w:t xml:space="preserve"> Tractates </w:t>
      </w:r>
      <w:r w:rsidR="009E6EB0">
        <w:rPr>
          <w:rFonts w:ascii="Century Gothic" w:hAnsi="Century Gothic"/>
          <w:sz w:val="24"/>
        </w:rPr>
        <w:t>discussing</w:t>
      </w:r>
      <w:r>
        <w:rPr>
          <w:rFonts w:ascii="Century Gothic" w:hAnsi="Century Gothic"/>
          <w:sz w:val="24"/>
        </w:rPr>
        <w:t xml:space="preserve"> the laws of the festivals such as </w:t>
      </w:r>
      <w:r w:rsidRPr="009E6EB0">
        <w:rPr>
          <w:rFonts w:ascii="Century Gothic" w:hAnsi="Century Gothic"/>
          <w:i/>
          <w:sz w:val="24"/>
        </w:rPr>
        <w:t>sabbath</w:t>
      </w:r>
      <w:r w:rsidR="009E6EB0" w:rsidRPr="009E6EB0">
        <w:rPr>
          <w:rFonts w:ascii="Century Gothic" w:hAnsi="Century Gothic"/>
          <w:i/>
          <w:sz w:val="24"/>
        </w:rPr>
        <w:t>, Sukkah, Taanit</w:t>
      </w:r>
      <w:r w:rsidR="009E6EB0">
        <w:rPr>
          <w:rFonts w:ascii="Century Gothic" w:hAnsi="Century Gothic"/>
          <w:sz w:val="24"/>
        </w:rPr>
        <w:t xml:space="preserve"> and many others. </w:t>
      </w:r>
      <w:r w:rsidR="00802913">
        <w:rPr>
          <w:rFonts w:ascii="Century Gothic" w:hAnsi="Century Gothic"/>
          <w:sz w:val="24"/>
        </w:rPr>
        <w:t>An</w:t>
      </w:r>
      <w:r w:rsidR="008120E1">
        <w:rPr>
          <w:rFonts w:ascii="Century Gothic" w:hAnsi="Century Gothic"/>
          <w:sz w:val="24"/>
        </w:rPr>
        <w:t xml:space="preserve"> example of a topic which is </w:t>
      </w:r>
      <w:r w:rsidR="00802913">
        <w:rPr>
          <w:rFonts w:ascii="Century Gothic" w:hAnsi="Century Gothic"/>
          <w:sz w:val="24"/>
        </w:rPr>
        <w:t>discussed</w:t>
      </w:r>
      <w:r w:rsidR="008120E1">
        <w:rPr>
          <w:rFonts w:ascii="Century Gothic" w:hAnsi="Century Gothic"/>
          <w:sz w:val="24"/>
        </w:rPr>
        <w:t xml:space="preserve"> is the acts which the </w:t>
      </w:r>
      <w:r w:rsidR="00802913">
        <w:rPr>
          <w:rFonts w:ascii="Century Gothic" w:hAnsi="Century Gothic"/>
          <w:sz w:val="24"/>
        </w:rPr>
        <w:t>Jewish</w:t>
      </w:r>
      <w:r w:rsidR="008120E1">
        <w:rPr>
          <w:rFonts w:ascii="Century Gothic" w:hAnsi="Century Gothic"/>
          <w:sz w:val="24"/>
        </w:rPr>
        <w:t xml:space="preserve"> population are forbidden to perform on the sabbath, including the “</w:t>
      </w:r>
      <w:r w:rsidR="00802913">
        <w:rPr>
          <w:rFonts w:ascii="Century Gothic" w:hAnsi="Century Gothic"/>
          <w:sz w:val="24"/>
        </w:rPr>
        <w:t>thirty-nine</w:t>
      </w:r>
      <w:r w:rsidR="008120E1">
        <w:rPr>
          <w:rFonts w:ascii="Century Gothic" w:hAnsi="Century Gothic"/>
          <w:sz w:val="24"/>
        </w:rPr>
        <w:t xml:space="preserve"> archetypes of forbidden </w:t>
      </w:r>
      <w:r w:rsidR="00802913">
        <w:rPr>
          <w:rFonts w:ascii="Century Gothic" w:hAnsi="Century Gothic"/>
          <w:sz w:val="24"/>
        </w:rPr>
        <w:t>labour, each</w:t>
      </w:r>
      <w:r w:rsidR="008120E1">
        <w:rPr>
          <w:rFonts w:ascii="Century Gothic" w:hAnsi="Century Gothic"/>
          <w:sz w:val="24"/>
        </w:rPr>
        <w:t xml:space="preserve"> of which has its </w:t>
      </w:r>
      <w:r w:rsidR="00802913">
        <w:rPr>
          <w:rFonts w:ascii="Century Gothic" w:hAnsi="Century Gothic"/>
          <w:sz w:val="24"/>
        </w:rPr>
        <w:t>own</w:t>
      </w:r>
      <w:r w:rsidR="008120E1">
        <w:rPr>
          <w:rFonts w:ascii="Century Gothic" w:hAnsi="Century Gothic"/>
          <w:sz w:val="24"/>
        </w:rPr>
        <w:t xml:space="preserve"> minimum measure of how much a person must do </w:t>
      </w:r>
      <w:proofErr w:type="gramStart"/>
      <w:r w:rsidR="008120E1">
        <w:rPr>
          <w:rFonts w:ascii="Century Gothic" w:hAnsi="Century Gothic"/>
          <w:sz w:val="24"/>
        </w:rPr>
        <w:t xml:space="preserve">in </w:t>
      </w:r>
      <w:r w:rsidR="00802913">
        <w:rPr>
          <w:rFonts w:ascii="Century Gothic" w:hAnsi="Century Gothic"/>
          <w:sz w:val="24"/>
        </w:rPr>
        <w:t>order</w:t>
      </w:r>
      <w:r w:rsidR="008120E1">
        <w:rPr>
          <w:rFonts w:ascii="Century Gothic" w:hAnsi="Century Gothic"/>
          <w:sz w:val="24"/>
        </w:rPr>
        <w:t xml:space="preserve"> to</w:t>
      </w:r>
      <w:proofErr w:type="gramEnd"/>
      <w:r w:rsidR="008120E1">
        <w:rPr>
          <w:rFonts w:ascii="Century Gothic" w:hAnsi="Century Gothic"/>
          <w:sz w:val="24"/>
        </w:rPr>
        <w:t xml:space="preserve"> be punishable.”</w:t>
      </w:r>
      <w:r w:rsidR="00B7704B">
        <w:rPr>
          <w:rFonts w:ascii="Century Gothic" w:hAnsi="Century Gothic"/>
        </w:rPr>
        <w:t>9</w:t>
      </w:r>
    </w:p>
    <w:p w:rsidR="008055AE" w:rsidRDefault="008055AE" w:rsidP="00DD3483">
      <w:pPr>
        <w:spacing w:line="360" w:lineRule="auto"/>
        <w:rPr>
          <w:rFonts w:ascii="Century Gothic" w:hAnsi="Century Gothic"/>
          <w:sz w:val="24"/>
        </w:rPr>
      </w:pPr>
      <w:r>
        <w:rPr>
          <w:rFonts w:ascii="Century Gothic" w:hAnsi="Century Gothic"/>
          <w:sz w:val="24"/>
        </w:rPr>
        <w:lastRenderedPageBreak/>
        <w:t xml:space="preserve">Nashim is the </w:t>
      </w:r>
      <w:r w:rsidR="00B85A8E">
        <w:rPr>
          <w:rFonts w:ascii="Century Gothic" w:hAnsi="Century Gothic"/>
          <w:sz w:val="24"/>
        </w:rPr>
        <w:t xml:space="preserve">third, concerning the </w:t>
      </w:r>
      <w:r w:rsidR="00FC3386">
        <w:rPr>
          <w:rFonts w:ascii="Century Gothic" w:hAnsi="Century Gothic"/>
          <w:sz w:val="24"/>
        </w:rPr>
        <w:t>regulation</w:t>
      </w:r>
      <w:r w:rsidR="00B85A8E">
        <w:rPr>
          <w:rFonts w:ascii="Century Gothic" w:hAnsi="Century Gothic"/>
          <w:sz w:val="24"/>
        </w:rPr>
        <w:t xml:space="preserve"> of marriage and divorce. Divorce is a topic barely covered in the Torah, therefor it is fitting that there is much </w:t>
      </w:r>
      <w:r w:rsidR="00FC3386">
        <w:rPr>
          <w:rFonts w:ascii="Century Gothic" w:hAnsi="Century Gothic"/>
          <w:sz w:val="24"/>
        </w:rPr>
        <w:t>scholarly</w:t>
      </w:r>
      <w:r w:rsidR="00B85A8E">
        <w:rPr>
          <w:rFonts w:ascii="Century Gothic" w:hAnsi="Century Gothic"/>
          <w:sz w:val="24"/>
        </w:rPr>
        <w:t xml:space="preserve"> </w:t>
      </w:r>
      <w:r w:rsidR="00FC3386">
        <w:rPr>
          <w:rFonts w:ascii="Century Gothic" w:hAnsi="Century Gothic"/>
          <w:sz w:val="24"/>
        </w:rPr>
        <w:t>discussion</w:t>
      </w:r>
      <w:r w:rsidR="00B85A8E">
        <w:rPr>
          <w:rFonts w:ascii="Century Gothic" w:hAnsi="Century Gothic"/>
          <w:sz w:val="24"/>
        </w:rPr>
        <w:t xml:space="preserve"> around the matter in</w:t>
      </w:r>
      <w:r w:rsidR="00FC3386">
        <w:rPr>
          <w:rFonts w:ascii="Century Gothic" w:hAnsi="Century Gothic"/>
          <w:sz w:val="24"/>
        </w:rPr>
        <w:t xml:space="preserve">cluded in the </w:t>
      </w:r>
      <w:r w:rsidR="00746C4E">
        <w:rPr>
          <w:rFonts w:ascii="Century Gothic" w:hAnsi="Century Gothic"/>
          <w:sz w:val="24"/>
        </w:rPr>
        <w:t xml:space="preserve">scripture. Additionally, a controversial topic covered in </w:t>
      </w:r>
      <w:r w:rsidR="00D714F9">
        <w:rPr>
          <w:rFonts w:ascii="Century Gothic" w:hAnsi="Century Gothic"/>
          <w:sz w:val="24"/>
        </w:rPr>
        <w:t xml:space="preserve">its tractate is the </w:t>
      </w:r>
      <w:r w:rsidR="00D714F9" w:rsidRPr="00B7704B">
        <w:rPr>
          <w:rFonts w:ascii="Century Gothic" w:hAnsi="Century Gothic"/>
          <w:i/>
          <w:sz w:val="24"/>
        </w:rPr>
        <w:t>get</w:t>
      </w:r>
      <w:r w:rsidR="00D714F9">
        <w:rPr>
          <w:rFonts w:ascii="Century Gothic" w:hAnsi="Century Gothic"/>
          <w:sz w:val="24"/>
        </w:rPr>
        <w:t>, a document required to be presented to the woman by the man when a divorce is wanted.</w:t>
      </w:r>
      <w:r w:rsidR="00746C4E">
        <w:rPr>
          <w:rFonts w:ascii="Century Gothic" w:hAnsi="Century Gothic"/>
          <w:sz w:val="24"/>
        </w:rPr>
        <w:t xml:space="preserve"> </w:t>
      </w:r>
    </w:p>
    <w:p w:rsidR="00D714F9" w:rsidRDefault="00D714F9" w:rsidP="00DD3483">
      <w:pPr>
        <w:spacing w:line="360" w:lineRule="auto"/>
        <w:rPr>
          <w:rFonts w:ascii="Century Gothic" w:hAnsi="Century Gothic"/>
          <w:sz w:val="24"/>
        </w:rPr>
      </w:pPr>
      <w:r>
        <w:rPr>
          <w:rFonts w:ascii="Century Gothic" w:hAnsi="Century Gothic"/>
          <w:sz w:val="24"/>
        </w:rPr>
        <w:t xml:space="preserve">Nezikin meaning damages is the </w:t>
      </w:r>
      <w:r w:rsidR="00802913">
        <w:rPr>
          <w:rFonts w:ascii="Century Gothic" w:hAnsi="Century Gothic"/>
          <w:sz w:val="24"/>
        </w:rPr>
        <w:t>fourth Seder</w:t>
      </w:r>
      <w:r>
        <w:rPr>
          <w:rFonts w:ascii="Century Gothic" w:hAnsi="Century Gothic"/>
          <w:sz w:val="24"/>
        </w:rPr>
        <w:t xml:space="preserve"> which concerns itself with matters of the law, whether civil or criminal, whilst also discussing the laws of idolatry. Idolatry is concentrated greatly on in the tractate of </w:t>
      </w:r>
      <w:r w:rsidRPr="00B7704B">
        <w:rPr>
          <w:rFonts w:ascii="Century Gothic" w:hAnsi="Century Gothic"/>
          <w:i/>
          <w:sz w:val="24"/>
        </w:rPr>
        <w:t>Avodah Zarah</w:t>
      </w:r>
      <w:r w:rsidR="008120E1">
        <w:rPr>
          <w:rFonts w:ascii="Century Gothic" w:hAnsi="Century Gothic"/>
          <w:sz w:val="24"/>
        </w:rPr>
        <w:t xml:space="preserve"> </w:t>
      </w:r>
      <w:r w:rsidR="00B7704B">
        <w:rPr>
          <w:rFonts w:ascii="Century Gothic" w:hAnsi="Century Gothic"/>
          <w:sz w:val="24"/>
        </w:rPr>
        <w:t>10</w:t>
      </w:r>
    </w:p>
    <w:p w:rsidR="00802913" w:rsidRDefault="00802913" w:rsidP="00DD3483">
      <w:pPr>
        <w:spacing w:line="360" w:lineRule="auto"/>
        <w:rPr>
          <w:rFonts w:ascii="Century Gothic" w:hAnsi="Century Gothic"/>
          <w:sz w:val="24"/>
        </w:rPr>
      </w:pPr>
      <w:r>
        <w:rPr>
          <w:rFonts w:ascii="Century Gothic" w:hAnsi="Century Gothic"/>
          <w:sz w:val="24"/>
        </w:rPr>
        <w:t xml:space="preserve">The Seder covering some of the most controversial aspects is the </w:t>
      </w:r>
      <w:r w:rsidRPr="00B7704B">
        <w:rPr>
          <w:rFonts w:ascii="Century Gothic" w:hAnsi="Century Gothic"/>
          <w:i/>
          <w:sz w:val="24"/>
        </w:rPr>
        <w:t>Kodashim</w:t>
      </w:r>
      <w:r>
        <w:rPr>
          <w:rFonts w:ascii="Century Gothic" w:hAnsi="Century Gothic"/>
          <w:sz w:val="24"/>
        </w:rPr>
        <w:t>. This Seder concerns itself with the holy things such as temple sacrifice and the priesthood. It is arguable that this section alone could have been one of the most significant at it’s producing as the destruction of the temple and the dispersion of the Jewish people is one of the reasons that initially prompted Judah Ha Nassi to write the produce a written copy of the Oral Torah</w:t>
      </w:r>
      <w:r w:rsidR="00C725CA">
        <w:rPr>
          <w:rFonts w:ascii="Century Gothic" w:hAnsi="Century Gothic"/>
          <w:sz w:val="24"/>
        </w:rPr>
        <w:t>.</w:t>
      </w:r>
    </w:p>
    <w:p w:rsidR="00C725CA" w:rsidRDefault="00C725CA" w:rsidP="00DD3483">
      <w:pPr>
        <w:spacing w:line="360" w:lineRule="auto"/>
        <w:rPr>
          <w:rFonts w:ascii="Century Gothic" w:hAnsi="Century Gothic"/>
          <w:sz w:val="24"/>
        </w:rPr>
      </w:pPr>
      <w:r>
        <w:rPr>
          <w:rFonts w:ascii="Century Gothic" w:hAnsi="Century Gothic"/>
          <w:sz w:val="24"/>
        </w:rPr>
        <w:t xml:space="preserve">The final section of the Oral Torah is the Torhot which is believed to include discussion on matter such at ritual purity such as the use of the </w:t>
      </w:r>
      <w:r w:rsidRPr="00B7704B">
        <w:rPr>
          <w:rFonts w:ascii="Century Gothic" w:hAnsi="Century Gothic"/>
          <w:i/>
          <w:sz w:val="24"/>
        </w:rPr>
        <w:t>Mikveh</w:t>
      </w:r>
      <w:r>
        <w:rPr>
          <w:rFonts w:ascii="Century Gothic" w:hAnsi="Century Gothic"/>
          <w:sz w:val="24"/>
        </w:rPr>
        <w:t xml:space="preserve"> and many of the old now irrelevant laws of purity concerned with the Temple.</w:t>
      </w:r>
    </w:p>
    <w:p w:rsidR="009E6EB0" w:rsidRDefault="00F17539" w:rsidP="00DD3483">
      <w:pPr>
        <w:spacing w:line="360" w:lineRule="auto"/>
        <w:rPr>
          <w:rFonts w:ascii="Century Gothic" w:hAnsi="Century Gothic"/>
          <w:sz w:val="24"/>
        </w:rPr>
      </w:pPr>
      <w:r>
        <w:rPr>
          <w:rFonts w:ascii="Century Gothic" w:hAnsi="Century Gothic"/>
          <w:sz w:val="24"/>
        </w:rPr>
        <w:t>Within the tradition of Reform Judaism which was established by Abraham</w:t>
      </w:r>
      <w:r w:rsidRPr="00F17539">
        <w:rPr>
          <w:rFonts w:ascii="Century Gothic" w:hAnsi="Century Gothic"/>
          <w:sz w:val="24"/>
        </w:rPr>
        <w:t xml:space="preserve"> Geiger</w:t>
      </w:r>
      <w:r>
        <w:rPr>
          <w:rFonts w:ascii="Century Gothic" w:hAnsi="Century Gothic"/>
          <w:sz w:val="24"/>
        </w:rPr>
        <w:t xml:space="preserve"> in Germany during the Eighteenth century take the same stance as the Sadducees during the time of them second Temple</w:t>
      </w:r>
      <w:r w:rsidR="001509CD">
        <w:rPr>
          <w:rFonts w:ascii="Century Gothic" w:hAnsi="Century Gothic"/>
          <w:sz w:val="24"/>
        </w:rPr>
        <w:t xml:space="preserve"> when considering the authority of the Oral Torah</w:t>
      </w:r>
      <w:r>
        <w:rPr>
          <w:rFonts w:ascii="Century Gothic" w:hAnsi="Century Gothic"/>
          <w:sz w:val="24"/>
        </w:rPr>
        <w:t>. They believed that only the written law</w:t>
      </w:r>
      <w:r w:rsidR="001509CD">
        <w:rPr>
          <w:rFonts w:ascii="Century Gothic" w:hAnsi="Century Gothic"/>
          <w:sz w:val="24"/>
        </w:rPr>
        <w:t xml:space="preserve"> </w:t>
      </w:r>
      <w:r w:rsidR="00B7704B">
        <w:rPr>
          <w:rFonts w:ascii="Century Gothic" w:hAnsi="Century Gothic"/>
          <w:sz w:val="24"/>
        </w:rPr>
        <w:t>derived</w:t>
      </w:r>
      <w:r w:rsidR="001509CD">
        <w:rPr>
          <w:rFonts w:ascii="Century Gothic" w:hAnsi="Century Gothic"/>
          <w:sz w:val="24"/>
        </w:rPr>
        <w:t xml:space="preserve"> </w:t>
      </w:r>
      <w:r w:rsidR="001509CD">
        <w:rPr>
          <w:rFonts w:ascii="Century Gothic" w:hAnsi="Century Gothic"/>
          <w:sz w:val="24"/>
        </w:rPr>
        <w:lastRenderedPageBreak/>
        <w:t>from the Torah</w:t>
      </w:r>
      <w:r>
        <w:rPr>
          <w:rFonts w:ascii="Century Gothic" w:hAnsi="Century Gothic"/>
          <w:sz w:val="24"/>
        </w:rPr>
        <w:t xml:space="preserve"> </w:t>
      </w:r>
      <w:r w:rsidR="001509CD">
        <w:rPr>
          <w:rFonts w:ascii="Century Gothic" w:hAnsi="Century Gothic"/>
          <w:sz w:val="24"/>
        </w:rPr>
        <w:t xml:space="preserve">itself </w:t>
      </w:r>
      <w:r>
        <w:rPr>
          <w:rFonts w:ascii="Century Gothic" w:hAnsi="Century Gothic"/>
          <w:sz w:val="24"/>
        </w:rPr>
        <w:t>had any relevance and authority to the Israelites and all later interpretations of the law may be ignored as they did not come from Moses himself, therefor they did not come from God.</w:t>
      </w:r>
      <w:r w:rsidR="00B7704B">
        <w:rPr>
          <w:rFonts w:ascii="Century Gothic" w:hAnsi="Century Gothic"/>
          <w:sz w:val="24"/>
        </w:rPr>
        <w:t>11</w:t>
      </w:r>
      <w:r>
        <w:rPr>
          <w:rFonts w:ascii="Century Gothic" w:hAnsi="Century Gothic"/>
          <w:sz w:val="24"/>
        </w:rPr>
        <w:t xml:space="preserve"> </w:t>
      </w:r>
    </w:p>
    <w:p w:rsidR="00F17539" w:rsidRDefault="00F17539" w:rsidP="00DD3483">
      <w:pPr>
        <w:spacing w:line="360" w:lineRule="auto"/>
        <w:rPr>
          <w:rFonts w:ascii="Century Gothic" w:hAnsi="Century Gothic"/>
          <w:sz w:val="24"/>
        </w:rPr>
      </w:pPr>
      <w:r>
        <w:rPr>
          <w:rFonts w:ascii="Century Gothic" w:hAnsi="Century Gothic"/>
          <w:sz w:val="24"/>
        </w:rPr>
        <w:t>However, those of the Reform tradition did not omit the Halakhic laws completely as Rabbi Samuel Holdeim argued Halackic law was to be interpreted and adapted for everyday use.</w:t>
      </w:r>
      <w:r w:rsidR="00FB08D6">
        <w:rPr>
          <w:rFonts w:ascii="Century Gothic" w:hAnsi="Century Gothic"/>
          <w:sz w:val="24"/>
        </w:rPr>
        <w:t xml:space="preserve"> The authority of the Talmud and much of its content is seen as irrelevant to those who practice within the Reform schools of Judaism. This is due to the need for adaption in the time of Moses Mendelson who brought forth the school of Reform arguing that in order for the tradition to survive, they needed to adapt. Meaning practices such as the Circumcision of males on the eights day and the use of the Shofar were no longer deemed as important</w:t>
      </w:r>
      <w:r w:rsidR="001509CD">
        <w:rPr>
          <w:rFonts w:ascii="Century Gothic" w:hAnsi="Century Gothic"/>
          <w:sz w:val="24"/>
        </w:rPr>
        <w:t xml:space="preserve"> as they did not flow with the changing of times and was seen to keep Judaism in the past and not allow it to evolve in to what we see today</w:t>
      </w:r>
      <w:r w:rsidR="00FB08D6">
        <w:rPr>
          <w:rFonts w:ascii="Century Gothic" w:hAnsi="Century Gothic"/>
          <w:sz w:val="24"/>
        </w:rPr>
        <w:t>.</w:t>
      </w:r>
    </w:p>
    <w:p w:rsidR="00FB08D6" w:rsidRDefault="00FB08D6" w:rsidP="00DD3483">
      <w:pPr>
        <w:spacing w:line="360" w:lineRule="auto"/>
        <w:rPr>
          <w:rFonts w:ascii="Century Gothic" w:hAnsi="Century Gothic"/>
          <w:sz w:val="24"/>
        </w:rPr>
      </w:pPr>
      <w:r>
        <w:rPr>
          <w:rFonts w:ascii="Century Gothic" w:hAnsi="Century Gothic"/>
          <w:sz w:val="24"/>
        </w:rPr>
        <w:t xml:space="preserve">In the school of Conservative </w:t>
      </w:r>
      <w:r w:rsidR="00735426">
        <w:rPr>
          <w:rFonts w:ascii="Century Gothic" w:hAnsi="Century Gothic"/>
          <w:sz w:val="24"/>
        </w:rPr>
        <w:t>Judaism,</w:t>
      </w:r>
      <w:r>
        <w:rPr>
          <w:rFonts w:ascii="Century Gothic" w:hAnsi="Century Gothic"/>
          <w:sz w:val="24"/>
        </w:rPr>
        <w:t xml:space="preserve"> the use of the Mishnah and its related documents </w:t>
      </w:r>
      <w:proofErr w:type="gramStart"/>
      <w:r w:rsidR="00CF2F06">
        <w:rPr>
          <w:rFonts w:ascii="Century Gothic" w:hAnsi="Century Gothic"/>
          <w:sz w:val="24"/>
        </w:rPr>
        <w:t>is seen as</w:t>
      </w:r>
      <w:proofErr w:type="gramEnd"/>
      <w:r w:rsidR="00CF2F06">
        <w:rPr>
          <w:rFonts w:ascii="Century Gothic" w:hAnsi="Century Gothic"/>
          <w:sz w:val="24"/>
        </w:rPr>
        <w:t xml:space="preserve"> open to interpretation. Those practicing in this </w:t>
      </w:r>
      <w:r w:rsidR="00735426">
        <w:rPr>
          <w:rFonts w:ascii="Century Gothic" w:hAnsi="Century Gothic"/>
          <w:sz w:val="24"/>
        </w:rPr>
        <w:t>school will</w:t>
      </w:r>
      <w:r w:rsidR="00CF2F06">
        <w:rPr>
          <w:rFonts w:ascii="Century Gothic" w:hAnsi="Century Gothic"/>
          <w:sz w:val="24"/>
        </w:rPr>
        <w:t xml:space="preserve"> keep some of the more important matters covered in the Mishnah whilst omitting some of the others. Examples of accepted practices include </w:t>
      </w:r>
      <w:r w:rsidR="00A9142C">
        <w:rPr>
          <w:rFonts w:ascii="Century Gothic" w:hAnsi="Century Gothic"/>
          <w:sz w:val="24"/>
        </w:rPr>
        <w:t xml:space="preserve">the traditions needed to perform Shabbat. Some aspects of the Shabbat festival will have been accepted whilst others less necessary will have been omitted. Examples include the allowing of women to be a part of the </w:t>
      </w:r>
      <w:r w:rsidR="00A9142C" w:rsidRPr="00B7704B">
        <w:rPr>
          <w:rFonts w:ascii="Century Gothic" w:hAnsi="Century Gothic"/>
          <w:i/>
          <w:sz w:val="24"/>
        </w:rPr>
        <w:t>Quorum</w:t>
      </w:r>
      <w:r w:rsidR="00A9142C">
        <w:rPr>
          <w:rFonts w:ascii="Century Gothic" w:hAnsi="Century Gothic"/>
          <w:sz w:val="24"/>
        </w:rPr>
        <w:t xml:space="preserve"> of ten men needed to open the Ark on holy days, alongside the recent ruling to allow same sex marriage within the tradition. This making them school of </w:t>
      </w:r>
      <w:r w:rsidR="00A9142C">
        <w:rPr>
          <w:rFonts w:ascii="Century Gothic" w:hAnsi="Century Gothic"/>
          <w:sz w:val="24"/>
        </w:rPr>
        <w:lastRenderedPageBreak/>
        <w:t>Conservative the first to allow such a decision making it a pioneer in the Jewish faith.</w:t>
      </w:r>
      <w:r w:rsidR="001509CD">
        <w:rPr>
          <w:rFonts w:ascii="Century Gothic" w:hAnsi="Century Gothic"/>
          <w:sz w:val="24"/>
        </w:rPr>
        <w:t xml:space="preserve"> Without debating and omitting some aspects of the Mishnah this would not have been possible.</w:t>
      </w:r>
    </w:p>
    <w:p w:rsidR="00A9142C" w:rsidRDefault="00A9142C" w:rsidP="00DD3483">
      <w:pPr>
        <w:spacing w:line="360" w:lineRule="auto"/>
        <w:rPr>
          <w:rFonts w:ascii="Century Gothic" w:hAnsi="Century Gothic"/>
          <w:sz w:val="24"/>
        </w:rPr>
      </w:pPr>
      <w:r>
        <w:rPr>
          <w:rFonts w:ascii="Century Gothic" w:hAnsi="Century Gothic"/>
          <w:sz w:val="24"/>
        </w:rPr>
        <w:t xml:space="preserve"> As a result, it is arguable to state that the Mishnah and its related subjects is still recognised as authoritative in the conservative schools, however not as significant as is seen in the school of Orthodox.</w:t>
      </w:r>
    </w:p>
    <w:p w:rsidR="00A9142C" w:rsidRDefault="00A9142C" w:rsidP="00DD3483">
      <w:pPr>
        <w:spacing w:line="360" w:lineRule="auto"/>
        <w:rPr>
          <w:rFonts w:ascii="Century Gothic" w:hAnsi="Century Gothic"/>
          <w:sz w:val="24"/>
        </w:rPr>
      </w:pPr>
      <w:r>
        <w:rPr>
          <w:rFonts w:ascii="Century Gothic" w:hAnsi="Century Gothic"/>
          <w:sz w:val="24"/>
        </w:rPr>
        <w:t>Orthodox approach to the Mishnah differs greatly to the approach of the other schools seen within Judaism.</w:t>
      </w:r>
      <w:r w:rsidR="00D52D49">
        <w:rPr>
          <w:rFonts w:ascii="Century Gothic" w:hAnsi="Century Gothic"/>
          <w:sz w:val="24"/>
        </w:rPr>
        <w:t xml:space="preserve"> They believe in every aspect of the Mishnah and associated texts as they </w:t>
      </w:r>
      <w:r w:rsidR="001509CD">
        <w:rPr>
          <w:rFonts w:ascii="Century Gothic" w:hAnsi="Century Gothic"/>
          <w:sz w:val="24"/>
        </w:rPr>
        <w:t>are</w:t>
      </w:r>
      <w:r w:rsidR="00D52D49">
        <w:rPr>
          <w:rFonts w:ascii="Century Gothic" w:hAnsi="Century Gothic"/>
          <w:sz w:val="24"/>
        </w:rPr>
        <w:t xml:space="preserve"> all scripture i</w:t>
      </w:r>
      <w:r w:rsidR="00735426">
        <w:rPr>
          <w:rFonts w:ascii="Century Gothic" w:hAnsi="Century Gothic"/>
          <w:sz w:val="24"/>
        </w:rPr>
        <w:t xml:space="preserve">s of divine origin and was passed down from God to Moses on Mount Sinai. Today the Orthodox will debate the contents pf the Mishnah and what its content disguised as intended by Judah Ha- Nassi when he first began to document the oral laws. </w:t>
      </w:r>
    </w:p>
    <w:p w:rsidR="00735426" w:rsidRDefault="00735426" w:rsidP="00DD3483">
      <w:pPr>
        <w:spacing w:line="360" w:lineRule="auto"/>
        <w:rPr>
          <w:rFonts w:ascii="Century Gothic" w:hAnsi="Century Gothic"/>
          <w:sz w:val="24"/>
        </w:rPr>
      </w:pPr>
      <w:r>
        <w:rPr>
          <w:rFonts w:ascii="Century Gothic" w:hAnsi="Century Gothic"/>
          <w:sz w:val="24"/>
        </w:rPr>
        <w:t xml:space="preserve">The Mishnah is </w:t>
      </w:r>
      <w:r w:rsidR="001509CD">
        <w:rPr>
          <w:rFonts w:ascii="Century Gothic" w:hAnsi="Century Gothic"/>
          <w:sz w:val="24"/>
        </w:rPr>
        <w:t>there for</w:t>
      </w:r>
      <w:r>
        <w:rPr>
          <w:rFonts w:ascii="Century Gothic" w:hAnsi="Century Gothic"/>
          <w:sz w:val="24"/>
        </w:rPr>
        <w:t xml:space="preserve"> seen as highly significant in the school of Orthodox. As before the Enlightenment and Emancipation there was no differing schools of thought on that which concerned the Jewish life. The follower would either be of what is today seen as the Orthodox tradition or considered an apostate renouncing the life and tradition of Judaism. It is clear that the scripture is of great significance to those of the tradition as without the commitment of the Orthodox to the keeping of what is perceived to be the original scriptures, texts and practices </w:t>
      </w:r>
      <w:r w:rsidR="001A662A">
        <w:rPr>
          <w:rFonts w:ascii="Century Gothic" w:hAnsi="Century Gothic"/>
          <w:sz w:val="24"/>
        </w:rPr>
        <w:t>as without such commitment it is possible that the ancient traditions could have been lost to today’s society.</w:t>
      </w:r>
    </w:p>
    <w:p w:rsidR="001A662A" w:rsidRDefault="001A662A" w:rsidP="00DD3483">
      <w:pPr>
        <w:spacing w:line="360" w:lineRule="auto"/>
        <w:rPr>
          <w:rFonts w:ascii="Century Gothic" w:hAnsi="Century Gothic"/>
          <w:sz w:val="24"/>
        </w:rPr>
      </w:pPr>
      <w:r>
        <w:rPr>
          <w:rFonts w:ascii="Century Gothic" w:hAnsi="Century Gothic"/>
          <w:sz w:val="24"/>
        </w:rPr>
        <w:t xml:space="preserve">Additionally, the scriptures of the Mishnah are still studied today within the schools of Yeshivot within </w:t>
      </w:r>
      <w:r w:rsidR="00044CCC">
        <w:rPr>
          <w:rFonts w:ascii="Century Gothic" w:hAnsi="Century Gothic"/>
          <w:sz w:val="24"/>
        </w:rPr>
        <w:t>Orthodox</w:t>
      </w:r>
      <w:r>
        <w:rPr>
          <w:rFonts w:ascii="Century Gothic" w:hAnsi="Century Gothic"/>
          <w:sz w:val="24"/>
        </w:rPr>
        <w:t xml:space="preserve"> Judaism, with days on end dedicated to </w:t>
      </w:r>
      <w:r>
        <w:rPr>
          <w:rFonts w:ascii="Century Gothic" w:hAnsi="Century Gothic"/>
          <w:sz w:val="24"/>
        </w:rPr>
        <w:lastRenderedPageBreak/>
        <w:t>the debate on one topic</w:t>
      </w:r>
      <w:r w:rsidR="00193B89">
        <w:rPr>
          <w:rFonts w:ascii="Century Gothic" w:hAnsi="Century Gothic"/>
          <w:sz w:val="24"/>
        </w:rPr>
        <w:t xml:space="preserve">. Some topics covered include; when </w:t>
      </w:r>
      <w:r w:rsidR="00044CCC">
        <w:rPr>
          <w:rFonts w:ascii="Century Gothic" w:hAnsi="Century Gothic"/>
          <w:sz w:val="24"/>
        </w:rPr>
        <w:t>is the best time to recite the Shema</w:t>
      </w:r>
    </w:p>
    <w:p w:rsidR="001A662A" w:rsidRDefault="001A662A" w:rsidP="00DD3483">
      <w:pPr>
        <w:spacing w:line="360" w:lineRule="auto"/>
        <w:rPr>
          <w:rFonts w:ascii="Century Gothic" w:hAnsi="Century Gothic"/>
          <w:sz w:val="24"/>
        </w:rPr>
      </w:pPr>
      <w:r>
        <w:rPr>
          <w:rFonts w:ascii="Century Gothic" w:hAnsi="Century Gothic"/>
          <w:sz w:val="24"/>
        </w:rPr>
        <w:t>In Conclusion, the Mishnah is arguable one of the most significant texts in the Jewish culture and religion. Although not all practicing Jews will regard the originally oral text in high regard within their own denomination; it is clear that the text has weaved its way in to the very fabric of the religion.</w:t>
      </w:r>
    </w:p>
    <w:p w:rsidR="001A662A" w:rsidRDefault="004A6BC3" w:rsidP="00DD3483">
      <w:pPr>
        <w:spacing w:line="360" w:lineRule="auto"/>
        <w:rPr>
          <w:rFonts w:ascii="Century Gothic" w:hAnsi="Century Gothic"/>
          <w:sz w:val="24"/>
        </w:rPr>
      </w:pPr>
      <w:r>
        <w:rPr>
          <w:rFonts w:ascii="Century Gothic" w:hAnsi="Century Gothic"/>
          <w:sz w:val="24"/>
        </w:rPr>
        <w:t xml:space="preserve">Examples of such can be seen in the way in which </w:t>
      </w:r>
      <w:r w:rsidR="001509CD">
        <w:rPr>
          <w:rFonts w:ascii="Century Gothic" w:hAnsi="Century Gothic"/>
          <w:sz w:val="24"/>
        </w:rPr>
        <w:t>many</w:t>
      </w:r>
      <w:r>
        <w:rPr>
          <w:rFonts w:ascii="Century Gothic" w:hAnsi="Century Gothic"/>
          <w:sz w:val="24"/>
        </w:rPr>
        <w:t xml:space="preserve"> of the </w:t>
      </w:r>
      <w:r w:rsidR="001509CD">
        <w:rPr>
          <w:rFonts w:ascii="Century Gothic" w:hAnsi="Century Gothic"/>
          <w:sz w:val="24"/>
        </w:rPr>
        <w:t>traditions associated with the laws in the Mishnah have been integrated in to the traditions we see within many Jewish communities today, such as observing the sabbath. In no form does it state in the Hebrew Bible that they are to sit with the family and observe a sacred meal. But today many practice this as a form of remembering the sabbath and accepting some of the old traditions whilst not seeing them so much as laws.</w:t>
      </w:r>
    </w:p>
    <w:p w:rsidR="001A662A" w:rsidRDefault="001A662A" w:rsidP="00DD3483">
      <w:pPr>
        <w:spacing w:line="360" w:lineRule="auto"/>
        <w:rPr>
          <w:rFonts w:ascii="Century Gothic" w:hAnsi="Century Gothic"/>
          <w:sz w:val="24"/>
        </w:rPr>
      </w:pPr>
    </w:p>
    <w:p w:rsidR="004774F1" w:rsidRDefault="004774F1" w:rsidP="00DD3483">
      <w:pPr>
        <w:spacing w:line="360" w:lineRule="auto"/>
        <w:rPr>
          <w:rFonts w:ascii="Century Gothic" w:hAnsi="Century Gothic"/>
          <w:sz w:val="24"/>
        </w:rPr>
      </w:pPr>
    </w:p>
    <w:p w:rsidR="004774F1" w:rsidRDefault="004774F1" w:rsidP="00DD3483">
      <w:pPr>
        <w:spacing w:line="360" w:lineRule="auto"/>
        <w:rPr>
          <w:rFonts w:ascii="Century Gothic" w:hAnsi="Century Gothic"/>
          <w:sz w:val="24"/>
        </w:rPr>
      </w:pPr>
    </w:p>
    <w:p w:rsidR="004774F1" w:rsidRDefault="004774F1" w:rsidP="00DD3483">
      <w:pPr>
        <w:spacing w:line="360" w:lineRule="auto"/>
        <w:rPr>
          <w:rFonts w:ascii="Century Gothic" w:hAnsi="Century Gothic"/>
          <w:sz w:val="24"/>
        </w:rPr>
      </w:pPr>
    </w:p>
    <w:p w:rsidR="004774F1" w:rsidRDefault="004774F1" w:rsidP="00DD3483">
      <w:pPr>
        <w:spacing w:line="360" w:lineRule="auto"/>
        <w:rPr>
          <w:rFonts w:ascii="Century Gothic" w:hAnsi="Century Gothic"/>
          <w:sz w:val="24"/>
        </w:rPr>
      </w:pPr>
    </w:p>
    <w:p w:rsidR="004774F1" w:rsidRDefault="004774F1" w:rsidP="00DD3483">
      <w:pPr>
        <w:spacing w:line="360" w:lineRule="auto"/>
        <w:rPr>
          <w:rFonts w:ascii="Century Gothic" w:hAnsi="Century Gothic"/>
          <w:sz w:val="24"/>
        </w:rPr>
      </w:pPr>
    </w:p>
    <w:p w:rsidR="004774F1" w:rsidRDefault="004774F1" w:rsidP="00DD3483">
      <w:pPr>
        <w:spacing w:line="360" w:lineRule="auto"/>
        <w:rPr>
          <w:rFonts w:ascii="Century Gothic" w:hAnsi="Century Gothic"/>
          <w:sz w:val="24"/>
        </w:rPr>
      </w:pPr>
    </w:p>
    <w:p w:rsidR="004774F1" w:rsidRDefault="004774F1" w:rsidP="00DD3483">
      <w:pPr>
        <w:spacing w:line="360" w:lineRule="auto"/>
        <w:rPr>
          <w:rFonts w:ascii="Century Gothic" w:hAnsi="Century Gothic"/>
          <w:sz w:val="24"/>
        </w:rPr>
      </w:pPr>
      <w:r>
        <w:rPr>
          <w:rFonts w:ascii="Century Gothic" w:hAnsi="Century Gothic"/>
          <w:sz w:val="24"/>
        </w:rPr>
        <w:lastRenderedPageBreak/>
        <w:t>Bibliography</w:t>
      </w:r>
    </w:p>
    <w:p w:rsidR="004774F1" w:rsidRPr="004774F1" w:rsidRDefault="004774F1" w:rsidP="004774F1">
      <w:pPr>
        <w:spacing w:line="360" w:lineRule="auto"/>
        <w:rPr>
          <w:rFonts w:ascii="Century Gothic" w:hAnsi="Century Gothic"/>
          <w:sz w:val="24"/>
        </w:rPr>
      </w:pPr>
      <w:r w:rsidRPr="004774F1">
        <w:rPr>
          <w:rFonts w:ascii="Century Gothic" w:hAnsi="Century Gothic"/>
          <w:sz w:val="24"/>
        </w:rPr>
        <w:t xml:space="preserve">Berman, Saul J., The </w:t>
      </w:r>
      <w:r w:rsidRPr="004774F1">
        <w:rPr>
          <w:rFonts w:ascii="Century Gothic" w:hAnsi="Century Gothic"/>
          <w:sz w:val="24"/>
        </w:rPr>
        <w:t>Ideology</w:t>
      </w:r>
      <w:r w:rsidRPr="004774F1">
        <w:rPr>
          <w:rFonts w:ascii="Century Gothic" w:hAnsi="Century Gothic"/>
          <w:sz w:val="24"/>
        </w:rPr>
        <w:t xml:space="preserve"> of Modern </w:t>
      </w:r>
      <w:r w:rsidRPr="004774F1">
        <w:rPr>
          <w:rFonts w:ascii="Century Gothic" w:hAnsi="Century Gothic"/>
          <w:sz w:val="24"/>
        </w:rPr>
        <w:t>Orthodoxy</w:t>
      </w:r>
      <w:r w:rsidRPr="004774F1">
        <w:rPr>
          <w:rFonts w:ascii="Century Gothic" w:hAnsi="Century Gothic"/>
          <w:sz w:val="24"/>
        </w:rPr>
        <w:t xml:space="preserve">, https://web.archive.org/web/20090210031018/http://shma.com/feb01/berman.htm, </w:t>
      </w:r>
      <w:proofErr w:type="gramStart"/>
      <w:r w:rsidRPr="004774F1">
        <w:rPr>
          <w:rFonts w:ascii="Century Gothic" w:hAnsi="Century Gothic"/>
          <w:sz w:val="24"/>
        </w:rPr>
        <w:t>2017  (</w:t>
      </w:r>
      <w:proofErr w:type="gramEnd"/>
      <w:r w:rsidRPr="004774F1">
        <w:rPr>
          <w:rFonts w:ascii="Century Gothic" w:hAnsi="Century Gothic"/>
          <w:sz w:val="24"/>
        </w:rPr>
        <w:t xml:space="preserve">2000) [accessed 15/11] </w:t>
      </w:r>
    </w:p>
    <w:p w:rsidR="004774F1" w:rsidRPr="004774F1" w:rsidRDefault="004774F1" w:rsidP="004774F1">
      <w:pPr>
        <w:spacing w:line="360" w:lineRule="auto"/>
        <w:rPr>
          <w:rFonts w:ascii="Century Gothic" w:hAnsi="Century Gothic"/>
          <w:sz w:val="24"/>
        </w:rPr>
      </w:pPr>
      <w:bookmarkStart w:id="1" w:name="_Hlk500409189"/>
      <w:r w:rsidRPr="004774F1">
        <w:rPr>
          <w:rFonts w:ascii="Century Gothic" w:hAnsi="Century Gothic"/>
          <w:sz w:val="24"/>
        </w:rPr>
        <w:t xml:space="preserve">Chon-Sherbok, </w:t>
      </w:r>
      <w:proofErr w:type="spellStart"/>
      <w:r w:rsidRPr="004774F1">
        <w:rPr>
          <w:rFonts w:ascii="Century Gothic" w:hAnsi="Century Gothic"/>
          <w:sz w:val="24"/>
        </w:rPr>
        <w:t>Lavina</w:t>
      </w:r>
      <w:proofErr w:type="spellEnd"/>
      <w:r w:rsidRPr="004774F1">
        <w:rPr>
          <w:rFonts w:ascii="Century Gothic" w:hAnsi="Century Gothic"/>
          <w:sz w:val="24"/>
        </w:rPr>
        <w:t xml:space="preserve"> D., Wendy, Judaism for AS Students, ed. by Roger Owen J (Cardiff: UWIC Press, 2003) </w:t>
      </w:r>
    </w:p>
    <w:p w:rsidR="004774F1" w:rsidRPr="004774F1" w:rsidRDefault="004774F1" w:rsidP="004774F1">
      <w:pPr>
        <w:spacing w:line="360" w:lineRule="auto"/>
        <w:rPr>
          <w:rFonts w:ascii="Century Gothic" w:hAnsi="Century Gothic"/>
          <w:sz w:val="24"/>
        </w:rPr>
      </w:pPr>
      <w:bookmarkStart w:id="2" w:name="_Hlk500410037"/>
      <w:bookmarkEnd w:id="1"/>
      <w:r w:rsidRPr="004774F1">
        <w:rPr>
          <w:rFonts w:ascii="Century Gothic" w:hAnsi="Century Gothic"/>
          <w:sz w:val="24"/>
        </w:rPr>
        <w:t xml:space="preserve">Cohn- Sherbok, Dan, Judaism, Religions of the World (London: Routledge, 1999) </w:t>
      </w:r>
    </w:p>
    <w:bookmarkEnd w:id="2"/>
    <w:p w:rsidR="004774F1" w:rsidRPr="004774F1" w:rsidRDefault="004774F1" w:rsidP="004774F1">
      <w:pPr>
        <w:spacing w:line="360" w:lineRule="auto"/>
        <w:rPr>
          <w:rFonts w:ascii="Century Gothic" w:hAnsi="Century Gothic"/>
          <w:sz w:val="24"/>
        </w:rPr>
      </w:pPr>
      <w:r w:rsidRPr="004774F1">
        <w:rPr>
          <w:rFonts w:ascii="Century Gothic" w:hAnsi="Century Gothic"/>
          <w:sz w:val="24"/>
        </w:rPr>
        <w:t xml:space="preserve">---Modern Judaism (London: Macmillan </w:t>
      </w:r>
      <w:r>
        <w:rPr>
          <w:rFonts w:ascii="Century Gothic" w:hAnsi="Century Gothic"/>
          <w:sz w:val="24"/>
        </w:rPr>
        <w:t>P</w:t>
      </w:r>
      <w:r w:rsidRPr="004774F1">
        <w:rPr>
          <w:rFonts w:ascii="Century Gothic" w:hAnsi="Century Gothic"/>
          <w:sz w:val="24"/>
        </w:rPr>
        <w:t xml:space="preserve">ress LTD, 1996) </w:t>
      </w:r>
    </w:p>
    <w:p w:rsidR="004774F1" w:rsidRPr="004774F1" w:rsidRDefault="004774F1" w:rsidP="004774F1">
      <w:pPr>
        <w:spacing w:line="360" w:lineRule="auto"/>
        <w:rPr>
          <w:rFonts w:ascii="Century Gothic" w:hAnsi="Century Gothic"/>
          <w:sz w:val="24"/>
        </w:rPr>
      </w:pPr>
      <w:r w:rsidRPr="004774F1">
        <w:rPr>
          <w:rFonts w:ascii="Century Gothic" w:hAnsi="Century Gothic"/>
          <w:sz w:val="24"/>
        </w:rPr>
        <w:t xml:space="preserve">De Lange, Nicholas, An Introduction to </w:t>
      </w:r>
      <w:r w:rsidRPr="004774F1">
        <w:rPr>
          <w:rFonts w:ascii="Century Gothic" w:hAnsi="Century Gothic"/>
          <w:sz w:val="24"/>
        </w:rPr>
        <w:t>Judaism</w:t>
      </w:r>
      <w:r w:rsidRPr="004774F1">
        <w:rPr>
          <w:rFonts w:ascii="Century Gothic" w:hAnsi="Century Gothic"/>
          <w:sz w:val="24"/>
        </w:rPr>
        <w:t xml:space="preserve">, 2nd </w:t>
      </w:r>
      <w:proofErr w:type="spellStart"/>
      <w:r w:rsidRPr="004774F1">
        <w:rPr>
          <w:rFonts w:ascii="Century Gothic" w:hAnsi="Century Gothic"/>
          <w:sz w:val="24"/>
        </w:rPr>
        <w:t>edn</w:t>
      </w:r>
      <w:proofErr w:type="spellEnd"/>
      <w:r w:rsidRPr="004774F1">
        <w:rPr>
          <w:rFonts w:ascii="Century Gothic" w:hAnsi="Century Gothic"/>
          <w:sz w:val="24"/>
        </w:rPr>
        <w:t xml:space="preserve"> (</w:t>
      </w:r>
      <w:r w:rsidRPr="004774F1">
        <w:rPr>
          <w:rFonts w:ascii="Century Gothic" w:hAnsi="Century Gothic"/>
          <w:sz w:val="24"/>
        </w:rPr>
        <w:t>Cambridge</w:t>
      </w:r>
      <w:r w:rsidRPr="004774F1">
        <w:rPr>
          <w:rFonts w:ascii="Century Gothic" w:hAnsi="Century Gothic"/>
          <w:sz w:val="24"/>
        </w:rPr>
        <w:t xml:space="preserve">: </w:t>
      </w:r>
      <w:r w:rsidRPr="004774F1">
        <w:rPr>
          <w:rFonts w:ascii="Century Gothic" w:hAnsi="Century Gothic"/>
          <w:sz w:val="24"/>
        </w:rPr>
        <w:t>Cambridge</w:t>
      </w:r>
      <w:r w:rsidRPr="004774F1">
        <w:rPr>
          <w:rFonts w:ascii="Century Gothic" w:hAnsi="Century Gothic"/>
          <w:sz w:val="24"/>
        </w:rPr>
        <w:t xml:space="preserve"> University </w:t>
      </w:r>
      <w:r w:rsidRPr="004774F1">
        <w:rPr>
          <w:rFonts w:ascii="Century Gothic" w:hAnsi="Century Gothic"/>
          <w:sz w:val="24"/>
        </w:rPr>
        <w:t>Press</w:t>
      </w:r>
      <w:r w:rsidRPr="004774F1">
        <w:rPr>
          <w:rFonts w:ascii="Century Gothic" w:hAnsi="Century Gothic"/>
          <w:sz w:val="24"/>
        </w:rPr>
        <w:t xml:space="preserve">, 2010) </w:t>
      </w:r>
    </w:p>
    <w:p w:rsidR="004774F1" w:rsidRPr="004774F1" w:rsidRDefault="004774F1" w:rsidP="004774F1">
      <w:pPr>
        <w:spacing w:line="360" w:lineRule="auto"/>
        <w:rPr>
          <w:rFonts w:ascii="Century Gothic" w:hAnsi="Century Gothic"/>
          <w:sz w:val="24"/>
        </w:rPr>
      </w:pPr>
      <w:proofErr w:type="spellStart"/>
      <w:r w:rsidRPr="004774F1">
        <w:rPr>
          <w:rFonts w:ascii="Century Gothic" w:hAnsi="Century Gothic"/>
          <w:sz w:val="24"/>
        </w:rPr>
        <w:t>Neusner</w:t>
      </w:r>
      <w:proofErr w:type="spellEnd"/>
      <w:r w:rsidRPr="004774F1">
        <w:rPr>
          <w:rFonts w:ascii="Century Gothic" w:hAnsi="Century Gothic"/>
          <w:sz w:val="24"/>
        </w:rPr>
        <w:t xml:space="preserve">, Jacob, Rabbinic Literature an Essential Guide (Nashville: Abingdon Press, 2005) </w:t>
      </w:r>
    </w:p>
    <w:p w:rsidR="004774F1" w:rsidRPr="004774F1" w:rsidRDefault="004774F1" w:rsidP="004774F1">
      <w:pPr>
        <w:spacing w:line="360" w:lineRule="auto"/>
        <w:rPr>
          <w:rFonts w:ascii="Century Gothic" w:hAnsi="Century Gothic"/>
          <w:sz w:val="24"/>
        </w:rPr>
      </w:pPr>
      <w:proofErr w:type="spellStart"/>
      <w:r w:rsidRPr="004774F1">
        <w:rPr>
          <w:rFonts w:ascii="Century Gothic" w:hAnsi="Century Gothic"/>
          <w:sz w:val="24"/>
        </w:rPr>
        <w:t>Neusner</w:t>
      </w:r>
      <w:proofErr w:type="spellEnd"/>
      <w:r w:rsidRPr="004774F1">
        <w:rPr>
          <w:rFonts w:ascii="Century Gothic" w:hAnsi="Century Gothic"/>
          <w:sz w:val="24"/>
        </w:rPr>
        <w:t xml:space="preserve">, Jacob A., </w:t>
      </w:r>
      <w:proofErr w:type="spellStart"/>
      <w:r w:rsidRPr="004774F1">
        <w:rPr>
          <w:rFonts w:ascii="Century Gothic" w:hAnsi="Century Gothic"/>
          <w:sz w:val="24"/>
        </w:rPr>
        <w:t>Alan.J</w:t>
      </w:r>
      <w:proofErr w:type="spellEnd"/>
      <w:r w:rsidRPr="004774F1">
        <w:rPr>
          <w:rFonts w:ascii="Century Gothic" w:hAnsi="Century Gothic"/>
          <w:sz w:val="24"/>
        </w:rPr>
        <w:t xml:space="preserve">, ed., The Blackwell Companion to Judaism, ed. by Fredrick J. Murphy (Oxford: Blackwell Publishing LTD, 2003) </w:t>
      </w:r>
    </w:p>
    <w:p w:rsidR="004774F1" w:rsidRPr="004774F1" w:rsidRDefault="004774F1" w:rsidP="004774F1">
      <w:pPr>
        <w:spacing w:line="360" w:lineRule="auto"/>
        <w:rPr>
          <w:rFonts w:ascii="Century Gothic" w:hAnsi="Century Gothic"/>
          <w:sz w:val="24"/>
        </w:rPr>
      </w:pPr>
      <w:bookmarkStart w:id="3" w:name="_Hlk500409239"/>
      <w:r w:rsidRPr="004774F1">
        <w:rPr>
          <w:rFonts w:ascii="Century Gothic" w:hAnsi="Century Gothic"/>
          <w:sz w:val="24"/>
        </w:rPr>
        <w:t xml:space="preserve">Parsons, </w:t>
      </w:r>
      <w:proofErr w:type="spellStart"/>
      <w:r w:rsidRPr="004774F1">
        <w:rPr>
          <w:rFonts w:ascii="Century Gothic" w:hAnsi="Century Gothic"/>
          <w:sz w:val="24"/>
        </w:rPr>
        <w:t>Jhon</w:t>
      </w:r>
      <w:proofErr w:type="spellEnd"/>
      <w:r w:rsidRPr="004774F1">
        <w:rPr>
          <w:rFonts w:ascii="Century Gothic" w:hAnsi="Century Gothic"/>
          <w:sz w:val="24"/>
        </w:rPr>
        <w:t xml:space="preserve"> J., What about the Oral Torah, </w:t>
      </w:r>
      <w:proofErr w:type="gramStart"/>
      <w:r w:rsidRPr="004774F1">
        <w:rPr>
          <w:rFonts w:ascii="Century Gothic" w:hAnsi="Century Gothic"/>
          <w:sz w:val="24"/>
        </w:rPr>
        <w:t>http://www.hebrew4christians.com/Articles/Oral_Torah/oral_torah.html ,</w:t>
      </w:r>
      <w:proofErr w:type="gramEnd"/>
      <w:r w:rsidRPr="004774F1">
        <w:rPr>
          <w:rFonts w:ascii="Century Gothic" w:hAnsi="Century Gothic"/>
          <w:sz w:val="24"/>
        </w:rPr>
        <w:t xml:space="preserve"> 2017  [accessed 13/11] </w:t>
      </w:r>
    </w:p>
    <w:p w:rsidR="004774F1" w:rsidRPr="004774F1" w:rsidRDefault="004774F1" w:rsidP="004774F1">
      <w:pPr>
        <w:spacing w:line="360" w:lineRule="auto"/>
        <w:rPr>
          <w:rFonts w:ascii="Century Gothic" w:hAnsi="Century Gothic"/>
          <w:sz w:val="24"/>
        </w:rPr>
      </w:pPr>
      <w:bookmarkStart w:id="4" w:name="_Hlk500409695"/>
      <w:bookmarkEnd w:id="3"/>
      <w:r w:rsidRPr="004774F1">
        <w:rPr>
          <w:rFonts w:ascii="Century Gothic" w:hAnsi="Century Gothic"/>
          <w:sz w:val="24"/>
        </w:rPr>
        <w:t xml:space="preserve">Pilkington, C., M, Teach Yourself Judaism (Oxon: teach yourself, 2009) </w:t>
      </w:r>
    </w:p>
    <w:bookmarkEnd w:id="4"/>
    <w:p w:rsidR="004774F1" w:rsidRPr="004774F1" w:rsidRDefault="004774F1" w:rsidP="004774F1">
      <w:pPr>
        <w:spacing w:line="360" w:lineRule="auto"/>
        <w:rPr>
          <w:rFonts w:ascii="Century Gothic" w:hAnsi="Century Gothic"/>
          <w:sz w:val="24"/>
        </w:rPr>
      </w:pPr>
      <w:r w:rsidRPr="004774F1">
        <w:rPr>
          <w:rFonts w:ascii="Century Gothic" w:hAnsi="Century Gothic"/>
          <w:sz w:val="24"/>
        </w:rPr>
        <w:lastRenderedPageBreak/>
        <w:t xml:space="preserve">Robinson, George, 'The Hebrew Bible', in Essential Judaism: A Complete Guide to Beliefs, Customs and Rituals, 2nd </w:t>
      </w:r>
      <w:proofErr w:type="spellStart"/>
      <w:r w:rsidRPr="004774F1">
        <w:rPr>
          <w:rFonts w:ascii="Century Gothic" w:hAnsi="Century Gothic"/>
          <w:sz w:val="24"/>
        </w:rPr>
        <w:t>edn</w:t>
      </w:r>
      <w:proofErr w:type="spellEnd"/>
      <w:r w:rsidRPr="004774F1">
        <w:rPr>
          <w:rFonts w:ascii="Century Gothic" w:hAnsi="Century Gothic"/>
          <w:sz w:val="24"/>
        </w:rPr>
        <w:t xml:space="preserve"> (London: Atria, 2016) </w:t>
      </w:r>
    </w:p>
    <w:p w:rsidR="004774F1" w:rsidRPr="004774F1" w:rsidRDefault="004774F1" w:rsidP="004774F1">
      <w:pPr>
        <w:spacing w:line="360" w:lineRule="auto"/>
        <w:rPr>
          <w:rFonts w:ascii="Century Gothic" w:hAnsi="Century Gothic"/>
          <w:sz w:val="24"/>
        </w:rPr>
      </w:pPr>
      <w:bookmarkStart w:id="5" w:name="_Hlk500409310"/>
      <w:r w:rsidRPr="004774F1">
        <w:rPr>
          <w:rFonts w:ascii="Century Gothic" w:hAnsi="Century Gothic"/>
          <w:sz w:val="24"/>
        </w:rPr>
        <w:t xml:space="preserve">Segal, Eliezer, 'Judaism of the Talmud and Midrash', in Introducing </w:t>
      </w:r>
      <w:proofErr w:type="gramStart"/>
      <w:r w:rsidRPr="004774F1">
        <w:rPr>
          <w:rFonts w:ascii="Century Gothic" w:hAnsi="Century Gothic"/>
          <w:sz w:val="24"/>
        </w:rPr>
        <w:t>Judaism(</w:t>
      </w:r>
      <w:proofErr w:type="gramEnd"/>
      <w:r w:rsidRPr="004774F1">
        <w:rPr>
          <w:rFonts w:ascii="Century Gothic" w:hAnsi="Century Gothic"/>
          <w:sz w:val="24"/>
        </w:rPr>
        <w:t xml:space="preserve">Routledge, 2009) 3 </w:t>
      </w:r>
    </w:p>
    <w:bookmarkEnd w:id="5"/>
    <w:p w:rsidR="004774F1" w:rsidRDefault="004774F1" w:rsidP="004774F1">
      <w:pPr>
        <w:spacing w:line="360" w:lineRule="auto"/>
        <w:rPr>
          <w:rFonts w:ascii="Century Gothic" w:hAnsi="Century Gothic"/>
          <w:sz w:val="24"/>
        </w:rPr>
      </w:pPr>
      <w:r w:rsidRPr="004774F1">
        <w:rPr>
          <w:rFonts w:ascii="Century Gothic" w:hAnsi="Century Gothic"/>
          <w:sz w:val="24"/>
        </w:rPr>
        <w:t xml:space="preserve">Staff, MJL, </w:t>
      </w:r>
      <w:proofErr w:type="gramStart"/>
      <w:r w:rsidRPr="004774F1">
        <w:rPr>
          <w:rFonts w:ascii="Century Gothic" w:hAnsi="Century Gothic"/>
          <w:sz w:val="24"/>
        </w:rPr>
        <w:t>What</w:t>
      </w:r>
      <w:proofErr w:type="gramEnd"/>
      <w:r w:rsidRPr="004774F1">
        <w:rPr>
          <w:rFonts w:ascii="Century Gothic" w:hAnsi="Century Gothic"/>
          <w:sz w:val="24"/>
        </w:rPr>
        <w:t xml:space="preserve"> is the Mishnah, https://www.myjewishlearning.com/article/mishnah/ </w:t>
      </w:r>
      <w:proofErr w:type="spellStart"/>
      <w:r w:rsidRPr="004774F1">
        <w:rPr>
          <w:rFonts w:ascii="Century Gothic" w:hAnsi="Century Gothic"/>
          <w:sz w:val="24"/>
        </w:rPr>
        <w:t>edn</w:t>
      </w:r>
      <w:proofErr w:type="spellEnd"/>
      <w:r w:rsidRPr="004774F1">
        <w:rPr>
          <w:rFonts w:ascii="Century Gothic" w:hAnsi="Century Gothic"/>
          <w:sz w:val="24"/>
        </w:rPr>
        <w:t>, 2017 [accessed 17/11]</w:t>
      </w:r>
    </w:p>
    <w:p w:rsidR="00735426" w:rsidRDefault="00735426" w:rsidP="00DD3483">
      <w:pPr>
        <w:spacing w:line="360" w:lineRule="auto"/>
        <w:rPr>
          <w:rFonts w:ascii="Century Gothic" w:hAnsi="Century Gothic"/>
          <w:sz w:val="24"/>
        </w:rPr>
      </w:pPr>
    </w:p>
    <w:p w:rsidR="00A9142C" w:rsidRPr="002045A7" w:rsidRDefault="00A9142C" w:rsidP="00DD3483">
      <w:pPr>
        <w:spacing w:line="360" w:lineRule="auto"/>
        <w:rPr>
          <w:rFonts w:ascii="Century Gothic" w:hAnsi="Century Gothic"/>
          <w:sz w:val="24"/>
        </w:rPr>
      </w:pPr>
    </w:p>
    <w:p w:rsidR="003F1F2F" w:rsidRPr="003459E9" w:rsidRDefault="003F1F2F" w:rsidP="00DD3483">
      <w:pPr>
        <w:spacing w:line="360" w:lineRule="auto"/>
        <w:rPr>
          <w:rFonts w:ascii="Century Gothic" w:hAnsi="Century Gothic"/>
        </w:rPr>
      </w:pPr>
    </w:p>
    <w:p w:rsidR="003459E9" w:rsidRPr="00C15EBC" w:rsidRDefault="003459E9" w:rsidP="00DD3483">
      <w:pPr>
        <w:spacing w:line="360" w:lineRule="auto"/>
        <w:rPr>
          <w:rFonts w:ascii="Century Gothic" w:hAnsi="Century Gothic"/>
          <w:sz w:val="24"/>
        </w:rPr>
      </w:pPr>
    </w:p>
    <w:p w:rsidR="00CD32FC" w:rsidRDefault="00CD32FC" w:rsidP="00DD3483">
      <w:pPr>
        <w:spacing w:line="360" w:lineRule="auto"/>
      </w:pPr>
    </w:p>
    <w:sectPr w:rsidR="00CD32F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2245" w:rsidRDefault="006C2245" w:rsidP="0045170D">
      <w:pPr>
        <w:spacing w:after="0" w:line="240" w:lineRule="auto"/>
      </w:pPr>
      <w:r>
        <w:separator/>
      </w:r>
    </w:p>
  </w:endnote>
  <w:endnote w:type="continuationSeparator" w:id="0">
    <w:p w:rsidR="006C2245" w:rsidRDefault="006C2245" w:rsidP="00451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70D" w:rsidRDefault="0045170D">
    <w:pPr>
      <w:pStyle w:val="Footer"/>
    </w:pPr>
    <w:proofErr w:type="gramStart"/>
    <w:r>
      <w:t xml:space="preserve">1 </w:t>
    </w:r>
    <w:r w:rsidR="004774F1">
      <w:t xml:space="preserve"> -</w:t>
    </w:r>
    <w:proofErr w:type="gramEnd"/>
    <w:r w:rsidR="004774F1">
      <w:t xml:space="preserve"> </w:t>
    </w:r>
    <w:r w:rsidR="004774F1" w:rsidRPr="004774F1">
      <w:t xml:space="preserve">Chon-Sherbok, </w:t>
    </w:r>
    <w:proofErr w:type="spellStart"/>
    <w:r w:rsidR="004774F1" w:rsidRPr="004774F1">
      <w:t>Lavina</w:t>
    </w:r>
    <w:proofErr w:type="spellEnd"/>
    <w:r w:rsidR="004774F1" w:rsidRPr="004774F1">
      <w:t xml:space="preserve"> D., Wendy, Judaism for AS Students, ed. by Roger Owen J (Cardiff: UWIC Press, 2003)</w:t>
    </w:r>
  </w:p>
  <w:p w:rsidR="00705C60" w:rsidRDefault="00705C60">
    <w:pPr>
      <w:pStyle w:val="Footer"/>
    </w:pPr>
    <w:r>
      <w:t xml:space="preserve">2- </w:t>
    </w:r>
    <w:r w:rsidR="004774F1" w:rsidRPr="004774F1">
      <w:t xml:space="preserve">Parsons, </w:t>
    </w:r>
    <w:proofErr w:type="spellStart"/>
    <w:r w:rsidR="004774F1" w:rsidRPr="004774F1">
      <w:t>Jhon</w:t>
    </w:r>
    <w:proofErr w:type="spellEnd"/>
    <w:r w:rsidR="004774F1" w:rsidRPr="004774F1">
      <w:t xml:space="preserve"> J., What about the Oral Torah, </w:t>
    </w:r>
    <w:proofErr w:type="gramStart"/>
    <w:r w:rsidR="004774F1" w:rsidRPr="004774F1">
      <w:t>http://www.hebrew4christians.com/Articles/Oral_Torah/oral_torah.html ,</w:t>
    </w:r>
    <w:proofErr w:type="gramEnd"/>
    <w:r w:rsidR="004774F1" w:rsidRPr="004774F1">
      <w:t xml:space="preserve"> 2017  [accessed 13/11]</w:t>
    </w:r>
  </w:p>
  <w:p w:rsidR="008120E1" w:rsidRDefault="00705C60">
    <w:pPr>
      <w:pStyle w:val="Footer"/>
    </w:pPr>
    <w:r>
      <w:t xml:space="preserve">3- </w:t>
    </w:r>
    <w:r w:rsidR="004774F1" w:rsidRPr="004774F1">
      <w:t xml:space="preserve">Segal, Eliezer, 'Judaism of the Talmud and Midrash', in Introducing </w:t>
    </w:r>
    <w:proofErr w:type="gramStart"/>
    <w:r w:rsidR="004774F1" w:rsidRPr="004774F1">
      <w:t>Judaism(</w:t>
    </w:r>
    <w:proofErr w:type="gramEnd"/>
    <w:r w:rsidR="004774F1" w:rsidRPr="004774F1">
      <w:t>Routledge, 2009) 3</w:t>
    </w:r>
  </w:p>
  <w:p w:rsidR="00705C60" w:rsidRDefault="008120E1">
    <w:pPr>
      <w:pStyle w:val="Footer"/>
    </w:pPr>
    <w:r>
      <w:t>4-</w:t>
    </w:r>
    <w:r w:rsidR="004774F1">
      <w:t xml:space="preserve"> See 3</w:t>
    </w:r>
  </w:p>
  <w:p w:rsidR="004774F1" w:rsidRDefault="008120E1">
    <w:pPr>
      <w:pStyle w:val="Footer"/>
    </w:pPr>
    <w:r>
      <w:t>5</w:t>
    </w:r>
    <w:r w:rsidR="00705C60">
      <w:t>-</w:t>
    </w:r>
    <w:r w:rsidR="004774F1">
      <w:t xml:space="preserve"> Psalms 19:126</w:t>
    </w:r>
    <w:r w:rsidR="00705C60">
      <w:t xml:space="preserve"> </w:t>
    </w:r>
  </w:p>
  <w:p w:rsidR="00B7704B" w:rsidRDefault="00B7704B">
    <w:pPr>
      <w:pStyle w:val="Footer"/>
    </w:pPr>
    <w:r>
      <w:t>6- Lecture- Codification of the Orla Torah</w:t>
    </w:r>
  </w:p>
  <w:p w:rsidR="00B7704B" w:rsidRDefault="00B7704B">
    <w:pPr>
      <w:pStyle w:val="Footer"/>
    </w:pPr>
    <w:r>
      <w:t>7-See 6</w:t>
    </w:r>
  </w:p>
  <w:p w:rsidR="00B7704B" w:rsidRDefault="00B7704B">
    <w:pPr>
      <w:pStyle w:val="Footer"/>
    </w:pPr>
    <w:r>
      <w:t xml:space="preserve">8- </w:t>
    </w:r>
    <w:r w:rsidRPr="00B7704B">
      <w:t>Pilkington, C., M, Teach Yourself Judaism (Oxon: teach yourself, 2009)</w:t>
    </w:r>
  </w:p>
  <w:p w:rsidR="00802913" w:rsidRDefault="00B7704B">
    <w:pPr>
      <w:pStyle w:val="Footer"/>
    </w:pPr>
    <w:r>
      <w:t>9</w:t>
    </w:r>
    <w:r w:rsidR="00802913">
      <w:t>-</w:t>
    </w:r>
    <w:r w:rsidRPr="00B7704B">
      <w:t xml:space="preserve"> De Lange, Nicholas, An Introduction to Judaism, 2nd </w:t>
    </w:r>
    <w:proofErr w:type="spellStart"/>
    <w:r w:rsidRPr="00B7704B">
      <w:t>edn</w:t>
    </w:r>
    <w:proofErr w:type="spellEnd"/>
    <w:r w:rsidRPr="00B7704B">
      <w:t xml:space="preserve"> (Cambridge: Cambridge University Press, 2010)</w:t>
    </w:r>
  </w:p>
  <w:p w:rsidR="00705C60" w:rsidRDefault="00B7704B">
    <w:pPr>
      <w:pStyle w:val="Footer"/>
    </w:pPr>
    <w:r>
      <w:t>10</w:t>
    </w:r>
    <w:r w:rsidR="00705C60">
      <w:t xml:space="preserve">- </w:t>
    </w:r>
    <w:r>
      <w:t>See 9</w:t>
    </w:r>
  </w:p>
  <w:p w:rsidR="00B7704B" w:rsidRDefault="00B7704B">
    <w:pPr>
      <w:pStyle w:val="Footer"/>
    </w:pPr>
    <w:r>
      <w:t xml:space="preserve">11- </w:t>
    </w:r>
    <w:r w:rsidRPr="00B7704B">
      <w:t>Cohn- Sherbok, Dan, Judaism, Religions of the World (London: Routledge, 1999)</w:t>
    </w:r>
  </w:p>
  <w:p w:rsidR="008120E1" w:rsidRDefault="00B7704B">
    <w:pPr>
      <w:pStyle w:val="Footer"/>
    </w:pPr>
    <w:r>
      <w:t>11</w:t>
    </w:r>
    <w:r w:rsidR="008120E1">
      <w:t xml:space="preserve">- Introduction </w:t>
    </w:r>
    <w:r w:rsidR="00802913">
      <w:t>to</w:t>
    </w:r>
    <w:r w:rsidR="008120E1">
      <w:t xml:space="preserve"> Judaism Nicolas De </w:t>
    </w:r>
    <w:r w:rsidR="00802913">
      <w:t>Lange</w:t>
    </w:r>
    <w:r w:rsidR="008120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2245" w:rsidRDefault="006C2245" w:rsidP="0045170D">
      <w:pPr>
        <w:spacing w:after="0" w:line="240" w:lineRule="auto"/>
      </w:pPr>
      <w:r>
        <w:separator/>
      </w:r>
    </w:p>
  </w:footnote>
  <w:footnote w:type="continuationSeparator" w:id="0">
    <w:p w:rsidR="006C2245" w:rsidRDefault="006C2245" w:rsidP="004517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2FC"/>
    <w:rsid w:val="00044CCC"/>
    <w:rsid w:val="001509CD"/>
    <w:rsid w:val="0015638C"/>
    <w:rsid w:val="00173600"/>
    <w:rsid w:val="00193B89"/>
    <w:rsid w:val="001A662A"/>
    <w:rsid w:val="001C6A73"/>
    <w:rsid w:val="002045A7"/>
    <w:rsid w:val="00220092"/>
    <w:rsid w:val="002B4C96"/>
    <w:rsid w:val="002C0397"/>
    <w:rsid w:val="003459E9"/>
    <w:rsid w:val="00394D7D"/>
    <w:rsid w:val="003F1F2F"/>
    <w:rsid w:val="00403025"/>
    <w:rsid w:val="004409AE"/>
    <w:rsid w:val="0045170D"/>
    <w:rsid w:val="004774F1"/>
    <w:rsid w:val="004A6BC3"/>
    <w:rsid w:val="00510C53"/>
    <w:rsid w:val="0055636F"/>
    <w:rsid w:val="005604E7"/>
    <w:rsid w:val="006C2245"/>
    <w:rsid w:val="006D3E63"/>
    <w:rsid w:val="00705C60"/>
    <w:rsid w:val="00735426"/>
    <w:rsid w:val="00745A63"/>
    <w:rsid w:val="00746C4E"/>
    <w:rsid w:val="0075493A"/>
    <w:rsid w:val="007807CE"/>
    <w:rsid w:val="007A0BD9"/>
    <w:rsid w:val="00802913"/>
    <w:rsid w:val="008055AE"/>
    <w:rsid w:val="008120E1"/>
    <w:rsid w:val="008550F5"/>
    <w:rsid w:val="008F4EF5"/>
    <w:rsid w:val="0095737B"/>
    <w:rsid w:val="009D0272"/>
    <w:rsid w:val="009E6EB0"/>
    <w:rsid w:val="00A51E6E"/>
    <w:rsid w:val="00A90B37"/>
    <w:rsid w:val="00A9142C"/>
    <w:rsid w:val="00AF2212"/>
    <w:rsid w:val="00B7704B"/>
    <w:rsid w:val="00B85A8E"/>
    <w:rsid w:val="00BD003A"/>
    <w:rsid w:val="00BE1B8F"/>
    <w:rsid w:val="00C15EBC"/>
    <w:rsid w:val="00C4722E"/>
    <w:rsid w:val="00C725CA"/>
    <w:rsid w:val="00CD32FC"/>
    <w:rsid w:val="00CF2F06"/>
    <w:rsid w:val="00D11FF4"/>
    <w:rsid w:val="00D52D49"/>
    <w:rsid w:val="00D714F9"/>
    <w:rsid w:val="00D81F88"/>
    <w:rsid w:val="00D875E9"/>
    <w:rsid w:val="00DB43D4"/>
    <w:rsid w:val="00DD3483"/>
    <w:rsid w:val="00E90DAF"/>
    <w:rsid w:val="00EB0809"/>
    <w:rsid w:val="00EC7597"/>
    <w:rsid w:val="00EE1275"/>
    <w:rsid w:val="00F17539"/>
    <w:rsid w:val="00F511AD"/>
    <w:rsid w:val="00FB08D6"/>
    <w:rsid w:val="00FB6E1F"/>
    <w:rsid w:val="00FC3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5868F4"/>
  <w15:chartTrackingRefBased/>
  <w15:docId w15:val="{F3C3BB1A-6F1B-46C0-823F-2C6255F7B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1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70D"/>
  </w:style>
  <w:style w:type="paragraph" w:styleId="Footer">
    <w:name w:val="footer"/>
    <w:basedOn w:val="Normal"/>
    <w:link w:val="FooterChar"/>
    <w:uiPriority w:val="99"/>
    <w:unhideWhenUsed/>
    <w:rsid w:val="00451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70D"/>
  </w:style>
  <w:style w:type="paragraph" w:styleId="BalloonText">
    <w:name w:val="Balloon Text"/>
    <w:basedOn w:val="Normal"/>
    <w:link w:val="BalloonTextChar"/>
    <w:uiPriority w:val="99"/>
    <w:semiHidden/>
    <w:unhideWhenUsed/>
    <w:rsid w:val="001509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9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34010-7D1A-4A51-B2BA-7CCC3D398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2216</TotalTime>
  <Pages>9</Pages>
  <Words>1757</Words>
  <Characters>10016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Eilian Nia Jones.</dc:creator>
  <cp:keywords/>
  <dc:description/>
  <cp:lastModifiedBy>Eilian Nia Jones.</cp:lastModifiedBy>
  <cp:revision>26</cp:revision>
  <cp:lastPrinted>2017-12-07T10:45:00Z</cp:lastPrinted>
  <dcterms:created xsi:type="dcterms:W3CDTF">2017-11-17T09:37:00Z</dcterms:created>
  <dcterms:modified xsi:type="dcterms:W3CDTF">2017-12-07T11:40:00Z</dcterms:modified>
</cp:coreProperties>
</file>