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bl>
      <w:tblPr>
        <w:tblStyle w:val="Table1"/>
        <w:tblpPr w:leftFromText="180" w:rightFromText="180" w:topFromText="0" w:bottomFromText="0" w:vertAnchor="text" w:horzAnchor="text" w:tblpX="0" w:tblpY="114"/>
        <w:tblW w:w="9016.0" w:type="dxa"/>
        <w:jc w:val="left"/>
        <w:tblBorders>
          <w:top w:color="f4b083" w:space="0" w:sz="4" w:val="single"/>
          <w:left w:color="f4b083" w:space="0" w:sz="4" w:val="single"/>
          <w:bottom w:color="f4b083" w:space="0" w:sz="4" w:val="single"/>
          <w:right w:color="f4b083" w:space="0" w:sz="4" w:val="single"/>
          <w:insideH w:color="f4b083" w:space="0" w:sz="4" w:val="single"/>
          <w:insideV w:color="f4b083" w:space="0" w:sz="4" w:val="single"/>
        </w:tblBorders>
        <w:tblLayout w:type="fixed"/>
        <w:tblLook w:val="04A0"/>
      </w:tblPr>
      <w:tblGrid>
        <w:gridCol w:w="2405"/>
        <w:gridCol w:w="6611"/>
        <w:tblGridChange w:id="0">
          <w:tblGrid>
            <w:gridCol w:w="2405"/>
            <w:gridCol w:w="6611"/>
          </w:tblGrid>
        </w:tblGridChange>
      </w:tblGrid>
      <w:tr>
        <w:trPr>
          <w:cantSplit w:val="0"/>
          <w:tblHeader w:val="0"/>
        </w:trPr>
        <w:tc>
          <w:tcPr/>
          <w:p w:rsidR="00000000" w:rsidDel="00000000" w:rsidP="00000000" w:rsidRDefault="00000000" w:rsidRPr="00000000" w14:paraId="00000002">
            <w:pPr>
              <w:rPr>
                <w:sz w:val="28"/>
                <w:szCs w:val="28"/>
              </w:rPr>
            </w:pPr>
            <w:r w:rsidDel="00000000" w:rsidR="00000000" w:rsidRPr="00000000">
              <w:rPr>
                <w:rtl w:val="0"/>
              </w:rPr>
              <w:t xml:space="preserve">Programme:</w:t>
            </w:r>
            <w:r w:rsidDel="00000000" w:rsidR="00000000" w:rsidRPr="00000000">
              <w:rPr>
                <w:rtl w:val="0"/>
              </w:rPr>
            </w:r>
          </w:p>
        </w:tc>
        <w:tc>
          <w:tcPr/>
          <w:p w:rsidR="00000000" w:rsidDel="00000000" w:rsidP="00000000" w:rsidRDefault="00000000" w:rsidRPr="00000000" w14:paraId="00000003">
            <w:pPr>
              <w:rPr>
                <w:b w:val="0"/>
                <w:bCs w:val="0"/>
                <w:sz w:val="28"/>
                <w:szCs w:val="28"/>
              </w:rPr>
            </w:pPr>
            <w:r w:rsidDel="00000000" w:rsidR="00000000" w:rsidRPr="00000000">
              <w:rPr>
                <w:rtl w:val="0"/>
              </w:rPr>
              <w:t xml:space="preserve">MSc Public Health and Social Care in Practice  </w:t>
            </w:r>
            <w:r w:rsidDel="00000000" w:rsidR="00000000" w:rsidRPr="00000000">
              <w:rPr>
                <w:rtl w:val="0"/>
              </w:rPr>
            </w:r>
          </w:p>
        </w:tc>
      </w:tr>
      <w:tr>
        <w:trPr>
          <w:cantSplit w:val="0"/>
          <w:tblHeader w:val="0"/>
        </w:trPr>
        <w:tc>
          <w:tcPr>
            <w:tcBorders>
              <w:top w:color="f4b083" w:space="0" w:sz="4" w:val="single"/>
              <w:left w:color="f4b083" w:space="0" w:sz="4" w:val="single"/>
              <w:bottom w:color="f4b083" w:space="0" w:sz="4" w:val="single"/>
              <w:right w:color="f4b083" w:space="0" w:sz="4" w:val="single"/>
            </w:tcBorders>
          </w:tcPr>
          <w:p w:rsidR="00000000" w:rsidDel="00000000" w:rsidP="00000000" w:rsidRDefault="00000000" w:rsidRPr="00000000" w14:paraId="00000004">
            <w:pPr>
              <w:rPr>
                <w:b w:val="0"/>
                <w:bCs w:val="0"/>
                <w:sz w:val="28"/>
                <w:szCs w:val="28"/>
              </w:rPr>
            </w:pPr>
            <w:r w:rsidDel="00000000" w:rsidR="00000000" w:rsidRPr="00000000">
              <w:rPr>
                <w:b w:val="0"/>
                <w:bCs w:val="0"/>
                <w:rtl w:val="0"/>
              </w:rPr>
              <w:t xml:space="preserve">Module:</w:t>
            </w:r>
            <w:r w:rsidDel="00000000" w:rsidR="00000000" w:rsidRPr="00000000">
              <w:rPr>
                <w:rtl w:val="0"/>
              </w:rPr>
            </w:r>
          </w:p>
        </w:tc>
        <w:tc>
          <w:tcPr>
            <w:tcBorders>
              <w:top w:color="f4b083" w:space="0" w:sz="4" w:val="single"/>
              <w:left w:color="f4b083" w:space="0" w:sz="4" w:val="single"/>
              <w:bottom w:color="f4b083" w:space="0" w:sz="4" w:val="single"/>
              <w:right w:color="f4b083" w:space="0" w:sz="4" w:val="single"/>
            </w:tcBorders>
          </w:tcPr>
          <w:p w:rsidR="00000000" w:rsidDel="00000000" w:rsidP="00000000" w:rsidRDefault="00000000" w:rsidRPr="00000000" w14:paraId="00000005">
            <w:pPr>
              <w:rPr/>
            </w:pPr>
            <w:r w:rsidDel="00000000" w:rsidR="00000000" w:rsidRPr="00000000">
              <w:rPr>
                <w:rtl w:val="0"/>
              </w:rPr>
              <w:t xml:space="preserve">Quality Assurance and Service Improvements</w:t>
            </w:r>
          </w:p>
        </w:tc>
      </w:tr>
      <w:tr>
        <w:trPr>
          <w:cantSplit w:val="0"/>
          <w:tblHeader w:val="0"/>
        </w:trPr>
        <w:tc>
          <w:tcPr>
            <w:tcBorders>
              <w:top w:color="f4b083" w:space="0" w:sz="4" w:val="single"/>
              <w:left w:color="f4b083" w:space="0" w:sz="4" w:val="single"/>
              <w:bottom w:color="f4b083" w:space="0" w:sz="4" w:val="single"/>
              <w:right w:color="f4b083" w:space="0" w:sz="4" w:val="single"/>
            </w:tcBorders>
          </w:tcPr>
          <w:p w:rsidR="00000000" w:rsidDel="00000000" w:rsidP="00000000" w:rsidRDefault="00000000" w:rsidRPr="00000000" w14:paraId="00000006">
            <w:pPr>
              <w:rPr>
                <w:b w:val="0"/>
                <w:bCs w:val="0"/>
                <w:sz w:val="28"/>
                <w:szCs w:val="28"/>
              </w:rPr>
            </w:pPr>
            <w:r w:rsidDel="00000000" w:rsidR="00000000" w:rsidRPr="00000000">
              <w:rPr>
                <w:b w:val="0"/>
                <w:bCs w:val="0"/>
                <w:rtl w:val="0"/>
              </w:rPr>
              <w:t xml:space="preserve">Module code:</w:t>
            </w:r>
            <w:r w:rsidDel="00000000" w:rsidR="00000000" w:rsidRPr="00000000">
              <w:rPr>
                <w:rtl w:val="0"/>
              </w:rPr>
            </w:r>
          </w:p>
        </w:tc>
        <w:tc>
          <w:tcPr>
            <w:tcBorders>
              <w:top w:color="f4b083" w:space="0" w:sz="4" w:val="single"/>
              <w:left w:color="f4b083" w:space="0" w:sz="4" w:val="single"/>
              <w:bottom w:color="f4b083" w:space="0" w:sz="4" w:val="single"/>
              <w:right w:color="f4b083" w:space="0" w:sz="4" w:val="single"/>
            </w:tcBorders>
          </w:tcPr>
          <w:p w:rsidR="00000000" w:rsidDel="00000000" w:rsidP="00000000" w:rsidRDefault="00000000" w:rsidRPr="00000000" w14:paraId="00000007">
            <w:pPr>
              <w:rPr/>
            </w:pPr>
            <w:r w:rsidDel="00000000" w:rsidR="00000000" w:rsidRPr="00000000">
              <w:rPr>
                <w:rtl w:val="0"/>
              </w:rPr>
              <w:t xml:space="preserve">LCHS7006</w:t>
            </w:r>
          </w:p>
        </w:tc>
      </w:tr>
      <w:tr>
        <w:trPr>
          <w:cantSplit w:val="0"/>
          <w:tblHeader w:val="0"/>
        </w:trPr>
        <w:tc>
          <w:tcPr>
            <w:tcBorders>
              <w:top w:color="f4b083" w:space="0" w:sz="4" w:val="single"/>
              <w:left w:color="f4b083" w:space="0" w:sz="4" w:val="single"/>
              <w:bottom w:color="f4b083" w:space="0" w:sz="4" w:val="single"/>
              <w:right w:color="f4b083" w:space="0" w:sz="4" w:val="single"/>
            </w:tcBorders>
          </w:tcPr>
          <w:p w:rsidR="00000000" w:rsidDel="00000000" w:rsidP="00000000" w:rsidRDefault="00000000" w:rsidRPr="00000000" w14:paraId="00000008">
            <w:pPr>
              <w:rPr>
                <w:b w:val="0"/>
                <w:bCs w:val="0"/>
                <w:sz w:val="28"/>
                <w:szCs w:val="28"/>
              </w:rPr>
            </w:pPr>
            <w:r w:rsidDel="00000000" w:rsidR="00000000" w:rsidRPr="00000000">
              <w:rPr>
                <w:b w:val="0"/>
                <w:bCs w:val="0"/>
                <w:rtl w:val="0"/>
              </w:rPr>
              <w:t xml:space="preserve">Lecturer:</w:t>
            </w:r>
            <w:r w:rsidDel="00000000" w:rsidR="00000000" w:rsidRPr="00000000">
              <w:rPr>
                <w:rtl w:val="0"/>
              </w:rPr>
            </w:r>
          </w:p>
        </w:tc>
        <w:tc>
          <w:tcPr>
            <w:tcBorders>
              <w:top w:color="f4b083" w:space="0" w:sz="4" w:val="single"/>
              <w:left w:color="f4b083" w:space="0" w:sz="4" w:val="single"/>
              <w:bottom w:color="f4b083" w:space="0" w:sz="4" w:val="single"/>
              <w:right w:color="f4b083" w:space="0" w:sz="4" w:val="single"/>
            </w:tcBorders>
          </w:tcPr>
          <w:p w:rsidR="00000000" w:rsidDel="00000000" w:rsidP="00000000" w:rsidRDefault="00000000" w:rsidRPr="00000000" w14:paraId="00000009">
            <w:pPr>
              <w:rPr/>
            </w:pPr>
            <w:r w:rsidDel="00000000" w:rsidR="00000000" w:rsidRPr="00000000">
              <w:rPr>
                <w:rtl w:val="0"/>
              </w:rPr>
              <w:t xml:space="preserve">Shepherd Ziko</w:t>
            </w:r>
          </w:p>
        </w:tc>
      </w:tr>
      <w:tr>
        <w:trPr>
          <w:cantSplit w:val="0"/>
          <w:tblHeader w:val="0"/>
        </w:trPr>
        <w:tc>
          <w:tcPr>
            <w:tcBorders>
              <w:top w:color="f4b083" w:space="0" w:sz="4" w:val="single"/>
              <w:left w:color="f4b083" w:space="0" w:sz="4" w:val="single"/>
              <w:bottom w:color="f4b083" w:space="0" w:sz="4" w:val="single"/>
              <w:right w:color="f4b083" w:space="0" w:sz="4" w:val="single"/>
            </w:tcBorders>
          </w:tcPr>
          <w:p w:rsidR="00000000" w:rsidDel="00000000" w:rsidP="00000000" w:rsidRDefault="00000000" w:rsidRPr="00000000" w14:paraId="0000000A">
            <w:pPr>
              <w:rPr>
                <w:b w:val="0"/>
                <w:bCs w:val="0"/>
                <w:sz w:val="28"/>
                <w:szCs w:val="28"/>
              </w:rPr>
            </w:pPr>
            <w:r w:rsidDel="00000000" w:rsidR="00000000" w:rsidRPr="00000000">
              <w:rPr>
                <w:b w:val="0"/>
                <w:bCs w:val="0"/>
                <w:rtl w:val="0"/>
              </w:rPr>
              <w:t xml:space="preserve">Assignment Title:</w:t>
            </w:r>
            <w:r w:rsidDel="00000000" w:rsidR="00000000" w:rsidRPr="00000000">
              <w:rPr>
                <w:rtl w:val="0"/>
              </w:rPr>
            </w:r>
          </w:p>
        </w:tc>
        <w:tc>
          <w:tcPr>
            <w:tcBorders>
              <w:top w:color="f4b083" w:space="0" w:sz="4" w:val="single"/>
              <w:left w:color="f4b083" w:space="0" w:sz="4" w:val="single"/>
              <w:bottom w:color="f4b083" w:space="0" w:sz="4" w:val="single"/>
              <w:right w:color="f4b083" w:space="0" w:sz="4" w:val="single"/>
            </w:tcBorders>
          </w:tcPr>
          <w:p w:rsidR="00000000" w:rsidDel="00000000" w:rsidP="00000000" w:rsidRDefault="00000000" w:rsidRPr="00000000" w14:paraId="0000000B">
            <w:pPr>
              <w:rPr/>
            </w:pPr>
            <w:r w:rsidDel="00000000" w:rsidR="00000000" w:rsidRPr="00000000">
              <w:rPr>
                <w:rtl w:val="0"/>
              </w:rPr>
              <w:t xml:space="preserve">Component 1 Service Improvement Report</w:t>
            </w:r>
          </w:p>
          <w:p w:rsidR="00000000" w:rsidDel="00000000" w:rsidP="00000000" w:rsidRDefault="00000000" w:rsidRPr="00000000" w14:paraId="0000000C">
            <w:pPr>
              <w:rPr/>
            </w:pPr>
            <w:r w:rsidDel="00000000" w:rsidR="00000000" w:rsidRPr="00000000">
              <w:rPr>
                <w:rtl w:val="0"/>
              </w:rPr>
            </w:r>
          </w:p>
        </w:tc>
      </w:tr>
      <w:tr>
        <w:trPr>
          <w:cantSplit w:val="0"/>
          <w:tblHeader w:val="0"/>
        </w:trPr>
        <w:tc>
          <w:tcPr>
            <w:tcBorders>
              <w:top w:color="f4b083" w:space="0" w:sz="4" w:val="single"/>
              <w:left w:color="f4b083" w:space="0" w:sz="4" w:val="single"/>
              <w:bottom w:color="f4b083" w:space="0" w:sz="4" w:val="single"/>
              <w:right w:color="f4b083" w:space="0" w:sz="4" w:val="single"/>
            </w:tcBorders>
          </w:tcPr>
          <w:p w:rsidR="00000000" w:rsidDel="00000000" w:rsidP="00000000" w:rsidRDefault="00000000" w:rsidRPr="00000000" w14:paraId="0000000D">
            <w:pPr>
              <w:rPr>
                <w:b w:val="0"/>
                <w:bCs w:val="0"/>
              </w:rPr>
            </w:pPr>
            <w:r w:rsidDel="00000000" w:rsidR="00000000" w:rsidRPr="00000000">
              <w:rPr>
                <w:b w:val="0"/>
                <w:bCs w:val="0"/>
                <w:rtl w:val="0"/>
              </w:rPr>
              <w:t xml:space="preserve">Student Name:</w:t>
            </w:r>
          </w:p>
        </w:tc>
        <w:tc>
          <w:tcPr>
            <w:tcBorders>
              <w:top w:color="f4b083" w:space="0" w:sz="4" w:val="single"/>
              <w:left w:color="f4b083" w:space="0" w:sz="4" w:val="single"/>
              <w:bottom w:color="f4b083" w:space="0" w:sz="4" w:val="single"/>
              <w:right w:color="f4b083" w:space="0" w:sz="4" w:val="single"/>
            </w:tcBorders>
          </w:tcPr>
          <w:p w:rsidR="00000000" w:rsidDel="00000000" w:rsidP="00000000" w:rsidRDefault="00000000" w:rsidRPr="00000000" w14:paraId="0000000E">
            <w:pPr>
              <w:rPr/>
            </w:pPr>
            <w:r w:rsidDel="00000000" w:rsidR="00000000" w:rsidRPr="00000000">
              <w:rPr>
                <w:rtl w:val="0"/>
              </w:rPr>
              <w:t xml:space="preserve">Sawon Farazi</w:t>
            </w:r>
          </w:p>
        </w:tc>
      </w:tr>
      <w:tr>
        <w:trPr>
          <w:cantSplit w:val="0"/>
          <w:tblHeader w:val="0"/>
        </w:trPr>
        <w:tc>
          <w:tcPr>
            <w:tcBorders>
              <w:top w:color="f4b083" w:space="0" w:sz="4" w:val="single"/>
              <w:left w:color="f4b083" w:space="0" w:sz="4" w:val="single"/>
              <w:bottom w:color="f4b083" w:space="0" w:sz="4" w:val="single"/>
              <w:right w:color="f4b083" w:space="0" w:sz="4" w:val="single"/>
            </w:tcBorders>
          </w:tcPr>
          <w:p w:rsidR="00000000" w:rsidDel="00000000" w:rsidP="00000000" w:rsidRDefault="00000000" w:rsidRPr="00000000" w14:paraId="0000000F">
            <w:pPr>
              <w:rPr>
                <w:b w:val="0"/>
                <w:bCs w:val="0"/>
              </w:rPr>
            </w:pPr>
            <w:r w:rsidDel="00000000" w:rsidR="00000000" w:rsidRPr="00000000">
              <w:rPr>
                <w:b w:val="0"/>
                <w:bCs w:val="0"/>
                <w:rtl w:val="0"/>
              </w:rPr>
              <w:t xml:space="preserve">Student ID:</w:t>
            </w:r>
          </w:p>
        </w:tc>
        <w:tc>
          <w:tcPr>
            <w:tcBorders>
              <w:top w:color="f4b083" w:space="0" w:sz="4" w:val="single"/>
              <w:left w:color="f4b083" w:space="0" w:sz="4" w:val="single"/>
              <w:bottom w:color="f4b083" w:space="0" w:sz="4" w:val="single"/>
              <w:right w:color="f4b083" w:space="0" w:sz="4" w:val="single"/>
            </w:tcBorders>
          </w:tcPr>
          <w:p w:rsidR="00000000" w:rsidDel="00000000" w:rsidP="00000000" w:rsidRDefault="00000000" w:rsidRPr="00000000" w14:paraId="00000010">
            <w:pPr>
              <w:rPr/>
            </w:pPr>
            <w:r w:rsidDel="00000000" w:rsidR="00000000" w:rsidRPr="00000000">
              <w:rPr>
                <w:rtl w:val="0"/>
              </w:rPr>
              <w:t xml:space="preserve">2431587</w:t>
            </w:r>
          </w:p>
        </w:tc>
      </w:tr>
    </w:tbl>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jc w:val="center"/>
        <w:rPr>
          <w:b w:val="1"/>
          <w:bCs w:val="1"/>
          <w:sz w:val="28"/>
          <w:szCs w:val="28"/>
        </w:rPr>
      </w:pPr>
      <w:r w:rsidDel="00000000" w:rsidR="00000000" w:rsidRPr="00000000">
        <w:rPr>
          <w:rtl w:val="0"/>
        </w:rPr>
      </w:r>
    </w:p>
    <w:p w:rsidR="00000000" w:rsidDel="00000000" w:rsidP="00000000" w:rsidRDefault="00000000" w:rsidRPr="00000000" w14:paraId="00000013">
      <w:pPr>
        <w:jc w:val="center"/>
        <w:rPr>
          <w:b w:val="1"/>
          <w:bCs w:val="1"/>
        </w:rPr>
      </w:pPr>
      <w:r w:rsidDel="00000000" w:rsidR="00000000" w:rsidRPr="00000000">
        <w:rPr>
          <w:b w:val="1"/>
          <w:bCs w:val="1"/>
          <w:sz w:val="28"/>
          <w:szCs w:val="28"/>
          <w:rtl w:val="0"/>
        </w:rPr>
        <w:t xml:space="preserve">“Quality Assurance and Service Improvements Report: Analysis of the Bristol Royal Infirmary Inquiry and Systemic Healthcare Failures”</w:t>
      </w:r>
      <w:r w:rsidDel="00000000" w:rsidR="00000000" w:rsidRPr="00000000">
        <w:br w:type="page"/>
      </w:r>
      <w:r w:rsidDel="00000000" w:rsidR="00000000" w:rsidRPr="00000000">
        <w:rPr>
          <w:rtl w:val="0"/>
        </w:rPr>
      </w:r>
    </w:p>
    <w:p w:rsidR="00000000" w:rsidDel="00000000" w:rsidP="00000000" w:rsidRDefault="00000000" w:rsidRPr="00000000" w14:paraId="0000001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bCs w:val="0"/>
          <w:i w:val="0"/>
          <w:iCs w:val="0"/>
          <w:smallCaps w:val="0"/>
          <w:strike w:val="0"/>
          <w:color w:val="2f5496"/>
          <w:sz w:val="32"/>
          <w:szCs w:val="32"/>
          <w:u w:val="none"/>
          <w:shd w:fill="auto" w:val="clear"/>
          <w:vertAlign w:val="baseline"/>
        </w:rPr>
      </w:pPr>
      <w:r w:rsidDel="00000000" w:rsidR="00000000" w:rsidRPr="00000000">
        <w:rPr>
          <w:rFonts w:ascii="Calibri" w:cs="Calibri" w:eastAsia="Calibri" w:hAnsi="Calibri"/>
          <w:b w:val="0"/>
          <w:bCs w:val="0"/>
          <w:i w:val="0"/>
          <w:iCs w:val="0"/>
          <w:smallCaps w:val="0"/>
          <w:strike w:val="0"/>
          <w:color w:val="2f5496"/>
          <w:sz w:val="32"/>
          <w:szCs w:val="32"/>
          <w:u w:val="none"/>
          <w:shd w:fill="auto" w:val="clear"/>
          <w:vertAlign w:val="baseline"/>
          <w:rtl w:val="0"/>
        </w:rPr>
        <w:t xml:space="preserve">Table of Contents</w:t>
      </w:r>
    </w:p>
    <w:sdt>
      <w:sdtPr>
        <w:id w:val="-70157934"/>
        <w:docPartObj>
          <w:docPartGallery w:val="Table of Contents"/>
          <w:docPartUnique w:val="1"/>
        </w:docPartObj>
      </w:sdtPr>
      <w:sdtContent>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izrr4blhimdu">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 Introduction</w:t>
              <w:tab/>
              <w:t xml:space="preserve">3</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c9h2fy5ab7q4">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 Main Body: Theoretical Analysis and Root Cause Identification</w:t>
              <w:tab/>
              <w:t xml:space="preserve">4</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11461qr1g90">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2.1 The Swiss Cheese Model: Understanding Systemic Vulnerability</w:t>
              <w:tab/>
              <w:t xml:space="preserve">4</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ql2uftbfur52">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2.2 Fishbone Diagram: Structured Root Cause Identification</w:t>
              <w:tab/>
              <w:t xml:space="preserve">5</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grxzeemfnvs8">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2.3 The Donabedian Model: Structure, Process, and Outcome Analysis</w:t>
              <w:tab/>
              <w:t xml:space="preserve">7</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f3fqmkuf71kx">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2.4 Systems Theory and Organizational Failures</w:t>
              <w:tab/>
              <w:t xml:space="preserve">8</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gh4nwswg0m1">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 Recommendations: Evidence-Based Strategies for Quality Assurance and Service Improvement</w:t>
              <w:tab/>
              <w:t xml:space="preserve">9</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fg1f7abeyd4z">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3.1 Establishing Robust Clinical Governance Frameworks</w:t>
              <w:tab/>
              <w:t xml:space="preserve">9</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m3w8brwsi1yc">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3.2 Implementing Quality Improvement Using PDSA Tool</w:t>
              <w:tab/>
              <w:t xml:space="preserve">10</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aa4byqhtbbca">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3.3 Applying Six Sigma Tool for Process Standardization</w:t>
              <w:tab/>
              <w:t xml:space="preserve">11</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dp3pjs21h4iy">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 Conclusion</w:t>
              <w:tab/>
              <w:t xml:space="preserve">12</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p9bm5lufpqt5">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References</w:t>
              <w:tab/>
              <w:t xml:space="preserve">13</w:t>
            </w:r>
          </w:hyperlink>
          <w:r w:rsidDel="00000000" w:rsidR="00000000" w:rsidRPr="00000000">
            <w:rPr>
              <w:rtl w:val="0"/>
            </w:rPr>
          </w:r>
        </w:p>
        <w:p w:rsidR="00000000" w:rsidDel="00000000" w:rsidP="00000000" w:rsidRDefault="00000000" w:rsidRPr="00000000" w14:paraId="00000021">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2">
      <w:pPr>
        <w:rPr/>
      </w:pPr>
      <w:r w:rsidDel="00000000" w:rsidR="00000000" w:rsidRPr="00000000">
        <w:br w:type="page"/>
      </w:r>
      <w:r w:rsidDel="00000000" w:rsidR="00000000" w:rsidRPr="00000000">
        <w:rPr>
          <w:rtl w:val="0"/>
        </w:rPr>
      </w:r>
    </w:p>
    <w:p w:rsidR="00000000" w:rsidDel="00000000" w:rsidP="00000000" w:rsidRDefault="00000000" w:rsidRPr="00000000" w14:paraId="00000023">
      <w:pPr>
        <w:pStyle w:val="Heading1"/>
        <w:rPr/>
      </w:pPr>
      <w:bookmarkStart w:colFirst="0" w:colLast="0" w:name="_izrr4blhimdu" w:id="0"/>
      <w:bookmarkEnd w:id="0"/>
      <w:r w:rsidDel="00000000" w:rsidR="00000000" w:rsidRPr="00000000">
        <w:rPr>
          <w:rtl w:val="0"/>
        </w:rPr>
        <w:t xml:space="preserve">1. Introduction</w:t>
      </w:r>
    </w:p>
    <w:p w:rsidR="00000000" w:rsidDel="00000000" w:rsidP="00000000" w:rsidRDefault="00000000" w:rsidRPr="00000000" w14:paraId="00000024">
      <w:pPr>
        <w:rPr/>
      </w:pPr>
      <w:r w:rsidDel="00000000" w:rsidR="00000000" w:rsidRPr="00000000">
        <w:rPr>
          <w:rtl w:val="0"/>
        </w:rPr>
        <w:t xml:space="preserve">The Bristol Royal Infirmary (BRI) Inquiry is one of the greatest patient safety incidents in the history of healthcare, which could be viewed as a pivotal moment in the comprehension of how a lack of systemic quality assurance and clinical governance might lead to the loss of patient safety on an unprecedented scale. In the Bristol Royal Infirmary paediatric cardiac surgical service between 1984 and 1995 there were no sufficient quality assurance measures in place, and the mortality rates were approximately two times higher than those in similar NHS units (Wagstaff et al., 2022). Between 1991 and 1995, alone, an estimated 30 to 35 more children under one year old were killed than would otherwise have been so had the unit provided the same kind of service as other similar services across England (van Dael et al., 2022).</w:t>
      </w:r>
    </w:p>
    <w:p w:rsidR="00000000" w:rsidDel="00000000" w:rsidP="00000000" w:rsidRDefault="00000000" w:rsidRPr="00000000" w14:paraId="00000025">
      <w:pPr>
        <w:rPr/>
      </w:pPr>
      <w:r w:rsidDel="00000000" w:rsidR="00000000" w:rsidRPr="00000000">
        <w:rPr>
          <w:rtl w:val="0"/>
        </w:rPr>
        <w:t xml:space="preserve">Led by Professor Ian Kennedy, The Inquiry reviewed the care of more than 1,800 children between October 1998 and July 2001, and called 577 witnesses, including 238 of the parents of children who had been affected (Sinnott et al., 2024). This broad inquiry revealed serious loopholes in clinical governance systems, audit mechanisms, accountability framework, and organizational culture that together led to a supportive climate that allowed preventable damage. The Bristol case throws light on poor quality assurance practices, the lack of clinical audit processes, disjointed regulatory controls and a club culture that discouraged transparency and accountability resulted in situations in which warning bells were not sounded and high mortality rates did not provoke corrective action (Quality and Clinical Audit Procedure, 2025).</w:t>
      </w:r>
    </w:p>
    <w:p w:rsidR="00000000" w:rsidDel="00000000" w:rsidP="00000000" w:rsidRDefault="00000000" w:rsidRPr="00000000" w14:paraId="00000026">
      <w:pPr>
        <w:rPr/>
      </w:pPr>
      <w:r w:rsidDel="00000000" w:rsidR="00000000" w:rsidRPr="00000000">
        <w:rPr>
          <w:rtl w:val="0"/>
        </w:rPr>
        <w:t xml:space="preserve">The importance of this case goes much further than the scenario of Bristol. The results of the Inquiry have fundamentally changed the policy of quality assurance in the NHS and resulted in the introduction of compulsory clinical governance frameworks, the formation of national organizations, such as the National Institute in Health and Care Excellence (NICE) and the Commission in Health Improvement (since renamed the Care Quality Commission), and the introduction of statutory revalidation processes to medical professionals (GOV. UK, 2025). Knowledge of the underlying causes of Bristol failures and theoretical frameworks that can be used to explain how systemic failures take place is still vital to the contemporary healthcare organizations that will do anything to avoid repeating such preventable tragedies.</w:t>
      </w:r>
    </w:p>
    <w:p w:rsidR="00000000" w:rsidDel="00000000" w:rsidP="00000000" w:rsidRDefault="00000000" w:rsidRPr="00000000" w14:paraId="00000027">
      <w:pPr>
        <w:rPr/>
      </w:pPr>
      <w:r w:rsidDel="00000000" w:rsidR="00000000" w:rsidRPr="00000000">
        <w:rPr>
          <w:rtl w:val="0"/>
        </w:rPr>
        <w:t xml:space="preserve">This report analyses the Bristol Royal Infirmary case using modern quality management theories and analytical frameworks to identify root causes, policy gaps, and the profound impact on patient outcomes, public trust, organisational learning, and healthcare resources.  This analysis uses the Swiss Cheese Model, Fishbone Diagram, Donabedian Model, and Systems Theory to show how organisational and policy misalignment causes quality failures.  The report concludes with evidence-based recommendations for preventing future quality failures using PDSA, PDCA, and Six Sigma to suggest implementation and organisational improvement strategies.</w:t>
      </w:r>
    </w:p>
    <w:p w:rsidR="00000000" w:rsidDel="00000000" w:rsidP="00000000" w:rsidRDefault="00000000" w:rsidRPr="00000000" w14:paraId="00000028">
      <w:pPr>
        <w:pStyle w:val="Heading1"/>
        <w:rPr/>
      </w:pPr>
      <w:bookmarkStart w:colFirst="0" w:colLast="0" w:name="_c9h2fy5ab7q4" w:id="1"/>
      <w:bookmarkEnd w:id="1"/>
      <w:r w:rsidDel="00000000" w:rsidR="00000000" w:rsidRPr="00000000">
        <w:rPr>
          <w:rtl w:val="0"/>
        </w:rPr>
        <w:t xml:space="preserve">2. Main Body: Theoretical Analysis and Root Cause Identification</w:t>
      </w:r>
    </w:p>
    <w:p w:rsidR="00000000" w:rsidDel="00000000" w:rsidP="00000000" w:rsidRDefault="00000000" w:rsidRPr="00000000" w14:paraId="00000029">
      <w:pPr>
        <w:pStyle w:val="Heading2"/>
        <w:rPr/>
      </w:pPr>
      <w:bookmarkStart w:colFirst="0" w:colLast="0" w:name="_11461qr1g90" w:id="2"/>
      <w:bookmarkEnd w:id="2"/>
      <w:r w:rsidDel="00000000" w:rsidR="00000000" w:rsidRPr="00000000">
        <w:rPr>
          <w:rtl w:val="0"/>
        </w:rPr>
        <w:t xml:space="preserve">2.1 The Swiss Cheese Model: Understanding Systemic Vulnerability</w:t>
      </w:r>
    </w:p>
    <w:p w:rsidR="00000000" w:rsidDel="00000000" w:rsidP="00000000" w:rsidRDefault="00000000" w:rsidRPr="00000000" w14:paraId="0000002A">
      <w:pPr>
        <w:rPr/>
      </w:pPr>
      <w:r w:rsidDel="00000000" w:rsidR="00000000" w:rsidRPr="00000000">
        <w:rPr>
          <w:rtl w:val="0"/>
        </w:rPr>
        <w:t xml:space="preserve">The Swiss Cheese model by James Reason is a conceptualization of healthcare systems as a series of defensive barriers with specific holes or weaknesses. The harm to the patient happens when such holes are in different layers and failures spread to the system without detection or fixation.</w:t>
      </w:r>
    </w:p>
    <w:p w:rsidR="00000000" w:rsidDel="00000000" w:rsidP="00000000" w:rsidRDefault="00000000" w:rsidRPr="00000000" w14:paraId="0000002B">
      <w:pPr>
        <w:jc w:val="center"/>
        <w:rPr/>
      </w:pPr>
      <w:r w:rsidDel="00000000" w:rsidR="00000000" w:rsidRPr="00000000">
        <w:rPr/>
        <w:drawing>
          <wp:inline distB="0" distT="0" distL="0" distR="0">
            <wp:extent cx="4045088" cy="2359560"/>
            <wp:effectExtent b="0" l="0" r="0" t="0"/>
            <wp:docPr descr="What is the Swiss Cheese Model of Harm?" id="1" name="image1.png"/>
            <a:graphic>
              <a:graphicData uri="http://schemas.openxmlformats.org/drawingml/2006/picture">
                <pic:pic>
                  <pic:nvPicPr>
                    <pic:cNvPr descr="What is the Swiss Cheese Model of Harm?" id="0" name="image1.png"/>
                    <pic:cNvPicPr preferRelativeResize="0"/>
                  </pic:nvPicPr>
                  <pic:blipFill>
                    <a:blip r:embed="rId6"/>
                    <a:srcRect b="0" l="0" r="0" t="0"/>
                    <a:stretch>
                      <a:fillRect/>
                    </a:stretch>
                  </pic:blipFill>
                  <pic:spPr>
                    <a:xfrm>
                      <a:off x="0" y="0"/>
                      <a:ext cx="4045088" cy="2359560"/>
                    </a:xfrm>
                    <a:prstGeom prst="rect"/>
                    <a:ln/>
                  </pic:spPr>
                </pic:pic>
              </a:graphicData>
            </a:graphic>
          </wp:inline>
        </w:drawing>
      </w:r>
      <w:r w:rsidDel="00000000" w:rsidR="00000000" w:rsidRPr="00000000">
        <w:rPr>
          <w:rtl w:val="0"/>
        </w:rPr>
      </w:r>
    </w:p>
    <w:p w:rsidR="00000000" w:rsidDel="00000000" w:rsidP="00000000" w:rsidRDefault="00000000" w:rsidRPr="00000000" w14:paraId="0000002C">
      <w:pPr>
        <w:jc w:val="center"/>
        <w:rPr>
          <w:b w:val="1"/>
          <w:bCs w:val="1"/>
          <w:i w:val="1"/>
          <w:iCs w:val="1"/>
        </w:rPr>
      </w:pPr>
      <w:r w:rsidDel="00000000" w:rsidR="00000000" w:rsidRPr="00000000">
        <w:rPr>
          <w:b w:val="1"/>
          <w:bCs w:val="1"/>
          <w:i w:val="1"/>
          <w:iCs w:val="1"/>
          <w:rtl w:val="0"/>
        </w:rPr>
        <w:t xml:space="preserve">Figure 1: Swiss Cheese model (Stein and Heiss, 2015)</w:t>
      </w:r>
    </w:p>
    <w:p w:rsidR="00000000" w:rsidDel="00000000" w:rsidP="00000000" w:rsidRDefault="00000000" w:rsidRPr="00000000" w14:paraId="0000002D">
      <w:pPr>
        <w:rPr/>
      </w:pPr>
      <w:r w:rsidDel="00000000" w:rsidR="00000000" w:rsidRPr="00000000">
        <w:rPr>
          <w:rtl w:val="0"/>
        </w:rPr>
        <w:t xml:space="preserve">When applied to Bristol, the organizational level failures, the problem is systemic, inherent in the Trust structure itself. After the NHS reforms of 1989-1991, which gave Trust status to hospitals, Bristol Royal Infirmary became autonomous in management, but did not put in place very strong accountability and quality oversight mechanisms (Abuzied et al., 2023). With Chief Executive Dr. Roylance, the Trust had corporately siloed clinical directorates which actively discouraged taking of problems to senior management.</w:t>
      </w:r>
    </w:p>
    <w:p w:rsidR="00000000" w:rsidDel="00000000" w:rsidP="00000000" w:rsidRDefault="00000000" w:rsidRPr="00000000" w14:paraId="0000002E">
      <w:pPr>
        <w:rPr/>
      </w:pPr>
      <w:r w:rsidDel="00000000" w:rsidR="00000000" w:rsidRPr="00000000">
        <w:rPr>
          <w:rtl w:val="0"/>
        </w:rPr>
        <w:t xml:space="preserve">The failures at the supervisory and managerial level were reflected in the deep-rooted club culture which monopolized power in the hands of a few key elements, especially in the case of senior surgeons and cardiologists (Barr and Brannan, 2024). This culture produced an atmosphere in which professional hierarchy and allegiance exceeded patient safety issues. The Trust Board itself was very much out of clinical quality management, with no tradition or organizational culture of reading clinical outcome data and taking action on alarming trends. Oversight was very threatened nationwide (Dyer, 2001). The Supra Regional Services Advisory Group (SRSAG), regional health authorities and professional bodies such as the Royal College of Surgeons all took others to be in charge of quality monitoring but in fact, no one took explicit responsibility (Bottle and Aylin, 2025). This laissez-faire state of affairs implied that threatening mortality statistics and complaints of frontline workers, most infamously anaesthetist Stephen Bolsin as early as 1991, were ignored and not investigated at any organizational or regulatory tier (Buist and Arnold, 2022).</w:t>
      </w:r>
    </w:p>
    <w:p w:rsidR="00000000" w:rsidDel="00000000" w:rsidP="00000000" w:rsidRDefault="00000000" w:rsidRPr="00000000" w14:paraId="0000002F">
      <w:pPr>
        <w:rPr/>
      </w:pPr>
      <w:r w:rsidDel="00000000" w:rsidR="00000000" w:rsidRPr="00000000">
        <w:rPr>
          <w:rtl w:val="0"/>
        </w:rPr>
        <w:t xml:space="preserve">Unsafe conditions and preconditions provided a working environment that was not well suited to providing safe paediatric cardiac surgery. The ICU was not specifically paediatric-specialized and the children were treated together with the adult patients without adequate clinical skills or environment design (Endeshaw, 2020). There were also critical shortages of properly trained paediatric nurses and cardiologists which also caused a lack of safe care delivery. These structural inadequacies were not momentary but enduring characteristics of service organization but never were intensified into acute issues which needed resolution (Esposito and Dal Canton, 2014).</w:t>
      </w:r>
    </w:p>
    <w:p w:rsidR="00000000" w:rsidDel="00000000" w:rsidP="00000000" w:rsidRDefault="00000000" w:rsidRPr="00000000" w14:paraId="00000030">
      <w:pPr>
        <w:rPr/>
      </w:pPr>
      <w:r w:rsidDel="00000000" w:rsidR="00000000" w:rsidRPr="00000000">
        <w:rPr>
          <w:rtl w:val="0"/>
        </w:rPr>
        <w:t xml:space="preserve">Active clinical-level failures were experienced as unsafe practices during surgery and clinical decisions sustained in the face of failure. New and risky surgical procedures were started without official regulation, ethical analysis, and a clear process of patient consent by the surgeon (Exworthy, Mannion and Powell, 2023). Risky surgeries were pursued in populations considered at risk especially children who are below the age of one year though there is a cumulative experience of unacceptable mortality. Clinicians had mortality data showing that their results were worse than similar units, and yet they were stuck in an optimism culture of thinking about the learning curve instead of making a critical assessment of whether their methods were harming patients (Gilmore et al., 2022). This intellectualization of excess deaths as natural phases of surgical education instead of sentinel events that require inquiry is a failure of clinical reflection and professional responsibility of an imperative nature (Healthcare Skills Training International, 2024).</w:t>
      </w:r>
    </w:p>
    <w:p w:rsidR="00000000" w:rsidDel="00000000" w:rsidP="00000000" w:rsidRDefault="00000000" w:rsidRPr="00000000" w14:paraId="00000031">
      <w:pPr>
        <w:pStyle w:val="Heading2"/>
        <w:rPr/>
      </w:pPr>
      <w:bookmarkStart w:colFirst="0" w:colLast="0" w:name="_ql2uftbfur52" w:id="3"/>
      <w:bookmarkEnd w:id="3"/>
      <w:r w:rsidDel="00000000" w:rsidR="00000000" w:rsidRPr="00000000">
        <w:rPr>
          <w:rtl w:val="0"/>
        </w:rPr>
        <w:t xml:space="preserve">2.2 Fishbone Diagram: Structured Root Cause Identification</w:t>
      </w:r>
    </w:p>
    <w:p w:rsidR="00000000" w:rsidDel="00000000" w:rsidP="00000000" w:rsidRDefault="00000000" w:rsidRPr="00000000" w14:paraId="00000032">
      <w:pPr>
        <w:rPr/>
      </w:pPr>
      <w:r w:rsidDel="00000000" w:rsidR="00000000" w:rsidRPr="00000000">
        <w:rPr>
          <w:rtl w:val="0"/>
        </w:rPr>
        <w:t xml:space="preserve">The Fishbone (Ishikawa) Diagram organises and analyses multiple causes of complex quality failures. The diagram shows how failures across multiple operational categories caused preventable harm in Bristol.</w:t>
      </w:r>
    </w:p>
    <w:p w:rsidR="00000000" w:rsidDel="00000000" w:rsidP="00000000" w:rsidRDefault="00000000" w:rsidRPr="00000000" w14:paraId="00000033">
      <w:pPr>
        <w:jc w:val="center"/>
        <w:rPr/>
      </w:pPr>
      <w:r w:rsidDel="00000000" w:rsidR="00000000" w:rsidRPr="00000000">
        <w:rPr/>
        <w:drawing>
          <wp:inline distB="0" distT="0" distL="0" distR="0">
            <wp:extent cx="4021108" cy="2374975"/>
            <wp:effectExtent b="0" l="0" r="0" t="0"/>
            <wp:docPr descr="A generic representation of the Ishikawa diagram aka Fishbone diagram " id="3" name="image3.png"/>
            <a:graphic>
              <a:graphicData uri="http://schemas.openxmlformats.org/drawingml/2006/picture">
                <pic:pic>
                  <pic:nvPicPr>
                    <pic:cNvPr descr="A generic representation of the Ishikawa diagram aka Fishbone diagram " id="0" name="image3.png"/>
                    <pic:cNvPicPr preferRelativeResize="0"/>
                  </pic:nvPicPr>
                  <pic:blipFill>
                    <a:blip r:embed="rId7"/>
                    <a:srcRect b="0" l="0" r="0" t="0"/>
                    <a:stretch>
                      <a:fillRect/>
                    </a:stretch>
                  </pic:blipFill>
                  <pic:spPr>
                    <a:xfrm>
                      <a:off x="0" y="0"/>
                      <a:ext cx="4021108" cy="2374975"/>
                    </a:xfrm>
                    <a:prstGeom prst="rect"/>
                    <a:ln/>
                  </pic:spPr>
                </pic:pic>
              </a:graphicData>
            </a:graphic>
          </wp:inline>
        </w:drawing>
      </w:r>
      <w:r w:rsidDel="00000000" w:rsidR="00000000" w:rsidRPr="00000000">
        <w:rPr>
          <w:rtl w:val="0"/>
        </w:rPr>
      </w:r>
    </w:p>
    <w:p w:rsidR="00000000" w:rsidDel="00000000" w:rsidP="00000000" w:rsidRDefault="00000000" w:rsidRPr="00000000" w14:paraId="00000034">
      <w:pPr>
        <w:jc w:val="center"/>
        <w:rPr>
          <w:b w:val="1"/>
          <w:bCs w:val="1"/>
          <w:i w:val="1"/>
          <w:iCs w:val="1"/>
        </w:rPr>
      </w:pPr>
      <w:r w:rsidDel="00000000" w:rsidR="00000000" w:rsidRPr="00000000">
        <w:rPr>
          <w:b w:val="1"/>
          <w:bCs w:val="1"/>
          <w:i w:val="1"/>
          <w:iCs w:val="1"/>
          <w:rtl w:val="0"/>
        </w:rPr>
        <w:t xml:space="preserve">Figure 2: Fishbone diagram (Hristoski et al., 2017)</w:t>
      </w:r>
    </w:p>
    <w:p w:rsidR="00000000" w:rsidDel="00000000" w:rsidP="00000000" w:rsidRDefault="00000000" w:rsidRPr="00000000" w14:paraId="00000035">
      <w:pPr>
        <w:rPr/>
      </w:pPr>
      <w:r w:rsidDel="00000000" w:rsidR="00000000" w:rsidRPr="00000000">
        <w:rPr>
          <w:b w:val="1"/>
          <w:bCs w:val="1"/>
          <w:rtl w:val="0"/>
        </w:rPr>
        <w:t xml:space="preserve">Manpower factors</w:t>
      </w:r>
      <w:r w:rsidDel="00000000" w:rsidR="00000000" w:rsidRPr="00000000">
        <w:rPr>
          <w:rtl w:val="0"/>
        </w:rPr>
        <w:t xml:space="preserve"> lacked qualified specialists. The service needed more paediatric cardiologists and advanced paediatric nurses. Beyond staffing shortages, poor paediatric-specific clinical care and no formal training in informed consent communication skills were present (Hough, 2022). Complex paediatric surgery surgeons lacked the training and experience to safely treat this vulnerable population.</w:t>
      </w:r>
    </w:p>
    <w:p w:rsidR="00000000" w:rsidDel="00000000" w:rsidP="00000000" w:rsidRDefault="00000000" w:rsidRPr="00000000" w14:paraId="00000036">
      <w:pPr>
        <w:rPr/>
      </w:pPr>
      <w:r w:rsidDel="00000000" w:rsidR="00000000" w:rsidRPr="00000000">
        <w:rPr>
          <w:b w:val="1"/>
          <w:bCs w:val="1"/>
          <w:rtl w:val="0"/>
        </w:rPr>
        <w:t xml:space="preserve">Facility and equipment factors</w:t>
      </w:r>
      <w:r w:rsidDel="00000000" w:rsidR="00000000" w:rsidRPr="00000000">
        <w:rPr>
          <w:rtl w:val="0"/>
        </w:rPr>
        <w:t xml:space="preserve"> lacked dedicated paediatric intensive care facilities, with mixed adult-paediatric ICUs lacking paediatric design, staffing, and protocols. The split-site operation hampered communication and coordination between critical clinical teams.  Maintenance was poor on outdated equipment (Kumah et al., 2024). The operating theatre and intensive care unit were on different floors, so an uncontrolled lift system interrupted clinical care.</w:t>
      </w:r>
    </w:p>
    <w:p w:rsidR="00000000" w:rsidDel="00000000" w:rsidP="00000000" w:rsidRDefault="00000000" w:rsidRPr="00000000" w14:paraId="00000037">
      <w:pPr>
        <w:rPr/>
      </w:pPr>
      <w:r w:rsidDel="00000000" w:rsidR="00000000" w:rsidRPr="00000000">
        <w:rPr>
          <w:b w:val="1"/>
          <w:bCs w:val="1"/>
          <w:rtl w:val="0"/>
        </w:rPr>
        <w:t xml:space="preserve">Material and resource factors</w:t>
      </w:r>
      <w:r w:rsidDel="00000000" w:rsidR="00000000" w:rsidRPr="00000000">
        <w:rPr>
          <w:rtl w:val="0"/>
        </w:rPr>
        <w:t xml:space="preserve"> included chronic supply shortages and inadequate equipment funding. The service relied on charity fundraising for medical equipment rather than planned capital allocation. Critical safety standards were compromised by resource constraints (McDermott et al., 2022).</w:t>
      </w:r>
    </w:p>
    <w:p w:rsidR="00000000" w:rsidDel="00000000" w:rsidP="00000000" w:rsidRDefault="00000000" w:rsidRPr="00000000" w14:paraId="00000038">
      <w:pPr>
        <w:rPr/>
      </w:pPr>
      <w:r w:rsidDel="00000000" w:rsidR="00000000" w:rsidRPr="00000000">
        <w:rPr>
          <w:b w:val="1"/>
          <w:bCs w:val="1"/>
          <w:rtl w:val="0"/>
        </w:rPr>
        <w:t xml:space="preserve">Techniques and factors</w:t>
      </w:r>
      <w:r w:rsidDel="00000000" w:rsidR="00000000" w:rsidRPr="00000000">
        <w:rPr>
          <w:rtl w:val="0"/>
        </w:rPr>
        <w:t xml:space="preserve"> revealed major flaws. There were no standardised protocols for introducing new surgical techniques or ethics reviews for experimental procedures (Medic Earth, 2025). Audits were informal and inconsistent, unable to produce systematic outcome data. No formal outcome monitoring systems tracked mortality, morbidity, and complications in real time.</w:t>
      </w:r>
    </w:p>
    <w:p w:rsidR="00000000" w:rsidDel="00000000" w:rsidP="00000000" w:rsidRDefault="00000000" w:rsidRPr="00000000" w14:paraId="00000039">
      <w:pPr>
        <w:rPr/>
      </w:pPr>
      <w:r w:rsidDel="00000000" w:rsidR="00000000" w:rsidRPr="00000000">
        <w:rPr>
          <w:b w:val="1"/>
          <w:bCs w:val="1"/>
          <w:rtl w:val="0"/>
        </w:rPr>
        <w:t xml:space="preserve">Measurement factors</w:t>
      </w:r>
      <w:r w:rsidDel="00000000" w:rsidR="00000000" w:rsidRPr="00000000">
        <w:rPr>
          <w:rtl w:val="0"/>
        </w:rPr>
        <w:t xml:space="preserve"> showed no quality measurement infrastructure. No standard care quality assessment existed. Performance metrics were unclear and inconsistent. No systematic method compared clinical performance to standards or similar units. The collected data was fragmented and not aggregated into quality indicators.</w:t>
      </w:r>
    </w:p>
    <w:p w:rsidR="00000000" w:rsidDel="00000000" w:rsidP="00000000" w:rsidRDefault="00000000" w:rsidRPr="00000000" w14:paraId="0000003A">
      <w:pPr>
        <w:rPr/>
      </w:pPr>
      <w:r w:rsidDel="00000000" w:rsidR="00000000" w:rsidRPr="00000000">
        <w:rPr>
          <w:b w:val="1"/>
          <w:bCs w:val="1"/>
          <w:rtl w:val="0"/>
        </w:rPr>
        <w:t xml:space="preserve">Managerial factors</w:t>
      </w:r>
      <w:r w:rsidDel="00000000" w:rsidR="00000000" w:rsidRPr="00000000">
        <w:rPr>
          <w:rtl w:val="0"/>
        </w:rPr>
        <w:t xml:space="preserve"> encompassed "club culture" with concentrated power. Communication between clinical departments was severely hampered. Separate clinical directorates prevented safety concerns from rising (Moore et al., 2015). Management structures prioritised professional autonomy over outcome accountability. Leadership actively resisted clinical decision transparency and questioning.</w:t>
      </w:r>
    </w:p>
    <w:p w:rsidR="00000000" w:rsidDel="00000000" w:rsidP="00000000" w:rsidRDefault="00000000" w:rsidRPr="00000000" w14:paraId="0000003B">
      <w:pPr>
        <w:rPr/>
      </w:pPr>
      <w:r w:rsidDel="00000000" w:rsidR="00000000" w:rsidRPr="00000000">
        <w:rPr>
          <w:b w:val="1"/>
          <w:bCs w:val="1"/>
          <w:rtl w:val="0"/>
        </w:rPr>
        <w:t xml:space="preserve">Mother Nature: external factors</w:t>
      </w:r>
      <w:r w:rsidDel="00000000" w:rsidR="00000000" w:rsidRPr="00000000">
        <w:rPr>
          <w:rtl w:val="0"/>
        </w:rPr>
        <w:t xml:space="preserve"> included NHS-wide resource constraints during organisational turmoil. The Trust transition caused organisational uncertainty. Recruitment for paediatric specialists was difficult due to national shortages (Murray et al., 2024). NHS policies at the time did not require clinical governance frameworks or quality monitoring.</w:t>
      </w:r>
    </w:p>
    <w:p w:rsidR="00000000" w:rsidDel="00000000" w:rsidP="00000000" w:rsidRDefault="00000000" w:rsidRPr="00000000" w14:paraId="0000003C">
      <w:pPr>
        <w:pStyle w:val="Heading2"/>
        <w:rPr/>
      </w:pPr>
      <w:bookmarkStart w:colFirst="0" w:colLast="0" w:name="_grxzeemfnvs8" w:id="4"/>
      <w:bookmarkEnd w:id="4"/>
      <w:r w:rsidDel="00000000" w:rsidR="00000000" w:rsidRPr="00000000">
        <w:rPr>
          <w:rtl w:val="0"/>
        </w:rPr>
        <w:t xml:space="preserve">2.3 The Donabedian Model: Structure, Process, and Outcome Analysis</w:t>
      </w:r>
    </w:p>
    <w:p w:rsidR="00000000" w:rsidDel="00000000" w:rsidP="00000000" w:rsidRDefault="00000000" w:rsidRPr="00000000" w14:paraId="0000003D">
      <w:pPr>
        <w:rPr/>
      </w:pPr>
      <w:r w:rsidDel="00000000" w:rsidR="00000000" w:rsidRPr="00000000">
        <w:rPr>
          <w:rtl w:val="0"/>
        </w:rPr>
        <w:t xml:space="preserve">In 1966, Avedis Donabedian developed the Donabedian Model, which shows how structure deficiencies cause clinical process failures and poor patient outcomes.</w:t>
      </w:r>
    </w:p>
    <w:p w:rsidR="00000000" w:rsidDel="00000000" w:rsidP="00000000" w:rsidRDefault="00000000" w:rsidRPr="00000000" w14:paraId="0000003E">
      <w:pPr>
        <w:jc w:val="center"/>
        <w:rPr/>
      </w:pPr>
      <w:r w:rsidDel="00000000" w:rsidR="00000000" w:rsidRPr="00000000">
        <w:rPr/>
        <w:drawing>
          <wp:inline distB="0" distT="0" distL="0" distR="0">
            <wp:extent cx="3310190" cy="3349431"/>
            <wp:effectExtent b="0" l="0" r="0" t="0"/>
            <wp:docPr descr="Clinical Transformation: Understanding The Culture To Understand The Change  Strategies Donabedian Model used as a framework encompassing three elements  that are interrelated in evaluating and effecting change. #donabedianmodel  #oncologynurse #nurses ..." id="2" name="image2.png"/>
            <a:graphic>
              <a:graphicData uri="http://schemas.openxmlformats.org/drawingml/2006/picture">
                <pic:pic>
                  <pic:nvPicPr>
                    <pic:cNvPr descr="Clinical Transformation: Understanding The Culture To Understand The Change  Strategies Donabedian Model used as a framework encompassing three elements  that are interrelated in evaluating and effecting change. #donabedianmodel  #oncologynurse #nurses ..." id="0" name="image2.png"/>
                    <pic:cNvPicPr preferRelativeResize="0"/>
                  </pic:nvPicPr>
                  <pic:blipFill>
                    <a:blip r:embed="rId8"/>
                    <a:srcRect b="0" l="0" r="0" t="0"/>
                    <a:stretch>
                      <a:fillRect/>
                    </a:stretch>
                  </pic:blipFill>
                  <pic:spPr>
                    <a:xfrm>
                      <a:off x="0" y="0"/>
                      <a:ext cx="3310190" cy="3349431"/>
                    </a:xfrm>
                    <a:prstGeom prst="rect"/>
                    <a:ln/>
                  </pic:spPr>
                </pic:pic>
              </a:graphicData>
            </a:graphic>
          </wp:inline>
        </w:drawing>
      </w:r>
      <w:r w:rsidDel="00000000" w:rsidR="00000000" w:rsidRPr="00000000">
        <w:rPr>
          <w:rtl w:val="0"/>
        </w:rPr>
      </w:r>
    </w:p>
    <w:p w:rsidR="00000000" w:rsidDel="00000000" w:rsidP="00000000" w:rsidRDefault="00000000" w:rsidRPr="00000000" w14:paraId="0000003F">
      <w:pPr>
        <w:jc w:val="center"/>
        <w:rPr>
          <w:b w:val="1"/>
          <w:bCs w:val="1"/>
          <w:i w:val="1"/>
          <w:iCs w:val="1"/>
        </w:rPr>
      </w:pPr>
      <w:r w:rsidDel="00000000" w:rsidR="00000000" w:rsidRPr="00000000">
        <w:rPr>
          <w:b w:val="1"/>
          <w:bCs w:val="1"/>
          <w:i w:val="1"/>
          <w:iCs w:val="1"/>
          <w:rtl w:val="0"/>
        </w:rPr>
        <w:t xml:space="preserve">Figure 3: Donabedian Model (Tossaint-Schoenmakers et al., 2021)</w:t>
      </w:r>
    </w:p>
    <w:p w:rsidR="00000000" w:rsidDel="00000000" w:rsidP="00000000" w:rsidRDefault="00000000" w:rsidRPr="00000000" w14:paraId="00000040">
      <w:pPr>
        <w:rPr/>
      </w:pPr>
      <w:r w:rsidDel="00000000" w:rsidR="00000000" w:rsidRPr="00000000">
        <w:rPr>
          <w:b w:val="1"/>
          <w:bCs w:val="1"/>
          <w:rtl w:val="0"/>
        </w:rPr>
        <w:t xml:space="preserve">Structural deficiencies</w:t>
      </w:r>
      <w:r w:rsidDel="00000000" w:rsidR="00000000" w:rsidRPr="00000000">
        <w:rPr>
          <w:rtl w:val="0"/>
        </w:rPr>
        <w:t xml:space="preserve"> Bristol had inadequate physical infrastructure (split-site operations, inadequate ICU design), human resources (too few trained paediatric specialists), outdated medical equipment, and weak organisational structures that failed to ensure clinical quality (Murray and Barnes, 2023).  Quality improvement was actively discouraged by the company culture. Insufficient and unstable financial resources caused staffing and equipment uncertainty. Critically, no governance structures systematised quality oversight, audit, or outcome monitoring. These structural failures were permanent and reflected organisational design choices made over a decade ago (Noronha et al., 2021).</w:t>
      </w:r>
    </w:p>
    <w:p w:rsidR="00000000" w:rsidDel="00000000" w:rsidP="00000000" w:rsidRDefault="00000000" w:rsidRPr="00000000" w14:paraId="00000041">
      <w:pPr>
        <w:rPr/>
      </w:pPr>
      <w:r w:rsidDel="00000000" w:rsidR="00000000" w:rsidRPr="00000000">
        <w:rPr>
          <w:b w:val="1"/>
          <w:bCs w:val="1"/>
          <w:rtl w:val="0"/>
        </w:rPr>
        <w:t xml:space="preserve">Process failures</w:t>
      </w:r>
      <w:r w:rsidDel="00000000" w:rsidR="00000000" w:rsidRPr="00000000">
        <w:rPr>
          <w:rtl w:val="0"/>
        </w:rPr>
        <w:t xml:space="preserve"> demonstrated throughout clinical care. Unreliable pre-operative assessment and risk stratification plagued diagnostics. No systematic outcome data informed treatment decisions; high-risk procedures continued despite poor results. Critical care protocols were unstandardised in perioperative care. Communication between clinical teams was disorganised. Importantly, there were no systematic error reporting, incident investigation, or adverse event learning processes. No systems existed to review patient outcomes and adjust practice (Penix et al., 2019).</w:t>
      </w:r>
    </w:p>
    <w:p w:rsidR="00000000" w:rsidDel="00000000" w:rsidP="00000000" w:rsidRDefault="00000000" w:rsidRPr="00000000" w14:paraId="00000042">
      <w:pPr>
        <w:rPr/>
      </w:pPr>
      <w:r w:rsidDel="00000000" w:rsidR="00000000" w:rsidRPr="00000000">
        <w:rPr>
          <w:b w:val="1"/>
          <w:bCs w:val="1"/>
          <w:rtl w:val="0"/>
        </w:rPr>
        <w:t xml:space="preserve">Failed outcomes</w:t>
      </w:r>
      <w:r w:rsidDel="00000000" w:rsidR="00000000" w:rsidRPr="00000000">
        <w:rPr>
          <w:rtl w:val="0"/>
        </w:rPr>
        <w:t xml:space="preserve"> catastrophic and quantifiable. Children under one year old undergoing open-heart surgery at Bristol had twice the national average mortality rate. Between 1991 and 1995, the unit caused 30 to 35 more deaths than expected at comparable centres. Many children suffered permanent neurological damage, prolonged intensive care stays, and suboptimal care complications in addition to mortality (Phillips et al., 2025). The feedback mechanism, which should have led to investigation and process change, failed to address these outcome failures despite available data.</w:t>
      </w:r>
    </w:p>
    <w:p w:rsidR="00000000" w:rsidDel="00000000" w:rsidP="00000000" w:rsidRDefault="00000000" w:rsidRPr="00000000" w14:paraId="00000043">
      <w:pPr>
        <w:rPr/>
      </w:pPr>
      <w:r w:rsidDel="00000000" w:rsidR="00000000" w:rsidRPr="00000000">
        <w:rPr>
          <w:rtl w:val="0"/>
        </w:rPr>
        <w:t xml:space="preserve">The Donabedian Model shows that structural flaws and failed processes caused Bristol's poor results. The model's central idea that structure shapes process and outcomes resonate here.</w:t>
      </w:r>
    </w:p>
    <w:p w:rsidR="00000000" w:rsidDel="00000000" w:rsidP="00000000" w:rsidRDefault="00000000" w:rsidRPr="00000000" w14:paraId="00000044">
      <w:pPr>
        <w:pStyle w:val="Heading2"/>
        <w:rPr/>
      </w:pPr>
      <w:bookmarkStart w:colFirst="0" w:colLast="0" w:name="_f3fqmkuf71kx" w:id="5"/>
      <w:bookmarkEnd w:id="5"/>
      <w:r w:rsidDel="00000000" w:rsidR="00000000" w:rsidRPr="00000000">
        <w:rPr>
          <w:rtl w:val="0"/>
        </w:rPr>
        <w:t xml:space="preserve">2.4 Systems Theory and Organizational Failures</w:t>
      </w:r>
    </w:p>
    <w:p w:rsidR="00000000" w:rsidDel="00000000" w:rsidP="00000000" w:rsidRDefault="00000000" w:rsidRPr="00000000" w14:paraId="00000045">
      <w:pPr>
        <w:rPr/>
      </w:pPr>
      <w:r w:rsidDel="00000000" w:rsidR="00000000" w:rsidRPr="00000000">
        <w:rPr>
          <w:rtl w:val="0"/>
        </w:rPr>
        <w:t xml:space="preserve">Systems Theory underlines that healthcare quality failures are caused by poor organizational and systems design and not by single clinical errors. The Bristol Inquiry explicitly took systems view, and found failures to lie not merely in individual failings but also in general failings in the NHS at the time.</w:t>
      </w:r>
    </w:p>
    <w:p w:rsidR="00000000" w:rsidDel="00000000" w:rsidP="00000000" w:rsidRDefault="00000000" w:rsidRPr="00000000" w14:paraId="00000046">
      <w:pPr>
        <w:rPr/>
      </w:pPr>
      <w:r w:rsidDel="00000000" w:rsidR="00000000" w:rsidRPr="00000000">
        <w:rPr>
          <w:rtl w:val="0"/>
        </w:rPr>
        <w:t xml:space="preserve">There was systematic misalignment in Bristol in several areas. Structurally, the hierarchical nature of the organization inhibited the flow of information and clinical issues were rather subdued instead of being raised (Sangani et al., 2021). Collegiality and reputation protection were prioritized over patient safety and transparency in an old boy network which was culturally biased. Obsolete equipment and poor IT systems did not allow systematic monitoring of outcomes (Sjarifudin and Kurnia, 2022). Local and national policies did not require clinical governance, audit or accountability mechanisms. At work, regulatory frameworks did not have structures to detect and correct poor performance.</w:t>
      </w:r>
    </w:p>
    <w:p w:rsidR="00000000" w:rsidDel="00000000" w:rsidP="00000000" w:rsidRDefault="00000000" w:rsidRPr="00000000" w14:paraId="00000047">
      <w:pPr>
        <w:rPr/>
      </w:pPr>
      <w:r w:rsidDel="00000000" w:rsidR="00000000" w:rsidRPr="00000000">
        <w:rPr>
          <w:rtl w:val="0"/>
        </w:rPr>
        <w:t xml:space="preserve">Systems Theory describes why all these misalignments were able to coexist during a period of more than 10 years. There is no single way to fix the systemic failure, whether it was to hire more staff, buy new, better equipment, or discipline individual clinicians. Recurrence could only be avoided through wholesome system redesign that deals with organizational structures, governance systems, cultural norms, policy needs, professional regulation and external oversight (Thakur, Akerele and Randell, 2022).</w:t>
      </w:r>
    </w:p>
    <w:p w:rsidR="00000000" w:rsidDel="00000000" w:rsidP="00000000" w:rsidRDefault="00000000" w:rsidRPr="00000000" w14:paraId="00000048">
      <w:pPr>
        <w:pStyle w:val="Heading1"/>
        <w:rPr/>
      </w:pPr>
      <w:bookmarkStart w:colFirst="0" w:colLast="0" w:name="_hgh4nwswg0m1" w:id="6"/>
      <w:bookmarkEnd w:id="6"/>
      <w:r w:rsidDel="00000000" w:rsidR="00000000" w:rsidRPr="00000000">
        <w:rPr>
          <w:rtl w:val="0"/>
        </w:rPr>
        <w:t xml:space="preserve">3. Recommendations: Evidence-Based Strategies for Quality Assurance and Service Improvement</w:t>
      </w:r>
    </w:p>
    <w:p w:rsidR="00000000" w:rsidDel="00000000" w:rsidP="00000000" w:rsidRDefault="00000000" w:rsidRPr="00000000" w14:paraId="00000049">
      <w:pPr>
        <w:pStyle w:val="Heading2"/>
        <w:rPr/>
      </w:pPr>
      <w:bookmarkStart w:colFirst="0" w:colLast="0" w:name="_fg1f7abeyd4z" w:id="7"/>
      <w:bookmarkEnd w:id="7"/>
      <w:r w:rsidDel="00000000" w:rsidR="00000000" w:rsidRPr="00000000">
        <w:rPr>
          <w:rtl w:val="0"/>
        </w:rPr>
        <w:t xml:space="preserve">3.1 Establishing Robust Clinical Governance Frameworks </w:t>
      </w:r>
    </w:p>
    <w:p w:rsidR="00000000" w:rsidDel="00000000" w:rsidP="00000000" w:rsidRDefault="00000000" w:rsidRPr="00000000" w14:paraId="0000004A">
      <w:pPr>
        <w:rPr/>
      </w:pPr>
      <w:r w:rsidDel="00000000" w:rsidR="00000000" w:rsidRPr="00000000">
        <w:rPr>
          <w:rtl w:val="0"/>
        </w:rPr>
        <w:t xml:space="preserve">Bristol's failures suggest mandatory, organization-wide clinical governance frameworks with explicit quality accountability, systematic audit procedures, transparent clinical outcome reporting, and strong leadership committed to continuous improvement (Tufail et al., 2021).  Clinical governance must be integrated, not just quality assurance. It needs:</w:t>
      </w:r>
    </w:p>
    <w:p w:rsidR="00000000" w:rsidDel="00000000" w:rsidP="00000000" w:rsidRDefault="00000000" w:rsidRPr="00000000" w14:paraId="0000004B">
      <w:pPr>
        <w:rPr/>
      </w:pPr>
      <w:r w:rsidDel="00000000" w:rsidR="00000000" w:rsidRPr="00000000">
        <w:rPr>
          <w:b w:val="1"/>
          <w:bCs w:val="1"/>
          <w:rtl w:val="0"/>
        </w:rPr>
        <w:t xml:space="preserve">Board Leadership and Accountability:</w:t>
      </w:r>
      <w:r w:rsidDel="00000000" w:rsidR="00000000" w:rsidRPr="00000000">
        <w:rPr>
          <w:rtl w:val="0"/>
        </w:rPr>
        <w:t xml:space="preserve"> Clinical quality must be a board responsibility, not just access or financial performance. Board members must have clinical expertise, sustained engagement with quality data, and a focus on transparency and critical analysis. Board-level committees must analyse clinical outcome data, identify trends, and address root causes rather than symptoms (Wiegmann et al., 2022).</w:t>
      </w:r>
    </w:p>
    <w:p w:rsidR="00000000" w:rsidDel="00000000" w:rsidP="00000000" w:rsidRDefault="00000000" w:rsidRPr="00000000" w14:paraId="0000004C">
      <w:pPr>
        <w:rPr/>
      </w:pPr>
      <w:r w:rsidDel="00000000" w:rsidR="00000000" w:rsidRPr="00000000">
        <w:rPr>
          <w:b w:val="1"/>
          <w:bCs w:val="1"/>
          <w:rtl w:val="0"/>
        </w:rPr>
        <w:t xml:space="preserve">Systematic Clinical Audit Procedures:</w:t>
      </w:r>
      <w:r w:rsidDel="00000000" w:rsidR="00000000" w:rsidRPr="00000000">
        <w:rPr>
          <w:rtl w:val="0"/>
        </w:rPr>
        <w:t xml:space="preserve"> Organisational clinical audit must become routine rather than episodic. Audits should compare actual practice to evidence-based standards using standardised methods. Audit should provide regular reports with clear recommendations, implementation plans, and follow-up cycles to confirm changes and improved results (Barr and Brannan, 2024). Audits should include clinicians, managers, and patients to ensure diverse perspectives inform improvement.</w:t>
      </w:r>
    </w:p>
    <w:p w:rsidR="00000000" w:rsidDel="00000000" w:rsidP="00000000" w:rsidRDefault="00000000" w:rsidRPr="00000000" w14:paraId="0000004D">
      <w:pPr>
        <w:rPr/>
      </w:pPr>
      <w:r w:rsidDel="00000000" w:rsidR="00000000" w:rsidRPr="00000000">
        <w:rPr>
          <w:b w:val="1"/>
          <w:bCs w:val="1"/>
          <w:rtl w:val="0"/>
        </w:rPr>
        <w:t xml:space="preserve">Clear Outcome Monitoring and Data Systems:</w:t>
      </w:r>
      <w:r w:rsidDel="00000000" w:rsidR="00000000" w:rsidRPr="00000000">
        <w:rPr>
          <w:rtl w:val="0"/>
        </w:rPr>
        <w:t xml:space="preserve"> Institutions must establish robust systems to collect, analyse, and report clinical outcomes like mortality, morbidity, complication rates, and patient experience. A systematic comparison of data against national and international benchmarks should identify outliers requiring investigation (Bottle and Aylin, 2025). Transparency of outcome data to clinicians, patients, families, and external regulators encourages improvement and accountability.</w:t>
      </w:r>
    </w:p>
    <w:p w:rsidR="00000000" w:rsidDel="00000000" w:rsidP="00000000" w:rsidRDefault="00000000" w:rsidRPr="00000000" w14:paraId="0000004E">
      <w:pPr>
        <w:rPr/>
      </w:pPr>
      <w:r w:rsidDel="00000000" w:rsidR="00000000" w:rsidRPr="00000000">
        <w:rPr>
          <w:b w:val="1"/>
          <w:bCs w:val="1"/>
          <w:rtl w:val="0"/>
        </w:rPr>
        <w:t xml:space="preserve">Professional Development and Training:</w:t>
      </w:r>
      <w:r w:rsidDel="00000000" w:rsidR="00000000" w:rsidRPr="00000000">
        <w:rPr>
          <w:rtl w:val="0"/>
        </w:rPr>
        <w:t xml:space="preserve"> All clinical staff must undergo ongoing professional development based on knowledge and skill gaps. Clinical competence, communication, teamwork, error management, and practice reflection should be taught (Buist and Arnold, 2022). To promote learning rather than blame, organisations should allow staff to learn from mistakes and near-misses without repercussions.</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pStyle w:val="Heading2"/>
        <w:rPr/>
      </w:pPr>
      <w:bookmarkStart w:colFirst="0" w:colLast="0" w:name="_m3w8brwsi1yc" w:id="8"/>
      <w:bookmarkEnd w:id="8"/>
      <w:r w:rsidDel="00000000" w:rsidR="00000000" w:rsidRPr="00000000">
        <w:rPr>
          <w:rtl w:val="0"/>
        </w:rPr>
        <w:t xml:space="preserve">3.2 Implementing Quality Improvement Using PDSA Tool</w:t>
      </w:r>
    </w:p>
    <w:p w:rsidR="00000000" w:rsidDel="00000000" w:rsidP="00000000" w:rsidRDefault="00000000" w:rsidRPr="00000000" w14:paraId="00000052">
      <w:pPr>
        <w:rPr/>
      </w:pPr>
      <w:r w:rsidDel="00000000" w:rsidR="00000000" w:rsidRPr="00000000">
        <w:rPr>
          <w:rtl w:val="0"/>
        </w:rPr>
        <w:t xml:space="preserve">Plan-Do-Study-Act (PDSA) cycle is a systematic, evidence-based approach to testing and implementing quality improvement in local level to allow quick feedback and process improvement before going large scale.</w:t>
      </w:r>
    </w:p>
    <w:p w:rsidR="00000000" w:rsidDel="00000000" w:rsidP="00000000" w:rsidRDefault="00000000" w:rsidRPr="00000000" w14:paraId="00000053">
      <w:pPr>
        <w:rPr>
          <w:b w:val="1"/>
          <w:bCs w:val="1"/>
        </w:rPr>
      </w:pPr>
      <w:r w:rsidDel="00000000" w:rsidR="00000000" w:rsidRPr="00000000">
        <w:rPr>
          <w:b w:val="1"/>
          <w:bCs w:val="1"/>
          <w:rtl w:val="0"/>
        </w:rPr>
        <w:t xml:space="preserve">Phase 1: Plan</w:t>
      </w:r>
    </w:p>
    <w:p w:rsidR="00000000" w:rsidDel="00000000" w:rsidP="00000000" w:rsidRDefault="00000000" w:rsidRPr="00000000" w14:paraId="00000054">
      <w:pPr>
        <w:rPr/>
      </w:pPr>
      <w:r w:rsidDel="00000000" w:rsidR="00000000" w:rsidRPr="00000000">
        <w:rPr>
          <w:rtl w:val="0"/>
        </w:rPr>
        <w:t xml:space="preserve">State the identified quality problem that needs to be improved (e.g., systematic review of all the outcomes of paediatric cardiac surgery; standardization of the informed consent process; multidisciplinary team assessment of all the high-risk cases) (Abuzied et al., 2023). Develop goals to be improved.</w:t>
      </w:r>
    </w:p>
    <w:p w:rsidR="00000000" w:rsidDel="00000000" w:rsidP="00000000" w:rsidRDefault="00000000" w:rsidRPr="00000000" w14:paraId="00000055">
      <w:pPr>
        <w:rPr>
          <w:b w:val="1"/>
          <w:bCs w:val="1"/>
        </w:rPr>
      </w:pPr>
      <w:r w:rsidDel="00000000" w:rsidR="00000000" w:rsidRPr="00000000">
        <w:rPr>
          <w:b w:val="1"/>
          <w:bCs w:val="1"/>
          <w:rtl w:val="0"/>
        </w:rPr>
        <w:t xml:space="preserve">Phase 2: Do</w:t>
      </w:r>
    </w:p>
    <w:p w:rsidR="00000000" w:rsidDel="00000000" w:rsidP="00000000" w:rsidRDefault="00000000" w:rsidRPr="00000000" w14:paraId="00000056">
      <w:pPr>
        <w:rPr/>
      </w:pPr>
      <w:r w:rsidDel="00000000" w:rsidR="00000000" w:rsidRPr="00000000">
        <w:rPr>
          <w:rtl w:val="0"/>
        </w:rPr>
        <w:t xml:space="preserve">Introduce the change in a pilot test, namely, the number of patients or period of time. Gather implementation data methodically such as compliance with new processes, obstacles met, and unintentional effects (Sinnott et al., 2024). Involve frontline staff in implementation, make them know why change needs to be implemented and empower them to make problem-solving decisions in case of any barriers to change.</w:t>
      </w:r>
    </w:p>
    <w:p w:rsidR="00000000" w:rsidDel="00000000" w:rsidP="00000000" w:rsidRDefault="00000000" w:rsidRPr="00000000" w14:paraId="00000057">
      <w:pPr>
        <w:rPr>
          <w:b w:val="1"/>
          <w:bCs w:val="1"/>
        </w:rPr>
      </w:pPr>
      <w:r w:rsidDel="00000000" w:rsidR="00000000" w:rsidRPr="00000000">
        <w:rPr>
          <w:b w:val="1"/>
          <w:bCs w:val="1"/>
          <w:rtl w:val="0"/>
        </w:rPr>
        <w:t xml:space="preserve">Phase 3: Study</w:t>
      </w:r>
    </w:p>
    <w:p w:rsidR="00000000" w:rsidDel="00000000" w:rsidP="00000000" w:rsidRDefault="00000000" w:rsidRPr="00000000" w14:paraId="00000058">
      <w:pPr>
        <w:rPr/>
      </w:pPr>
      <w:r w:rsidDel="00000000" w:rsidR="00000000" w:rsidRPr="00000000">
        <w:rPr>
          <w:rtl w:val="0"/>
        </w:rPr>
        <w:t xml:space="preserve">Compare pilot stage data and results to baseline. Establish whether desired changes were predicted by the intervention or other adverse effects were realized (Wagstaff et al., 2022). Find obstacles to effective implementation. Ask stakeholders about their experience with the change and how effective they think they are.</w:t>
      </w:r>
    </w:p>
    <w:p w:rsidR="00000000" w:rsidDel="00000000" w:rsidP="00000000" w:rsidRDefault="00000000" w:rsidRPr="00000000" w14:paraId="00000059">
      <w:pPr>
        <w:rPr>
          <w:b w:val="1"/>
          <w:bCs w:val="1"/>
        </w:rPr>
      </w:pPr>
      <w:r w:rsidDel="00000000" w:rsidR="00000000" w:rsidRPr="00000000">
        <w:rPr>
          <w:b w:val="1"/>
          <w:bCs w:val="1"/>
          <w:rtl w:val="0"/>
        </w:rPr>
        <w:t xml:space="preserve">Phase 4: Act</w:t>
      </w:r>
    </w:p>
    <w:p w:rsidR="00000000" w:rsidDel="00000000" w:rsidP="00000000" w:rsidRDefault="00000000" w:rsidRPr="00000000" w14:paraId="0000005A">
      <w:pPr>
        <w:rPr/>
      </w:pPr>
      <w:r w:rsidDel="00000000" w:rsidR="00000000" w:rsidRPr="00000000">
        <w:rPr>
          <w:rtl w:val="0"/>
        </w:rPr>
        <w:t xml:space="preserve">According to the results, either the change should be adopted to implement it on a bigger scale, or further development of it is required by using more PDSA cycles (Wiegmann et al., 2022). Whether widely adopted, put in place systems that guarantee sustained implementation, measure results and discourage relapse on past ways of doing things. In case of failure, change the design of the intervention according to the learning and perform the further PDSA cycles (Tufail et al., 2021).</w:t>
      </w:r>
    </w:p>
    <w:p w:rsidR="00000000" w:rsidDel="00000000" w:rsidP="00000000" w:rsidRDefault="00000000" w:rsidRPr="00000000" w14:paraId="0000005B">
      <w:pPr>
        <w:pStyle w:val="Heading2"/>
        <w:rPr/>
      </w:pPr>
      <w:bookmarkStart w:colFirst="0" w:colLast="0" w:name="_aa4byqhtbbca" w:id="9"/>
      <w:bookmarkEnd w:id="9"/>
      <w:r w:rsidDel="00000000" w:rsidR="00000000" w:rsidRPr="00000000">
        <w:rPr>
          <w:rtl w:val="0"/>
        </w:rPr>
        <w:t xml:space="preserve">3.3 Applying Six Sigma Tool for Process Standardization</w:t>
      </w:r>
    </w:p>
    <w:p w:rsidR="00000000" w:rsidDel="00000000" w:rsidP="00000000" w:rsidRDefault="00000000" w:rsidRPr="00000000" w14:paraId="0000005C">
      <w:pPr>
        <w:rPr/>
      </w:pPr>
      <w:r w:rsidDel="00000000" w:rsidR="00000000" w:rsidRPr="00000000">
        <w:rPr>
          <w:rtl w:val="0"/>
        </w:rPr>
        <w:t xml:space="preserve">Six Sigma provides a data-driven methodology for identifying and eliminating process variations that compromise quality.</w:t>
      </w:r>
    </w:p>
    <w:p w:rsidR="00000000" w:rsidDel="00000000" w:rsidP="00000000" w:rsidRDefault="00000000" w:rsidRPr="00000000" w14:paraId="0000005D">
      <w:pPr>
        <w:rPr/>
      </w:pPr>
      <w:r w:rsidDel="00000000" w:rsidR="00000000" w:rsidRPr="00000000">
        <w:rPr>
          <w:b w:val="1"/>
          <w:bCs w:val="1"/>
          <w:rtl w:val="0"/>
        </w:rPr>
        <w:t xml:space="preserve">Define Phase:</w:t>
      </w:r>
      <w:r w:rsidDel="00000000" w:rsidR="00000000" w:rsidRPr="00000000">
        <w:rPr>
          <w:rtl w:val="0"/>
        </w:rPr>
        <w:t xml:space="preserve"> Specify the process of improvement (e.g., the preoperative evaluation of paediatric cardiac patients, or intensive care management conditions). Setting of customer expectations and needs (in the case of patients and families, this involves the knowledge of risks and realistic outcome expectations) (Tufail et al., 2021).</w:t>
      </w:r>
    </w:p>
    <w:p w:rsidR="00000000" w:rsidDel="00000000" w:rsidP="00000000" w:rsidRDefault="00000000" w:rsidRPr="00000000" w14:paraId="0000005E">
      <w:pPr>
        <w:rPr/>
      </w:pPr>
      <w:r w:rsidDel="00000000" w:rsidR="00000000" w:rsidRPr="00000000">
        <w:rPr>
          <w:b w:val="1"/>
          <w:bCs w:val="1"/>
          <w:rtl w:val="0"/>
        </w:rPr>
        <w:t xml:space="preserve">Measure Phase:</w:t>
      </w:r>
      <w:r w:rsidDel="00000000" w:rsidR="00000000" w:rsidRPr="00000000">
        <w:rPr>
          <w:rtl w:val="0"/>
        </w:rPr>
        <w:t xml:space="preserve"> Gather performance in the existing process in a systematic manner. Assess change in the current execution of the process are the various clinical teams using diverse procedures? What is the current state in terms of safety measure, outcome measure, and patient satisfaction? Determine baseline measurements to compare with the post interventions performance (Thakur, Akerele and Randell, 2022). Learn statistical techniques to learn about patterns of variation.</w:t>
      </w:r>
    </w:p>
    <w:p w:rsidR="00000000" w:rsidDel="00000000" w:rsidP="00000000" w:rsidRDefault="00000000" w:rsidRPr="00000000" w14:paraId="0000005F">
      <w:pPr>
        <w:rPr/>
      </w:pPr>
      <w:r w:rsidDel="00000000" w:rsidR="00000000" w:rsidRPr="00000000">
        <w:rPr>
          <w:b w:val="1"/>
          <w:bCs w:val="1"/>
          <w:rtl w:val="0"/>
        </w:rPr>
        <w:t xml:space="preserve">Analyze Phase:</w:t>
      </w:r>
      <w:r w:rsidDel="00000000" w:rsidR="00000000" w:rsidRPr="00000000">
        <w:rPr>
          <w:rtl w:val="0"/>
        </w:rPr>
        <w:t xml:space="preserve"> Determine the cause of process failures through the use of Fishbone diagrams, process flow analysis and statistical analysis. Identify the variations of process that are linked to variations of outcomes (Phillips et al., 2025). Determine organizational obstacles to excellence (poor staffing, old equipment, insufficient training, unspecified procedures). Engage front line staff in analysis because the staff is aware of the real constraints and barriers.</w:t>
      </w:r>
    </w:p>
    <w:p w:rsidR="00000000" w:rsidDel="00000000" w:rsidP="00000000" w:rsidRDefault="00000000" w:rsidRPr="00000000" w14:paraId="00000060">
      <w:pPr>
        <w:rPr/>
      </w:pPr>
      <w:r w:rsidDel="00000000" w:rsidR="00000000" w:rsidRPr="00000000">
        <w:rPr>
          <w:b w:val="1"/>
          <w:bCs w:val="1"/>
          <w:rtl w:val="0"/>
        </w:rPr>
        <w:t xml:space="preserve">Improve Phase:</w:t>
      </w:r>
      <w:r w:rsidDel="00000000" w:rsidR="00000000" w:rsidRPr="00000000">
        <w:rPr>
          <w:rtl w:val="0"/>
        </w:rPr>
        <w:t xml:space="preserve"> Standardized protocols of the process based on best practice and analysis results were designed (Penix et al., 2019). Apply the new and better process on controlled pilot environments. Write down new procedures in details, so that every employee knows and has to perform them at any time.</w:t>
      </w:r>
    </w:p>
    <w:p w:rsidR="00000000" w:rsidDel="00000000" w:rsidP="00000000" w:rsidRDefault="00000000" w:rsidRPr="00000000" w14:paraId="00000061">
      <w:pPr>
        <w:rPr/>
      </w:pPr>
      <w:r w:rsidDel="00000000" w:rsidR="00000000" w:rsidRPr="00000000">
        <w:rPr>
          <w:b w:val="1"/>
          <w:bCs w:val="1"/>
          <w:rtl w:val="0"/>
        </w:rPr>
        <w:t xml:space="preserve">Control Phase:</w:t>
      </w:r>
      <w:r w:rsidDel="00000000" w:rsidR="00000000" w:rsidRPr="00000000">
        <w:rPr>
          <w:rtl w:val="0"/>
        </w:rPr>
        <w:t xml:space="preserve"> Install measures to check the continued compliance with the new processes and the performance target accomplishment. Standardization is ensured by creating regular audits that confirm its presence. Develop feedback control systems that allow early identification of deviation of standards or development of new issues (Noronha et al., 2021).</w:t>
      </w:r>
    </w:p>
    <w:p w:rsidR="00000000" w:rsidDel="00000000" w:rsidP="00000000" w:rsidRDefault="00000000" w:rsidRPr="00000000" w14:paraId="00000062">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63">
      <w:pPr>
        <w:pStyle w:val="Heading1"/>
        <w:rPr/>
      </w:pPr>
      <w:bookmarkStart w:colFirst="0" w:colLast="0" w:name="_dp3pjs21h4iy" w:id="10"/>
      <w:bookmarkEnd w:id="10"/>
      <w:r w:rsidDel="00000000" w:rsidR="00000000" w:rsidRPr="00000000">
        <w:rPr>
          <w:rtl w:val="0"/>
        </w:rPr>
        <w:t xml:space="preserve">4. Conclusion</w:t>
      </w:r>
    </w:p>
    <w:p w:rsidR="00000000" w:rsidDel="00000000" w:rsidP="00000000" w:rsidRDefault="00000000" w:rsidRPr="00000000" w14:paraId="00000064">
      <w:pPr>
        <w:rPr/>
      </w:pPr>
      <w:r w:rsidDel="00000000" w:rsidR="00000000" w:rsidRPr="00000000">
        <w:rPr>
          <w:rtl w:val="0"/>
        </w:rPr>
        <w:t xml:space="preserve">The Bristol Royal Infirmary Inquiry is a seminal event in the history of healthcare quality assurance, as it signalled the shift in an environment of comparative lack of external control and lack of individual responsibility to an environment of explicit organizational responsibility in the quality and safety of healthcare. This analysis will be based on systematic use of quality management theories such as the Swiss Cheese Model, the Fishbone Diagram, the Donabedian Model, and the Systems Theory to show that extensive systemic failures exist within organizational structures, governance structures, policy gaps, professional regulation gaps and organizational culture.</w:t>
      </w:r>
    </w:p>
    <w:p w:rsidR="00000000" w:rsidDel="00000000" w:rsidP="00000000" w:rsidRDefault="00000000" w:rsidRPr="00000000" w14:paraId="00000065">
      <w:pPr>
        <w:rPr/>
      </w:pPr>
      <w:r w:rsidDel="00000000" w:rsidR="00000000" w:rsidRPr="00000000">
        <w:rPr>
          <w:rtl w:val="0"/>
        </w:rPr>
        <w:t xml:space="preserve">The consequences of these system failures were disastrous: thus, around 30-35 unnecessary deaths in 1991-1995, as well as other children with irreversible complications, loss of credibility of the population in healthcare facilities, and loss of millions of funds of the state in investigation and decontamination. Strong clinical governance systems, standard audit mechanisms, open outcome monitoring and cultures that respect transparency, accountabilities and continuous learning would have helped to prevent the tragedy.</w:t>
      </w:r>
    </w:p>
    <w:p w:rsidR="00000000" w:rsidDel="00000000" w:rsidP="00000000" w:rsidRDefault="00000000" w:rsidRPr="00000000" w14:paraId="00000066">
      <w:pPr>
        <w:rPr/>
      </w:pPr>
      <w:r w:rsidDel="00000000" w:rsidR="00000000" w:rsidRPr="00000000">
        <w:rPr>
          <w:rtl w:val="0"/>
        </w:rPr>
        <w:t xml:space="preserve">The recommendations provided create the clinical governance frameworks, setting the PDSA cycles of the quality improvement and using the Six Sigma tool of process standardization directly target the root causes identified with the help of the systematic analysis. Such practices have been confirmed by the various healthcare improvements in the world. Most importantly, the introduction of these recommendations will take a long-term leadership commitment, sufficient resource allocation and cultural transformation that prioritizes quality and safety over convenience or reputation protection.</w:t>
      </w:r>
    </w:p>
    <w:p w:rsidR="00000000" w:rsidDel="00000000" w:rsidP="00000000" w:rsidRDefault="00000000" w:rsidRPr="00000000" w14:paraId="00000067">
      <w:pPr>
        <w:rPr/>
      </w:pPr>
      <w:r w:rsidDel="00000000" w:rsidR="00000000" w:rsidRPr="00000000">
        <w:rPr>
          <w:rtl w:val="0"/>
        </w:rPr>
        <w:t xml:space="preserve">The work of healthcare quality improvement that has been driven by Bristol has led to many national and international reforms enhancing accountability, transparency, and systematic quality assurance. But still carefulness is necessary.</w:t>
      </w:r>
    </w:p>
    <w:p w:rsidR="00000000" w:rsidDel="00000000" w:rsidP="00000000" w:rsidRDefault="00000000" w:rsidRPr="00000000" w14:paraId="00000068">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69">
      <w:pPr>
        <w:pStyle w:val="Heading1"/>
        <w:rPr/>
      </w:pPr>
      <w:bookmarkStart w:colFirst="0" w:colLast="0" w:name="_p9bm5lufpqt5" w:id="11"/>
      <w:bookmarkEnd w:id="11"/>
      <w:r w:rsidDel="00000000" w:rsidR="00000000" w:rsidRPr="00000000">
        <w:rPr>
          <w:rtl w:val="0"/>
        </w:rPr>
        <w:t xml:space="preserve">References</w:t>
      </w:r>
    </w:p>
    <w:p w:rsidR="00000000" w:rsidDel="00000000" w:rsidP="00000000" w:rsidRDefault="00000000" w:rsidRPr="00000000" w14:paraId="0000006A">
      <w:pPr>
        <w:rPr/>
      </w:pPr>
      <w:r w:rsidDel="00000000" w:rsidR="00000000" w:rsidRPr="00000000">
        <w:rPr>
          <w:rtl w:val="0"/>
        </w:rPr>
        <w:t xml:space="preserve">Abuzied, Y., Alshammary, S.A., Alhalahlah, T. and Somduth, S. (2023). Using FOCUS-PDSA Quality Improvement Methodology Model in Healthcare: Process and Outcomes. </w:t>
      </w:r>
      <w:r w:rsidDel="00000000" w:rsidR="00000000" w:rsidRPr="00000000">
        <w:rPr>
          <w:i w:val="1"/>
          <w:iCs w:val="1"/>
          <w:rtl w:val="0"/>
        </w:rPr>
        <w:t xml:space="preserve">Global Journal on Quality and Safety in Healthcare</w:t>
      </w:r>
      <w:r w:rsidDel="00000000" w:rsidR="00000000" w:rsidRPr="00000000">
        <w:rPr>
          <w:rtl w:val="0"/>
        </w:rPr>
        <w:t xml:space="preserve">, [online] 6(2), pp.70–72. doi: </w:t>
      </w:r>
      <w:hyperlink r:id="rId9">
        <w:r w:rsidDel="00000000" w:rsidR="00000000" w:rsidRPr="00000000">
          <w:rPr>
            <w:color w:val="0563c1"/>
            <w:u w:val="single"/>
            <w:rtl w:val="0"/>
          </w:rPr>
          <w:t xml:space="preserve">https://doi.org/10.36401/jqsh-22-19</w:t>
        </w:r>
      </w:hyperlink>
      <w:r w:rsidDel="00000000" w:rsidR="00000000" w:rsidRPr="00000000">
        <w:rPr>
          <w:rtl w:val="0"/>
        </w:rPr>
        <w:t xml:space="preserve">.</w:t>
      </w:r>
    </w:p>
    <w:p w:rsidR="00000000" w:rsidDel="00000000" w:rsidP="00000000" w:rsidRDefault="00000000" w:rsidRPr="00000000" w14:paraId="0000006B">
      <w:pPr>
        <w:rPr/>
      </w:pPr>
      <w:r w:rsidDel="00000000" w:rsidR="00000000" w:rsidRPr="00000000">
        <w:rPr>
          <w:rtl w:val="0"/>
        </w:rPr>
        <w:t xml:space="preserve">Barr, E. and Brannan, G.D. (2024). </w:t>
      </w:r>
      <w:r w:rsidDel="00000000" w:rsidR="00000000" w:rsidRPr="00000000">
        <w:rPr>
          <w:i w:val="1"/>
          <w:iCs w:val="1"/>
          <w:rtl w:val="0"/>
        </w:rPr>
        <w:t xml:space="preserve">Quality improvement methods (LEAN, PDSA, SIX SIGMA)</w:t>
      </w:r>
      <w:r w:rsidDel="00000000" w:rsidR="00000000" w:rsidRPr="00000000">
        <w:rPr>
          <w:rtl w:val="0"/>
        </w:rPr>
        <w:t xml:space="preserve">. [online] PubMed. Available at: </w:t>
      </w:r>
      <w:hyperlink r:id="rId10">
        <w:r w:rsidDel="00000000" w:rsidR="00000000" w:rsidRPr="00000000">
          <w:rPr>
            <w:color w:val="0563c1"/>
            <w:u w:val="single"/>
            <w:rtl w:val="0"/>
          </w:rPr>
          <w:t xml:space="preserve">https://www.ncbi.nlm.nih.gov/books/NBK599556/</w:t>
        </w:r>
      </w:hyperlink>
      <w:r w:rsidDel="00000000" w:rsidR="00000000" w:rsidRPr="00000000">
        <w:rPr>
          <w:rtl w:val="0"/>
        </w:rPr>
        <w:t xml:space="preserve">.</w:t>
      </w:r>
    </w:p>
    <w:p w:rsidR="00000000" w:rsidDel="00000000" w:rsidP="00000000" w:rsidRDefault="00000000" w:rsidRPr="00000000" w14:paraId="0000006C">
      <w:pPr>
        <w:rPr/>
      </w:pPr>
      <w:r w:rsidDel="00000000" w:rsidR="00000000" w:rsidRPr="00000000">
        <w:rPr>
          <w:rtl w:val="0"/>
        </w:rPr>
        <w:t xml:space="preserve">Bottle, A. and Aylin, P. (2025). Improving the Safety and Quality of Healthcare Using Statistical Analysis of Routinely Collected Data. </w:t>
      </w:r>
      <w:r w:rsidDel="00000000" w:rsidR="00000000" w:rsidRPr="00000000">
        <w:rPr>
          <w:i w:val="1"/>
          <w:iCs w:val="1"/>
          <w:rtl w:val="0"/>
        </w:rPr>
        <w:t xml:space="preserve">Mathematics in Industry</w:t>
      </w:r>
      <w:r w:rsidDel="00000000" w:rsidR="00000000" w:rsidRPr="00000000">
        <w:rPr>
          <w:rtl w:val="0"/>
        </w:rPr>
        <w:t xml:space="preserve">, pp.155–161. doi: </w:t>
      </w:r>
      <w:hyperlink r:id="rId11">
        <w:r w:rsidDel="00000000" w:rsidR="00000000" w:rsidRPr="00000000">
          <w:rPr>
            <w:color w:val="0563c1"/>
            <w:u w:val="single"/>
            <w:rtl w:val="0"/>
          </w:rPr>
          <w:t xml:space="preserve">https://doi.org/10.1007/978-3-031-48683-8_20</w:t>
        </w:r>
      </w:hyperlink>
      <w:r w:rsidDel="00000000" w:rsidR="00000000" w:rsidRPr="00000000">
        <w:rPr>
          <w:rtl w:val="0"/>
        </w:rPr>
        <w:t xml:space="preserve">.</w:t>
      </w:r>
    </w:p>
    <w:p w:rsidR="00000000" w:rsidDel="00000000" w:rsidP="00000000" w:rsidRDefault="00000000" w:rsidRPr="00000000" w14:paraId="0000006D">
      <w:pPr>
        <w:rPr/>
      </w:pPr>
      <w:r w:rsidDel="00000000" w:rsidR="00000000" w:rsidRPr="00000000">
        <w:rPr>
          <w:rtl w:val="0"/>
        </w:rPr>
        <w:t xml:space="preserve">Buist, M. and Arnold, G. (2022). </w:t>
      </w:r>
      <w:r w:rsidDel="00000000" w:rsidR="00000000" w:rsidRPr="00000000">
        <w:rPr>
          <w:i w:val="1"/>
          <w:iCs w:val="1"/>
          <w:rtl w:val="0"/>
        </w:rPr>
        <w:t xml:space="preserve">Clinical Futile Cycles: Systematic Microeconomic Reform of Health Care by Reform of the Traditional Hierarchical Referral Model of Care</w:t>
      </w:r>
      <w:r w:rsidDel="00000000" w:rsidR="00000000" w:rsidRPr="00000000">
        <w:rPr>
          <w:rtl w:val="0"/>
        </w:rPr>
        <w:t xml:space="preserve">. [online] www.intechopen.com. Available at: </w:t>
      </w:r>
      <w:hyperlink r:id="rId12">
        <w:r w:rsidDel="00000000" w:rsidR="00000000" w:rsidRPr="00000000">
          <w:rPr>
            <w:color w:val="0563c1"/>
            <w:u w:val="single"/>
            <w:rtl w:val="0"/>
          </w:rPr>
          <w:t xml:space="preserve">https://www.intechopen.com/chapters/82848</w:t>
        </w:r>
      </w:hyperlink>
      <w:r w:rsidDel="00000000" w:rsidR="00000000" w:rsidRPr="00000000">
        <w:rPr>
          <w:rtl w:val="0"/>
        </w:rPr>
        <w:t xml:space="preserve">.</w:t>
      </w:r>
    </w:p>
    <w:p w:rsidR="00000000" w:rsidDel="00000000" w:rsidP="00000000" w:rsidRDefault="00000000" w:rsidRPr="00000000" w14:paraId="0000006E">
      <w:pPr>
        <w:rPr/>
      </w:pPr>
      <w:r w:rsidDel="00000000" w:rsidR="00000000" w:rsidRPr="00000000">
        <w:rPr>
          <w:rtl w:val="0"/>
        </w:rPr>
        <w:t xml:space="preserve">Dyer, C. (2001). Bristol inquiry. </w:t>
      </w:r>
      <w:r w:rsidDel="00000000" w:rsidR="00000000" w:rsidRPr="00000000">
        <w:rPr>
          <w:i w:val="1"/>
          <w:iCs w:val="1"/>
          <w:rtl w:val="0"/>
        </w:rPr>
        <w:t xml:space="preserve">BMJ</w:t>
      </w:r>
      <w:r w:rsidDel="00000000" w:rsidR="00000000" w:rsidRPr="00000000">
        <w:rPr>
          <w:rtl w:val="0"/>
        </w:rPr>
        <w:t xml:space="preserve">, [online] 323(7306), pp.181–181. doi: </w:t>
      </w:r>
      <w:hyperlink r:id="rId13">
        <w:r w:rsidDel="00000000" w:rsidR="00000000" w:rsidRPr="00000000">
          <w:rPr>
            <w:color w:val="0563c1"/>
            <w:u w:val="single"/>
            <w:rtl w:val="0"/>
          </w:rPr>
          <w:t xml:space="preserve">https://doi.org/10.1136/bmj.323.7306.181</w:t>
        </w:r>
      </w:hyperlink>
      <w:r w:rsidDel="00000000" w:rsidR="00000000" w:rsidRPr="00000000">
        <w:rPr>
          <w:rtl w:val="0"/>
        </w:rPr>
        <w:t xml:space="preserve">.</w:t>
      </w:r>
    </w:p>
    <w:p w:rsidR="00000000" w:rsidDel="00000000" w:rsidP="00000000" w:rsidRDefault="00000000" w:rsidRPr="00000000" w14:paraId="0000006F">
      <w:pPr>
        <w:rPr/>
      </w:pPr>
      <w:r w:rsidDel="00000000" w:rsidR="00000000" w:rsidRPr="00000000">
        <w:rPr>
          <w:rtl w:val="0"/>
        </w:rPr>
        <w:t xml:space="preserve">Endeshaw, B. (2020). Healthcare service quality-measurement models: A review. </w:t>
      </w:r>
      <w:r w:rsidDel="00000000" w:rsidR="00000000" w:rsidRPr="00000000">
        <w:rPr>
          <w:i w:val="1"/>
          <w:iCs w:val="1"/>
          <w:rtl w:val="0"/>
        </w:rPr>
        <w:t xml:space="preserve">Journal of Health Research</w:t>
      </w:r>
      <w:r w:rsidDel="00000000" w:rsidR="00000000" w:rsidRPr="00000000">
        <w:rPr>
          <w:rtl w:val="0"/>
        </w:rPr>
        <w:t xml:space="preserve">, 35(2).</w:t>
      </w:r>
    </w:p>
    <w:p w:rsidR="00000000" w:rsidDel="00000000" w:rsidP="00000000" w:rsidRDefault="00000000" w:rsidRPr="00000000" w14:paraId="00000070">
      <w:pPr>
        <w:rPr/>
      </w:pPr>
      <w:r w:rsidDel="00000000" w:rsidR="00000000" w:rsidRPr="00000000">
        <w:rPr>
          <w:rtl w:val="0"/>
        </w:rPr>
        <w:t xml:space="preserve">Esposito, P. and Dal Canton, A. (2014). Clinical audit, a Valuable Tool to Improve Quality of care: General Methodology and Applications in Nephrology. </w:t>
      </w:r>
      <w:r w:rsidDel="00000000" w:rsidR="00000000" w:rsidRPr="00000000">
        <w:rPr>
          <w:i w:val="1"/>
          <w:iCs w:val="1"/>
          <w:rtl w:val="0"/>
        </w:rPr>
        <w:t xml:space="preserve">World Journal of Nephrology</w:t>
      </w:r>
      <w:r w:rsidDel="00000000" w:rsidR="00000000" w:rsidRPr="00000000">
        <w:rPr>
          <w:rtl w:val="0"/>
        </w:rPr>
        <w:t xml:space="preserve">, [online] 3(4), pp.249–255. doi: </w:t>
      </w:r>
      <w:hyperlink r:id="rId14">
        <w:r w:rsidDel="00000000" w:rsidR="00000000" w:rsidRPr="00000000">
          <w:rPr>
            <w:color w:val="0563c1"/>
            <w:u w:val="single"/>
            <w:rtl w:val="0"/>
          </w:rPr>
          <w:t xml:space="preserve">https://doi.org/10.5527/wjn.v3.i4.249</w:t>
        </w:r>
      </w:hyperlink>
      <w:r w:rsidDel="00000000" w:rsidR="00000000" w:rsidRPr="00000000">
        <w:rPr>
          <w:rtl w:val="0"/>
        </w:rPr>
        <w:t xml:space="preserve">.</w:t>
      </w:r>
    </w:p>
    <w:p w:rsidR="00000000" w:rsidDel="00000000" w:rsidP="00000000" w:rsidRDefault="00000000" w:rsidRPr="00000000" w14:paraId="00000071">
      <w:pPr>
        <w:rPr/>
      </w:pPr>
      <w:r w:rsidDel="00000000" w:rsidR="00000000" w:rsidRPr="00000000">
        <w:rPr>
          <w:rtl w:val="0"/>
        </w:rPr>
        <w:t xml:space="preserve">Exworthy, M., Mannion, R. and Powell, M. (2023). </w:t>
      </w:r>
      <w:r w:rsidDel="00000000" w:rsidR="00000000" w:rsidRPr="00000000">
        <w:rPr>
          <w:i w:val="1"/>
          <w:iCs w:val="1"/>
          <w:rtl w:val="0"/>
        </w:rPr>
        <w:t xml:space="preserve">The NHS at 75</w:t>
      </w:r>
      <w:r w:rsidDel="00000000" w:rsidR="00000000" w:rsidRPr="00000000">
        <w:rPr>
          <w:rtl w:val="0"/>
        </w:rPr>
        <w:t xml:space="preserve">. Policy Press.</w:t>
      </w:r>
    </w:p>
    <w:p w:rsidR="00000000" w:rsidDel="00000000" w:rsidP="00000000" w:rsidRDefault="00000000" w:rsidRPr="00000000" w14:paraId="00000072">
      <w:pPr>
        <w:rPr/>
      </w:pPr>
      <w:r w:rsidDel="00000000" w:rsidR="00000000" w:rsidRPr="00000000">
        <w:rPr>
          <w:rtl w:val="0"/>
        </w:rPr>
        <w:t xml:space="preserve">Gilmore, K.J., Corazza, I., Coletta, L. and Allin, S. (2022). The uses of Patient Reported Experience Measures in health systems: a systematic narrative review. </w:t>
      </w:r>
      <w:r w:rsidDel="00000000" w:rsidR="00000000" w:rsidRPr="00000000">
        <w:rPr>
          <w:i w:val="1"/>
          <w:iCs w:val="1"/>
          <w:rtl w:val="0"/>
        </w:rPr>
        <w:t xml:space="preserve">Health Policy</w:t>
      </w:r>
      <w:r w:rsidDel="00000000" w:rsidR="00000000" w:rsidRPr="00000000">
        <w:rPr>
          <w:rtl w:val="0"/>
        </w:rPr>
        <w:t xml:space="preserve">, [online] 128. doi: </w:t>
      </w:r>
      <w:hyperlink r:id="rId15">
        <w:r w:rsidDel="00000000" w:rsidR="00000000" w:rsidRPr="00000000">
          <w:rPr>
            <w:color w:val="0563c1"/>
            <w:u w:val="single"/>
            <w:rtl w:val="0"/>
          </w:rPr>
          <w:t xml:space="preserve">https://doi.org/10.1016/j.healthpol.2022.07.008</w:t>
        </w:r>
      </w:hyperlink>
      <w:r w:rsidDel="00000000" w:rsidR="00000000" w:rsidRPr="00000000">
        <w:rPr>
          <w:rtl w:val="0"/>
        </w:rPr>
        <w:t xml:space="preserve">.</w:t>
      </w:r>
    </w:p>
    <w:p w:rsidR="00000000" w:rsidDel="00000000" w:rsidP="00000000" w:rsidRDefault="00000000" w:rsidRPr="00000000" w14:paraId="00000073">
      <w:pPr>
        <w:rPr/>
      </w:pPr>
      <w:r w:rsidDel="00000000" w:rsidR="00000000" w:rsidRPr="00000000">
        <w:rPr>
          <w:rtl w:val="0"/>
        </w:rPr>
        <w:t xml:space="preserve">GOV. UK (2025). </w:t>
      </w:r>
      <w:r w:rsidDel="00000000" w:rsidR="00000000" w:rsidRPr="00000000">
        <w:rPr>
          <w:i w:val="1"/>
          <w:iCs w:val="1"/>
          <w:rtl w:val="0"/>
        </w:rPr>
        <w:t xml:space="preserve">Clinical Governance Annual Report 2024 to 2025</w:t>
      </w:r>
      <w:r w:rsidDel="00000000" w:rsidR="00000000" w:rsidRPr="00000000">
        <w:rPr>
          <w:rtl w:val="0"/>
        </w:rPr>
        <w:t xml:space="preserve">. [online] GOV.UK. Available at: </w:t>
      </w:r>
      <w:hyperlink r:id="rId16">
        <w:r w:rsidDel="00000000" w:rsidR="00000000" w:rsidRPr="00000000">
          <w:rPr>
            <w:color w:val="0563c1"/>
            <w:u w:val="single"/>
            <w:rtl w:val="0"/>
          </w:rPr>
          <w:t xml:space="preserve">https://www.gov.uk/government/publications/clinical-governance-annual-report-2024-to-2025/clinical-governance-annual-report-2024-to-2025</w:t>
        </w:r>
      </w:hyperlink>
      <w:r w:rsidDel="00000000" w:rsidR="00000000" w:rsidRPr="00000000">
        <w:rPr>
          <w:rtl w:val="0"/>
        </w:rPr>
        <w:t xml:space="preserve">.</w:t>
      </w:r>
    </w:p>
    <w:p w:rsidR="00000000" w:rsidDel="00000000" w:rsidP="00000000" w:rsidRDefault="00000000" w:rsidRPr="00000000" w14:paraId="00000074">
      <w:pPr>
        <w:rPr/>
      </w:pPr>
      <w:r w:rsidDel="00000000" w:rsidR="00000000" w:rsidRPr="00000000">
        <w:rPr>
          <w:rtl w:val="0"/>
        </w:rPr>
        <w:t xml:space="preserve">Healthcare Skills Training International. (2024). </w:t>
      </w:r>
      <w:r w:rsidDel="00000000" w:rsidR="00000000" w:rsidRPr="00000000">
        <w:rPr>
          <w:i w:val="1"/>
          <w:iCs w:val="1"/>
          <w:rtl w:val="0"/>
        </w:rPr>
        <w:t xml:space="preserve">UK Governance in Healthcare – What Went Wrong? - Healthcare Skills Training International</w:t>
      </w:r>
      <w:r w:rsidDel="00000000" w:rsidR="00000000" w:rsidRPr="00000000">
        <w:rPr>
          <w:rtl w:val="0"/>
        </w:rPr>
        <w:t xml:space="preserve">. [online] Available at: </w:t>
      </w:r>
      <w:hyperlink r:id="rId17">
        <w:r w:rsidDel="00000000" w:rsidR="00000000" w:rsidRPr="00000000">
          <w:rPr>
            <w:color w:val="0563c1"/>
            <w:u w:val="single"/>
            <w:rtl w:val="0"/>
          </w:rPr>
          <w:t xml:space="preserve">https://healthcareskills.com/news-item/uk-governance-in-healthcare-what-went-wrong/</w:t>
        </w:r>
      </w:hyperlink>
      <w:r w:rsidDel="00000000" w:rsidR="00000000" w:rsidRPr="00000000">
        <w:rPr>
          <w:rtl w:val="0"/>
        </w:rPr>
        <w:t xml:space="preserve">.</w:t>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t xml:space="preserve">Hough, A. (2022). Governing for quality and safeguarding: what might disability service provider boards learn from others? </w:t>
      </w:r>
      <w:r w:rsidDel="00000000" w:rsidR="00000000" w:rsidRPr="00000000">
        <w:rPr>
          <w:i w:val="1"/>
          <w:iCs w:val="1"/>
          <w:rtl w:val="0"/>
        </w:rPr>
        <w:t xml:space="preserve">Research and Practice in Intellectual and Developmental Disabilities</w:t>
      </w:r>
      <w:r w:rsidDel="00000000" w:rsidR="00000000" w:rsidRPr="00000000">
        <w:rPr>
          <w:rtl w:val="0"/>
        </w:rPr>
        <w:t xml:space="preserve">, pp.1–16. doi: </w:t>
      </w:r>
      <w:hyperlink r:id="rId18">
        <w:r w:rsidDel="00000000" w:rsidR="00000000" w:rsidRPr="00000000">
          <w:rPr>
            <w:color w:val="0563c1"/>
            <w:u w:val="single"/>
            <w:rtl w:val="0"/>
          </w:rPr>
          <w:t xml:space="preserve">https://doi.org/10.1080/23297018.2022.2109193</w:t>
        </w:r>
      </w:hyperlink>
      <w:r w:rsidDel="00000000" w:rsidR="00000000" w:rsidRPr="00000000">
        <w:rPr>
          <w:rtl w:val="0"/>
        </w:rPr>
        <w:t xml:space="preserve">.</w:t>
      </w:r>
    </w:p>
    <w:p w:rsidR="00000000" w:rsidDel="00000000" w:rsidP="00000000" w:rsidRDefault="00000000" w:rsidRPr="00000000" w14:paraId="00000077">
      <w:pPr>
        <w:rPr/>
      </w:pPr>
      <w:r w:rsidDel="00000000" w:rsidR="00000000" w:rsidRPr="00000000">
        <w:rPr>
          <w:rtl w:val="0"/>
        </w:rPr>
        <w:t xml:space="preserve">Hristoski, I.S., Olivera Kostoska, Zoran Kotevski and Dimovski, T. (2017). Causality of Factors Reducing Competitiveness of e-Commerce Firms. [online] Vol. 3(No. 2), p.pp. 109-127. Available at: </w:t>
      </w:r>
      <w:hyperlink r:id="rId19">
        <w:r w:rsidDel="00000000" w:rsidR="00000000" w:rsidRPr="00000000">
          <w:rPr>
            <w:color w:val="0563c1"/>
            <w:u w:val="single"/>
            <w:rtl w:val="0"/>
          </w:rPr>
          <w:t xml:space="preserve">https://www.researchgate.net/publication/317196193_Causality_of_Factors_Reducing_Competitiveness_of_e-Commerce_Firms</w:t>
        </w:r>
      </w:hyperlink>
      <w:r w:rsidDel="00000000" w:rsidR="00000000" w:rsidRPr="00000000">
        <w:rPr>
          <w:rtl w:val="0"/>
        </w:rPr>
        <w:t xml:space="preserve">.</w:t>
      </w:r>
    </w:p>
    <w:p w:rsidR="00000000" w:rsidDel="00000000" w:rsidP="00000000" w:rsidRDefault="00000000" w:rsidRPr="00000000" w14:paraId="00000078">
      <w:pPr>
        <w:rPr/>
      </w:pPr>
      <w:r w:rsidDel="00000000" w:rsidR="00000000" w:rsidRPr="00000000">
        <w:rPr>
          <w:rtl w:val="0"/>
        </w:rPr>
        <w:t xml:space="preserve">Kumah, A., Nwogu, C.N., Issah, A.-R., Obot, E., Kanamitie, D.T., Sifa, J.S. and Aidoo, L.A. (2024). Cause-and-Effect (Fishbone) Diagram: a Tool for Generating and Organizing Quality Improvement Ideas. </w:t>
      </w:r>
      <w:r w:rsidDel="00000000" w:rsidR="00000000" w:rsidRPr="00000000">
        <w:rPr>
          <w:i w:val="1"/>
          <w:iCs w:val="1"/>
          <w:rtl w:val="0"/>
        </w:rPr>
        <w:t xml:space="preserve">Innovations Journals</w:t>
      </w:r>
      <w:r w:rsidDel="00000000" w:rsidR="00000000" w:rsidRPr="00000000">
        <w:rPr>
          <w:rtl w:val="0"/>
        </w:rPr>
        <w:t xml:space="preserve">, [online] 7(2), pp.85–87. doi: </w:t>
      </w:r>
      <w:hyperlink r:id="rId20">
        <w:r w:rsidDel="00000000" w:rsidR="00000000" w:rsidRPr="00000000">
          <w:rPr>
            <w:color w:val="0563c1"/>
            <w:u w:val="single"/>
            <w:rtl w:val="0"/>
          </w:rPr>
          <w:t xml:space="preserve">https://doi.org/10.36401/JQSH-23-42</w:t>
        </w:r>
      </w:hyperlink>
      <w:r w:rsidDel="00000000" w:rsidR="00000000" w:rsidRPr="00000000">
        <w:rPr>
          <w:rtl w:val="0"/>
        </w:rPr>
        <w:t xml:space="preserve">.</w:t>
      </w:r>
    </w:p>
    <w:p w:rsidR="00000000" w:rsidDel="00000000" w:rsidP="00000000" w:rsidRDefault="00000000" w:rsidRPr="00000000" w14:paraId="00000079">
      <w:pPr>
        <w:rPr/>
      </w:pPr>
      <w:r w:rsidDel="00000000" w:rsidR="00000000" w:rsidRPr="00000000">
        <w:rPr>
          <w:rtl w:val="0"/>
        </w:rPr>
        <w:t xml:space="preserve">McDermott, O., Antony, J., Sony, M., Rosa, A., Hickey, M. and Grant, T.A. (2022). A study on Ishikawa’s original basic tools of quality control in healthcare. </w:t>
      </w:r>
      <w:r w:rsidDel="00000000" w:rsidR="00000000" w:rsidRPr="00000000">
        <w:rPr>
          <w:i w:val="1"/>
          <w:iCs w:val="1"/>
          <w:rtl w:val="0"/>
        </w:rPr>
        <w:t xml:space="preserve">The TQM Journal</w:t>
      </w:r>
      <w:r w:rsidDel="00000000" w:rsidR="00000000" w:rsidRPr="00000000">
        <w:rPr>
          <w:rtl w:val="0"/>
        </w:rPr>
        <w:t xml:space="preserve">, 35(7). doi: </w:t>
      </w:r>
      <w:hyperlink r:id="rId21">
        <w:r w:rsidDel="00000000" w:rsidR="00000000" w:rsidRPr="00000000">
          <w:rPr>
            <w:color w:val="0563c1"/>
            <w:u w:val="single"/>
            <w:rtl w:val="0"/>
          </w:rPr>
          <w:t xml:space="preserve">https://doi.org/10.1108/tqm-06-2022-0187</w:t>
        </w:r>
      </w:hyperlink>
      <w:r w:rsidDel="00000000" w:rsidR="00000000" w:rsidRPr="00000000">
        <w:rPr>
          <w:rtl w:val="0"/>
        </w:rPr>
        <w:t xml:space="preserve">.</w:t>
      </w:r>
    </w:p>
    <w:p w:rsidR="00000000" w:rsidDel="00000000" w:rsidP="00000000" w:rsidRDefault="00000000" w:rsidRPr="00000000" w14:paraId="0000007A">
      <w:pPr>
        <w:rPr/>
      </w:pPr>
      <w:r w:rsidDel="00000000" w:rsidR="00000000" w:rsidRPr="00000000">
        <w:rPr>
          <w:rtl w:val="0"/>
        </w:rPr>
        <w:t xml:space="preserve">Medic Earth. (2025). </w:t>
      </w:r>
      <w:r w:rsidDel="00000000" w:rsidR="00000000" w:rsidRPr="00000000">
        <w:rPr>
          <w:i w:val="1"/>
          <w:iCs w:val="1"/>
          <w:rtl w:val="0"/>
        </w:rPr>
        <w:t xml:space="preserve">Donabedian Model: Structure, Process, and Outcome for Healthcare Quality Assessment - Medic Earth</w:t>
      </w:r>
      <w:r w:rsidDel="00000000" w:rsidR="00000000" w:rsidRPr="00000000">
        <w:rPr>
          <w:rtl w:val="0"/>
        </w:rPr>
        <w:t xml:space="preserve">. [online] Available at: </w:t>
      </w:r>
      <w:hyperlink r:id="rId22">
        <w:r w:rsidDel="00000000" w:rsidR="00000000" w:rsidRPr="00000000">
          <w:rPr>
            <w:color w:val="0563c1"/>
            <w:u w:val="single"/>
            <w:rtl w:val="0"/>
          </w:rPr>
          <w:t xml:space="preserve">https://medicearth.in/total-quality-management/donabedian-model-healthcare-quality/</w:t>
        </w:r>
      </w:hyperlink>
      <w:r w:rsidDel="00000000" w:rsidR="00000000" w:rsidRPr="00000000">
        <w:rPr>
          <w:rtl w:val="0"/>
        </w:rPr>
        <w:t xml:space="preserve">.</w:t>
      </w:r>
    </w:p>
    <w:p w:rsidR="00000000" w:rsidDel="00000000" w:rsidP="00000000" w:rsidRDefault="00000000" w:rsidRPr="00000000" w14:paraId="0000007B">
      <w:pPr>
        <w:rPr/>
      </w:pPr>
      <w:r w:rsidDel="00000000" w:rsidR="00000000" w:rsidRPr="00000000">
        <w:rPr>
          <w:rtl w:val="0"/>
        </w:rPr>
        <w:t xml:space="preserve">Moore, L., Lavoie, A., Bourgeois, G. and Lapointe, J. (2015). Donabedian’s structure-process-outcome quality of care model: Validation in an integrated trauma system. </w:t>
      </w:r>
      <w:r w:rsidDel="00000000" w:rsidR="00000000" w:rsidRPr="00000000">
        <w:rPr>
          <w:i w:val="1"/>
          <w:iCs w:val="1"/>
          <w:rtl w:val="0"/>
        </w:rPr>
        <w:t xml:space="preserve">The journal of trauma and acute care surgery</w:t>
      </w:r>
      <w:r w:rsidDel="00000000" w:rsidR="00000000" w:rsidRPr="00000000">
        <w:rPr>
          <w:rtl w:val="0"/>
        </w:rPr>
        <w:t xml:space="preserve">, 78(6), pp.1168–75. doi: </w:t>
      </w:r>
      <w:hyperlink r:id="rId23">
        <w:r w:rsidDel="00000000" w:rsidR="00000000" w:rsidRPr="00000000">
          <w:rPr>
            <w:color w:val="0563c1"/>
            <w:u w:val="single"/>
            <w:rtl w:val="0"/>
          </w:rPr>
          <w:t xml:space="preserve">https://doi.org/10.1097/TA.0000000000000663</w:t>
        </w:r>
      </w:hyperlink>
      <w:r w:rsidDel="00000000" w:rsidR="00000000" w:rsidRPr="00000000">
        <w:rPr>
          <w:rtl w:val="0"/>
        </w:rPr>
        <w:t xml:space="preserve">.</w:t>
      </w:r>
    </w:p>
    <w:p w:rsidR="00000000" w:rsidDel="00000000" w:rsidP="00000000" w:rsidRDefault="00000000" w:rsidRPr="00000000" w14:paraId="0000007C">
      <w:pPr>
        <w:rPr/>
      </w:pPr>
      <w:r w:rsidDel="00000000" w:rsidR="00000000" w:rsidRPr="00000000">
        <w:rPr>
          <w:rtl w:val="0"/>
        </w:rPr>
        <w:t xml:space="preserve">Murray, J., Sorra, J., Gale, B. and Mossburg, S. (2024). Ensuring Patient and Workforce Safety Culture in Healthcare. </w:t>
      </w:r>
      <w:r w:rsidDel="00000000" w:rsidR="00000000" w:rsidRPr="00000000">
        <w:rPr>
          <w:i w:val="1"/>
          <w:iCs w:val="1"/>
          <w:rtl w:val="0"/>
        </w:rPr>
        <w:t xml:space="preserve">psnet.ahrq.gov</w:t>
      </w:r>
      <w:r w:rsidDel="00000000" w:rsidR="00000000" w:rsidRPr="00000000">
        <w:rPr>
          <w:rtl w:val="0"/>
        </w:rPr>
        <w:t xml:space="preserve">. [online] Available at: </w:t>
      </w:r>
      <w:hyperlink r:id="rId24">
        <w:r w:rsidDel="00000000" w:rsidR="00000000" w:rsidRPr="00000000">
          <w:rPr>
            <w:color w:val="0563c1"/>
            <w:u w:val="single"/>
            <w:rtl w:val="0"/>
          </w:rPr>
          <w:t xml:space="preserve">https://psnet.ahrq.gov/perspective/ensuring-patient-and-workforce-safety-culture-healthcare</w:t>
        </w:r>
      </w:hyperlink>
      <w:r w:rsidDel="00000000" w:rsidR="00000000" w:rsidRPr="00000000">
        <w:rPr>
          <w:rtl w:val="0"/>
        </w:rPr>
        <w:t xml:space="preserve">.</w:t>
      </w:r>
    </w:p>
    <w:p w:rsidR="00000000" w:rsidDel="00000000" w:rsidP="00000000" w:rsidRDefault="00000000" w:rsidRPr="00000000" w14:paraId="0000007D">
      <w:pPr>
        <w:rPr/>
      </w:pPr>
      <w:r w:rsidDel="00000000" w:rsidR="00000000" w:rsidRPr="00000000">
        <w:rPr>
          <w:rtl w:val="0"/>
        </w:rPr>
        <w:t xml:space="preserve">Murray, M. and Barnes, A. (2023). Safety and Quality in Healthcare. </w:t>
      </w:r>
      <w:r w:rsidDel="00000000" w:rsidR="00000000" w:rsidRPr="00000000">
        <w:rPr>
          <w:i w:val="1"/>
          <w:iCs w:val="1"/>
          <w:rtl w:val="0"/>
        </w:rPr>
        <w:t xml:space="preserve">oercollective.caul.edu.au</w:t>
      </w:r>
      <w:r w:rsidDel="00000000" w:rsidR="00000000" w:rsidRPr="00000000">
        <w:rPr>
          <w:rtl w:val="0"/>
        </w:rPr>
        <w:t xml:space="preserve">. [online] Available at: </w:t>
      </w:r>
      <w:hyperlink r:id="rId25">
        <w:r w:rsidDel="00000000" w:rsidR="00000000" w:rsidRPr="00000000">
          <w:rPr>
            <w:color w:val="0563c1"/>
            <w:u w:val="single"/>
            <w:rtl w:val="0"/>
          </w:rPr>
          <w:t xml:space="preserve">https://oercollective.caul.edu.au/leading-in-health-and-social-care/chapter/quality-and-safety-in-healthcare/</w:t>
        </w:r>
      </w:hyperlink>
      <w:r w:rsidDel="00000000" w:rsidR="00000000" w:rsidRPr="00000000">
        <w:rPr>
          <w:rtl w:val="0"/>
        </w:rPr>
        <w:t xml:space="preserve">.</w:t>
      </w:r>
    </w:p>
    <w:p w:rsidR="00000000" w:rsidDel="00000000" w:rsidP="00000000" w:rsidRDefault="00000000" w:rsidRPr="00000000" w14:paraId="0000007E">
      <w:pPr>
        <w:rPr/>
      </w:pPr>
      <w:r w:rsidDel="00000000" w:rsidR="00000000" w:rsidRPr="00000000">
        <w:rPr>
          <w:rtl w:val="0"/>
        </w:rPr>
        <w:t xml:space="preserve">Noronha, A., Bhat, S., Gijo, E.V., Antony, J., Laureani, A. and Laux, C. (2021). Performance and service quality enhancement in a healthcare setting through lean six sigma strategy. </w:t>
      </w:r>
      <w:r w:rsidDel="00000000" w:rsidR="00000000" w:rsidRPr="00000000">
        <w:rPr>
          <w:i w:val="1"/>
          <w:iCs w:val="1"/>
          <w:rtl w:val="0"/>
        </w:rPr>
        <w:t xml:space="preserve">International Journal of Quality &amp; Reliability Management</w:t>
      </w:r>
      <w:r w:rsidDel="00000000" w:rsidR="00000000" w:rsidRPr="00000000">
        <w:rPr>
          <w:rtl w:val="0"/>
        </w:rPr>
        <w:t xml:space="preserve">, ahead-of-print(ahead-of-print). doi: </w:t>
      </w:r>
      <w:hyperlink r:id="rId26">
        <w:r w:rsidDel="00000000" w:rsidR="00000000" w:rsidRPr="00000000">
          <w:rPr>
            <w:color w:val="0563c1"/>
            <w:u w:val="single"/>
            <w:rtl w:val="0"/>
          </w:rPr>
          <w:t xml:space="preserve">https://doi.org/10.1108/ijqrm-07-2021-0226</w:t>
        </w:r>
      </w:hyperlink>
      <w:r w:rsidDel="00000000" w:rsidR="00000000" w:rsidRPr="00000000">
        <w:rPr>
          <w:rtl w:val="0"/>
        </w:rPr>
        <w:t xml:space="preserve">.</w:t>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t xml:space="preserve">Penix, R., Kish, J., Gustovich, M. and Cudnik, M. (2019). Lean Six Sigma Methodology in the Implementation of a Standardized Health Literacy Assessment in a Safety Net Internal Medicine Residency Clinic. </w:t>
      </w:r>
      <w:r w:rsidDel="00000000" w:rsidR="00000000" w:rsidRPr="00000000">
        <w:rPr>
          <w:i w:val="1"/>
          <w:iCs w:val="1"/>
          <w:rtl w:val="0"/>
        </w:rPr>
        <w:t xml:space="preserve">HLRP: Health Literacy Research and Practice</w:t>
      </w:r>
      <w:r w:rsidDel="00000000" w:rsidR="00000000" w:rsidRPr="00000000">
        <w:rPr>
          <w:rtl w:val="0"/>
        </w:rPr>
        <w:t xml:space="preserve">, 3(1), pp.e25–e30. doi: </w:t>
      </w:r>
      <w:hyperlink r:id="rId27">
        <w:r w:rsidDel="00000000" w:rsidR="00000000" w:rsidRPr="00000000">
          <w:rPr>
            <w:color w:val="0563c1"/>
            <w:u w:val="single"/>
            <w:rtl w:val="0"/>
          </w:rPr>
          <w:t xml:space="preserve">https://doi.org/10.3928/24748307-20181217-01</w:t>
        </w:r>
      </w:hyperlink>
      <w:r w:rsidDel="00000000" w:rsidR="00000000" w:rsidRPr="00000000">
        <w:rPr>
          <w:rtl w:val="0"/>
        </w:rPr>
        <w:t xml:space="preserve">.</w:t>
      </w:r>
    </w:p>
    <w:p w:rsidR="00000000" w:rsidDel="00000000" w:rsidP="00000000" w:rsidRDefault="00000000" w:rsidRPr="00000000" w14:paraId="00000081">
      <w:pPr>
        <w:rPr/>
      </w:pPr>
      <w:r w:rsidDel="00000000" w:rsidR="00000000" w:rsidRPr="00000000">
        <w:rPr>
          <w:rtl w:val="0"/>
        </w:rPr>
        <w:t xml:space="preserve">Phillips, A.J., Bowen, R., Wells, M., McNeish, I. and Sundar, S. (2025). Key clinical findings from the IMPROVE-UK quality improvement projects: an overview. </w:t>
      </w:r>
      <w:r w:rsidDel="00000000" w:rsidR="00000000" w:rsidRPr="00000000">
        <w:rPr>
          <w:i w:val="1"/>
          <w:iCs w:val="1"/>
          <w:rtl w:val="0"/>
        </w:rPr>
        <w:t xml:space="preserve">BMJ open quality</w:t>
      </w:r>
      <w:r w:rsidDel="00000000" w:rsidR="00000000" w:rsidRPr="00000000">
        <w:rPr>
          <w:rtl w:val="0"/>
        </w:rPr>
        <w:t xml:space="preserve">, [online] 14(Suppl 1), p.e002902. doi: </w:t>
      </w:r>
      <w:hyperlink r:id="rId28">
        <w:r w:rsidDel="00000000" w:rsidR="00000000" w:rsidRPr="00000000">
          <w:rPr>
            <w:color w:val="0563c1"/>
            <w:u w:val="single"/>
            <w:rtl w:val="0"/>
          </w:rPr>
          <w:t xml:space="preserve">https://doi.org/10.1136/bmjoq-2024-002902</w:t>
        </w:r>
      </w:hyperlink>
      <w:r w:rsidDel="00000000" w:rsidR="00000000" w:rsidRPr="00000000">
        <w:rPr>
          <w:rtl w:val="0"/>
        </w:rPr>
        <w:t xml:space="preserve">.</w:t>
      </w:r>
    </w:p>
    <w:p w:rsidR="00000000" w:rsidDel="00000000" w:rsidP="00000000" w:rsidRDefault="00000000" w:rsidRPr="00000000" w14:paraId="00000082">
      <w:pPr>
        <w:rPr/>
      </w:pPr>
      <w:r w:rsidDel="00000000" w:rsidR="00000000" w:rsidRPr="00000000">
        <w:rPr>
          <w:rtl w:val="0"/>
        </w:rPr>
        <w:t xml:space="preserve">Quality and Clinical Audit Procedure. (2025). Available at: </w:t>
      </w:r>
      <w:hyperlink r:id="rId29">
        <w:r w:rsidDel="00000000" w:rsidR="00000000" w:rsidRPr="00000000">
          <w:rPr>
            <w:color w:val="0563c1"/>
            <w:u w:val="single"/>
            <w:rtl w:val="0"/>
          </w:rPr>
          <w:t xml:space="preserve">https://phw.nhs.wales/about-us/policies-and-procedures/policies-and-procedures-documents/clinical-governance-and-infection-control-policies/quality-and-clinical-audit-procedure/</w:t>
        </w:r>
      </w:hyperlink>
      <w:r w:rsidDel="00000000" w:rsidR="00000000" w:rsidRPr="00000000">
        <w:rPr>
          <w:rtl w:val="0"/>
        </w:rPr>
        <w:t xml:space="preserve">.</w:t>
      </w:r>
    </w:p>
    <w:p w:rsidR="00000000" w:rsidDel="00000000" w:rsidP="00000000" w:rsidRDefault="00000000" w:rsidRPr="00000000" w14:paraId="00000083">
      <w:pPr>
        <w:rPr/>
      </w:pPr>
      <w:r w:rsidDel="00000000" w:rsidR="00000000" w:rsidRPr="00000000">
        <w:rPr>
          <w:rtl w:val="0"/>
        </w:rPr>
        <w:t xml:space="preserve">Sangani, D., Krupadev, V., Crawford, M., Deere, B. and Hendel, R. (2021). A quality improvement initiative for increasing cardiac rehabilitation referrals using plan-do-study-act (PDSA) methodology. </w:t>
      </w:r>
      <w:r w:rsidDel="00000000" w:rsidR="00000000" w:rsidRPr="00000000">
        <w:rPr>
          <w:i w:val="1"/>
          <w:iCs w:val="1"/>
          <w:rtl w:val="0"/>
        </w:rPr>
        <w:t xml:space="preserve">The American Journal of Medicine</w:t>
      </w:r>
      <w:r w:rsidDel="00000000" w:rsidR="00000000" w:rsidRPr="00000000">
        <w:rPr>
          <w:rtl w:val="0"/>
        </w:rPr>
        <w:t xml:space="preserve">, 135(4). doi: </w:t>
      </w:r>
      <w:hyperlink r:id="rId30">
        <w:r w:rsidDel="00000000" w:rsidR="00000000" w:rsidRPr="00000000">
          <w:rPr>
            <w:color w:val="0563c1"/>
            <w:u w:val="single"/>
            <w:rtl w:val="0"/>
          </w:rPr>
          <w:t xml:space="preserve">https://doi.org/10.1016/j.amjmed.2021.10.027</w:t>
        </w:r>
      </w:hyperlink>
      <w:r w:rsidDel="00000000" w:rsidR="00000000" w:rsidRPr="00000000">
        <w:rPr>
          <w:rtl w:val="0"/>
        </w:rPr>
        <w:t xml:space="preserve">.</w:t>
      </w:r>
    </w:p>
    <w:p w:rsidR="00000000" w:rsidDel="00000000" w:rsidP="00000000" w:rsidRDefault="00000000" w:rsidRPr="00000000" w14:paraId="00000084">
      <w:pPr>
        <w:rPr/>
      </w:pPr>
      <w:r w:rsidDel="00000000" w:rsidR="00000000" w:rsidRPr="00000000">
        <w:rPr>
          <w:rtl w:val="0"/>
        </w:rPr>
        <w:t xml:space="preserve">Sinnott, C., Alboksmaty, A., Moxey, J.M., Morley, K.I., Parkinson, S., Burt, J. and Dixon-Woods, M. (2024). Operational failures in general practice: a consensus-building study on the priorities for improvement. </w:t>
      </w:r>
      <w:r w:rsidDel="00000000" w:rsidR="00000000" w:rsidRPr="00000000">
        <w:rPr>
          <w:i w:val="1"/>
          <w:iCs w:val="1"/>
          <w:rtl w:val="0"/>
        </w:rPr>
        <w:t xml:space="preserve">British Journal of General Practice</w:t>
      </w:r>
      <w:r w:rsidDel="00000000" w:rsidR="00000000" w:rsidRPr="00000000">
        <w:rPr>
          <w:rtl w:val="0"/>
        </w:rPr>
        <w:t xml:space="preserve">, [online] 74(742), pp.e339–e346. doi: </w:t>
      </w:r>
      <w:hyperlink r:id="rId31">
        <w:r w:rsidDel="00000000" w:rsidR="00000000" w:rsidRPr="00000000">
          <w:rPr>
            <w:color w:val="0563c1"/>
            <w:u w:val="single"/>
            <w:rtl w:val="0"/>
          </w:rPr>
          <w:t xml:space="preserve">https://doi.org/10.3399/BJGP.2023.0321</w:t>
        </w:r>
      </w:hyperlink>
      <w:r w:rsidDel="00000000" w:rsidR="00000000" w:rsidRPr="00000000">
        <w:rPr>
          <w:rtl w:val="0"/>
        </w:rPr>
        <w:t xml:space="preserve">.</w:t>
      </w:r>
    </w:p>
    <w:p w:rsidR="00000000" w:rsidDel="00000000" w:rsidP="00000000" w:rsidRDefault="00000000" w:rsidRPr="00000000" w14:paraId="00000085">
      <w:pPr>
        <w:rPr/>
      </w:pPr>
      <w:r w:rsidDel="00000000" w:rsidR="00000000" w:rsidRPr="00000000">
        <w:rPr>
          <w:rtl w:val="0"/>
        </w:rPr>
        <w:t xml:space="preserve">Sjarifudin, D. and Kurnia, H. (2022). The PDCA Approach with Seven Quality Tools for Quality Improvement Men’s Formal Jackets in Indonesia Garment Industry. </w:t>
      </w:r>
      <w:r w:rsidDel="00000000" w:rsidR="00000000" w:rsidRPr="00000000">
        <w:rPr>
          <w:i w:val="1"/>
          <w:iCs w:val="1"/>
          <w:rtl w:val="0"/>
        </w:rPr>
        <w:t xml:space="preserve">Jurnal Sistem Teknik Industri</w:t>
      </w:r>
      <w:r w:rsidDel="00000000" w:rsidR="00000000" w:rsidRPr="00000000">
        <w:rPr>
          <w:rtl w:val="0"/>
        </w:rPr>
        <w:t xml:space="preserve">, 24(2), pp.159–176. doi: </w:t>
      </w:r>
      <w:hyperlink r:id="rId32">
        <w:r w:rsidDel="00000000" w:rsidR="00000000" w:rsidRPr="00000000">
          <w:rPr>
            <w:color w:val="0563c1"/>
            <w:u w:val="single"/>
            <w:rtl w:val="0"/>
          </w:rPr>
          <w:t xml:space="preserve">https://doi.org/10.32734/jsti.v24i2.7711</w:t>
        </w:r>
      </w:hyperlink>
      <w:r w:rsidDel="00000000" w:rsidR="00000000" w:rsidRPr="00000000">
        <w:rPr>
          <w:rtl w:val="0"/>
        </w:rPr>
        <w:t xml:space="preserve">.</w:t>
      </w:r>
    </w:p>
    <w:p w:rsidR="00000000" w:rsidDel="00000000" w:rsidP="00000000" w:rsidRDefault="00000000" w:rsidRPr="00000000" w14:paraId="00000086">
      <w:pPr>
        <w:rPr/>
      </w:pPr>
      <w:r w:rsidDel="00000000" w:rsidR="00000000" w:rsidRPr="00000000">
        <w:rPr>
          <w:rtl w:val="0"/>
        </w:rPr>
        <w:t xml:space="preserve">Stein, J.E. and Heiss, K. (2015). The Swiss cheese model of adverse event occurrence—Closing the holes. </w:t>
      </w:r>
      <w:r w:rsidDel="00000000" w:rsidR="00000000" w:rsidRPr="00000000">
        <w:rPr>
          <w:i w:val="1"/>
          <w:iCs w:val="1"/>
          <w:rtl w:val="0"/>
        </w:rPr>
        <w:t xml:space="preserve">Seminars in Pediatric Surgery</w:t>
      </w:r>
      <w:r w:rsidDel="00000000" w:rsidR="00000000" w:rsidRPr="00000000">
        <w:rPr>
          <w:rtl w:val="0"/>
        </w:rPr>
        <w:t xml:space="preserve">, [online] 24(6), pp.278–282. doi: </w:t>
      </w:r>
      <w:hyperlink r:id="rId33">
        <w:r w:rsidDel="00000000" w:rsidR="00000000" w:rsidRPr="00000000">
          <w:rPr>
            <w:color w:val="0563c1"/>
            <w:u w:val="single"/>
            <w:rtl w:val="0"/>
          </w:rPr>
          <w:t xml:space="preserve">https://doi.org/10.1053/j.sempedsurg.2015.08.003</w:t>
        </w:r>
      </w:hyperlink>
      <w:r w:rsidDel="00000000" w:rsidR="00000000" w:rsidRPr="00000000">
        <w:rPr>
          <w:rtl w:val="0"/>
        </w:rPr>
        <w:t xml:space="preserve">.</w:t>
      </w:r>
    </w:p>
    <w:p w:rsidR="00000000" w:rsidDel="00000000" w:rsidP="00000000" w:rsidRDefault="00000000" w:rsidRPr="00000000" w14:paraId="00000087">
      <w:pPr>
        <w:rPr/>
      </w:pPr>
      <w:r w:rsidDel="00000000" w:rsidR="00000000" w:rsidRPr="00000000">
        <w:rPr>
          <w:rtl w:val="0"/>
        </w:rPr>
        <w:t xml:space="preserve">Thakur, V., Akerele, O.A. and Randell, E. (2022). Lean and Six Sigma as continuous quality improvement frameworks in the clinical diagnostic laboratory. </w:t>
      </w:r>
      <w:r w:rsidDel="00000000" w:rsidR="00000000" w:rsidRPr="00000000">
        <w:rPr>
          <w:i w:val="1"/>
          <w:iCs w:val="1"/>
          <w:rtl w:val="0"/>
        </w:rPr>
        <w:t xml:space="preserve">Critical Reviews in Clinical Laboratory Sciences</w:t>
      </w:r>
      <w:r w:rsidDel="00000000" w:rsidR="00000000" w:rsidRPr="00000000">
        <w:rPr>
          <w:rtl w:val="0"/>
        </w:rPr>
        <w:t xml:space="preserve">, 60(1), pp.1–19. doi: </w:t>
      </w:r>
      <w:hyperlink r:id="rId34">
        <w:r w:rsidDel="00000000" w:rsidR="00000000" w:rsidRPr="00000000">
          <w:rPr>
            <w:color w:val="0563c1"/>
            <w:u w:val="single"/>
            <w:rtl w:val="0"/>
          </w:rPr>
          <w:t xml:space="preserve">https://doi.org/10.1080/10408363.2022.2106544</w:t>
        </w:r>
      </w:hyperlink>
      <w:r w:rsidDel="00000000" w:rsidR="00000000" w:rsidRPr="00000000">
        <w:rPr>
          <w:rtl w:val="0"/>
        </w:rPr>
        <w:t xml:space="preserve">.</w:t>
      </w:r>
    </w:p>
    <w:p w:rsidR="00000000" w:rsidDel="00000000" w:rsidP="00000000" w:rsidRDefault="00000000" w:rsidRPr="00000000" w14:paraId="00000088">
      <w:pPr>
        <w:rPr/>
      </w:pPr>
      <w:r w:rsidDel="00000000" w:rsidR="00000000" w:rsidRPr="00000000">
        <w:rPr>
          <w:rtl w:val="0"/>
        </w:rPr>
        <w:t xml:space="preserve">Tossaint-Schoenmakers, R., Versluis, A., Chavannes, N., Talboom-Kamp, E. and Kasteleyn, M. (2021). The Challenge of Integrating eHealth Into Health Care: Systematic Literature Review of the Donabedian Model of Structure, Process, and Outcome. </w:t>
      </w:r>
      <w:r w:rsidDel="00000000" w:rsidR="00000000" w:rsidRPr="00000000">
        <w:rPr>
          <w:i w:val="1"/>
          <w:iCs w:val="1"/>
          <w:rtl w:val="0"/>
        </w:rPr>
        <w:t xml:space="preserve">Journal of Medical Internet Research</w:t>
      </w:r>
      <w:r w:rsidDel="00000000" w:rsidR="00000000" w:rsidRPr="00000000">
        <w:rPr>
          <w:rtl w:val="0"/>
        </w:rPr>
        <w:t xml:space="preserve">, [online] 23(5), p.e27180. doi: </w:t>
      </w:r>
      <w:hyperlink r:id="rId35">
        <w:r w:rsidDel="00000000" w:rsidR="00000000" w:rsidRPr="00000000">
          <w:rPr>
            <w:color w:val="0563c1"/>
            <w:u w:val="single"/>
            <w:rtl w:val="0"/>
          </w:rPr>
          <w:t xml:space="preserve">https://doi.org/10.2196/27180</w:t>
        </w:r>
      </w:hyperlink>
      <w:r w:rsidDel="00000000" w:rsidR="00000000" w:rsidRPr="00000000">
        <w:rPr>
          <w:rtl w:val="0"/>
        </w:rPr>
        <w:t xml:space="preserve">.</w:t>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t xml:space="preserve">Tufail, M.M.B., Shakeel, M., Sheikh, F. and Anjum, N. (2021). Implementation of lean Six-Sigma project in enhancing health care service quality during COVID-19 pandemic. </w:t>
      </w:r>
      <w:r w:rsidDel="00000000" w:rsidR="00000000" w:rsidRPr="00000000">
        <w:rPr>
          <w:i w:val="1"/>
          <w:iCs w:val="1"/>
          <w:rtl w:val="0"/>
        </w:rPr>
        <w:t xml:space="preserve">AIMS Public Health</w:t>
      </w:r>
      <w:r w:rsidDel="00000000" w:rsidR="00000000" w:rsidRPr="00000000">
        <w:rPr>
          <w:rtl w:val="0"/>
        </w:rPr>
        <w:t xml:space="preserve">, [online] 8(4), pp.704–719. doi: </w:t>
      </w:r>
      <w:hyperlink r:id="rId36">
        <w:r w:rsidDel="00000000" w:rsidR="00000000" w:rsidRPr="00000000">
          <w:rPr>
            <w:color w:val="0563c1"/>
            <w:u w:val="single"/>
            <w:rtl w:val="0"/>
          </w:rPr>
          <w:t xml:space="preserve">https://doi.org/10.3934/publichealth.2021056</w:t>
        </w:r>
      </w:hyperlink>
      <w:r w:rsidDel="00000000" w:rsidR="00000000" w:rsidRPr="00000000">
        <w:rPr>
          <w:rtl w:val="0"/>
        </w:rPr>
        <w:t xml:space="preserve">.</w:t>
      </w:r>
    </w:p>
    <w:p w:rsidR="00000000" w:rsidDel="00000000" w:rsidP="00000000" w:rsidRDefault="00000000" w:rsidRPr="00000000" w14:paraId="0000008B">
      <w:pPr>
        <w:rPr/>
      </w:pPr>
      <w:r w:rsidDel="00000000" w:rsidR="00000000" w:rsidRPr="00000000">
        <w:rPr>
          <w:rtl w:val="0"/>
        </w:rPr>
        <w:t xml:space="preserve">van Dael, J., Reader, T., Gillespie, A., Freise, L., Darzi, A. and Mayer, E. (2022). Do national policies for complaint handling in English hospitals support quality improvement? Lessons from a case study. </w:t>
      </w:r>
      <w:r w:rsidDel="00000000" w:rsidR="00000000" w:rsidRPr="00000000">
        <w:rPr>
          <w:i w:val="1"/>
          <w:iCs w:val="1"/>
          <w:rtl w:val="0"/>
        </w:rPr>
        <w:t xml:space="preserve">Journal of the Royal Society of Medicine</w:t>
      </w:r>
      <w:r w:rsidDel="00000000" w:rsidR="00000000" w:rsidRPr="00000000">
        <w:rPr>
          <w:rtl w:val="0"/>
        </w:rPr>
        <w:t xml:space="preserve">, 115(10), p.014107682210982. doi: </w:t>
      </w:r>
      <w:hyperlink r:id="rId37">
        <w:r w:rsidDel="00000000" w:rsidR="00000000" w:rsidRPr="00000000">
          <w:rPr>
            <w:color w:val="0563c1"/>
            <w:u w:val="single"/>
            <w:rtl w:val="0"/>
          </w:rPr>
          <w:t xml:space="preserve">https://doi.org/10.1177/01410768221098247</w:t>
        </w:r>
      </w:hyperlink>
      <w:r w:rsidDel="00000000" w:rsidR="00000000" w:rsidRPr="00000000">
        <w:rPr>
          <w:rtl w:val="0"/>
        </w:rPr>
        <w:t xml:space="preserve">.</w:t>
      </w:r>
    </w:p>
    <w:p w:rsidR="00000000" w:rsidDel="00000000" w:rsidP="00000000" w:rsidRDefault="00000000" w:rsidRPr="00000000" w14:paraId="0000008C">
      <w:pPr>
        <w:rPr/>
      </w:pPr>
      <w:r w:rsidDel="00000000" w:rsidR="00000000" w:rsidRPr="00000000">
        <w:rPr>
          <w:rtl w:val="0"/>
        </w:rPr>
        <w:t xml:space="preserve">Wagstaff, D., Warnakulasuriya, S., Singleton, G., Moonesinghe, S.R., Fulop, N. and Vindrola-Padros, C. (2022). A scoping review of local quality improvement using data from UK perioperative National Clinical Audits. </w:t>
      </w:r>
      <w:r w:rsidDel="00000000" w:rsidR="00000000" w:rsidRPr="00000000">
        <w:rPr>
          <w:i w:val="1"/>
          <w:iCs w:val="1"/>
          <w:rtl w:val="0"/>
        </w:rPr>
        <w:t xml:space="preserve">Perioperative Medicine</w:t>
      </w:r>
      <w:r w:rsidDel="00000000" w:rsidR="00000000" w:rsidRPr="00000000">
        <w:rPr>
          <w:rtl w:val="0"/>
        </w:rPr>
        <w:t xml:space="preserve">, 11(1). doi: </w:t>
      </w:r>
      <w:hyperlink r:id="rId38">
        <w:r w:rsidDel="00000000" w:rsidR="00000000" w:rsidRPr="00000000">
          <w:rPr>
            <w:color w:val="0563c1"/>
            <w:u w:val="single"/>
            <w:rtl w:val="0"/>
          </w:rPr>
          <w:t xml:space="preserve">https://doi.org/10.1186/s13741-022-00273-0</w:t>
        </w:r>
      </w:hyperlink>
      <w:r w:rsidDel="00000000" w:rsidR="00000000" w:rsidRPr="00000000">
        <w:rPr>
          <w:rtl w:val="0"/>
        </w:rPr>
        <w:t xml:space="preserve">.</w:t>
      </w:r>
    </w:p>
    <w:p w:rsidR="00000000" w:rsidDel="00000000" w:rsidP="00000000" w:rsidRDefault="00000000" w:rsidRPr="00000000" w14:paraId="0000008D">
      <w:pPr>
        <w:rPr/>
      </w:pPr>
      <w:r w:rsidDel="00000000" w:rsidR="00000000" w:rsidRPr="00000000">
        <w:rPr>
          <w:rtl w:val="0"/>
        </w:rPr>
        <w:t xml:space="preserve">Wiegmann, D.A., J. Wood, L., N. Cohen, T. and Shappell, S.A. (2022). Understanding the ‘Swiss cheese model’ and its application to patient safety. </w:t>
      </w:r>
      <w:r w:rsidDel="00000000" w:rsidR="00000000" w:rsidRPr="00000000">
        <w:rPr>
          <w:i w:val="1"/>
          <w:iCs w:val="1"/>
          <w:rtl w:val="0"/>
        </w:rPr>
        <w:t xml:space="preserve">Journal of Patient Safety</w:t>
      </w:r>
      <w:r w:rsidDel="00000000" w:rsidR="00000000" w:rsidRPr="00000000">
        <w:rPr>
          <w:rtl w:val="0"/>
        </w:rPr>
        <w:t xml:space="preserve">, [online] 18(2), pp.119–123. Available at: </w:t>
      </w:r>
      <w:hyperlink r:id="rId39">
        <w:r w:rsidDel="00000000" w:rsidR="00000000" w:rsidRPr="00000000">
          <w:rPr>
            <w:color w:val="0563c1"/>
            <w:u w:val="single"/>
            <w:rtl w:val="0"/>
          </w:rPr>
          <w:t xml:space="preserve">https://www.ncbi.nlm.nih.gov/pmc/articles/PMC8514562/</w:t>
        </w:r>
      </w:hyperlink>
      <w:r w:rsidDel="00000000" w:rsidR="00000000" w:rsidRPr="00000000">
        <w:rPr>
          <w:rtl w:val="0"/>
        </w:rPr>
        <w:t xml:space="preserve">.</w:t>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r>
    </w:p>
    <w:sectPr>
      <w:footerReference r:id="rId40"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0">
    <w:pPr>
      <w:keepNext w:val="0"/>
      <w:keepLines w:val="0"/>
      <w:pageBreakBefore w:val="0"/>
      <w:widowControl w:val="1"/>
      <w:pBdr>
        <w:top w:color="d9d9d9" w:space="1" w:sz="4" w:val="single"/>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 </w:t>
    </w:r>
    <w:r w:rsidDel="00000000" w:rsidR="00000000" w:rsidRPr="00000000">
      <w:rPr>
        <w:rFonts w:ascii="Arial" w:cs="Arial" w:eastAsia="Arial" w:hAnsi="Arial"/>
        <w:b w:val="0"/>
        <w:bCs w:val="0"/>
        <w:i w:val="0"/>
        <w:iCs w:val="0"/>
        <w:smallCaps w:val="0"/>
        <w:strike w:val="0"/>
        <w:color w:val="7f7f7f"/>
        <w:sz w:val="22"/>
        <w:szCs w:val="22"/>
        <w:u w:val="none"/>
        <w:shd w:fill="auto" w:val="clear"/>
        <w:vertAlign w:val="baseline"/>
        <w:rtl w:val="0"/>
      </w:rPr>
      <w:t xml:space="preserve">Page</w:t>
    </w:r>
    <w:r w:rsidDel="00000000" w:rsidR="00000000" w:rsidRPr="00000000">
      <w:rPr>
        <w:rtl w:val="0"/>
      </w:rPr>
    </w:r>
  </w:p>
  <w:p w:rsidR="00000000" w:rsidDel="00000000" w:rsidP="00000000" w:rsidRDefault="00000000" w:rsidRPr="00000000" w14:paraId="0000009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color w:val="2f5496"/>
      <w:sz w:val="32"/>
      <w:szCs w:val="32"/>
    </w:rPr>
  </w:style>
  <w:style w:type="paragraph" w:styleId="Heading2">
    <w:name w:val="heading 2"/>
    <w:basedOn w:val="Normal"/>
    <w:next w:val="Normal"/>
    <w:pPr>
      <w:keepNext w:val="1"/>
      <w:keepLines w:val="1"/>
      <w:spacing w:after="0" w:before="40" w:lineRule="auto"/>
    </w:pPr>
    <w:rPr>
      <w:color w:val="2f5496"/>
      <w:sz w:val="28"/>
      <w:szCs w:val="28"/>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be5d5" w:val="clear"/>
      </w:tcPr>
    </w:tblStylePr>
    <w:tblStylePr w:type="band1Vert">
      <w:tcPr>
        <w:shd w:fill="fbe5d5" w:val="clear"/>
      </w:tcPr>
    </w:tblStylePr>
    <w:tblStylePr w:type="firstCol">
      <w:rPr>
        <w:b w:val="1"/>
        <w:bCs w:val="1"/>
      </w:rPr>
    </w:tblStylePr>
    <w:tblStylePr w:type="firstRow">
      <w:rPr>
        <w:b w:val="1"/>
        <w:bCs w:val="1"/>
        <w:color w:val="ffffff"/>
      </w:rPr>
      <w:tcPr>
        <w:tcBorders>
          <w:top w:color="ed7d31" w:space="0" w:sz="4" w:val="single"/>
          <w:left w:color="ed7d31" w:space="0" w:sz="4" w:val="single"/>
          <w:bottom w:color="ed7d31" w:space="0" w:sz="4" w:val="single"/>
          <w:right w:color="ed7d31" w:space="0" w:sz="4" w:val="single"/>
          <w:insideH w:color="000000" w:space="0" w:sz="0" w:val="nil"/>
          <w:insideV w:color="000000" w:space="0" w:sz="0" w:val="nil"/>
        </w:tcBorders>
        <w:shd w:fill="ed7d31" w:val="clear"/>
      </w:tcPr>
    </w:tblStylePr>
    <w:tblStylePr w:type="lastCol">
      <w:rPr>
        <w:b w:val="1"/>
        <w:bCs w:val="1"/>
      </w:rPr>
    </w:tblStylePr>
    <w:tblStylePr w:type="lastRow">
      <w:rPr>
        <w:b w:val="1"/>
        <w:bCs w:val="1"/>
      </w:rPr>
      <w:tcPr>
        <w:tcBorders>
          <w:top w:color="ed7d31" w:space="0" w:sz="4" w:val="single"/>
        </w:tcBorders>
      </w:tcPr>
    </w:tblStylePr>
  </w:style>
</w:styles>
</file>

<file path=word/_rels/document.xml.rels><?xml version="1.0" encoding="UTF-8" standalone="yes"?><Relationships xmlns="http://schemas.openxmlformats.org/package/2006/relationships"><Relationship Id="rId40" Type="http://schemas.openxmlformats.org/officeDocument/2006/relationships/footer" Target="footer1.xml"/><Relationship Id="rId20" Type="http://schemas.openxmlformats.org/officeDocument/2006/relationships/hyperlink" Target="https://doi.org/10.36401/JQSH-23-42" TargetMode="External"/><Relationship Id="rId22" Type="http://schemas.openxmlformats.org/officeDocument/2006/relationships/hyperlink" Target="https://medicearth.in/total-quality-management/donabedian-model-healthcare-quality/" TargetMode="External"/><Relationship Id="rId21" Type="http://schemas.openxmlformats.org/officeDocument/2006/relationships/hyperlink" Target="https://doi.org/10.1108/tqm-06-2022-0187" TargetMode="External"/><Relationship Id="rId24" Type="http://schemas.openxmlformats.org/officeDocument/2006/relationships/hyperlink" Target="https://psnet.ahrq.gov/perspective/ensuring-patient-and-workforce-safety-culture-healthcare" TargetMode="External"/><Relationship Id="rId23" Type="http://schemas.openxmlformats.org/officeDocument/2006/relationships/hyperlink" Target="https://doi.org/10.1097/TA.0000000000000663"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36401/jqsh-22-19" TargetMode="External"/><Relationship Id="rId26" Type="http://schemas.openxmlformats.org/officeDocument/2006/relationships/hyperlink" Target="https://doi.org/10.1108/ijqrm-07-2021-0226" TargetMode="External"/><Relationship Id="rId25" Type="http://schemas.openxmlformats.org/officeDocument/2006/relationships/hyperlink" Target="https://oercollective.caul.edu.au/leading-in-health-and-social-care/chapter/quality-and-safety-in-healthcare/" TargetMode="External"/><Relationship Id="rId28" Type="http://schemas.openxmlformats.org/officeDocument/2006/relationships/hyperlink" Target="https://doi.org/10.1136/bmjoq-2024-002902" TargetMode="External"/><Relationship Id="rId27" Type="http://schemas.openxmlformats.org/officeDocument/2006/relationships/hyperlink" Target="https://doi.org/10.3928/24748307-20181217-01" TargetMode="External"/><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hyperlink" Target="https://phw.nhs.wales/about-us/policies-and-procedures/policies-and-procedures-documents/clinical-governance-and-infection-control-policies/quality-and-clinical-audit-procedure/" TargetMode="External"/><Relationship Id="rId7" Type="http://schemas.openxmlformats.org/officeDocument/2006/relationships/image" Target="media/image3.png"/><Relationship Id="rId8" Type="http://schemas.openxmlformats.org/officeDocument/2006/relationships/image" Target="media/image2.png"/><Relationship Id="rId31" Type="http://schemas.openxmlformats.org/officeDocument/2006/relationships/hyperlink" Target="https://doi.org/10.3399/BJGP.2023.0321" TargetMode="External"/><Relationship Id="rId30" Type="http://schemas.openxmlformats.org/officeDocument/2006/relationships/hyperlink" Target="https://doi.org/10.1016/j.amjmed.2021.10.027" TargetMode="External"/><Relationship Id="rId11" Type="http://schemas.openxmlformats.org/officeDocument/2006/relationships/hyperlink" Target="https://doi.org/10.1007/978-3-031-48683-8_20" TargetMode="External"/><Relationship Id="rId33" Type="http://schemas.openxmlformats.org/officeDocument/2006/relationships/hyperlink" Target="https://doi.org/10.1053/j.sempedsurg.2015.08.003" TargetMode="External"/><Relationship Id="rId10" Type="http://schemas.openxmlformats.org/officeDocument/2006/relationships/hyperlink" Target="https://www.ncbi.nlm.nih.gov/books/NBK599556/" TargetMode="External"/><Relationship Id="rId32" Type="http://schemas.openxmlformats.org/officeDocument/2006/relationships/hyperlink" Target="https://doi.org/10.32734/jsti.v24i2.7711" TargetMode="External"/><Relationship Id="rId13" Type="http://schemas.openxmlformats.org/officeDocument/2006/relationships/hyperlink" Target="https://doi.org/10.1136/bmj.323.7306.181" TargetMode="External"/><Relationship Id="rId35" Type="http://schemas.openxmlformats.org/officeDocument/2006/relationships/hyperlink" Target="https://doi.org/10.2196/27180" TargetMode="External"/><Relationship Id="rId12" Type="http://schemas.openxmlformats.org/officeDocument/2006/relationships/hyperlink" Target="https://www.intechopen.com/chapters/82848" TargetMode="External"/><Relationship Id="rId34" Type="http://schemas.openxmlformats.org/officeDocument/2006/relationships/hyperlink" Target="https://doi.org/10.1080/10408363.2022.2106544" TargetMode="External"/><Relationship Id="rId15" Type="http://schemas.openxmlformats.org/officeDocument/2006/relationships/hyperlink" Target="https://doi.org/10.1016/j.healthpol.2022.07.008" TargetMode="External"/><Relationship Id="rId37" Type="http://schemas.openxmlformats.org/officeDocument/2006/relationships/hyperlink" Target="https://doi.org/10.1177/01410768221098247" TargetMode="External"/><Relationship Id="rId14" Type="http://schemas.openxmlformats.org/officeDocument/2006/relationships/hyperlink" Target="https://doi.org/10.5527/wjn.v3.i4.249" TargetMode="External"/><Relationship Id="rId36" Type="http://schemas.openxmlformats.org/officeDocument/2006/relationships/hyperlink" Target="https://doi.org/10.3934/publichealth.2021056" TargetMode="External"/><Relationship Id="rId17" Type="http://schemas.openxmlformats.org/officeDocument/2006/relationships/hyperlink" Target="https://healthcareskills.com/news-item/uk-governance-in-healthcare-what-went-wrong/" TargetMode="External"/><Relationship Id="rId39" Type="http://schemas.openxmlformats.org/officeDocument/2006/relationships/hyperlink" Target="https://www.ncbi.nlm.nih.gov/pmc/articles/PMC8514562/" TargetMode="External"/><Relationship Id="rId16" Type="http://schemas.openxmlformats.org/officeDocument/2006/relationships/hyperlink" Target="https://www.gov.uk/government/publications/clinical-governance-annual-report-2024-to-2025/clinical-governance-annual-report-2024-to-2025" TargetMode="External"/><Relationship Id="rId38" Type="http://schemas.openxmlformats.org/officeDocument/2006/relationships/hyperlink" Target="https://doi.org/10.1186/s13741-022-00273-0" TargetMode="External"/><Relationship Id="rId19" Type="http://schemas.openxmlformats.org/officeDocument/2006/relationships/hyperlink" Target="https://www.researchgate.net/publication/317196193_Causality_of_Factors_Reducing_Competitiveness_of_e-Commerce_Firms" TargetMode="External"/><Relationship Id="rId18" Type="http://schemas.openxmlformats.org/officeDocument/2006/relationships/hyperlink" Target="https://doi.org/10.1080/23297018.2022.210919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