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B0AB6" w14:textId="74DE77A2" w:rsidR="00341C0E" w:rsidRDefault="00842DD2" w:rsidP="00341C0E">
      <w:pPr>
        <w:spacing w:before="240" w:line="360" w:lineRule="auto"/>
        <w:rPr>
          <w:rFonts w:ascii="Arial" w:hAnsi="Arial" w:cs="Arial"/>
          <w:sz w:val="24"/>
          <w:szCs w:val="24"/>
        </w:rP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5A079E4" wp14:editId="3766D10F">
            <wp:simplePos x="0" y="0"/>
            <wp:positionH relativeFrom="margin">
              <wp:align>left</wp:align>
            </wp:positionH>
            <wp:positionV relativeFrom="paragraph">
              <wp:posOffset>520700</wp:posOffset>
            </wp:positionV>
            <wp:extent cx="2125980" cy="95631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30895" cy="9589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A2C5C0" w14:textId="77777777" w:rsidR="00341C0E" w:rsidRDefault="00341C0E" w:rsidP="00341C0E">
      <w:pPr>
        <w:spacing w:before="240" w:line="360" w:lineRule="auto"/>
        <w:rPr>
          <w:rFonts w:ascii="Arial" w:hAnsi="Arial" w:cs="Arial"/>
          <w:sz w:val="24"/>
          <w:szCs w:val="24"/>
        </w:rPr>
      </w:pPr>
    </w:p>
    <w:p w14:paraId="2FF7BB1A" w14:textId="77777777" w:rsidR="00341C0E" w:rsidRDefault="00341C0E" w:rsidP="00341C0E">
      <w:pPr>
        <w:spacing w:before="240" w:line="360" w:lineRule="auto"/>
        <w:rPr>
          <w:rFonts w:ascii="Arial" w:hAnsi="Arial" w:cs="Arial"/>
          <w:sz w:val="24"/>
          <w:szCs w:val="24"/>
        </w:rPr>
      </w:pPr>
    </w:p>
    <w:p w14:paraId="7CA2A005" w14:textId="77777777" w:rsidR="00341C0E" w:rsidRDefault="00341C0E" w:rsidP="00341C0E">
      <w:pPr>
        <w:spacing w:before="240" w:line="360" w:lineRule="auto"/>
        <w:rPr>
          <w:rFonts w:ascii="Arial" w:hAnsi="Arial" w:cs="Arial"/>
          <w:sz w:val="24"/>
          <w:szCs w:val="24"/>
        </w:rPr>
      </w:pPr>
    </w:p>
    <w:p w14:paraId="2E2FC806" w14:textId="4DD19735" w:rsidR="005D3F5B" w:rsidRPr="00341C0E" w:rsidRDefault="00380FC4" w:rsidP="00341C0E">
      <w:pPr>
        <w:spacing w:before="240" w:line="360" w:lineRule="auto"/>
        <w:jc w:val="center"/>
        <w:rPr>
          <w:rFonts w:ascii="Arial" w:hAnsi="Arial" w:cs="Arial"/>
          <w:b/>
          <w:bCs/>
          <w:sz w:val="36"/>
          <w:szCs w:val="36"/>
        </w:rPr>
      </w:pPr>
      <w:r w:rsidRPr="00341C0E">
        <w:rPr>
          <w:rFonts w:ascii="Arial" w:hAnsi="Arial" w:cs="Arial"/>
          <w:b/>
          <w:bCs/>
          <w:sz w:val="36"/>
          <w:szCs w:val="36"/>
        </w:rPr>
        <w:t>Student Name: Costel Marolicaru</w:t>
      </w:r>
      <w:r w:rsidRPr="00341C0E">
        <w:rPr>
          <w:rFonts w:ascii="Arial" w:hAnsi="Arial" w:cs="Arial"/>
          <w:b/>
          <w:bCs/>
          <w:sz w:val="36"/>
          <w:szCs w:val="36"/>
        </w:rPr>
        <w:br/>
        <w:t xml:space="preserve">Student Number: </w:t>
      </w:r>
      <w:r w:rsidR="00341C0E" w:rsidRPr="00341C0E">
        <w:rPr>
          <w:rFonts w:ascii="Arial" w:hAnsi="Arial" w:cs="Arial"/>
          <w:b/>
          <w:bCs/>
          <w:sz w:val="36"/>
          <w:szCs w:val="36"/>
        </w:rPr>
        <w:t>2528555</w:t>
      </w:r>
      <w:r w:rsidRPr="00341C0E">
        <w:rPr>
          <w:rFonts w:ascii="Arial" w:hAnsi="Arial" w:cs="Arial"/>
          <w:b/>
          <w:bCs/>
          <w:sz w:val="36"/>
          <w:szCs w:val="36"/>
        </w:rPr>
        <w:br/>
        <w:t>Module Code: LCLM5002</w:t>
      </w:r>
      <w:r w:rsidRPr="00341C0E">
        <w:rPr>
          <w:rFonts w:ascii="Arial" w:hAnsi="Arial" w:cs="Arial"/>
          <w:b/>
          <w:bCs/>
          <w:sz w:val="36"/>
          <w:szCs w:val="36"/>
        </w:rPr>
        <w:br/>
        <w:t>Module Title: Developing and Managing Individuals and Teams</w:t>
      </w:r>
      <w:r w:rsidRPr="00341C0E">
        <w:rPr>
          <w:rFonts w:ascii="Arial" w:hAnsi="Arial" w:cs="Arial"/>
          <w:b/>
          <w:bCs/>
          <w:sz w:val="36"/>
          <w:szCs w:val="36"/>
        </w:rPr>
        <w:br/>
        <w:t>Assignment Title: Component 2 – Individual Report</w:t>
      </w:r>
    </w:p>
    <w:p w14:paraId="681669C7" w14:textId="05E1E2DF" w:rsidR="00380FC4" w:rsidRDefault="00380FC4" w:rsidP="00341C0E">
      <w:pPr>
        <w:spacing w:before="240" w:line="360" w:lineRule="auto"/>
        <w:rPr>
          <w:rFonts w:ascii="Arial" w:eastAsia="Times New Roman" w:hAnsi="Arial" w:cs="Arial"/>
          <w:sz w:val="24"/>
          <w:szCs w:val="24"/>
          <w:lang w:eastAsia="en-GB"/>
        </w:rPr>
      </w:pPr>
    </w:p>
    <w:p w14:paraId="45C92CA6" w14:textId="51C2B984" w:rsidR="00341C0E" w:rsidRDefault="00341C0E" w:rsidP="00341C0E">
      <w:pPr>
        <w:spacing w:before="240" w:line="360" w:lineRule="auto"/>
        <w:rPr>
          <w:rFonts w:ascii="Arial" w:eastAsia="Times New Roman" w:hAnsi="Arial" w:cs="Arial"/>
          <w:sz w:val="24"/>
          <w:szCs w:val="24"/>
          <w:lang w:eastAsia="en-GB"/>
        </w:rPr>
      </w:pPr>
    </w:p>
    <w:p w14:paraId="3653D54B" w14:textId="492A7E01" w:rsidR="00341C0E" w:rsidRDefault="00341C0E" w:rsidP="00341C0E">
      <w:pPr>
        <w:spacing w:before="240" w:line="360" w:lineRule="auto"/>
        <w:rPr>
          <w:rFonts w:ascii="Arial" w:eastAsia="Times New Roman" w:hAnsi="Arial" w:cs="Arial"/>
          <w:sz w:val="24"/>
          <w:szCs w:val="24"/>
          <w:lang w:eastAsia="en-GB"/>
        </w:rPr>
      </w:pPr>
    </w:p>
    <w:p w14:paraId="7E30CB72" w14:textId="30F9C183" w:rsidR="00341C0E" w:rsidRDefault="00341C0E" w:rsidP="00341C0E">
      <w:pPr>
        <w:spacing w:before="240" w:line="360" w:lineRule="auto"/>
        <w:rPr>
          <w:rFonts w:ascii="Arial" w:eastAsia="Times New Roman" w:hAnsi="Arial" w:cs="Arial"/>
          <w:sz w:val="24"/>
          <w:szCs w:val="24"/>
          <w:lang w:eastAsia="en-GB"/>
        </w:rPr>
      </w:pPr>
    </w:p>
    <w:p w14:paraId="7881840C" w14:textId="1BB3A8D0" w:rsidR="00341C0E" w:rsidRDefault="00341C0E" w:rsidP="00341C0E">
      <w:pPr>
        <w:spacing w:before="240" w:line="360" w:lineRule="auto"/>
        <w:rPr>
          <w:rFonts w:ascii="Arial" w:eastAsia="Times New Roman" w:hAnsi="Arial" w:cs="Arial"/>
          <w:sz w:val="24"/>
          <w:szCs w:val="24"/>
          <w:lang w:eastAsia="en-GB"/>
        </w:rPr>
      </w:pPr>
    </w:p>
    <w:p w14:paraId="565FEF21" w14:textId="3965AE57" w:rsidR="00341C0E" w:rsidRDefault="00341C0E" w:rsidP="00341C0E">
      <w:pPr>
        <w:spacing w:before="240" w:line="360" w:lineRule="auto"/>
        <w:rPr>
          <w:rFonts w:ascii="Arial" w:eastAsia="Times New Roman" w:hAnsi="Arial" w:cs="Arial"/>
          <w:sz w:val="24"/>
          <w:szCs w:val="24"/>
          <w:lang w:eastAsia="en-GB"/>
        </w:rPr>
      </w:pPr>
    </w:p>
    <w:p w14:paraId="0CDE01EC" w14:textId="3BFC64B2" w:rsidR="00341C0E" w:rsidRDefault="00341C0E" w:rsidP="00341C0E">
      <w:pPr>
        <w:spacing w:before="240" w:line="360" w:lineRule="auto"/>
        <w:rPr>
          <w:rFonts w:ascii="Arial" w:eastAsia="Times New Roman" w:hAnsi="Arial" w:cs="Arial"/>
          <w:sz w:val="24"/>
          <w:szCs w:val="24"/>
          <w:lang w:eastAsia="en-GB"/>
        </w:rPr>
      </w:pPr>
    </w:p>
    <w:p w14:paraId="5CAFCFB6" w14:textId="5FC06B28" w:rsidR="00341C0E" w:rsidRDefault="00341C0E" w:rsidP="00341C0E">
      <w:pPr>
        <w:spacing w:before="240" w:line="360" w:lineRule="auto"/>
        <w:rPr>
          <w:rFonts w:ascii="Arial" w:eastAsia="Times New Roman" w:hAnsi="Arial" w:cs="Arial"/>
          <w:sz w:val="24"/>
          <w:szCs w:val="24"/>
          <w:lang w:eastAsia="en-GB"/>
        </w:rPr>
      </w:pPr>
    </w:p>
    <w:p w14:paraId="73DBC8E7" w14:textId="51B72AEC" w:rsidR="00341C0E" w:rsidRDefault="00341C0E" w:rsidP="00341C0E">
      <w:pPr>
        <w:spacing w:before="240" w:line="360" w:lineRule="auto"/>
        <w:rPr>
          <w:rFonts w:ascii="Arial" w:eastAsia="Times New Roman" w:hAnsi="Arial" w:cs="Arial"/>
          <w:sz w:val="24"/>
          <w:szCs w:val="24"/>
          <w:lang w:eastAsia="en-GB"/>
        </w:rPr>
      </w:pPr>
    </w:p>
    <w:p w14:paraId="7AF673E0" w14:textId="5BC857E7" w:rsidR="00341C0E" w:rsidRDefault="00341C0E" w:rsidP="00341C0E">
      <w:pPr>
        <w:spacing w:before="240" w:line="360" w:lineRule="auto"/>
        <w:rPr>
          <w:rFonts w:ascii="Arial" w:eastAsia="Times New Roman" w:hAnsi="Arial" w:cs="Arial"/>
          <w:sz w:val="24"/>
          <w:szCs w:val="24"/>
          <w:lang w:eastAsia="en-GB"/>
        </w:rPr>
      </w:pPr>
    </w:p>
    <w:p w14:paraId="2FE118C1" w14:textId="77777777" w:rsidR="00341C0E" w:rsidRPr="00341C0E" w:rsidRDefault="00341C0E" w:rsidP="00341C0E">
      <w:pPr>
        <w:spacing w:before="240" w:line="360" w:lineRule="auto"/>
        <w:rPr>
          <w:rFonts w:ascii="Arial" w:eastAsia="Times New Roman" w:hAnsi="Arial" w:cs="Arial"/>
          <w:sz w:val="24"/>
          <w:szCs w:val="24"/>
          <w:lang w:eastAsia="en-GB"/>
        </w:rPr>
      </w:pPr>
    </w:p>
    <w:p w14:paraId="7A194E64" w14:textId="77777777"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lastRenderedPageBreak/>
        <w:t>Introduction</w:t>
      </w:r>
    </w:p>
    <w:p w14:paraId="5862ACA9"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Contemporary companies have to navigate through the fast-technological shift, shifting employee needs, and the social pressure to become more equal and inclusive (Kaur and Kaur, 2024). HRM assists organisations to solve these problems without compromising performance (Zervas and Stiakakis, 2025). Tesco, a prominent UK multinational retailer, has to manage people effectively to remain successful in a competitive and dynamic industry (Evans and Mason, 2018).</w:t>
      </w:r>
    </w:p>
    <w:p w14:paraId="5C86A449"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Tesco faces HR issues such as technology, talent acquisition and retention, and diversity, equity, and inclusion, which are critically analysed in this report. These factors directly influence employee ability, involvement, and organisational culture. The report employs the Resource-Based View, which focuses on human capital as a competitive advantage (Barney, 1991) and applicable scholarly theories to examine the impact of these challenges on Tesco.</w:t>
      </w:r>
    </w:p>
    <w:p w14:paraId="282C8596" w14:textId="681D6C33" w:rsidR="005D3F5B"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The report outlines every challenge within the organisational context of Tesco and assesses existing HR practises in order to tackle them. It then critically assesses the role played by departmental managers in the effective and urgent implementation of these practises. The discussion reveals that strategic HRM can enhance organisational energy and resilience in a rapidly evolving business setting.</w:t>
      </w:r>
    </w:p>
    <w:p w14:paraId="4BCCBC64" w14:textId="77777777" w:rsidR="00380FC4" w:rsidRPr="00341C0E" w:rsidRDefault="00380FC4" w:rsidP="00341C0E">
      <w:pPr>
        <w:spacing w:before="240" w:line="360" w:lineRule="auto"/>
        <w:rPr>
          <w:rFonts w:ascii="Arial" w:eastAsia="Times New Roman" w:hAnsi="Arial" w:cs="Arial"/>
          <w:sz w:val="24"/>
          <w:szCs w:val="24"/>
          <w:lang w:eastAsia="en-GB"/>
        </w:rPr>
      </w:pPr>
    </w:p>
    <w:p w14:paraId="4F0D8BA1" w14:textId="77777777"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t>Key HR Challenges at Tesco</w:t>
      </w:r>
    </w:p>
    <w:p w14:paraId="016A0688"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 xml:space="preserve">Technological advancement is a significant threat to Tesco, particularly with the digitisation of retail. Artificial intelligence, automation, data analytics, and online platforms have transformed the way firms act and compete. To enhance its efficiency and customer experience, Tesco has invested in self-service, digital supply chains, and online grocery services. Such transformations demand hi-tech digital skills and flexibility among employees (Roy, 2024). The Technology Acceptance Model states that when employees perceive new technologies as useful, and easy, they will adopt them (Davis, 1989). This is a challenge to Tesco because the digital literacy of the employees is different. Unless technologies are trained and supported, they could be resisted, result in reduced productivity, and heightened operational risks. Digital </w:t>
      </w:r>
      <w:r w:rsidRPr="00341C0E">
        <w:rPr>
          <w:rFonts w:ascii="Arial" w:eastAsia="Times New Roman" w:hAnsi="Arial" w:cs="Arial"/>
          <w:sz w:val="24"/>
          <w:szCs w:val="24"/>
          <w:lang w:eastAsia="en-GB"/>
        </w:rPr>
        <w:lastRenderedPageBreak/>
        <w:t>transformation tends to entail redesign of jobs and role displacement, thus lowering employee morale unless adequately handled. Reskilling and upskilling should be continuous, yet they demand substantial financial and organisational requirements (Akbar et al., 2025).</w:t>
      </w:r>
    </w:p>
    <w:p w14:paraId="5B893F49"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The HR strategy of Tesco is subject to the problem of talent acquisition and retention as well. High turnover rates among employees, particularly those in customer-facing positions, increase the cost of recruitment and reduce service quality in the retail sector (Bailey et al., 2018). Tesco should also bid on data analytics, logistics and digital marketing talent. According to Human Capital Theory, organisational performance is fuelled by the knowledge and skills of employees (Becker, 1964). Therefore, the competitiveness of Tesco relies on its ability to acquire and retain talent. The psychological contract requires that employees are treated fairly, have career growth, and work-life balance (Deas and Coetzee, 2020). Failure in achieving these expectations can fuel employee dissatisfaction and employee turnover. Employer branding has been increasingly significant in the attraction of talents, particularly younger employees who care about company values and development (Maurya and Agarwal, 2018). Tesco has to deal with a big, diverse workforce and has to compete with specialised talent in a lean labour market.</w:t>
      </w:r>
    </w:p>
    <w:p w14:paraId="139CEC88" w14:textId="2E651B08" w:rsidR="005D3F5B"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DEI presents opportunities and challenges to Tesco. The diverse workforce of Tesco demands a powerful diversity management (Ajibola, 2022). Equality and discrimination prevention in the workplace are mandated by Equality Act 2010. Companies are supposed to promote inclusive, diverse cultures on more than a compliance basis. According to Social Identity Theory, individuals identify themselves within social groups, which may cause prejudice and ostracism unless controlled (Tajfel and Turner, 1979). Tesco has to make sure that every employee, irrespective of their background, feels appreciated and owned. Diversity may enhance creativity and innovation but it may result in conflict and division when mismanaged. Organisation too is expected to be open about gender pay and representation. Cultural change is more difficult than formal policies to implement, and this HR challenge remains constant (Greene and Kirton, 2021).</w:t>
      </w:r>
    </w:p>
    <w:p w14:paraId="77CADC7E" w14:textId="77777777" w:rsidR="00380FC4" w:rsidRPr="00341C0E" w:rsidRDefault="00380FC4" w:rsidP="00341C0E">
      <w:pPr>
        <w:spacing w:before="240" w:line="360" w:lineRule="auto"/>
        <w:rPr>
          <w:rFonts w:ascii="Arial" w:eastAsia="Times New Roman" w:hAnsi="Arial" w:cs="Arial"/>
          <w:sz w:val="24"/>
          <w:szCs w:val="24"/>
          <w:lang w:eastAsia="en-GB"/>
        </w:rPr>
      </w:pPr>
    </w:p>
    <w:p w14:paraId="062ACBCA" w14:textId="77777777"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lastRenderedPageBreak/>
        <w:t>Evaluation of Contemporary HR Practices</w:t>
      </w:r>
    </w:p>
    <w:p w14:paraId="223CF861"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To adapt to technology, current HR practises focus on digital learning and workforce development. Tesco employs e-learning and online training to enhance employee competence and flexibility (Ahmed, 2025). The learning organisation argues that continuous learning assists organisations in adjusting to environmental changes (Sessa and London, 2015). Practises are particularly applicable in retail where technology keeps changing. Training assists Tesco to bridge skills gaps and enhance confidence of employees in new systems. The success of such initiatives depends on employee engagement and organisational culture. Employees might be opposed to training when it appears irrelevant or complex. Digital learning tools are highly financial and might not be available to all employees, particularly those with low digital literacy. The practises are vital, yet they require effective communication and management to work (Ahmed, 2025).</w:t>
      </w:r>
    </w:p>
    <w:p w14:paraId="18115577"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To attract and retain talent, HR practises have been introduced to increase employee engagement and satisfaction. Tesco provides flexible working, competitive rewards and career development to attract and retain employees (Alam and Raut-Roy, 2019). As evidenced by Maslows hierarchy of needs, employees desire security, belonging, and self-fulfilment (Maslow, 1943). The two-factor theory by Herzberg separates hygiene factors such as salary and working conditions as opposed to motivators such as recognition and career growth (Herzberg, 1959). Tesco provides both categories with financial incentives and development opportunities. Such practises increase employee satisfaction and reduce turnover. Department and location discrepancy may make their implementation challenging in a large organisation. Monetary compensation can bring in workers, whereas long-term retention is more influenced by organisational culture and management practises (Alam and Raut-Roy, 2019). This means that HR strategies should be holistic and aligned to organisational objectives.</w:t>
      </w:r>
    </w:p>
    <w:p w14:paraId="47C1104C" w14:textId="09087D1F"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In order to respond to DEI, modern HR practices encompass diversity training, inclusion recruitment policy and equal pay audits. One of the ways that Tesco has shown its commitment to DEI is in its gender pay reporting and diversity targets (Jackson, 2025). Equity Theory proposes that employees will evaluate their fairness by comparing their contributions and results to those of the others (Adams, 1965). Fairness and trust in the organisation can thus be promoted by transparent practises, like pay audits. By minimising bias in the hiring process, inclusive recruitment methods may also assist in enhancing workforce diversity. Nevertheless, the implementation of these practises can often be limiting their effectiveness. Diversity training, such as, can create awareness but does not imply behavioural change. Also, it is possible that DEI efforts can be regarded as tokenism unless incorporated into the organisational culture (Phan-Arman</w:t>
      </w:r>
      <w:r w:rsidR="00341C0E" w:rsidRPr="00341C0E">
        <w:rPr>
          <w:rFonts w:ascii="Arial" w:eastAsia="Times New Roman" w:hAnsi="Arial" w:cs="Arial"/>
          <w:sz w:val="24"/>
          <w:szCs w:val="24"/>
          <w:lang w:eastAsia="en-GB"/>
        </w:rPr>
        <w:t>e</w:t>
      </w:r>
      <w:r w:rsidRPr="00341C0E">
        <w:rPr>
          <w:rFonts w:ascii="Arial" w:eastAsia="Times New Roman" w:hAnsi="Arial" w:cs="Arial"/>
          <w:sz w:val="24"/>
          <w:szCs w:val="24"/>
          <w:lang w:eastAsia="en-GB"/>
        </w:rPr>
        <w:t>ous, 2022). This shows the necessity of matching HR practise with leadership behaviours and organisational values to attain meaningful results.</w:t>
      </w:r>
    </w:p>
    <w:p w14:paraId="1CB33AB0" w14:textId="267EDF9A"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The current HR practises should also be assessed as to their sustainability over a longer period of time and alignment with the strategic direction. Although most of the initiatives create short-term changes in employee engagement and performance, the effectiveness of the initiative can decline unless it is regularly reviewed and adjusted. Strategic HRM focuses on how HR competencies should be aligned with organisational goals in order to achieve long-term competitive advantage (Armstrong and Taylor, 2020). In the case of Tesco, this will involve incorporating the HR practises within each department and being consistent in the implementation. Moreover, due to the dynamic character of the retail business, it is essential to monitor and evaluate HR strategies continuously to make them as up-to-date and reactive to the external environment as possible.</w:t>
      </w:r>
    </w:p>
    <w:p w14:paraId="24D78898" w14:textId="271058EA" w:rsidR="005D3F5B"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In general, contemporary HR practises offer useful tools in aiding to deal with the major challenges, but their effectiveness will rely on the effectiveness of their implementation and integration into the organisation. This supports the significance of having managerial participation in the translation of HR strategies into practise.</w:t>
      </w:r>
    </w:p>
    <w:p w14:paraId="392FD00A" w14:textId="77777777" w:rsidR="00380FC4" w:rsidRPr="00341C0E" w:rsidRDefault="00380FC4" w:rsidP="00341C0E">
      <w:pPr>
        <w:spacing w:before="240" w:line="360" w:lineRule="auto"/>
        <w:rPr>
          <w:rFonts w:ascii="Arial" w:eastAsia="Times New Roman" w:hAnsi="Arial" w:cs="Arial"/>
          <w:sz w:val="24"/>
          <w:szCs w:val="24"/>
          <w:lang w:eastAsia="en-GB"/>
        </w:rPr>
      </w:pPr>
    </w:p>
    <w:p w14:paraId="7BA003CF" w14:textId="77777777"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t>Critical Evaluation of Managerial Implementation</w:t>
      </w:r>
    </w:p>
    <w:p w14:paraId="5B284425"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The presence of departmental managers is critical to making sure that the HR practises are carried out effectively and urgently. Within the technological development framework, managers have to provide change and assist employees to adjust to the new systems (Ahmadi, 2024). The model of change management presented by Kotter focuses on the need to establish a sense of urgency and offer directiveness in the process of organisational change (Kotter, 1996). Managers should explain the value of new technologies, guide and solve the concerns of employees. Employees are likely to oppose change without effective managerial backing, which will deter technological projects success. Nevertheless, managers are usually burdened with issues like time scarcity and conflicting demands, which may be an impediment to such initiatives (Ahmadi, 2024).</w:t>
      </w:r>
    </w:p>
    <w:p w14:paraId="32CB2F4F"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Managers are important in terms of talent retention in the way they shape the experiences of employees and affect job satisfaction (Urme, 2023). The Leader-Member Exchange theory emphasises the need to have high-quality relationships between the managers and the employees (Graen and Uhl-Bien, 1995). Good relationships with employees which are expressed in terms of trust and support can increase employee engagement and lower turnover. On the other hand, the dissatisfaction may be caused by bad management practises, regardless of the HR policies of the organisation (Urme, 2023). This is in the view that good HR strategies can be ineffective in as much as the managers are not suitably prepared to execute them. Thus, organisations should invest in the training and development of the managers to make sure that they are able to assist the needs of employees and establish a positive work environment.</w:t>
      </w:r>
    </w:p>
    <w:p w14:paraId="37E2CACF" w14:textId="77777777"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In the case of DEI, managers should foster inclusive behaviours and make the organisational policies fairly implemented (Iradukunda and Werner, 2025). According to the transformational leadership theory, inspirational and motivational leaders are able to bring cultural change by inspiring and motivating employees (Bass, 1985). Managers should confront discriminatory behaviour, promote diversity and set up a place where everyone feels appreciated. Nevertheless, unconscious bias and opposition to change may make the implementation of DEI initiatives difficult (Iradukunda and Werner, 2025). This emphasises the necessity to have continuous training and accountability measures in place to keep the managers dedicated to the inclusion promotion.</w:t>
      </w:r>
    </w:p>
    <w:p w14:paraId="026CD030" w14:textId="7FE1159E" w:rsidR="005D3F5B"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In general, managerial implementation determines how successful HR practises can be. Although the HR departments are in a position to develop plans and policies, the task of managers is to transform them into the daily practise. Technological, talent and DEI issues are so pressing that managers have to take HR initiatives on the first priority and make them part of their everyday tasks. Nevertheless, this needs organisational support, effective communication and relevant resources in order to make it work.</w:t>
      </w:r>
    </w:p>
    <w:p w14:paraId="790740F6" w14:textId="77777777" w:rsidR="00380FC4" w:rsidRPr="00341C0E" w:rsidRDefault="00380FC4" w:rsidP="00341C0E">
      <w:pPr>
        <w:spacing w:before="240" w:line="360" w:lineRule="auto"/>
        <w:rPr>
          <w:rFonts w:ascii="Arial" w:eastAsia="Times New Roman" w:hAnsi="Arial" w:cs="Arial"/>
          <w:sz w:val="24"/>
          <w:szCs w:val="24"/>
          <w:lang w:eastAsia="en-GB"/>
        </w:rPr>
      </w:pPr>
    </w:p>
    <w:p w14:paraId="237B63AF" w14:textId="77777777"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t>Conclusion and Recommendations</w:t>
      </w:r>
    </w:p>
    <w:p w14:paraId="521A1EAC" w14:textId="3D384C2A" w:rsidR="00380FC4"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In conclusion, Tesco has HR challenges associated with technology, talent acquisition and retention, diversity, equity and inclusion. These problems can be resolved by modern HR practises, through which the managerial implementation is crucial. Considering the application, strategic HRM with respect to pertinent theories can enhance organisational performance.</w:t>
      </w:r>
    </w:p>
    <w:p w14:paraId="5CADBDD4" w14:textId="56941849" w:rsidR="005D3F5B" w:rsidRPr="00341C0E" w:rsidRDefault="00380FC4" w:rsidP="00341C0E">
      <w:pPr>
        <w:spacing w:before="240" w:line="360" w:lineRule="auto"/>
        <w:rPr>
          <w:rFonts w:ascii="Arial" w:eastAsia="Times New Roman" w:hAnsi="Arial" w:cs="Arial"/>
          <w:sz w:val="24"/>
          <w:szCs w:val="24"/>
          <w:lang w:eastAsia="en-GB"/>
        </w:rPr>
      </w:pPr>
      <w:r w:rsidRPr="00341C0E">
        <w:rPr>
          <w:rFonts w:ascii="Arial" w:eastAsia="Times New Roman" w:hAnsi="Arial" w:cs="Arial"/>
          <w:sz w:val="24"/>
          <w:szCs w:val="24"/>
          <w:lang w:eastAsia="en-GB"/>
        </w:rPr>
        <w:t>Tesco ought to invest in ongoing digital training to facilitate technological adoption and minimise problems in change resistance in order to achieve better results. Good employer branding and the presence of maps will also increase talent retention (Urme, 2023). The organisation can make DEI a cultural part of the organisation by integrating policies with leadership behaviours and also making sure all levels are accountable. Lastly, Tesco needs to invest in managerial development so that managers can be able to adopt HR practises, swiftly and efficiently. These plans would increase employee engagement, organisational performance and competitiveness to Tesco.</w:t>
      </w:r>
    </w:p>
    <w:p w14:paraId="0A749325" w14:textId="17C90D10" w:rsidR="00380FC4" w:rsidRDefault="00380FC4" w:rsidP="00341C0E">
      <w:pPr>
        <w:spacing w:before="240" w:line="360" w:lineRule="auto"/>
        <w:rPr>
          <w:rFonts w:ascii="Arial" w:eastAsia="Times New Roman" w:hAnsi="Arial" w:cs="Arial"/>
          <w:sz w:val="24"/>
          <w:szCs w:val="24"/>
          <w:lang w:eastAsia="en-GB"/>
        </w:rPr>
      </w:pPr>
    </w:p>
    <w:p w14:paraId="1706E420" w14:textId="7E6A53C6" w:rsidR="00341C0E" w:rsidRDefault="00341C0E" w:rsidP="00341C0E">
      <w:pPr>
        <w:spacing w:before="240" w:line="360" w:lineRule="auto"/>
        <w:rPr>
          <w:rFonts w:ascii="Arial" w:eastAsia="Times New Roman" w:hAnsi="Arial" w:cs="Arial"/>
          <w:sz w:val="24"/>
          <w:szCs w:val="24"/>
          <w:lang w:eastAsia="en-GB"/>
        </w:rPr>
      </w:pPr>
    </w:p>
    <w:p w14:paraId="501CBCF4" w14:textId="7989B760" w:rsidR="00341C0E" w:rsidRDefault="00341C0E" w:rsidP="00341C0E">
      <w:pPr>
        <w:spacing w:before="240" w:line="360" w:lineRule="auto"/>
        <w:rPr>
          <w:rFonts w:ascii="Arial" w:eastAsia="Times New Roman" w:hAnsi="Arial" w:cs="Arial"/>
          <w:sz w:val="24"/>
          <w:szCs w:val="24"/>
          <w:lang w:eastAsia="en-GB"/>
        </w:rPr>
      </w:pPr>
    </w:p>
    <w:p w14:paraId="334CDCCE" w14:textId="26BF994A" w:rsidR="00341C0E" w:rsidRDefault="00341C0E" w:rsidP="00341C0E">
      <w:pPr>
        <w:spacing w:before="240" w:line="360" w:lineRule="auto"/>
        <w:rPr>
          <w:rFonts w:ascii="Arial" w:eastAsia="Times New Roman" w:hAnsi="Arial" w:cs="Arial"/>
          <w:sz w:val="24"/>
          <w:szCs w:val="24"/>
          <w:lang w:eastAsia="en-GB"/>
        </w:rPr>
      </w:pPr>
    </w:p>
    <w:p w14:paraId="1F68662E" w14:textId="0324B254" w:rsidR="00341C0E" w:rsidRDefault="00341C0E" w:rsidP="00341C0E">
      <w:pPr>
        <w:spacing w:before="240" w:line="360" w:lineRule="auto"/>
        <w:rPr>
          <w:rFonts w:ascii="Arial" w:eastAsia="Times New Roman" w:hAnsi="Arial" w:cs="Arial"/>
          <w:sz w:val="24"/>
          <w:szCs w:val="24"/>
          <w:lang w:eastAsia="en-GB"/>
        </w:rPr>
      </w:pPr>
    </w:p>
    <w:p w14:paraId="31D9FC29" w14:textId="12AB7ADB" w:rsidR="00341C0E" w:rsidRDefault="00341C0E" w:rsidP="00341C0E">
      <w:pPr>
        <w:spacing w:before="240" w:line="360" w:lineRule="auto"/>
        <w:rPr>
          <w:rFonts w:ascii="Arial" w:eastAsia="Times New Roman" w:hAnsi="Arial" w:cs="Arial"/>
          <w:sz w:val="24"/>
          <w:szCs w:val="24"/>
          <w:lang w:eastAsia="en-GB"/>
        </w:rPr>
      </w:pPr>
    </w:p>
    <w:p w14:paraId="5794D263" w14:textId="77777777" w:rsidR="00341C0E" w:rsidRPr="00341C0E" w:rsidRDefault="00341C0E" w:rsidP="00341C0E">
      <w:pPr>
        <w:spacing w:before="240" w:line="360" w:lineRule="auto"/>
        <w:rPr>
          <w:rFonts w:ascii="Arial" w:eastAsia="Times New Roman" w:hAnsi="Arial" w:cs="Arial"/>
          <w:sz w:val="24"/>
          <w:szCs w:val="24"/>
          <w:lang w:eastAsia="en-GB"/>
        </w:rPr>
      </w:pPr>
    </w:p>
    <w:p w14:paraId="1058654E" w14:textId="4CDBA81A" w:rsidR="005D3F5B" w:rsidRPr="00341C0E" w:rsidRDefault="005D3F5B" w:rsidP="00341C0E">
      <w:pPr>
        <w:spacing w:before="240" w:line="360" w:lineRule="auto"/>
        <w:rPr>
          <w:rFonts w:ascii="Arial" w:eastAsia="Times New Roman" w:hAnsi="Arial" w:cs="Arial"/>
          <w:b/>
          <w:bCs/>
          <w:kern w:val="36"/>
          <w:sz w:val="28"/>
          <w:szCs w:val="28"/>
          <w:lang w:eastAsia="en-GB"/>
        </w:rPr>
      </w:pPr>
      <w:r w:rsidRPr="00341C0E">
        <w:rPr>
          <w:rFonts w:ascii="Arial" w:eastAsia="Times New Roman" w:hAnsi="Arial" w:cs="Arial"/>
          <w:b/>
          <w:bCs/>
          <w:kern w:val="36"/>
          <w:sz w:val="28"/>
          <w:szCs w:val="28"/>
          <w:lang w:eastAsia="en-GB"/>
        </w:rPr>
        <w:t xml:space="preserve">Reference List </w:t>
      </w:r>
    </w:p>
    <w:p w14:paraId="26690C8C"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Adams, J.S.</w:t>
      </w:r>
      <w:r w:rsidRPr="00341C0E">
        <w:rPr>
          <w:rFonts w:ascii="Arial" w:hAnsi="Arial" w:cs="Arial"/>
          <w:color w:val="1F1F1F"/>
          <w:sz w:val="24"/>
          <w:szCs w:val="24"/>
        </w:rPr>
        <w:t xml:space="preserve">, 1965. Inequity in social exchange. </w:t>
      </w:r>
      <w:r w:rsidRPr="00341C0E">
        <w:rPr>
          <w:rFonts w:ascii="Arial" w:hAnsi="Arial" w:cs="Arial"/>
          <w:i/>
          <w:iCs/>
          <w:color w:val="1F1F1F"/>
          <w:sz w:val="24"/>
          <w:szCs w:val="24"/>
          <w:bdr w:val="none" w:sz="0" w:space="0" w:color="auto" w:frame="1"/>
        </w:rPr>
        <w:t>Advances in Experimental Social Psychology</w:t>
      </w:r>
      <w:r w:rsidRPr="00341C0E">
        <w:rPr>
          <w:rFonts w:ascii="Arial" w:hAnsi="Arial" w:cs="Arial"/>
          <w:color w:val="1F1F1F"/>
          <w:sz w:val="24"/>
          <w:szCs w:val="24"/>
        </w:rPr>
        <w:t>, 2, pp. 267–299.</w:t>
      </w:r>
    </w:p>
    <w:p w14:paraId="27131E58"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Ahmadi, H.</w:t>
      </w:r>
      <w:r w:rsidRPr="00341C0E">
        <w:rPr>
          <w:rFonts w:ascii="Arial" w:hAnsi="Arial" w:cs="Arial"/>
          <w:color w:val="1F1F1F"/>
          <w:sz w:val="24"/>
          <w:szCs w:val="24"/>
        </w:rPr>
        <w:t xml:space="preserve">, 2024. Managing organizational change in the digital era: The interplay of technological advancements, leadership, and employee adaptability. </w:t>
      </w:r>
      <w:r w:rsidRPr="00341C0E">
        <w:rPr>
          <w:rFonts w:ascii="Arial" w:hAnsi="Arial" w:cs="Arial"/>
          <w:i/>
          <w:iCs/>
          <w:color w:val="1F1F1F"/>
          <w:sz w:val="24"/>
          <w:szCs w:val="24"/>
          <w:bdr w:val="none" w:sz="0" w:space="0" w:color="auto" w:frame="1"/>
        </w:rPr>
        <w:t>Leadership, and Employee Adaptability</w:t>
      </w:r>
      <w:r w:rsidRPr="00341C0E">
        <w:rPr>
          <w:rFonts w:ascii="Arial" w:hAnsi="Arial" w:cs="Arial"/>
          <w:color w:val="1F1F1F"/>
          <w:sz w:val="24"/>
          <w:szCs w:val="24"/>
        </w:rPr>
        <w:t>, August 09.</w:t>
      </w:r>
    </w:p>
    <w:p w14:paraId="237FD463"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Ahmed, A.A.</w:t>
      </w:r>
      <w:r w:rsidRPr="00341C0E">
        <w:rPr>
          <w:rFonts w:ascii="Arial" w:hAnsi="Arial" w:cs="Arial"/>
          <w:color w:val="1F1F1F"/>
          <w:sz w:val="24"/>
          <w:szCs w:val="24"/>
        </w:rPr>
        <w:t xml:space="preserve">, 2025. E-Learning Strategies for Enhancing Workforce Training and Development in the Digital Age. </w:t>
      </w:r>
      <w:r w:rsidRPr="00341C0E">
        <w:rPr>
          <w:rFonts w:ascii="Arial" w:hAnsi="Arial" w:cs="Arial"/>
          <w:i/>
          <w:iCs/>
          <w:color w:val="1F1F1F"/>
          <w:sz w:val="24"/>
          <w:szCs w:val="24"/>
          <w:bdr w:val="none" w:sz="0" w:space="0" w:color="auto" w:frame="1"/>
        </w:rPr>
        <w:t>International Journal of Academic Publishing in Educational Sciences and Humanities (IJAPESH)</w:t>
      </w:r>
      <w:r w:rsidRPr="00341C0E">
        <w:rPr>
          <w:rFonts w:ascii="Arial" w:hAnsi="Arial" w:cs="Arial"/>
          <w:color w:val="1F1F1F"/>
          <w:sz w:val="24"/>
          <w:szCs w:val="24"/>
        </w:rPr>
        <w:t>, pp. 10-19.</w:t>
      </w:r>
    </w:p>
    <w:p w14:paraId="7A039933"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Ajibola, E.B.</w:t>
      </w:r>
      <w:r w:rsidRPr="00341C0E">
        <w:rPr>
          <w:rFonts w:ascii="Arial" w:hAnsi="Arial" w:cs="Arial"/>
          <w:color w:val="1F1F1F"/>
          <w:sz w:val="24"/>
          <w:szCs w:val="24"/>
        </w:rPr>
        <w:t xml:space="preserve">, 2022. </w:t>
      </w:r>
      <w:r w:rsidRPr="00341C0E">
        <w:rPr>
          <w:rFonts w:ascii="Arial" w:hAnsi="Arial" w:cs="Arial"/>
          <w:i/>
          <w:iCs/>
          <w:color w:val="1F1F1F"/>
          <w:sz w:val="24"/>
          <w:szCs w:val="24"/>
          <w:bdr w:val="none" w:sz="0" w:space="0" w:color="auto" w:frame="1"/>
        </w:rPr>
        <w:t>An investigation into talent management in the Irish retail sector: a case of Tesco, Aldi and Super Valu</w:t>
      </w:r>
      <w:r w:rsidRPr="00341C0E">
        <w:rPr>
          <w:rFonts w:ascii="Arial" w:hAnsi="Arial" w:cs="Arial"/>
          <w:color w:val="1F1F1F"/>
          <w:sz w:val="24"/>
          <w:szCs w:val="24"/>
        </w:rPr>
        <w:t>. Doctoral dissertation. Dublin: National College of Ireland.</w:t>
      </w:r>
    </w:p>
    <w:p w14:paraId="7719456A"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Akbar, M.A., Varias, V., Risa, T.D., Bhirawa, M.A. and Nugraha, R.</w:t>
      </w:r>
      <w:r w:rsidRPr="00341C0E">
        <w:rPr>
          <w:rFonts w:ascii="Arial" w:hAnsi="Arial" w:cs="Arial"/>
          <w:color w:val="1F1F1F"/>
          <w:sz w:val="24"/>
          <w:szCs w:val="24"/>
        </w:rPr>
        <w:t xml:space="preserve">, 2025. Workplace stress in the era of digital transformation: A psychological approach to employee well-being. </w:t>
      </w:r>
      <w:r w:rsidRPr="00341C0E">
        <w:rPr>
          <w:rFonts w:ascii="Arial" w:hAnsi="Arial" w:cs="Arial"/>
          <w:i/>
          <w:iCs/>
          <w:color w:val="1F1F1F"/>
          <w:sz w:val="24"/>
          <w:szCs w:val="24"/>
          <w:bdr w:val="none" w:sz="0" w:space="0" w:color="auto" w:frame="1"/>
        </w:rPr>
        <w:t>RIGGS: Journal of Artificial Intelligence and Digital Business</w:t>
      </w:r>
      <w:r w:rsidRPr="00341C0E">
        <w:rPr>
          <w:rFonts w:ascii="Arial" w:hAnsi="Arial" w:cs="Arial"/>
          <w:color w:val="1F1F1F"/>
          <w:sz w:val="24"/>
          <w:szCs w:val="24"/>
        </w:rPr>
        <w:t>, 4(3), pp. 3496-3506.</w:t>
      </w:r>
    </w:p>
    <w:p w14:paraId="1F88F882"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Alam, S. and Raut-Roy, U.</w:t>
      </w:r>
      <w:r w:rsidRPr="00341C0E">
        <w:rPr>
          <w:rFonts w:ascii="Arial" w:hAnsi="Arial" w:cs="Arial"/>
          <w:color w:val="1F1F1F"/>
          <w:sz w:val="24"/>
          <w:szCs w:val="24"/>
        </w:rPr>
        <w:t xml:space="preserve">, 2019. Evaluating the Effectiveness of Reward Strategy at Tesco. </w:t>
      </w:r>
      <w:r w:rsidRPr="00341C0E">
        <w:rPr>
          <w:rFonts w:ascii="Arial" w:hAnsi="Arial" w:cs="Arial"/>
          <w:i/>
          <w:iCs/>
          <w:color w:val="1F1F1F"/>
          <w:sz w:val="24"/>
          <w:szCs w:val="24"/>
          <w:bdr w:val="none" w:sz="0" w:space="0" w:color="auto" w:frame="1"/>
        </w:rPr>
        <w:t>Indian Journal of Industrial Relations</w:t>
      </w:r>
      <w:r w:rsidRPr="00341C0E">
        <w:rPr>
          <w:rFonts w:ascii="Arial" w:hAnsi="Arial" w:cs="Arial"/>
          <w:color w:val="1F1F1F"/>
          <w:sz w:val="24"/>
          <w:szCs w:val="24"/>
        </w:rPr>
        <w:t>, 55(1), pp. 105-120.</w:t>
      </w:r>
    </w:p>
    <w:p w14:paraId="64B25696" w14:textId="77777777" w:rsidR="00341C0E" w:rsidRPr="00341C0E" w:rsidRDefault="00341C0E" w:rsidP="00341C0E">
      <w:pPr>
        <w:spacing w:before="240" w:line="360" w:lineRule="auto"/>
        <w:rPr>
          <w:rFonts w:ascii="Arial" w:hAnsi="Arial" w:cs="Arial"/>
          <w:sz w:val="24"/>
          <w:szCs w:val="24"/>
        </w:rPr>
      </w:pPr>
      <w:r w:rsidRPr="00341C0E">
        <w:rPr>
          <w:rFonts w:ascii="Arial" w:hAnsi="Arial" w:cs="Arial"/>
          <w:sz w:val="24"/>
          <w:szCs w:val="24"/>
        </w:rPr>
        <w:t xml:space="preserve">Armstrong, M. and Taylor, S., 2020. </w:t>
      </w:r>
      <w:r w:rsidRPr="00341C0E">
        <w:rPr>
          <w:rFonts w:ascii="Arial" w:hAnsi="Arial" w:cs="Arial"/>
          <w:i/>
          <w:iCs/>
          <w:sz w:val="24"/>
          <w:szCs w:val="24"/>
        </w:rPr>
        <w:t>Armstrong's Handbook of Human Resource Management Practice</w:t>
      </w:r>
      <w:r w:rsidRPr="00341C0E">
        <w:rPr>
          <w:rFonts w:ascii="Arial" w:hAnsi="Arial" w:cs="Arial"/>
          <w:sz w:val="24"/>
          <w:szCs w:val="24"/>
        </w:rPr>
        <w:t>. 15th edn. London: Kogan Page.</w:t>
      </w:r>
    </w:p>
    <w:p w14:paraId="28B09DA6"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Bailey, C., Mankin, D., Kelliher, C. and Garavan, T.</w:t>
      </w:r>
      <w:r w:rsidRPr="00341C0E">
        <w:rPr>
          <w:rFonts w:ascii="Arial" w:hAnsi="Arial" w:cs="Arial"/>
          <w:color w:val="1F1F1F"/>
          <w:sz w:val="24"/>
          <w:szCs w:val="24"/>
        </w:rPr>
        <w:t xml:space="preserve">, 2018. </w:t>
      </w:r>
      <w:r w:rsidRPr="00341C0E">
        <w:rPr>
          <w:rFonts w:ascii="Arial" w:hAnsi="Arial" w:cs="Arial"/>
          <w:i/>
          <w:iCs/>
          <w:color w:val="1F1F1F"/>
          <w:sz w:val="24"/>
          <w:szCs w:val="24"/>
          <w:bdr w:val="none" w:sz="0" w:space="0" w:color="auto" w:frame="1"/>
        </w:rPr>
        <w:t>Strategic human resource management</w:t>
      </w:r>
      <w:r w:rsidRPr="00341C0E">
        <w:rPr>
          <w:rFonts w:ascii="Arial" w:hAnsi="Arial" w:cs="Arial"/>
          <w:color w:val="1F1F1F"/>
          <w:sz w:val="24"/>
          <w:szCs w:val="24"/>
        </w:rPr>
        <w:t>. Oxford: Oxford University Press.</w:t>
      </w:r>
    </w:p>
    <w:p w14:paraId="1A9CA506"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Barney, J.</w:t>
      </w:r>
      <w:r w:rsidRPr="00341C0E">
        <w:rPr>
          <w:rFonts w:ascii="Arial" w:hAnsi="Arial" w:cs="Arial"/>
          <w:color w:val="1F1F1F"/>
          <w:sz w:val="24"/>
          <w:szCs w:val="24"/>
        </w:rPr>
        <w:t xml:space="preserve">, 1991. Firm resources and sustained competitive advantage. </w:t>
      </w:r>
      <w:r w:rsidRPr="00341C0E">
        <w:rPr>
          <w:rFonts w:ascii="Arial" w:hAnsi="Arial" w:cs="Arial"/>
          <w:i/>
          <w:iCs/>
          <w:color w:val="1F1F1F"/>
          <w:sz w:val="24"/>
          <w:szCs w:val="24"/>
          <w:bdr w:val="none" w:sz="0" w:space="0" w:color="auto" w:frame="1"/>
        </w:rPr>
        <w:t>Journal of Management</w:t>
      </w:r>
      <w:r w:rsidRPr="00341C0E">
        <w:rPr>
          <w:rFonts w:ascii="Arial" w:hAnsi="Arial" w:cs="Arial"/>
          <w:color w:val="1F1F1F"/>
          <w:sz w:val="24"/>
          <w:szCs w:val="24"/>
        </w:rPr>
        <w:t>, 17(1), pp. 99–120.</w:t>
      </w:r>
    </w:p>
    <w:p w14:paraId="0673A81B"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Bass, B.M.</w:t>
      </w:r>
      <w:r w:rsidRPr="00341C0E">
        <w:rPr>
          <w:rFonts w:ascii="Arial" w:hAnsi="Arial" w:cs="Arial"/>
          <w:color w:val="1F1F1F"/>
          <w:sz w:val="24"/>
          <w:szCs w:val="24"/>
        </w:rPr>
        <w:t xml:space="preserve">, 1985. </w:t>
      </w:r>
      <w:r w:rsidRPr="00341C0E">
        <w:rPr>
          <w:rFonts w:ascii="Arial" w:hAnsi="Arial" w:cs="Arial"/>
          <w:i/>
          <w:iCs/>
          <w:color w:val="1F1F1F"/>
          <w:sz w:val="24"/>
          <w:szCs w:val="24"/>
          <w:bdr w:val="none" w:sz="0" w:space="0" w:color="auto" w:frame="1"/>
        </w:rPr>
        <w:t>Leadership and Performance Beyond Expectations</w:t>
      </w:r>
      <w:r w:rsidRPr="00341C0E">
        <w:rPr>
          <w:rFonts w:ascii="Arial" w:hAnsi="Arial" w:cs="Arial"/>
          <w:color w:val="1F1F1F"/>
          <w:sz w:val="24"/>
          <w:szCs w:val="24"/>
        </w:rPr>
        <w:t>. New York: Free Press.</w:t>
      </w:r>
    </w:p>
    <w:p w14:paraId="1E04CDE1"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Becker, G.S.</w:t>
      </w:r>
      <w:r w:rsidRPr="00341C0E">
        <w:rPr>
          <w:rFonts w:ascii="Arial" w:hAnsi="Arial" w:cs="Arial"/>
          <w:color w:val="1F1F1F"/>
          <w:sz w:val="24"/>
          <w:szCs w:val="24"/>
        </w:rPr>
        <w:t xml:space="preserve">, 1964. </w:t>
      </w:r>
      <w:r w:rsidRPr="00341C0E">
        <w:rPr>
          <w:rFonts w:ascii="Arial" w:hAnsi="Arial" w:cs="Arial"/>
          <w:i/>
          <w:iCs/>
          <w:color w:val="1F1F1F"/>
          <w:sz w:val="24"/>
          <w:szCs w:val="24"/>
          <w:bdr w:val="none" w:sz="0" w:space="0" w:color="auto" w:frame="1"/>
        </w:rPr>
        <w:t>Human Capital</w:t>
      </w:r>
      <w:r w:rsidRPr="00341C0E">
        <w:rPr>
          <w:rFonts w:ascii="Arial" w:hAnsi="Arial" w:cs="Arial"/>
          <w:color w:val="1F1F1F"/>
          <w:sz w:val="24"/>
          <w:szCs w:val="24"/>
        </w:rPr>
        <w:t>. Chicago: University of Chicago Press.</w:t>
      </w:r>
    </w:p>
    <w:p w14:paraId="395B01D0"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Davis, F.D.</w:t>
      </w:r>
      <w:r w:rsidRPr="00341C0E">
        <w:rPr>
          <w:rFonts w:ascii="Arial" w:hAnsi="Arial" w:cs="Arial"/>
          <w:color w:val="1F1F1F"/>
          <w:sz w:val="24"/>
          <w:szCs w:val="24"/>
        </w:rPr>
        <w:t xml:space="preserve">, 1989. Perceived usefulness, perceived ease of use, and user acceptance of information technology. </w:t>
      </w:r>
      <w:r w:rsidRPr="00341C0E">
        <w:rPr>
          <w:rFonts w:ascii="Arial" w:hAnsi="Arial" w:cs="Arial"/>
          <w:i/>
          <w:iCs/>
          <w:color w:val="1F1F1F"/>
          <w:sz w:val="24"/>
          <w:szCs w:val="24"/>
          <w:bdr w:val="none" w:sz="0" w:space="0" w:color="auto" w:frame="1"/>
        </w:rPr>
        <w:t>MIS Quarterly</w:t>
      </w:r>
      <w:r w:rsidRPr="00341C0E">
        <w:rPr>
          <w:rFonts w:ascii="Arial" w:hAnsi="Arial" w:cs="Arial"/>
          <w:color w:val="1F1F1F"/>
          <w:sz w:val="24"/>
          <w:szCs w:val="24"/>
        </w:rPr>
        <w:t>, 13(3), pp. 319–340.</w:t>
      </w:r>
    </w:p>
    <w:p w14:paraId="73615091"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Deas, A. and Coetzee, M.</w:t>
      </w:r>
      <w:r w:rsidRPr="00341C0E">
        <w:rPr>
          <w:rFonts w:ascii="Arial" w:hAnsi="Arial" w:cs="Arial"/>
          <w:color w:val="1F1F1F"/>
          <w:sz w:val="24"/>
          <w:szCs w:val="24"/>
        </w:rPr>
        <w:t xml:space="preserve">, 2020. Psychological contract, career concerns, and retention practices satisfaction of employees: Exploring interaction effects. </w:t>
      </w:r>
      <w:r w:rsidRPr="00341C0E">
        <w:rPr>
          <w:rFonts w:ascii="Arial" w:hAnsi="Arial" w:cs="Arial"/>
          <w:i/>
          <w:iCs/>
          <w:color w:val="1F1F1F"/>
          <w:sz w:val="24"/>
          <w:szCs w:val="24"/>
          <w:bdr w:val="none" w:sz="0" w:space="0" w:color="auto" w:frame="1"/>
        </w:rPr>
        <w:t>Current Psychology</w:t>
      </w:r>
      <w:r w:rsidRPr="00341C0E">
        <w:rPr>
          <w:rFonts w:ascii="Arial" w:hAnsi="Arial" w:cs="Arial"/>
          <w:color w:val="1F1F1F"/>
          <w:sz w:val="24"/>
          <w:szCs w:val="24"/>
        </w:rPr>
        <w:t>, 39(6), pp. 1990-1998.</w:t>
      </w:r>
    </w:p>
    <w:p w14:paraId="775CB9DE"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Equality Act 2010</w:t>
      </w:r>
      <w:r w:rsidRPr="00341C0E">
        <w:rPr>
          <w:rFonts w:ascii="Arial" w:hAnsi="Arial" w:cs="Arial"/>
          <w:color w:val="1F1F1F"/>
          <w:sz w:val="24"/>
          <w:szCs w:val="24"/>
        </w:rPr>
        <w:t>, c. 15. London: The Stationery Office.</w:t>
      </w:r>
    </w:p>
    <w:p w14:paraId="3B5368C5"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Evans, B. and Mason, R.</w:t>
      </w:r>
      <w:r w:rsidRPr="00341C0E">
        <w:rPr>
          <w:rFonts w:ascii="Arial" w:hAnsi="Arial" w:cs="Arial"/>
          <w:color w:val="1F1F1F"/>
          <w:sz w:val="24"/>
          <w:szCs w:val="24"/>
        </w:rPr>
        <w:t xml:space="preserve">, 2018. </w:t>
      </w:r>
      <w:r w:rsidRPr="00341C0E">
        <w:rPr>
          <w:rFonts w:ascii="Arial" w:hAnsi="Arial" w:cs="Arial"/>
          <w:i/>
          <w:iCs/>
          <w:color w:val="1F1F1F"/>
          <w:sz w:val="24"/>
          <w:szCs w:val="24"/>
          <w:bdr w:val="none" w:sz="0" w:space="0" w:color="auto" w:frame="1"/>
        </w:rPr>
        <w:t>The lean supply chain: managing the challenge at Tesco</w:t>
      </w:r>
      <w:r w:rsidRPr="00341C0E">
        <w:rPr>
          <w:rFonts w:ascii="Arial" w:hAnsi="Arial" w:cs="Arial"/>
          <w:color w:val="1F1F1F"/>
          <w:sz w:val="24"/>
          <w:szCs w:val="24"/>
        </w:rPr>
        <w:t>. London: Kogan Page Publishers.</w:t>
      </w:r>
    </w:p>
    <w:p w14:paraId="09E70F6F"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Graen, G.B. and Uhl-Bien, M.</w:t>
      </w:r>
      <w:r w:rsidRPr="00341C0E">
        <w:rPr>
          <w:rFonts w:ascii="Arial" w:hAnsi="Arial" w:cs="Arial"/>
          <w:color w:val="1F1F1F"/>
          <w:sz w:val="24"/>
          <w:szCs w:val="24"/>
        </w:rPr>
        <w:t xml:space="preserve">, 1995. Relationship-based approach to leadership: Development of leader–member exchange theory. </w:t>
      </w:r>
      <w:r w:rsidRPr="00341C0E">
        <w:rPr>
          <w:rFonts w:ascii="Arial" w:hAnsi="Arial" w:cs="Arial"/>
          <w:i/>
          <w:iCs/>
          <w:color w:val="1F1F1F"/>
          <w:sz w:val="24"/>
          <w:szCs w:val="24"/>
          <w:bdr w:val="none" w:sz="0" w:space="0" w:color="auto" w:frame="1"/>
        </w:rPr>
        <w:t>Leadership Quarterly</w:t>
      </w:r>
      <w:r w:rsidRPr="00341C0E">
        <w:rPr>
          <w:rFonts w:ascii="Arial" w:hAnsi="Arial" w:cs="Arial"/>
          <w:color w:val="1F1F1F"/>
          <w:sz w:val="24"/>
          <w:szCs w:val="24"/>
        </w:rPr>
        <w:t>, 6(2), pp. 219–247.</w:t>
      </w:r>
    </w:p>
    <w:p w14:paraId="0047BBD7"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Greene, A.M. and Kirton, G.</w:t>
      </w:r>
      <w:r w:rsidRPr="00341C0E">
        <w:rPr>
          <w:rFonts w:ascii="Arial" w:hAnsi="Arial" w:cs="Arial"/>
          <w:color w:val="1F1F1F"/>
          <w:sz w:val="24"/>
          <w:szCs w:val="24"/>
        </w:rPr>
        <w:t xml:space="preserve">, 2021. </w:t>
      </w:r>
      <w:r w:rsidRPr="00341C0E">
        <w:rPr>
          <w:rFonts w:ascii="Arial" w:hAnsi="Arial" w:cs="Arial"/>
          <w:i/>
          <w:iCs/>
          <w:color w:val="1F1F1F"/>
          <w:sz w:val="24"/>
          <w:szCs w:val="24"/>
          <w:bdr w:val="none" w:sz="0" w:space="0" w:color="auto" w:frame="1"/>
        </w:rPr>
        <w:t>The dynamics of managing diversity and inclusion: A critical approach</w:t>
      </w:r>
      <w:r w:rsidRPr="00341C0E">
        <w:rPr>
          <w:rFonts w:ascii="Arial" w:hAnsi="Arial" w:cs="Arial"/>
          <w:color w:val="1F1F1F"/>
          <w:sz w:val="24"/>
          <w:szCs w:val="24"/>
        </w:rPr>
        <w:t>. 5th edn. Abingdon: Routledge.</w:t>
      </w:r>
    </w:p>
    <w:p w14:paraId="5AFDE884"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Herzberg, F.</w:t>
      </w:r>
      <w:r w:rsidRPr="00341C0E">
        <w:rPr>
          <w:rFonts w:ascii="Arial" w:hAnsi="Arial" w:cs="Arial"/>
          <w:color w:val="1F1F1F"/>
          <w:sz w:val="24"/>
          <w:szCs w:val="24"/>
        </w:rPr>
        <w:t xml:space="preserve">, 1959. </w:t>
      </w:r>
      <w:r w:rsidRPr="00341C0E">
        <w:rPr>
          <w:rFonts w:ascii="Arial" w:hAnsi="Arial" w:cs="Arial"/>
          <w:i/>
          <w:iCs/>
          <w:color w:val="1F1F1F"/>
          <w:sz w:val="24"/>
          <w:szCs w:val="24"/>
          <w:bdr w:val="none" w:sz="0" w:space="0" w:color="auto" w:frame="1"/>
        </w:rPr>
        <w:t>The Motivation to Work</w:t>
      </w:r>
      <w:r w:rsidRPr="00341C0E">
        <w:rPr>
          <w:rFonts w:ascii="Arial" w:hAnsi="Arial" w:cs="Arial"/>
          <w:color w:val="1F1F1F"/>
          <w:sz w:val="24"/>
          <w:szCs w:val="24"/>
        </w:rPr>
        <w:t>. New York: Wiley.</w:t>
      </w:r>
    </w:p>
    <w:p w14:paraId="59CDFFBF"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Iradukunda, Q. and Werner, F.</w:t>
      </w:r>
      <w:r w:rsidRPr="00341C0E">
        <w:rPr>
          <w:rFonts w:ascii="Arial" w:hAnsi="Arial" w:cs="Arial"/>
          <w:color w:val="1F1F1F"/>
          <w:sz w:val="24"/>
          <w:szCs w:val="24"/>
        </w:rPr>
        <w:t xml:space="preserve">, 2025. </w:t>
      </w:r>
      <w:r w:rsidRPr="00341C0E">
        <w:rPr>
          <w:rFonts w:ascii="Arial" w:hAnsi="Arial" w:cs="Arial"/>
          <w:i/>
          <w:iCs/>
          <w:color w:val="1F1F1F"/>
          <w:sz w:val="24"/>
          <w:szCs w:val="24"/>
          <w:bdr w:val="none" w:sz="0" w:space="0" w:color="auto" w:frame="1"/>
        </w:rPr>
        <w:t>Diversity, Equity and Inclusion in Practice: A qualitative study exploring how implementation of DEI policy in an organisation shapes employee engagement</w:t>
      </w:r>
      <w:r w:rsidRPr="00341C0E">
        <w:rPr>
          <w:rFonts w:ascii="Arial" w:hAnsi="Arial" w:cs="Arial"/>
          <w:color w:val="1F1F1F"/>
          <w:sz w:val="24"/>
          <w:szCs w:val="24"/>
        </w:rPr>
        <w:t>. [Thesis/Unpublished Report].</w:t>
      </w:r>
    </w:p>
    <w:p w14:paraId="4ED92AE9"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Jackson, A.</w:t>
      </w:r>
      <w:r w:rsidRPr="00341C0E">
        <w:rPr>
          <w:rFonts w:ascii="Arial" w:hAnsi="Arial" w:cs="Arial"/>
          <w:color w:val="1F1F1F"/>
          <w:sz w:val="24"/>
          <w:szCs w:val="24"/>
        </w:rPr>
        <w:t xml:space="preserve">, 2025. </w:t>
      </w:r>
      <w:r w:rsidRPr="00341C0E">
        <w:rPr>
          <w:rFonts w:ascii="Arial" w:hAnsi="Arial" w:cs="Arial"/>
          <w:i/>
          <w:iCs/>
          <w:color w:val="1F1F1F"/>
          <w:sz w:val="24"/>
          <w:szCs w:val="24"/>
          <w:bdr w:val="none" w:sz="0" w:space="0" w:color="auto" w:frame="1"/>
        </w:rPr>
        <w:t>The Win-win Workplace: How Thriving Employees Drive Bottom-line Success</w:t>
      </w:r>
      <w:r w:rsidRPr="00341C0E">
        <w:rPr>
          <w:rFonts w:ascii="Arial" w:hAnsi="Arial" w:cs="Arial"/>
          <w:color w:val="1F1F1F"/>
          <w:sz w:val="24"/>
          <w:szCs w:val="24"/>
        </w:rPr>
        <w:t>. Oakland: Berrett-Koehler Publishers.</w:t>
      </w:r>
    </w:p>
    <w:p w14:paraId="7C501564"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Kaur, R. and Kaur, K.</w:t>
      </w:r>
      <w:r w:rsidRPr="00341C0E">
        <w:rPr>
          <w:rFonts w:ascii="Arial" w:hAnsi="Arial" w:cs="Arial"/>
          <w:color w:val="1F1F1F"/>
          <w:sz w:val="24"/>
          <w:szCs w:val="24"/>
        </w:rPr>
        <w:t xml:space="preserve">, 2024. Adapting to Global Work Dynamics: Navigating Change and Cultivating Sustainable Employment Strategies. </w:t>
      </w:r>
      <w:r w:rsidRPr="00341C0E">
        <w:rPr>
          <w:rFonts w:ascii="Arial" w:hAnsi="Arial" w:cs="Arial"/>
          <w:i/>
          <w:iCs/>
          <w:color w:val="1F1F1F"/>
          <w:sz w:val="24"/>
          <w:szCs w:val="24"/>
          <w:bdr w:val="none" w:sz="0" w:space="0" w:color="auto" w:frame="1"/>
        </w:rPr>
        <w:t>Journal of Social Welfare and Management</w:t>
      </w:r>
      <w:r w:rsidRPr="00341C0E">
        <w:rPr>
          <w:rFonts w:ascii="Arial" w:hAnsi="Arial" w:cs="Arial"/>
          <w:color w:val="1F1F1F"/>
          <w:sz w:val="24"/>
          <w:szCs w:val="24"/>
        </w:rPr>
        <w:t>, 16(3).</w:t>
      </w:r>
    </w:p>
    <w:p w14:paraId="27519AFC"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Kotter, J.P.</w:t>
      </w:r>
      <w:r w:rsidRPr="00341C0E">
        <w:rPr>
          <w:rFonts w:ascii="Arial" w:hAnsi="Arial" w:cs="Arial"/>
          <w:color w:val="1F1F1F"/>
          <w:sz w:val="24"/>
          <w:szCs w:val="24"/>
        </w:rPr>
        <w:t xml:space="preserve">, 1996. </w:t>
      </w:r>
      <w:r w:rsidRPr="00341C0E">
        <w:rPr>
          <w:rFonts w:ascii="Arial" w:hAnsi="Arial" w:cs="Arial"/>
          <w:i/>
          <w:iCs/>
          <w:color w:val="1F1F1F"/>
          <w:sz w:val="24"/>
          <w:szCs w:val="24"/>
          <w:bdr w:val="none" w:sz="0" w:space="0" w:color="auto" w:frame="1"/>
        </w:rPr>
        <w:t>Leading Change</w:t>
      </w:r>
      <w:r w:rsidRPr="00341C0E">
        <w:rPr>
          <w:rFonts w:ascii="Arial" w:hAnsi="Arial" w:cs="Arial"/>
          <w:color w:val="1F1F1F"/>
          <w:sz w:val="24"/>
          <w:szCs w:val="24"/>
        </w:rPr>
        <w:t>. Boston: Harvard Business School Press.</w:t>
      </w:r>
    </w:p>
    <w:p w14:paraId="00B3808E"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Maslow, A.H.</w:t>
      </w:r>
      <w:r w:rsidRPr="00341C0E">
        <w:rPr>
          <w:rFonts w:ascii="Arial" w:hAnsi="Arial" w:cs="Arial"/>
          <w:color w:val="1F1F1F"/>
          <w:sz w:val="24"/>
          <w:szCs w:val="24"/>
        </w:rPr>
        <w:t xml:space="preserve">, 1943. A theory of human motivation. </w:t>
      </w:r>
      <w:r w:rsidRPr="00341C0E">
        <w:rPr>
          <w:rFonts w:ascii="Arial" w:hAnsi="Arial" w:cs="Arial"/>
          <w:i/>
          <w:iCs/>
          <w:color w:val="1F1F1F"/>
          <w:sz w:val="24"/>
          <w:szCs w:val="24"/>
          <w:bdr w:val="none" w:sz="0" w:space="0" w:color="auto" w:frame="1"/>
        </w:rPr>
        <w:t>Psychological Review</w:t>
      </w:r>
      <w:r w:rsidRPr="00341C0E">
        <w:rPr>
          <w:rFonts w:ascii="Arial" w:hAnsi="Arial" w:cs="Arial"/>
          <w:color w:val="1F1F1F"/>
          <w:sz w:val="24"/>
          <w:szCs w:val="24"/>
        </w:rPr>
        <w:t>, 50(4), pp. 370–396.</w:t>
      </w:r>
    </w:p>
    <w:p w14:paraId="0157743F"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Maurya, K.K. and Agarwal, M.</w:t>
      </w:r>
      <w:r w:rsidRPr="00341C0E">
        <w:rPr>
          <w:rFonts w:ascii="Arial" w:hAnsi="Arial" w:cs="Arial"/>
          <w:color w:val="1F1F1F"/>
          <w:sz w:val="24"/>
          <w:szCs w:val="24"/>
        </w:rPr>
        <w:t xml:space="preserve">, 2018. Organisational talent management and perceived employer branding. </w:t>
      </w:r>
      <w:r w:rsidRPr="00341C0E">
        <w:rPr>
          <w:rFonts w:ascii="Arial" w:hAnsi="Arial" w:cs="Arial"/>
          <w:i/>
          <w:iCs/>
          <w:color w:val="1F1F1F"/>
          <w:sz w:val="24"/>
          <w:szCs w:val="24"/>
          <w:bdr w:val="none" w:sz="0" w:space="0" w:color="auto" w:frame="1"/>
        </w:rPr>
        <w:t>International Journal of Organizational Analysis</w:t>
      </w:r>
      <w:r w:rsidRPr="00341C0E">
        <w:rPr>
          <w:rFonts w:ascii="Arial" w:hAnsi="Arial" w:cs="Arial"/>
          <w:color w:val="1F1F1F"/>
          <w:sz w:val="24"/>
          <w:szCs w:val="24"/>
        </w:rPr>
        <w:t>, 26(2), pp. 312-330.</w:t>
      </w:r>
    </w:p>
    <w:p w14:paraId="13135242"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Phan-Armaneous, P.T.</w:t>
      </w:r>
      <w:r w:rsidRPr="00341C0E">
        <w:rPr>
          <w:rFonts w:ascii="Arial" w:hAnsi="Arial" w:cs="Arial"/>
          <w:color w:val="1F1F1F"/>
          <w:sz w:val="24"/>
          <w:szCs w:val="24"/>
        </w:rPr>
        <w:t xml:space="preserve">, 2022. </w:t>
      </w:r>
      <w:r w:rsidRPr="00341C0E">
        <w:rPr>
          <w:rFonts w:ascii="Arial" w:hAnsi="Arial" w:cs="Arial"/>
          <w:i/>
          <w:iCs/>
          <w:color w:val="1F1F1F"/>
          <w:sz w:val="24"/>
          <w:szCs w:val="24"/>
          <w:bdr w:val="none" w:sz="0" w:space="0" w:color="auto" w:frame="1"/>
        </w:rPr>
        <w:t>Effects of pay transparency on application intentions through fairness perceptions and organizational attractiveness: Diversifying the workforce by effectively recruiting younger women</w:t>
      </w:r>
      <w:r w:rsidRPr="00341C0E">
        <w:rPr>
          <w:rFonts w:ascii="Arial" w:hAnsi="Arial" w:cs="Arial"/>
          <w:color w:val="1F1F1F"/>
          <w:sz w:val="24"/>
          <w:szCs w:val="24"/>
        </w:rPr>
        <w:t>. Seattle: Seattle Pacific University.</w:t>
      </w:r>
    </w:p>
    <w:p w14:paraId="674763E2"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Roy, B.A.S.I.L.</w:t>
      </w:r>
      <w:r w:rsidRPr="00341C0E">
        <w:rPr>
          <w:rFonts w:ascii="Arial" w:hAnsi="Arial" w:cs="Arial"/>
          <w:color w:val="1F1F1F"/>
          <w:sz w:val="24"/>
          <w:szCs w:val="24"/>
        </w:rPr>
        <w:t xml:space="preserve">, 2024. </w:t>
      </w:r>
      <w:r w:rsidRPr="00341C0E">
        <w:rPr>
          <w:rFonts w:ascii="Arial" w:hAnsi="Arial" w:cs="Arial"/>
          <w:i/>
          <w:iCs/>
          <w:color w:val="1F1F1F"/>
          <w:sz w:val="24"/>
          <w:szCs w:val="24"/>
          <w:bdr w:val="none" w:sz="0" w:space="0" w:color="auto" w:frame="1"/>
        </w:rPr>
        <w:t>Digital Transformation Strategies in Traditional Retail Industries: A Case of Tesco PLC</w:t>
      </w:r>
      <w:r w:rsidRPr="00341C0E">
        <w:rPr>
          <w:rFonts w:ascii="Arial" w:hAnsi="Arial" w:cs="Arial"/>
          <w:color w:val="1F1F1F"/>
          <w:sz w:val="24"/>
          <w:szCs w:val="24"/>
        </w:rPr>
        <w:t>. [Monograph/Case Study].</w:t>
      </w:r>
    </w:p>
    <w:p w14:paraId="38CFC59B"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Sessa, V.I. and London, M.</w:t>
      </w:r>
      <w:r w:rsidRPr="00341C0E">
        <w:rPr>
          <w:rFonts w:ascii="Arial" w:hAnsi="Arial" w:cs="Arial"/>
          <w:color w:val="1F1F1F"/>
          <w:sz w:val="24"/>
          <w:szCs w:val="24"/>
        </w:rPr>
        <w:t xml:space="preserve">, 2015. </w:t>
      </w:r>
      <w:r w:rsidRPr="00341C0E">
        <w:rPr>
          <w:rFonts w:ascii="Arial" w:hAnsi="Arial" w:cs="Arial"/>
          <w:i/>
          <w:iCs/>
          <w:color w:val="1F1F1F"/>
          <w:sz w:val="24"/>
          <w:szCs w:val="24"/>
          <w:bdr w:val="none" w:sz="0" w:space="0" w:color="auto" w:frame="1"/>
        </w:rPr>
        <w:t>Continuous learning in organizations: Individual, group, and organizational perspectives</w:t>
      </w:r>
      <w:r w:rsidRPr="00341C0E">
        <w:rPr>
          <w:rFonts w:ascii="Arial" w:hAnsi="Arial" w:cs="Arial"/>
          <w:color w:val="1F1F1F"/>
          <w:sz w:val="24"/>
          <w:szCs w:val="24"/>
        </w:rPr>
        <w:t>. New York: Psychology Press.</w:t>
      </w:r>
    </w:p>
    <w:p w14:paraId="15DCAE11"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Tajfel, H. and Turner, J.C.</w:t>
      </w:r>
      <w:r w:rsidRPr="00341C0E">
        <w:rPr>
          <w:rFonts w:ascii="Arial" w:hAnsi="Arial" w:cs="Arial"/>
          <w:color w:val="1F1F1F"/>
          <w:sz w:val="24"/>
          <w:szCs w:val="24"/>
        </w:rPr>
        <w:t xml:space="preserve">, 1979. An integrative theory of intergroup conflict. In: W.G. Austin and S. Worchel, eds. </w:t>
      </w:r>
      <w:r w:rsidRPr="00341C0E">
        <w:rPr>
          <w:rFonts w:ascii="Arial" w:hAnsi="Arial" w:cs="Arial"/>
          <w:i/>
          <w:iCs/>
          <w:color w:val="1F1F1F"/>
          <w:sz w:val="24"/>
          <w:szCs w:val="24"/>
          <w:bdr w:val="none" w:sz="0" w:space="0" w:color="auto" w:frame="1"/>
        </w:rPr>
        <w:t>The Social Psychology of Intergroup Relations</w:t>
      </w:r>
      <w:r w:rsidRPr="00341C0E">
        <w:rPr>
          <w:rFonts w:ascii="Arial" w:hAnsi="Arial" w:cs="Arial"/>
          <w:color w:val="1F1F1F"/>
          <w:sz w:val="24"/>
          <w:szCs w:val="24"/>
        </w:rPr>
        <w:t>. Monterey: Brooks/Cole, pp. 33–47.</w:t>
      </w:r>
    </w:p>
    <w:p w14:paraId="4E0E8516"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Urme, U.N.</w:t>
      </w:r>
      <w:r w:rsidRPr="00341C0E">
        <w:rPr>
          <w:rFonts w:ascii="Arial" w:hAnsi="Arial" w:cs="Arial"/>
          <w:color w:val="1F1F1F"/>
          <w:sz w:val="24"/>
          <w:szCs w:val="24"/>
        </w:rPr>
        <w:t xml:space="preserve">, 2023. The impact of talent management strategies on employee retention. </w:t>
      </w:r>
      <w:r w:rsidRPr="00341C0E">
        <w:rPr>
          <w:rFonts w:ascii="Arial" w:hAnsi="Arial" w:cs="Arial"/>
          <w:i/>
          <w:iCs/>
          <w:color w:val="1F1F1F"/>
          <w:sz w:val="24"/>
          <w:szCs w:val="24"/>
          <w:bdr w:val="none" w:sz="0" w:space="0" w:color="auto" w:frame="1"/>
        </w:rPr>
        <w:t>International Journal of Science and Business</w:t>
      </w:r>
      <w:r w:rsidRPr="00341C0E">
        <w:rPr>
          <w:rFonts w:ascii="Arial" w:hAnsi="Arial" w:cs="Arial"/>
          <w:color w:val="1F1F1F"/>
          <w:sz w:val="24"/>
          <w:szCs w:val="24"/>
        </w:rPr>
        <w:t>, 28(1), pp. 127-146.</w:t>
      </w:r>
    </w:p>
    <w:p w14:paraId="1E147EB3" w14:textId="77777777" w:rsidR="00341C0E" w:rsidRPr="00341C0E" w:rsidRDefault="00341C0E" w:rsidP="00341C0E">
      <w:pPr>
        <w:spacing w:before="240" w:line="360" w:lineRule="auto"/>
        <w:rPr>
          <w:rFonts w:ascii="Arial" w:hAnsi="Arial" w:cs="Arial"/>
          <w:color w:val="1F1F1F"/>
          <w:sz w:val="24"/>
          <w:szCs w:val="24"/>
        </w:rPr>
      </w:pPr>
      <w:r w:rsidRPr="00341C0E">
        <w:rPr>
          <w:rFonts w:ascii="Arial" w:hAnsi="Arial" w:cs="Arial"/>
          <w:color w:val="1F1F1F"/>
          <w:sz w:val="24"/>
          <w:szCs w:val="24"/>
          <w:bdr w:val="none" w:sz="0" w:space="0" w:color="auto" w:frame="1"/>
        </w:rPr>
        <w:t>Zervas, I. and Stiakakis, E.</w:t>
      </w:r>
      <w:r w:rsidRPr="00341C0E">
        <w:rPr>
          <w:rFonts w:ascii="Arial" w:hAnsi="Arial" w:cs="Arial"/>
          <w:color w:val="1F1F1F"/>
          <w:sz w:val="24"/>
          <w:szCs w:val="24"/>
        </w:rPr>
        <w:t xml:space="preserve">, 2025. HRM strategies for bridging the digital divide: Enhancing digital skills, employee performance, and inclusion in evolving workplaces. </w:t>
      </w:r>
      <w:r w:rsidRPr="00341C0E">
        <w:rPr>
          <w:rFonts w:ascii="Arial" w:hAnsi="Arial" w:cs="Arial"/>
          <w:i/>
          <w:iCs/>
          <w:color w:val="1F1F1F"/>
          <w:sz w:val="24"/>
          <w:szCs w:val="24"/>
          <w:bdr w:val="none" w:sz="0" w:space="0" w:color="auto" w:frame="1"/>
        </w:rPr>
        <w:t>Administrative Sciences</w:t>
      </w:r>
      <w:r w:rsidRPr="00341C0E">
        <w:rPr>
          <w:rFonts w:ascii="Arial" w:hAnsi="Arial" w:cs="Arial"/>
          <w:color w:val="1F1F1F"/>
          <w:sz w:val="24"/>
          <w:szCs w:val="24"/>
        </w:rPr>
        <w:t>, 15(7), p. 267.</w:t>
      </w:r>
    </w:p>
    <w:sectPr w:rsidR="00341C0E" w:rsidRPr="00341C0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9828C" w14:textId="77777777" w:rsidR="00341C0E" w:rsidRDefault="00341C0E" w:rsidP="00341C0E">
      <w:pPr>
        <w:spacing w:after="0" w:line="240" w:lineRule="auto"/>
      </w:pPr>
      <w:r>
        <w:separator/>
      </w:r>
    </w:p>
  </w:endnote>
  <w:endnote w:type="continuationSeparator" w:id="0">
    <w:p w14:paraId="163029B3" w14:textId="77777777" w:rsidR="00341C0E" w:rsidRDefault="00341C0E" w:rsidP="00341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E333B" w14:textId="77777777" w:rsidR="00341C0E" w:rsidRDefault="00341C0E" w:rsidP="00341C0E">
      <w:pPr>
        <w:spacing w:after="0" w:line="240" w:lineRule="auto"/>
      </w:pPr>
      <w:r>
        <w:separator/>
      </w:r>
    </w:p>
  </w:footnote>
  <w:footnote w:type="continuationSeparator" w:id="0">
    <w:p w14:paraId="2AC38235" w14:textId="77777777" w:rsidR="00341C0E" w:rsidRDefault="00341C0E" w:rsidP="00341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0466638"/>
      <w:docPartObj>
        <w:docPartGallery w:val="Page Numbers (Top of Page)"/>
        <w:docPartUnique/>
      </w:docPartObj>
    </w:sdtPr>
    <w:sdtEndPr/>
    <w:sdtContent>
      <w:p w14:paraId="4C08FEA0" w14:textId="1A3AC8E4" w:rsidR="00341C0E" w:rsidRDefault="00341C0E">
        <w:pPr>
          <w:pStyle w:val="Header"/>
          <w:jc w:val="right"/>
        </w:pPr>
        <w:r>
          <w:fldChar w:fldCharType="begin"/>
        </w:r>
        <w:r>
          <w:instrText>PAGE   \* MERGEFORMAT</w:instrText>
        </w:r>
        <w:r>
          <w:fldChar w:fldCharType="separate"/>
        </w:r>
        <w:r>
          <w:t>2</w:t>
        </w:r>
        <w:r>
          <w:fldChar w:fldCharType="end"/>
        </w:r>
      </w:p>
    </w:sdtContent>
  </w:sdt>
  <w:p w14:paraId="0DBA0195" w14:textId="77777777" w:rsidR="00341C0E" w:rsidRDefault="00341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E5CAB"/>
    <w:multiLevelType w:val="multilevel"/>
    <w:tmpl w:val="A2A41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3291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A31"/>
    <w:rsid w:val="00341C0E"/>
    <w:rsid w:val="00380FC4"/>
    <w:rsid w:val="004C77B7"/>
    <w:rsid w:val="00536551"/>
    <w:rsid w:val="005D3F5B"/>
    <w:rsid w:val="00842DD2"/>
    <w:rsid w:val="008A0A93"/>
    <w:rsid w:val="00A6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711A9"/>
  <w15:chartTrackingRefBased/>
  <w15:docId w15:val="{C6FE1CBE-7D6E-4265-A0DB-0B9830854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4A3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80F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A31"/>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A64A31"/>
    <w:rPr>
      <w:b/>
      <w:bCs/>
    </w:rPr>
  </w:style>
  <w:style w:type="paragraph" w:styleId="NormalWeb">
    <w:name w:val="Normal (Web)"/>
    <w:basedOn w:val="Normal"/>
    <w:uiPriority w:val="99"/>
    <w:semiHidden/>
    <w:unhideWhenUsed/>
    <w:rsid w:val="00A64A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4A31"/>
    <w:rPr>
      <w:i/>
      <w:iCs/>
    </w:rPr>
  </w:style>
  <w:style w:type="character" w:customStyle="1" w:styleId="Heading3Char">
    <w:name w:val="Heading 3 Char"/>
    <w:basedOn w:val="DefaultParagraphFont"/>
    <w:link w:val="Heading3"/>
    <w:uiPriority w:val="9"/>
    <w:semiHidden/>
    <w:rsid w:val="00380FC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41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C0E"/>
  </w:style>
  <w:style w:type="paragraph" w:styleId="Footer">
    <w:name w:val="footer"/>
    <w:basedOn w:val="Normal"/>
    <w:link w:val="FooterChar"/>
    <w:uiPriority w:val="99"/>
    <w:unhideWhenUsed/>
    <w:rsid w:val="00341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04145">
      <w:bodyDiv w:val="1"/>
      <w:marLeft w:val="0"/>
      <w:marRight w:val="0"/>
      <w:marTop w:val="0"/>
      <w:marBottom w:val="0"/>
      <w:divBdr>
        <w:top w:val="none" w:sz="0" w:space="0" w:color="auto"/>
        <w:left w:val="none" w:sz="0" w:space="0" w:color="auto"/>
        <w:bottom w:val="none" w:sz="0" w:space="0" w:color="auto"/>
        <w:right w:val="none" w:sz="0" w:space="0" w:color="auto"/>
      </w:divBdr>
    </w:div>
    <w:div w:id="389153859">
      <w:bodyDiv w:val="1"/>
      <w:marLeft w:val="0"/>
      <w:marRight w:val="0"/>
      <w:marTop w:val="0"/>
      <w:marBottom w:val="0"/>
      <w:divBdr>
        <w:top w:val="none" w:sz="0" w:space="0" w:color="auto"/>
        <w:left w:val="none" w:sz="0" w:space="0" w:color="auto"/>
        <w:bottom w:val="none" w:sz="0" w:space="0" w:color="auto"/>
        <w:right w:val="none" w:sz="0" w:space="0" w:color="auto"/>
      </w:divBdr>
    </w:div>
    <w:div w:id="508104884">
      <w:bodyDiv w:val="1"/>
      <w:marLeft w:val="0"/>
      <w:marRight w:val="0"/>
      <w:marTop w:val="0"/>
      <w:marBottom w:val="0"/>
      <w:divBdr>
        <w:top w:val="none" w:sz="0" w:space="0" w:color="auto"/>
        <w:left w:val="none" w:sz="0" w:space="0" w:color="auto"/>
        <w:bottom w:val="none" w:sz="0" w:space="0" w:color="auto"/>
        <w:right w:val="none" w:sz="0" w:space="0" w:color="auto"/>
      </w:divBdr>
    </w:div>
    <w:div w:id="1005087759">
      <w:bodyDiv w:val="1"/>
      <w:marLeft w:val="0"/>
      <w:marRight w:val="0"/>
      <w:marTop w:val="0"/>
      <w:marBottom w:val="0"/>
      <w:divBdr>
        <w:top w:val="none" w:sz="0" w:space="0" w:color="auto"/>
        <w:left w:val="none" w:sz="0" w:space="0" w:color="auto"/>
        <w:bottom w:val="none" w:sz="0" w:space="0" w:color="auto"/>
        <w:right w:val="none" w:sz="0" w:space="0" w:color="auto"/>
      </w:divBdr>
    </w:div>
    <w:div w:id="1045135068">
      <w:bodyDiv w:val="1"/>
      <w:marLeft w:val="0"/>
      <w:marRight w:val="0"/>
      <w:marTop w:val="0"/>
      <w:marBottom w:val="0"/>
      <w:divBdr>
        <w:top w:val="none" w:sz="0" w:space="0" w:color="auto"/>
        <w:left w:val="none" w:sz="0" w:space="0" w:color="auto"/>
        <w:bottom w:val="none" w:sz="0" w:space="0" w:color="auto"/>
        <w:right w:val="none" w:sz="0" w:space="0" w:color="auto"/>
      </w:divBdr>
    </w:div>
    <w:div w:id="1390113885">
      <w:bodyDiv w:val="1"/>
      <w:marLeft w:val="0"/>
      <w:marRight w:val="0"/>
      <w:marTop w:val="0"/>
      <w:marBottom w:val="0"/>
      <w:divBdr>
        <w:top w:val="none" w:sz="0" w:space="0" w:color="auto"/>
        <w:left w:val="none" w:sz="0" w:space="0" w:color="auto"/>
        <w:bottom w:val="none" w:sz="0" w:space="0" w:color="auto"/>
        <w:right w:val="none" w:sz="0" w:space="0" w:color="auto"/>
      </w:divBdr>
    </w:div>
    <w:div w:id="1551380900">
      <w:bodyDiv w:val="1"/>
      <w:marLeft w:val="0"/>
      <w:marRight w:val="0"/>
      <w:marTop w:val="0"/>
      <w:marBottom w:val="0"/>
      <w:divBdr>
        <w:top w:val="none" w:sz="0" w:space="0" w:color="auto"/>
        <w:left w:val="none" w:sz="0" w:space="0" w:color="auto"/>
        <w:bottom w:val="none" w:sz="0" w:space="0" w:color="auto"/>
        <w:right w:val="none" w:sz="0" w:space="0" w:color="auto"/>
      </w:divBdr>
    </w:div>
    <w:div w:id="1936357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10</Pages>
  <Words>2643</Words>
  <Characters>15069</Characters>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2026-03-18T13:42:00Z</dcterms:created>
  <dcterms:modified xsi:type="dcterms:W3CDTF">2026-03-18T14:41:00Z</dcterms:modified>
</cp:coreProperties>
</file>