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8F526" w14:textId="77777777" w:rsidR="009A3630" w:rsidRDefault="009A3630" w:rsidP="005F4422">
      <w:pPr>
        <w:pStyle w:val="Heading1"/>
        <w:jc w:val="both"/>
      </w:pPr>
    </w:p>
    <w:p w14:paraId="7168F527" w14:textId="76127DEC" w:rsidR="009A3630" w:rsidRDefault="009A3630" w:rsidP="005F4422">
      <w:pPr>
        <w:autoSpaceDE w:val="0"/>
        <w:autoSpaceDN w:val="0"/>
        <w:adjustRightInd w:val="0"/>
        <w:spacing w:after="0" w:line="360" w:lineRule="auto"/>
        <w:jc w:val="both"/>
        <w:rPr>
          <w:rFonts w:ascii="Times New Roman" w:hAnsi="Times New Roman" w:cs="Times New Roman"/>
          <w:b/>
          <w:sz w:val="28"/>
        </w:rPr>
      </w:pPr>
      <w:r>
        <w:rPr>
          <w:rFonts w:ascii="Times New Roman" w:hAnsi="Times New Roman" w:cs="Times New Roman"/>
          <w:b/>
          <w:sz w:val="28"/>
        </w:rPr>
        <w:t>Infection rate of Covid-19 in white people and BAME in United Kingdom</w:t>
      </w:r>
    </w:p>
    <w:p w14:paraId="3E75BBD9" w14:textId="77777777" w:rsidR="007B35E9" w:rsidRDefault="007B35E9" w:rsidP="005F4422">
      <w:pPr>
        <w:autoSpaceDE w:val="0"/>
        <w:autoSpaceDN w:val="0"/>
        <w:adjustRightInd w:val="0"/>
        <w:spacing w:after="0" w:line="360" w:lineRule="auto"/>
        <w:jc w:val="both"/>
        <w:rPr>
          <w:rFonts w:ascii="Times New Roman" w:hAnsi="Times New Roman" w:cs="Times New Roman"/>
          <w:b/>
          <w:sz w:val="28"/>
        </w:rPr>
      </w:pPr>
    </w:p>
    <w:p w14:paraId="7168F528" w14:textId="2B12E36A" w:rsidR="009A3630" w:rsidRDefault="009A3630" w:rsidP="005F4422">
      <w:pPr>
        <w:autoSpaceDE w:val="0"/>
        <w:autoSpaceDN w:val="0"/>
        <w:adjustRightInd w:val="0"/>
        <w:spacing w:after="0" w:line="360" w:lineRule="auto"/>
        <w:jc w:val="both"/>
        <w:rPr>
          <w:rFonts w:ascii="Times New Roman" w:hAnsi="Times New Roman" w:cs="Times New Roman"/>
          <w:b/>
          <w:sz w:val="28"/>
        </w:rPr>
      </w:pPr>
      <w:r>
        <w:rPr>
          <w:rFonts w:ascii="Times New Roman" w:hAnsi="Times New Roman" w:cs="Times New Roman"/>
          <w:b/>
          <w:sz w:val="28"/>
        </w:rPr>
        <w:t>Student</w:t>
      </w:r>
      <w:r w:rsidR="007B35E9">
        <w:rPr>
          <w:rFonts w:ascii="Times New Roman" w:hAnsi="Times New Roman" w:cs="Times New Roman"/>
          <w:b/>
          <w:sz w:val="28"/>
        </w:rPr>
        <w:t>:</w:t>
      </w:r>
      <w:r>
        <w:rPr>
          <w:rFonts w:ascii="Times New Roman" w:hAnsi="Times New Roman" w:cs="Times New Roman"/>
          <w:b/>
          <w:sz w:val="28"/>
        </w:rPr>
        <w:t xml:space="preserve"> </w:t>
      </w:r>
      <w:r w:rsidR="007B35E9">
        <w:rPr>
          <w:rFonts w:ascii="Times New Roman" w:hAnsi="Times New Roman" w:cs="Times New Roman"/>
          <w:b/>
          <w:sz w:val="28"/>
        </w:rPr>
        <w:t>Cristian Bitca</w:t>
      </w:r>
    </w:p>
    <w:p w14:paraId="7168F529" w14:textId="52C89D2C" w:rsidR="009A3630" w:rsidRDefault="009A3630" w:rsidP="005F4422">
      <w:pPr>
        <w:autoSpaceDE w:val="0"/>
        <w:autoSpaceDN w:val="0"/>
        <w:adjustRightInd w:val="0"/>
        <w:spacing w:after="0" w:line="360" w:lineRule="auto"/>
        <w:jc w:val="both"/>
        <w:rPr>
          <w:rFonts w:ascii="Times New Roman" w:hAnsi="Times New Roman" w:cs="Times New Roman"/>
          <w:b/>
          <w:sz w:val="28"/>
        </w:rPr>
      </w:pPr>
      <w:r>
        <w:rPr>
          <w:rFonts w:ascii="Times New Roman" w:hAnsi="Times New Roman" w:cs="Times New Roman"/>
          <w:b/>
          <w:sz w:val="28"/>
        </w:rPr>
        <w:t>University</w:t>
      </w:r>
      <w:r w:rsidR="007B35E9">
        <w:rPr>
          <w:rFonts w:ascii="Times New Roman" w:hAnsi="Times New Roman" w:cs="Times New Roman"/>
          <w:b/>
          <w:sz w:val="28"/>
        </w:rPr>
        <w:t xml:space="preserve"> of Wales Trinity Saint Dav</w:t>
      </w:r>
      <w:r w:rsidR="002130E5">
        <w:rPr>
          <w:rFonts w:ascii="Times New Roman" w:hAnsi="Times New Roman" w:cs="Times New Roman"/>
          <w:b/>
          <w:sz w:val="28"/>
        </w:rPr>
        <w:t>id</w:t>
      </w:r>
    </w:p>
    <w:p w14:paraId="7168F52A"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2B"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2C"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2D"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2E"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2F"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0"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1"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2"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3"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4"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5"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6"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7"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8"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9"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A"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B"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C" w14:textId="77777777" w:rsidR="009A3630" w:rsidRDefault="009A3630" w:rsidP="005F4422">
      <w:pPr>
        <w:autoSpaceDE w:val="0"/>
        <w:autoSpaceDN w:val="0"/>
        <w:adjustRightInd w:val="0"/>
        <w:spacing w:after="0" w:line="360" w:lineRule="auto"/>
        <w:jc w:val="both"/>
        <w:rPr>
          <w:rFonts w:ascii="Times New Roman" w:hAnsi="Times New Roman" w:cs="Times New Roman"/>
          <w:b/>
          <w:sz w:val="28"/>
        </w:rPr>
      </w:pPr>
    </w:p>
    <w:p w14:paraId="7168F53D" w14:textId="77777777" w:rsidR="009A3630" w:rsidRDefault="009A3630" w:rsidP="005F4422">
      <w:pPr>
        <w:autoSpaceDE w:val="0"/>
        <w:autoSpaceDN w:val="0"/>
        <w:adjustRightInd w:val="0"/>
        <w:spacing w:after="0" w:line="360" w:lineRule="auto"/>
        <w:jc w:val="both"/>
        <w:rPr>
          <w:rFonts w:ascii="Times New Roman" w:hAnsi="Times New Roman" w:cs="Times New Roman"/>
          <w:b/>
          <w:sz w:val="32"/>
          <w:szCs w:val="24"/>
        </w:rPr>
      </w:pPr>
    </w:p>
    <w:p w14:paraId="7168F540" w14:textId="77777777" w:rsidR="0029354B" w:rsidRDefault="0029354B" w:rsidP="005F4422">
      <w:pPr>
        <w:autoSpaceDE w:val="0"/>
        <w:autoSpaceDN w:val="0"/>
        <w:adjustRightInd w:val="0"/>
        <w:spacing w:after="0" w:line="360" w:lineRule="auto"/>
        <w:jc w:val="both"/>
        <w:rPr>
          <w:rFonts w:ascii="Times New Roman" w:hAnsi="Times New Roman" w:cs="Times New Roman"/>
          <w:b/>
          <w:sz w:val="32"/>
          <w:szCs w:val="24"/>
        </w:rPr>
      </w:pPr>
    </w:p>
    <w:sdt>
      <w:sdtPr>
        <w:rPr>
          <w:rFonts w:ascii="Calibri" w:eastAsia="Calibri" w:hAnsi="Calibri" w:cs="SimSun"/>
          <w:b w:val="0"/>
          <w:bCs w:val="0"/>
          <w:color w:val="auto"/>
          <w:sz w:val="22"/>
          <w:szCs w:val="22"/>
        </w:rPr>
        <w:id w:val="886982188"/>
        <w:docPartObj>
          <w:docPartGallery w:val="Table of Contents"/>
          <w:docPartUnique/>
        </w:docPartObj>
      </w:sdtPr>
      <w:sdtEndPr/>
      <w:sdtContent>
        <w:p w14:paraId="7168F541" w14:textId="77777777" w:rsidR="009A3630" w:rsidRDefault="009A3630" w:rsidP="005F4422">
          <w:pPr>
            <w:pStyle w:val="TOCHeading"/>
            <w:jc w:val="both"/>
          </w:pPr>
          <w:r>
            <w:t>Contents</w:t>
          </w:r>
        </w:p>
        <w:p w14:paraId="7168F542" w14:textId="77777777" w:rsidR="009A3630" w:rsidRDefault="00B32390" w:rsidP="005F4422">
          <w:pPr>
            <w:pStyle w:val="TOC1"/>
            <w:tabs>
              <w:tab w:val="right" w:leader="dot" w:pos="9352"/>
            </w:tabs>
            <w:jc w:val="both"/>
            <w:rPr>
              <w:noProof/>
            </w:rPr>
          </w:pPr>
          <w:r>
            <w:fldChar w:fldCharType="begin"/>
          </w:r>
          <w:r w:rsidR="009A3630">
            <w:instrText xml:space="preserve"> TOC \o "1-3" \h \z \u </w:instrText>
          </w:r>
          <w:r>
            <w:fldChar w:fldCharType="separate"/>
          </w:r>
          <w:hyperlink w:anchor="_Toc78826898" w:history="1">
            <w:r w:rsidR="009A3630" w:rsidRPr="00FD73B8">
              <w:rPr>
                <w:rStyle w:val="Hyperlink"/>
                <w:noProof/>
              </w:rPr>
              <w:t>Introduction</w:t>
            </w:r>
            <w:r w:rsidR="009A3630">
              <w:rPr>
                <w:noProof/>
                <w:webHidden/>
              </w:rPr>
              <w:tab/>
            </w:r>
            <w:r>
              <w:rPr>
                <w:noProof/>
                <w:webHidden/>
              </w:rPr>
              <w:fldChar w:fldCharType="begin"/>
            </w:r>
            <w:r w:rsidR="009A3630">
              <w:rPr>
                <w:noProof/>
                <w:webHidden/>
              </w:rPr>
              <w:instrText xml:space="preserve"> PAGEREF _Toc78826898 \h </w:instrText>
            </w:r>
            <w:r>
              <w:rPr>
                <w:noProof/>
                <w:webHidden/>
              </w:rPr>
            </w:r>
            <w:r>
              <w:rPr>
                <w:noProof/>
                <w:webHidden/>
              </w:rPr>
              <w:fldChar w:fldCharType="separate"/>
            </w:r>
            <w:r w:rsidR="009A3630">
              <w:rPr>
                <w:noProof/>
                <w:webHidden/>
              </w:rPr>
              <w:t>2</w:t>
            </w:r>
            <w:r>
              <w:rPr>
                <w:noProof/>
                <w:webHidden/>
              </w:rPr>
              <w:fldChar w:fldCharType="end"/>
            </w:r>
          </w:hyperlink>
        </w:p>
        <w:p w14:paraId="7168F543" w14:textId="77777777" w:rsidR="009A3630" w:rsidRDefault="002130E5" w:rsidP="005F4422">
          <w:pPr>
            <w:pStyle w:val="TOC2"/>
            <w:tabs>
              <w:tab w:val="right" w:leader="dot" w:pos="9352"/>
            </w:tabs>
            <w:jc w:val="both"/>
            <w:rPr>
              <w:noProof/>
            </w:rPr>
          </w:pPr>
          <w:hyperlink w:anchor="_Toc78826899" w:history="1">
            <w:r w:rsidR="009A3630" w:rsidRPr="00FD73B8">
              <w:rPr>
                <w:rStyle w:val="Hyperlink"/>
                <w:noProof/>
              </w:rPr>
              <w:t>T-test:</w:t>
            </w:r>
            <w:r w:rsidR="009A3630">
              <w:rPr>
                <w:noProof/>
                <w:webHidden/>
              </w:rPr>
              <w:tab/>
            </w:r>
            <w:r w:rsidR="00B32390">
              <w:rPr>
                <w:noProof/>
                <w:webHidden/>
              </w:rPr>
              <w:fldChar w:fldCharType="begin"/>
            </w:r>
            <w:r w:rsidR="009A3630">
              <w:rPr>
                <w:noProof/>
                <w:webHidden/>
              </w:rPr>
              <w:instrText xml:space="preserve"> PAGEREF _Toc78826899 \h </w:instrText>
            </w:r>
            <w:r w:rsidR="00B32390">
              <w:rPr>
                <w:noProof/>
                <w:webHidden/>
              </w:rPr>
            </w:r>
            <w:r w:rsidR="00B32390">
              <w:rPr>
                <w:noProof/>
                <w:webHidden/>
              </w:rPr>
              <w:fldChar w:fldCharType="separate"/>
            </w:r>
            <w:r w:rsidR="009A3630">
              <w:rPr>
                <w:noProof/>
                <w:webHidden/>
              </w:rPr>
              <w:t>7</w:t>
            </w:r>
            <w:r w:rsidR="00B32390">
              <w:rPr>
                <w:noProof/>
                <w:webHidden/>
              </w:rPr>
              <w:fldChar w:fldCharType="end"/>
            </w:r>
          </w:hyperlink>
        </w:p>
        <w:p w14:paraId="7168F544" w14:textId="77777777" w:rsidR="009A3630" w:rsidRDefault="002130E5" w:rsidP="005F4422">
          <w:pPr>
            <w:pStyle w:val="TOC2"/>
            <w:tabs>
              <w:tab w:val="right" w:leader="dot" w:pos="9352"/>
            </w:tabs>
            <w:jc w:val="both"/>
            <w:rPr>
              <w:noProof/>
            </w:rPr>
          </w:pPr>
          <w:hyperlink w:anchor="_Toc78826900" w:history="1">
            <w:r w:rsidR="009A3630" w:rsidRPr="00FD73B8">
              <w:rPr>
                <w:rStyle w:val="Hyperlink"/>
                <w:noProof/>
              </w:rPr>
              <w:t>Null Hypothesis:</w:t>
            </w:r>
            <w:r w:rsidR="009A3630">
              <w:rPr>
                <w:noProof/>
                <w:webHidden/>
              </w:rPr>
              <w:tab/>
            </w:r>
            <w:r w:rsidR="00B32390">
              <w:rPr>
                <w:noProof/>
                <w:webHidden/>
              </w:rPr>
              <w:fldChar w:fldCharType="begin"/>
            </w:r>
            <w:r w:rsidR="009A3630">
              <w:rPr>
                <w:noProof/>
                <w:webHidden/>
              </w:rPr>
              <w:instrText xml:space="preserve"> PAGEREF _Toc78826900 \h </w:instrText>
            </w:r>
            <w:r w:rsidR="00B32390">
              <w:rPr>
                <w:noProof/>
                <w:webHidden/>
              </w:rPr>
            </w:r>
            <w:r w:rsidR="00B32390">
              <w:rPr>
                <w:noProof/>
                <w:webHidden/>
              </w:rPr>
              <w:fldChar w:fldCharType="separate"/>
            </w:r>
            <w:r w:rsidR="009A3630">
              <w:rPr>
                <w:noProof/>
                <w:webHidden/>
              </w:rPr>
              <w:t>7</w:t>
            </w:r>
            <w:r w:rsidR="00B32390">
              <w:rPr>
                <w:noProof/>
                <w:webHidden/>
              </w:rPr>
              <w:fldChar w:fldCharType="end"/>
            </w:r>
          </w:hyperlink>
        </w:p>
        <w:p w14:paraId="7168F545" w14:textId="77777777" w:rsidR="009A3630" w:rsidRDefault="002130E5" w:rsidP="005F4422">
          <w:pPr>
            <w:pStyle w:val="TOC2"/>
            <w:tabs>
              <w:tab w:val="right" w:leader="dot" w:pos="9352"/>
            </w:tabs>
            <w:jc w:val="both"/>
            <w:rPr>
              <w:noProof/>
            </w:rPr>
          </w:pPr>
          <w:hyperlink w:anchor="_Toc78826901" w:history="1">
            <w:r w:rsidR="009A3630" w:rsidRPr="00FD73B8">
              <w:rPr>
                <w:rStyle w:val="Hyperlink"/>
                <w:noProof/>
              </w:rPr>
              <w:t>Alternative Hypothesis:</w:t>
            </w:r>
            <w:r w:rsidR="009A3630">
              <w:rPr>
                <w:noProof/>
                <w:webHidden/>
              </w:rPr>
              <w:tab/>
            </w:r>
            <w:r w:rsidR="00B32390">
              <w:rPr>
                <w:noProof/>
                <w:webHidden/>
              </w:rPr>
              <w:fldChar w:fldCharType="begin"/>
            </w:r>
            <w:r w:rsidR="009A3630">
              <w:rPr>
                <w:noProof/>
                <w:webHidden/>
              </w:rPr>
              <w:instrText xml:space="preserve"> PAGEREF _Toc78826901 \h </w:instrText>
            </w:r>
            <w:r w:rsidR="00B32390">
              <w:rPr>
                <w:noProof/>
                <w:webHidden/>
              </w:rPr>
            </w:r>
            <w:r w:rsidR="00B32390">
              <w:rPr>
                <w:noProof/>
                <w:webHidden/>
              </w:rPr>
              <w:fldChar w:fldCharType="separate"/>
            </w:r>
            <w:r w:rsidR="009A3630">
              <w:rPr>
                <w:noProof/>
                <w:webHidden/>
              </w:rPr>
              <w:t>7</w:t>
            </w:r>
            <w:r w:rsidR="00B32390">
              <w:rPr>
                <w:noProof/>
                <w:webHidden/>
              </w:rPr>
              <w:fldChar w:fldCharType="end"/>
            </w:r>
          </w:hyperlink>
        </w:p>
        <w:p w14:paraId="7168F546" w14:textId="77777777" w:rsidR="009A3630" w:rsidRDefault="002130E5" w:rsidP="005F4422">
          <w:pPr>
            <w:pStyle w:val="TOC1"/>
            <w:tabs>
              <w:tab w:val="right" w:leader="dot" w:pos="9352"/>
            </w:tabs>
            <w:jc w:val="both"/>
            <w:rPr>
              <w:noProof/>
            </w:rPr>
          </w:pPr>
          <w:hyperlink w:anchor="_Toc78826902" w:history="1">
            <w:r w:rsidR="009A3630" w:rsidRPr="00FD73B8">
              <w:rPr>
                <w:rStyle w:val="Hyperlink"/>
                <w:noProof/>
              </w:rPr>
              <w:t>Conclusion:</w:t>
            </w:r>
            <w:r w:rsidR="009A3630">
              <w:rPr>
                <w:noProof/>
                <w:webHidden/>
              </w:rPr>
              <w:tab/>
            </w:r>
            <w:r w:rsidR="00B32390">
              <w:rPr>
                <w:noProof/>
                <w:webHidden/>
              </w:rPr>
              <w:fldChar w:fldCharType="begin"/>
            </w:r>
            <w:r w:rsidR="009A3630">
              <w:rPr>
                <w:noProof/>
                <w:webHidden/>
              </w:rPr>
              <w:instrText xml:space="preserve"> PAGEREF _Toc78826902 \h </w:instrText>
            </w:r>
            <w:r w:rsidR="00B32390">
              <w:rPr>
                <w:noProof/>
                <w:webHidden/>
              </w:rPr>
            </w:r>
            <w:r w:rsidR="00B32390">
              <w:rPr>
                <w:noProof/>
                <w:webHidden/>
              </w:rPr>
              <w:fldChar w:fldCharType="separate"/>
            </w:r>
            <w:r w:rsidR="009A3630">
              <w:rPr>
                <w:noProof/>
                <w:webHidden/>
              </w:rPr>
              <w:t>9</w:t>
            </w:r>
            <w:r w:rsidR="00B32390">
              <w:rPr>
                <w:noProof/>
                <w:webHidden/>
              </w:rPr>
              <w:fldChar w:fldCharType="end"/>
            </w:r>
          </w:hyperlink>
        </w:p>
        <w:p w14:paraId="7168F547" w14:textId="77777777" w:rsidR="009A3630" w:rsidRDefault="00B32390" w:rsidP="005F4422">
          <w:pPr>
            <w:jc w:val="both"/>
          </w:pPr>
          <w:r>
            <w:fldChar w:fldCharType="end"/>
          </w:r>
        </w:p>
      </w:sdtContent>
    </w:sdt>
    <w:p w14:paraId="7168F548" w14:textId="77777777" w:rsidR="009A3630" w:rsidRDefault="009A3630" w:rsidP="005F4422">
      <w:pPr>
        <w:pStyle w:val="Heading1"/>
        <w:jc w:val="both"/>
      </w:pPr>
    </w:p>
    <w:p w14:paraId="7168F549" w14:textId="77777777" w:rsidR="009A3630" w:rsidRDefault="009A3630" w:rsidP="005F4422">
      <w:pPr>
        <w:pStyle w:val="Heading1"/>
        <w:jc w:val="both"/>
      </w:pPr>
    </w:p>
    <w:p w14:paraId="7168F54A" w14:textId="77777777" w:rsidR="009A3630" w:rsidRDefault="009A3630" w:rsidP="005F4422">
      <w:pPr>
        <w:pStyle w:val="Heading1"/>
        <w:jc w:val="both"/>
      </w:pPr>
    </w:p>
    <w:p w14:paraId="7168F54B" w14:textId="77777777" w:rsidR="009A3630" w:rsidRDefault="009A3630" w:rsidP="005F4422">
      <w:pPr>
        <w:pStyle w:val="Heading1"/>
        <w:jc w:val="both"/>
      </w:pPr>
    </w:p>
    <w:p w14:paraId="7168F54C" w14:textId="77777777" w:rsidR="009A3630" w:rsidRDefault="009A3630" w:rsidP="005F4422">
      <w:pPr>
        <w:pStyle w:val="Heading1"/>
        <w:jc w:val="both"/>
      </w:pPr>
    </w:p>
    <w:p w14:paraId="7168F54D" w14:textId="77777777" w:rsidR="009A3630" w:rsidRDefault="009A3630" w:rsidP="005F4422">
      <w:pPr>
        <w:pStyle w:val="Heading1"/>
        <w:jc w:val="both"/>
      </w:pPr>
    </w:p>
    <w:p w14:paraId="7168F54E" w14:textId="77777777" w:rsidR="009A3630" w:rsidRDefault="009A3630" w:rsidP="005F4422">
      <w:pPr>
        <w:pStyle w:val="Heading1"/>
        <w:jc w:val="both"/>
      </w:pPr>
    </w:p>
    <w:p w14:paraId="7168F54F" w14:textId="77777777" w:rsidR="009A3630" w:rsidRDefault="009A3630" w:rsidP="005F4422">
      <w:pPr>
        <w:pStyle w:val="Heading1"/>
        <w:jc w:val="both"/>
      </w:pPr>
    </w:p>
    <w:p w14:paraId="5CCABBAA" w14:textId="6E35966A" w:rsidR="009A3630" w:rsidRPr="005F4422" w:rsidRDefault="005F4422" w:rsidP="005F4422">
      <w:pPr>
        <w:jc w:val="both"/>
        <w:rPr>
          <w:rFonts w:asciiTheme="majorHAnsi" w:eastAsiaTheme="majorEastAsia" w:hAnsiTheme="majorHAnsi" w:cstheme="majorBidi"/>
          <w:b/>
          <w:bCs/>
          <w:color w:val="365F91" w:themeColor="accent1" w:themeShade="BF"/>
          <w:sz w:val="28"/>
          <w:szCs w:val="28"/>
        </w:rPr>
      </w:pPr>
      <w:r>
        <w:br w:type="page"/>
      </w:r>
    </w:p>
    <w:p w14:paraId="7168F552" w14:textId="77777777" w:rsidR="00135ECF" w:rsidRDefault="00135ECF" w:rsidP="005F4422">
      <w:pPr>
        <w:pStyle w:val="Heading1"/>
        <w:jc w:val="both"/>
      </w:pPr>
      <w:bookmarkStart w:id="0" w:name="_Toc78826898"/>
      <w:r>
        <w:lastRenderedPageBreak/>
        <w:t>Introduction</w:t>
      </w:r>
      <w:bookmarkEnd w:id="0"/>
      <w:r>
        <w:t xml:space="preserve"> </w:t>
      </w:r>
    </w:p>
    <w:p w14:paraId="7168F553" w14:textId="77777777" w:rsidR="00AA18A1" w:rsidRDefault="00111F98" w:rsidP="005F4422">
      <w:pPr>
        <w:autoSpaceDE w:val="0"/>
        <w:autoSpaceDN w:val="0"/>
        <w:adjustRightInd w:val="0"/>
        <w:spacing w:after="0" w:line="360" w:lineRule="auto"/>
        <w:jc w:val="both"/>
        <w:rPr>
          <w:rFonts w:ascii="Times New Roman" w:hAnsi="Times New Roman" w:cs="Times New Roman"/>
          <w:sz w:val="24"/>
          <w:szCs w:val="24"/>
        </w:rPr>
      </w:pPr>
      <w:r w:rsidRPr="00111F98">
        <w:rPr>
          <w:rFonts w:ascii="Times New Roman" w:hAnsi="Times New Roman" w:cs="Times New Roman"/>
          <w:sz w:val="24"/>
          <w:szCs w:val="24"/>
          <w:highlight w:val="yellow"/>
        </w:rPr>
        <w:t>The spreading of covid 19</w:t>
      </w:r>
      <w:r w:rsidR="0029354B" w:rsidRPr="00111F98">
        <w:rPr>
          <w:rFonts w:ascii="Times New Roman" w:hAnsi="Times New Roman" w:cs="Times New Roman"/>
          <w:sz w:val="24"/>
          <w:szCs w:val="24"/>
          <w:highlight w:val="yellow"/>
        </w:rPr>
        <w:t xml:space="preserve"> throughout the world,</w:t>
      </w:r>
      <w:r w:rsidR="0029354B">
        <w:rPr>
          <w:rFonts w:ascii="Times New Roman" w:hAnsi="Times New Roman" w:cs="Times New Roman"/>
          <w:sz w:val="24"/>
          <w:szCs w:val="24"/>
        </w:rPr>
        <w:t xml:space="preserve"> and have taken so many </w:t>
      </w:r>
      <w:r w:rsidR="00B14DFE">
        <w:rPr>
          <w:rFonts w:ascii="Times New Roman" w:hAnsi="Times New Roman" w:cs="Times New Roman"/>
          <w:sz w:val="24"/>
          <w:szCs w:val="24"/>
        </w:rPr>
        <w:t>lives</w:t>
      </w:r>
      <w:r w:rsidR="0029354B">
        <w:rPr>
          <w:rFonts w:ascii="Times New Roman" w:hAnsi="Times New Roman" w:cs="Times New Roman"/>
          <w:sz w:val="24"/>
          <w:szCs w:val="24"/>
        </w:rPr>
        <w:t xml:space="preserve"> and destroyed the economy as well. It's been recognized in </w:t>
      </w:r>
      <w:r w:rsidR="00B14DFE">
        <w:rPr>
          <w:rFonts w:ascii="Times New Roman" w:hAnsi="Times New Roman" w:cs="Times New Roman"/>
          <w:sz w:val="24"/>
          <w:szCs w:val="24"/>
        </w:rPr>
        <w:t>latest</w:t>
      </w:r>
      <w:r w:rsidR="0029354B">
        <w:rPr>
          <w:rFonts w:ascii="Times New Roman" w:hAnsi="Times New Roman" w:cs="Times New Roman"/>
          <w:sz w:val="24"/>
          <w:szCs w:val="24"/>
        </w:rPr>
        <w:t xml:space="preserve"> BBC (UK) news that</w:t>
      </w:r>
      <w:r>
        <w:rPr>
          <w:rFonts w:ascii="Times New Roman" w:hAnsi="Times New Roman" w:cs="Times New Roman"/>
          <w:sz w:val="24"/>
          <w:szCs w:val="24"/>
        </w:rPr>
        <w:t xml:space="preserve"> </w:t>
      </w:r>
      <w:r w:rsidRPr="00111F98">
        <w:rPr>
          <w:rFonts w:ascii="Times New Roman" w:hAnsi="Times New Roman" w:cs="Times New Roman"/>
          <w:sz w:val="24"/>
          <w:szCs w:val="24"/>
          <w:highlight w:val="yellow"/>
        </w:rPr>
        <w:t>the overall percentage of infection of</w:t>
      </w:r>
      <w:r w:rsidR="0029354B" w:rsidRPr="00111F98">
        <w:rPr>
          <w:rFonts w:ascii="Times New Roman" w:hAnsi="Times New Roman" w:cs="Times New Roman"/>
          <w:sz w:val="24"/>
          <w:szCs w:val="24"/>
          <w:highlight w:val="yellow"/>
        </w:rPr>
        <w:t xml:space="preserve"> Covid’19</w:t>
      </w:r>
      <w:r w:rsidR="0029354B">
        <w:rPr>
          <w:rFonts w:ascii="Times New Roman" w:hAnsi="Times New Roman" w:cs="Times New Roman"/>
          <w:sz w:val="24"/>
          <w:szCs w:val="24"/>
        </w:rPr>
        <w:t xml:space="preserve"> varies greatly between white people and BAME in the UK</w:t>
      </w:r>
      <w:r w:rsidR="00B14DFE">
        <w:rPr>
          <w:rFonts w:ascii="Times New Roman" w:hAnsi="Times New Roman" w:cs="Times New Roman"/>
          <w:sz w:val="24"/>
          <w:szCs w:val="24"/>
        </w:rPr>
        <w:t xml:space="preserve"> </w:t>
      </w:r>
      <w:r w:rsidR="00B14DFE">
        <w:rPr>
          <w:rFonts w:ascii="Arial" w:hAnsi="Arial" w:cs="Arial"/>
          <w:color w:val="000000"/>
          <w:sz w:val="20"/>
          <w:szCs w:val="20"/>
          <w:shd w:val="clear" w:color="auto" w:fill="FFFFFF"/>
        </w:rPr>
        <w:t>(Bhatia, 2020)</w:t>
      </w:r>
      <w:r w:rsidR="0029354B">
        <w:rPr>
          <w:rFonts w:ascii="Times New Roman" w:hAnsi="Times New Roman" w:cs="Times New Roman"/>
          <w:sz w:val="24"/>
          <w:szCs w:val="24"/>
        </w:rPr>
        <w:t xml:space="preserve">. In order to determine the ratio and the factuality of the research results, </w:t>
      </w:r>
      <w:r w:rsidRPr="00111F98">
        <w:rPr>
          <w:rFonts w:ascii="Times New Roman" w:hAnsi="Times New Roman" w:cs="Times New Roman"/>
          <w:sz w:val="24"/>
          <w:szCs w:val="24"/>
          <w:highlight w:val="yellow"/>
        </w:rPr>
        <w:t>approximately 50 altered</w:t>
      </w:r>
      <w:r w:rsidR="0029354B" w:rsidRPr="00111F98">
        <w:rPr>
          <w:rFonts w:ascii="Times New Roman" w:hAnsi="Times New Roman" w:cs="Times New Roman"/>
          <w:sz w:val="24"/>
          <w:szCs w:val="24"/>
          <w:highlight w:val="yellow"/>
        </w:rPr>
        <w:t xml:space="preserve"> white and BAME patients </w:t>
      </w:r>
      <w:r w:rsidRPr="00111F98">
        <w:rPr>
          <w:rFonts w:ascii="Times New Roman" w:hAnsi="Times New Roman" w:cs="Times New Roman"/>
          <w:sz w:val="24"/>
          <w:szCs w:val="24"/>
          <w:highlight w:val="yellow"/>
        </w:rPr>
        <w:t>are selected.</w:t>
      </w:r>
      <w:r w:rsidR="0029354B" w:rsidRPr="00111F98">
        <w:rPr>
          <w:rFonts w:ascii="Times New Roman" w:hAnsi="Times New Roman" w:cs="Times New Roman"/>
          <w:sz w:val="24"/>
          <w:szCs w:val="24"/>
          <w:highlight w:val="yellow"/>
        </w:rPr>
        <w:t xml:space="preserve"> </w:t>
      </w:r>
      <w:r w:rsidRPr="00111F98">
        <w:rPr>
          <w:rFonts w:ascii="Times New Roman" w:hAnsi="Times New Roman" w:cs="Times New Roman"/>
          <w:sz w:val="24"/>
          <w:szCs w:val="24"/>
          <w:highlight w:val="yellow"/>
        </w:rPr>
        <w:t xml:space="preserve">The age limit is within </w:t>
      </w:r>
      <w:r w:rsidR="0029354B" w:rsidRPr="00111F98">
        <w:rPr>
          <w:rFonts w:ascii="Times New Roman" w:hAnsi="Times New Roman" w:cs="Times New Roman"/>
          <w:sz w:val="24"/>
          <w:szCs w:val="24"/>
          <w:highlight w:val="yellow"/>
        </w:rPr>
        <w:t xml:space="preserve">20 </w:t>
      </w:r>
      <w:r w:rsidRPr="00111F98">
        <w:rPr>
          <w:rFonts w:ascii="Times New Roman" w:hAnsi="Times New Roman" w:cs="Times New Roman"/>
          <w:sz w:val="24"/>
          <w:szCs w:val="24"/>
          <w:highlight w:val="yellow"/>
        </w:rPr>
        <w:t>to</w:t>
      </w:r>
      <w:r w:rsidR="0029354B" w:rsidRPr="00111F98">
        <w:rPr>
          <w:rFonts w:ascii="Times New Roman" w:hAnsi="Times New Roman" w:cs="Times New Roman"/>
          <w:sz w:val="24"/>
          <w:szCs w:val="24"/>
          <w:highlight w:val="yellow"/>
        </w:rPr>
        <w:t xml:space="preserve"> 100.</w:t>
      </w:r>
      <w:r w:rsidR="0029354B">
        <w:rPr>
          <w:rFonts w:ascii="Times New Roman" w:hAnsi="Times New Roman" w:cs="Times New Roman"/>
          <w:sz w:val="24"/>
          <w:szCs w:val="24"/>
        </w:rPr>
        <w:t xml:space="preserve"> We want to investigate whether there is difference between infection rate of white and BAME patients, are the results in accordance with the latest BBC (UK) news or not. In order to investigate this, we will perform t-test, before proceeding to t-test, we will check the assumptions required for performing t-test.</w:t>
      </w:r>
    </w:p>
    <w:tbl>
      <w:tblPr>
        <w:tblW w:w="928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52"/>
        <w:gridCol w:w="1289"/>
        <w:gridCol w:w="1348"/>
        <w:gridCol w:w="1388"/>
        <w:gridCol w:w="1289"/>
        <w:gridCol w:w="1822"/>
      </w:tblGrid>
      <w:tr w:rsidR="00AA18A1" w14:paraId="7168F555" w14:textId="77777777">
        <w:trPr>
          <w:cantSplit/>
          <w:trHeight w:val="250"/>
          <w:jc w:val="center"/>
        </w:trPr>
        <w:tc>
          <w:tcPr>
            <w:tcW w:w="9288" w:type="dxa"/>
            <w:gridSpan w:val="6"/>
            <w:tcBorders>
              <w:top w:val="nil"/>
              <w:left w:val="nil"/>
              <w:bottom w:val="nil"/>
              <w:right w:val="nil"/>
            </w:tcBorders>
            <w:shd w:val="clear" w:color="auto" w:fill="FFFFFF"/>
          </w:tcPr>
          <w:p w14:paraId="7168F554"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b/>
                <w:bCs/>
                <w:color w:val="000000"/>
                <w:sz w:val="24"/>
                <w:szCs w:val="24"/>
              </w:rPr>
              <w:t>Table 1: Descriptive</w:t>
            </w:r>
            <w:r>
              <w:rPr>
                <w:rFonts w:ascii="Times New Roman" w:hAnsi="Times New Roman" w:cs="Times New Roman"/>
                <w:b/>
                <w:bCs/>
                <w:color w:val="FFFFFF"/>
                <w:sz w:val="2"/>
                <w:szCs w:val="24"/>
              </w:rPr>
              <w:t>.</w:t>
            </w:r>
            <w:r>
              <w:rPr>
                <w:rFonts w:ascii="Times New Roman" w:hAnsi="Times New Roman" w:cs="Times New Roman"/>
                <w:b/>
                <w:bCs/>
                <w:color w:val="000000"/>
                <w:sz w:val="24"/>
                <w:szCs w:val="24"/>
              </w:rPr>
              <w:t>Statistics</w:t>
            </w:r>
          </w:p>
        </w:tc>
      </w:tr>
      <w:tr w:rsidR="00AA18A1" w14:paraId="7168F55C" w14:textId="77777777">
        <w:trPr>
          <w:cantSplit/>
          <w:trHeight w:val="500"/>
          <w:jc w:val="center"/>
        </w:trPr>
        <w:tc>
          <w:tcPr>
            <w:tcW w:w="2152" w:type="dxa"/>
            <w:tcBorders>
              <w:top w:val="single" w:sz="16" w:space="0" w:color="000000"/>
              <w:left w:val="single" w:sz="16" w:space="0" w:color="000000"/>
              <w:bottom w:val="single" w:sz="16" w:space="0" w:color="000000"/>
              <w:right w:val="single" w:sz="16" w:space="0" w:color="000000"/>
            </w:tcBorders>
            <w:shd w:val="clear" w:color="auto" w:fill="FFFFFF"/>
          </w:tcPr>
          <w:p w14:paraId="7168F556"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1289" w:type="dxa"/>
            <w:tcBorders>
              <w:top w:val="single" w:sz="16" w:space="0" w:color="000000"/>
              <w:left w:val="single" w:sz="16" w:space="0" w:color="000000"/>
              <w:bottom w:val="single" w:sz="16" w:space="0" w:color="000000"/>
            </w:tcBorders>
            <w:shd w:val="clear" w:color="auto" w:fill="FFFFFF"/>
          </w:tcPr>
          <w:p w14:paraId="7168F557"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N</w:t>
            </w:r>
          </w:p>
        </w:tc>
        <w:tc>
          <w:tcPr>
            <w:tcW w:w="1348" w:type="dxa"/>
            <w:tcBorders>
              <w:top w:val="single" w:sz="16" w:space="0" w:color="000000"/>
              <w:bottom w:val="single" w:sz="16" w:space="0" w:color="000000"/>
            </w:tcBorders>
            <w:shd w:val="clear" w:color="auto" w:fill="FFFFFF"/>
          </w:tcPr>
          <w:p w14:paraId="7168F558"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Minimum</w:t>
            </w:r>
          </w:p>
        </w:tc>
        <w:tc>
          <w:tcPr>
            <w:tcW w:w="1388" w:type="dxa"/>
            <w:tcBorders>
              <w:top w:val="single" w:sz="16" w:space="0" w:color="000000"/>
              <w:bottom w:val="single" w:sz="16" w:space="0" w:color="000000"/>
            </w:tcBorders>
            <w:shd w:val="clear" w:color="auto" w:fill="FFFFFF"/>
          </w:tcPr>
          <w:p w14:paraId="7168F559"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Maximum</w:t>
            </w:r>
          </w:p>
        </w:tc>
        <w:tc>
          <w:tcPr>
            <w:tcW w:w="1289" w:type="dxa"/>
            <w:tcBorders>
              <w:top w:val="single" w:sz="16" w:space="0" w:color="000000"/>
              <w:bottom w:val="single" w:sz="16" w:space="0" w:color="000000"/>
            </w:tcBorders>
            <w:shd w:val="clear" w:color="auto" w:fill="FFFFFF"/>
          </w:tcPr>
          <w:p w14:paraId="7168F55A"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Mean</w:t>
            </w:r>
          </w:p>
        </w:tc>
        <w:tc>
          <w:tcPr>
            <w:tcW w:w="1819" w:type="dxa"/>
            <w:tcBorders>
              <w:top w:val="single" w:sz="16" w:space="0" w:color="000000"/>
              <w:bottom w:val="single" w:sz="16" w:space="0" w:color="000000"/>
              <w:right w:val="single" w:sz="16" w:space="0" w:color="000000"/>
            </w:tcBorders>
            <w:shd w:val="clear" w:color="auto" w:fill="FFFFFF"/>
          </w:tcPr>
          <w:p w14:paraId="7168F55B"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Std. Deviation</w:t>
            </w:r>
          </w:p>
        </w:tc>
      </w:tr>
      <w:tr w:rsidR="00AA18A1" w14:paraId="7168F563" w14:textId="77777777">
        <w:trPr>
          <w:cantSplit/>
          <w:trHeight w:val="250"/>
          <w:jc w:val="center"/>
        </w:trPr>
        <w:tc>
          <w:tcPr>
            <w:tcW w:w="2152" w:type="dxa"/>
            <w:tcBorders>
              <w:top w:val="single" w:sz="16" w:space="0" w:color="000000"/>
              <w:left w:val="single" w:sz="16" w:space="0" w:color="000000"/>
              <w:bottom w:val="nil"/>
              <w:right w:val="single" w:sz="16" w:space="0" w:color="000000"/>
            </w:tcBorders>
            <w:shd w:val="clear" w:color="auto" w:fill="FFFFFF"/>
            <w:vAlign w:val="center"/>
          </w:tcPr>
          <w:p w14:paraId="7168F55D"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White</w:t>
            </w:r>
          </w:p>
        </w:tc>
        <w:tc>
          <w:tcPr>
            <w:tcW w:w="1289" w:type="dxa"/>
            <w:tcBorders>
              <w:top w:val="single" w:sz="16" w:space="0" w:color="000000"/>
              <w:left w:val="single" w:sz="16" w:space="0" w:color="000000"/>
              <w:bottom w:val="nil"/>
            </w:tcBorders>
            <w:shd w:val="clear" w:color="auto" w:fill="FFFFFF"/>
          </w:tcPr>
          <w:p w14:paraId="7168F55E"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50</w:t>
            </w:r>
          </w:p>
        </w:tc>
        <w:tc>
          <w:tcPr>
            <w:tcW w:w="1348" w:type="dxa"/>
            <w:tcBorders>
              <w:top w:val="single" w:sz="16" w:space="0" w:color="000000"/>
              <w:bottom w:val="nil"/>
            </w:tcBorders>
            <w:shd w:val="clear" w:color="auto" w:fill="FFFFFF"/>
          </w:tcPr>
          <w:p w14:paraId="7168F55F"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13.00</w:t>
            </w:r>
          </w:p>
        </w:tc>
        <w:tc>
          <w:tcPr>
            <w:tcW w:w="1388" w:type="dxa"/>
            <w:tcBorders>
              <w:top w:val="single" w:sz="16" w:space="0" w:color="000000"/>
              <w:bottom w:val="nil"/>
            </w:tcBorders>
            <w:shd w:val="clear" w:color="auto" w:fill="FFFFFF"/>
          </w:tcPr>
          <w:p w14:paraId="7168F560"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77.00</w:t>
            </w:r>
          </w:p>
        </w:tc>
        <w:tc>
          <w:tcPr>
            <w:tcW w:w="1289" w:type="dxa"/>
            <w:tcBorders>
              <w:top w:val="single" w:sz="16" w:space="0" w:color="000000"/>
              <w:bottom w:val="nil"/>
            </w:tcBorders>
            <w:shd w:val="clear" w:color="auto" w:fill="FFFFFF"/>
          </w:tcPr>
          <w:p w14:paraId="7168F561"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36.5800</w:t>
            </w:r>
          </w:p>
        </w:tc>
        <w:tc>
          <w:tcPr>
            <w:tcW w:w="1819" w:type="dxa"/>
            <w:tcBorders>
              <w:top w:val="single" w:sz="16" w:space="0" w:color="000000"/>
              <w:bottom w:val="nil"/>
              <w:right w:val="single" w:sz="16" w:space="0" w:color="000000"/>
            </w:tcBorders>
            <w:shd w:val="clear" w:color="auto" w:fill="FFFFFF"/>
          </w:tcPr>
          <w:p w14:paraId="7168F562"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11.97973</w:t>
            </w:r>
          </w:p>
        </w:tc>
      </w:tr>
      <w:tr w:rsidR="00AA18A1" w14:paraId="7168F56A" w14:textId="77777777">
        <w:trPr>
          <w:cantSplit/>
          <w:trHeight w:val="250"/>
          <w:jc w:val="center"/>
        </w:trPr>
        <w:tc>
          <w:tcPr>
            <w:tcW w:w="2152" w:type="dxa"/>
            <w:tcBorders>
              <w:top w:val="nil"/>
              <w:left w:val="single" w:sz="16" w:space="0" w:color="000000"/>
              <w:bottom w:val="nil"/>
              <w:right w:val="single" w:sz="16" w:space="0" w:color="000000"/>
            </w:tcBorders>
            <w:shd w:val="clear" w:color="auto" w:fill="FFFFFF"/>
            <w:vAlign w:val="center"/>
          </w:tcPr>
          <w:p w14:paraId="7168F564"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BAME</w:t>
            </w:r>
          </w:p>
        </w:tc>
        <w:tc>
          <w:tcPr>
            <w:tcW w:w="1289" w:type="dxa"/>
            <w:tcBorders>
              <w:top w:val="nil"/>
              <w:left w:val="single" w:sz="16" w:space="0" w:color="000000"/>
              <w:bottom w:val="nil"/>
            </w:tcBorders>
            <w:shd w:val="clear" w:color="auto" w:fill="FFFFFF"/>
          </w:tcPr>
          <w:p w14:paraId="7168F565"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50</w:t>
            </w:r>
          </w:p>
        </w:tc>
        <w:tc>
          <w:tcPr>
            <w:tcW w:w="1348" w:type="dxa"/>
            <w:tcBorders>
              <w:top w:val="nil"/>
              <w:bottom w:val="nil"/>
            </w:tcBorders>
            <w:shd w:val="clear" w:color="auto" w:fill="FFFFFF"/>
          </w:tcPr>
          <w:p w14:paraId="7168F566"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19.00</w:t>
            </w:r>
          </w:p>
        </w:tc>
        <w:tc>
          <w:tcPr>
            <w:tcW w:w="1388" w:type="dxa"/>
            <w:tcBorders>
              <w:top w:val="nil"/>
              <w:bottom w:val="nil"/>
            </w:tcBorders>
            <w:shd w:val="clear" w:color="auto" w:fill="FFFFFF"/>
          </w:tcPr>
          <w:p w14:paraId="7168F567"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100.00</w:t>
            </w:r>
          </w:p>
        </w:tc>
        <w:tc>
          <w:tcPr>
            <w:tcW w:w="1289" w:type="dxa"/>
            <w:tcBorders>
              <w:top w:val="nil"/>
              <w:bottom w:val="nil"/>
            </w:tcBorders>
            <w:shd w:val="clear" w:color="auto" w:fill="FFFFFF"/>
          </w:tcPr>
          <w:p w14:paraId="7168F568"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60.0400</w:t>
            </w:r>
          </w:p>
        </w:tc>
        <w:tc>
          <w:tcPr>
            <w:tcW w:w="1819" w:type="dxa"/>
            <w:tcBorders>
              <w:top w:val="nil"/>
              <w:bottom w:val="nil"/>
              <w:right w:val="single" w:sz="16" w:space="0" w:color="000000"/>
            </w:tcBorders>
            <w:shd w:val="clear" w:color="auto" w:fill="FFFFFF"/>
          </w:tcPr>
          <w:p w14:paraId="7168F569"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23.39192</w:t>
            </w:r>
          </w:p>
        </w:tc>
      </w:tr>
      <w:tr w:rsidR="00AA18A1" w14:paraId="7168F571" w14:textId="77777777">
        <w:trPr>
          <w:cantSplit/>
          <w:trHeight w:val="500"/>
          <w:jc w:val="center"/>
        </w:trPr>
        <w:tc>
          <w:tcPr>
            <w:tcW w:w="2152" w:type="dxa"/>
            <w:tcBorders>
              <w:top w:val="nil"/>
              <w:left w:val="single" w:sz="16" w:space="0" w:color="000000"/>
              <w:bottom w:val="single" w:sz="16" w:space="0" w:color="000000"/>
              <w:right w:val="single" w:sz="16" w:space="0" w:color="000000"/>
            </w:tcBorders>
            <w:shd w:val="clear" w:color="auto" w:fill="FFFFFF"/>
            <w:vAlign w:val="center"/>
          </w:tcPr>
          <w:p w14:paraId="7168F56B"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Valid N </w:t>
            </w:r>
          </w:p>
        </w:tc>
        <w:tc>
          <w:tcPr>
            <w:tcW w:w="1289" w:type="dxa"/>
            <w:tcBorders>
              <w:top w:val="nil"/>
              <w:left w:val="single" w:sz="16" w:space="0" w:color="000000"/>
              <w:bottom w:val="single" w:sz="16" w:space="0" w:color="000000"/>
            </w:tcBorders>
            <w:shd w:val="clear" w:color="auto" w:fill="FFFFFF"/>
          </w:tcPr>
          <w:p w14:paraId="7168F56C"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50</w:t>
            </w:r>
          </w:p>
        </w:tc>
        <w:tc>
          <w:tcPr>
            <w:tcW w:w="1348" w:type="dxa"/>
            <w:tcBorders>
              <w:top w:val="nil"/>
              <w:bottom w:val="single" w:sz="16" w:space="0" w:color="000000"/>
            </w:tcBorders>
            <w:shd w:val="clear" w:color="auto" w:fill="FFFFFF"/>
          </w:tcPr>
          <w:p w14:paraId="7168F56D"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1388" w:type="dxa"/>
            <w:tcBorders>
              <w:top w:val="nil"/>
              <w:bottom w:val="single" w:sz="16" w:space="0" w:color="000000"/>
            </w:tcBorders>
            <w:shd w:val="clear" w:color="auto" w:fill="FFFFFF"/>
          </w:tcPr>
          <w:p w14:paraId="7168F56E"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1289" w:type="dxa"/>
            <w:tcBorders>
              <w:top w:val="nil"/>
              <w:bottom w:val="single" w:sz="16" w:space="0" w:color="000000"/>
            </w:tcBorders>
            <w:shd w:val="clear" w:color="auto" w:fill="FFFFFF"/>
          </w:tcPr>
          <w:p w14:paraId="7168F56F"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1819" w:type="dxa"/>
            <w:tcBorders>
              <w:top w:val="nil"/>
              <w:bottom w:val="single" w:sz="16" w:space="0" w:color="000000"/>
              <w:right w:val="single" w:sz="16" w:space="0" w:color="000000"/>
            </w:tcBorders>
            <w:shd w:val="clear" w:color="auto" w:fill="FFFFFF"/>
          </w:tcPr>
          <w:p w14:paraId="7168F570"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r>
    </w:tbl>
    <w:p w14:paraId="7168F572"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p w14:paraId="7168F573"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Table 1 provides us with descriptive statistics of the data set, descriptive statistics has been widely used for exploring the basic information about the data, it can be clearly seen that the minimum infection rate in White patient is 13 while the maximum infection rate in white patients is 77 having a mean of 36.58 and standard deviation of 11.97. While on the other hand, minimum infection rate in BAME is 19 while the maximum infection rate in BAME is 100 having a mean of 60.04 and standard deviation of 23.39.</w:t>
      </w:r>
    </w:p>
    <w:p w14:paraId="7168F574"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p w14:paraId="7168F575" w14:textId="77777777" w:rsidR="00AA18A1" w:rsidRDefault="0029354B" w:rsidP="005F4422">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Figure 1: Histogram of white patients</w:t>
      </w:r>
    </w:p>
    <w:p w14:paraId="7168F576"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bidi="bn-IN"/>
        </w:rPr>
        <w:lastRenderedPageBreak/>
        <w:drawing>
          <wp:inline distT="0" distB="0" distL="0" distR="0" wp14:anchorId="7168F5E3" wp14:editId="7168F5E4">
            <wp:extent cx="4222002" cy="3376246"/>
            <wp:effectExtent l="0" t="0" r="7620" b="0"/>
            <wp:docPr id="1026"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6" cstate="print"/>
                    <a:srcRect/>
                    <a:stretch/>
                  </pic:blipFill>
                  <pic:spPr>
                    <a:xfrm>
                      <a:off x="0" y="0"/>
                      <a:ext cx="4222002" cy="3376246"/>
                    </a:xfrm>
                    <a:prstGeom prst="rect">
                      <a:avLst/>
                    </a:prstGeom>
                    <a:ln>
                      <a:noFill/>
                    </a:ln>
                  </pic:spPr>
                </pic:pic>
              </a:graphicData>
            </a:graphic>
          </wp:inline>
        </w:drawing>
      </w:r>
    </w:p>
    <w:p w14:paraId="7168F577"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Histogram gives us graphical depiction of the data, it has also been widely used for checking the normality. The histogram of infection rate in white patients is given in figure 1, it can been seen that data of white patients is approximately normally distributed with the presence of an outlier.</w:t>
      </w:r>
    </w:p>
    <w:p w14:paraId="7168F578" w14:textId="77777777" w:rsidR="00AA18A1" w:rsidRDefault="0029354B" w:rsidP="005F4422">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Figure 2: Histogram of BAME</w:t>
      </w:r>
    </w:p>
    <w:p w14:paraId="7168F579"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14:anchorId="7168F5E5" wp14:editId="7168F5E6">
            <wp:extent cx="4267200" cy="3412391"/>
            <wp:effectExtent l="0" t="0" r="0" b="0"/>
            <wp:docPr id="102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7" cstate="print"/>
                    <a:srcRect/>
                    <a:stretch/>
                  </pic:blipFill>
                  <pic:spPr>
                    <a:xfrm>
                      <a:off x="0" y="0"/>
                      <a:ext cx="4267200" cy="3412391"/>
                    </a:xfrm>
                    <a:prstGeom prst="rect">
                      <a:avLst/>
                    </a:prstGeom>
                    <a:ln>
                      <a:noFill/>
                    </a:ln>
                  </pic:spPr>
                </pic:pic>
              </a:graphicData>
            </a:graphic>
          </wp:inline>
        </w:drawing>
      </w:r>
    </w:p>
    <w:p w14:paraId="7168F57A"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histogram of infection rate in BAME is given in figure 2, it can been seen that data of BAME is skewed, but according to the central limit theorem, the data can be considered as normal if the sample size is greater than 30, since our sample size is 50, so we may assume that our that is normally distributed, thus fulfilling the assumption of normality.</w:t>
      </w:r>
    </w:p>
    <w:p w14:paraId="7168F57B"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p w14:paraId="7168F57C" w14:textId="77777777" w:rsidR="00AA18A1" w:rsidRDefault="0029354B" w:rsidP="005F4422">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Figure 3: Box plot of white patients</w:t>
      </w:r>
    </w:p>
    <w:p w14:paraId="7168F57D"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14:anchorId="7168F5E7" wp14:editId="7168F5E8">
            <wp:extent cx="3915508" cy="3131151"/>
            <wp:effectExtent l="0" t="0" r="0" b="0"/>
            <wp:docPr id="102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srcRect/>
                    <a:stretch/>
                  </pic:blipFill>
                  <pic:spPr>
                    <a:xfrm>
                      <a:off x="0" y="0"/>
                      <a:ext cx="3915508" cy="3131151"/>
                    </a:xfrm>
                    <a:prstGeom prst="rect">
                      <a:avLst/>
                    </a:prstGeom>
                    <a:ln>
                      <a:noFill/>
                    </a:ln>
                  </pic:spPr>
                </pic:pic>
              </a:graphicData>
            </a:graphic>
          </wp:inline>
        </w:drawing>
      </w:r>
    </w:p>
    <w:p w14:paraId="7168F57E"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p w14:paraId="7168F57F" w14:textId="77777777" w:rsidR="00AA18A1" w:rsidRDefault="0029354B" w:rsidP="005F4422">
      <w:pPr>
        <w:spacing w:line="360" w:lineRule="auto"/>
        <w:jc w:val="both"/>
        <w:rPr>
          <w:rFonts w:ascii="Times New Roman" w:hAnsi="Times New Roman" w:cs="Times New Roman"/>
          <w:sz w:val="24"/>
          <w:szCs w:val="24"/>
        </w:rPr>
      </w:pPr>
      <w:r>
        <w:rPr>
          <w:rFonts w:ascii="Times New Roman" w:hAnsi="Times New Roman" w:cs="Times New Roman"/>
          <w:sz w:val="24"/>
          <w:szCs w:val="24"/>
        </w:rPr>
        <w:t>Box plot provides with five number summary of data and also indicates the presence of outlier, if any. It has been widely used in exploratory data analysis. The box plot of infection rate of white patients is given in figure 3I it can be clearly seen that the minimum infection rate in White patient is 13 while the maximum infection rate in white patients is 77, the value of first quartile is 27.75 and value of third quartile is 44, having a mean of 36.58. Box plot of white patients is also giving an indication of the outlier, an outlier is being present is the data of white patients.</w:t>
      </w:r>
    </w:p>
    <w:p w14:paraId="7168F580" w14:textId="77777777" w:rsidR="00AA18A1" w:rsidRDefault="00AA18A1" w:rsidP="005F4422">
      <w:pPr>
        <w:spacing w:line="360" w:lineRule="auto"/>
        <w:jc w:val="both"/>
        <w:rPr>
          <w:rFonts w:ascii="Times New Roman" w:hAnsi="Times New Roman" w:cs="Times New Roman"/>
          <w:sz w:val="24"/>
          <w:szCs w:val="24"/>
        </w:rPr>
      </w:pPr>
    </w:p>
    <w:p w14:paraId="7168F581" w14:textId="77777777" w:rsidR="00AA18A1" w:rsidRDefault="00AA18A1" w:rsidP="005F4422">
      <w:pPr>
        <w:spacing w:line="360" w:lineRule="auto"/>
        <w:jc w:val="both"/>
        <w:rPr>
          <w:rFonts w:ascii="Times New Roman" w:hAnsi="Times New Roman" w:cs="Times New Roman"/>
          <w:sz w:val="24"/>
          <w:szCs w:val="24"/>
        </w:rPr>
      </w:pPr>
    </w:p>
    <w:p w14:paraId="7168F582" w14:textId="77777777" w:rsidR="00AA18A1" w:rsidRDefault="00AA18A1" w:rsidP="005F4422">
      <w:pPr>
        <w:spacing w:line="360" w:lineRule="auto"/>
        <w:jc w:val="both"/>
        <w:rPr>
          <w:rFonts w:ascii="Times New Roman" w:hAnsi="Times New Roman" w:cs="Times New Roman"/>
          <w:sz w:val="24"/>
          <w:szCs w:val="24"/>
        </w:rPr>
      </w:pPr>
    </w:p>
    <w:p w14:paraId="7168F583" w14:textId="77777777" w:rsidR="00AA18A1" w:rsidRDefault="00AA18A1" w:rsidP="005F4422">
      <w:pPr>
        <w:spacing w:line="360" w:lineRule="auto"/>
        <w:jc w:val="both"/>
        <w:rPr>
          <w:rFonts w:ascii="Times New Roman" w:hAnsi="Times New Roman" w:cs="Times New Roman"/>
          <w:sz w:val="24"/>
          <w:szCs w:val="24"/>
        </w:rPr>
      </w:pPr>
    </w:p>
    <w:p w14:paraId="7168F584" w14:textId="77777777" w:rsidR="00AA18A1" w:rsidRDefault="0029354B" w:rsidP="005F4422">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Figure 4: Box plot of BAME</w:t>
      </w:r>
    </w:p>
    <w:p w14:paraId="7168F585"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p w14:paraId="7168F586"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14:anchorId="7168F5E9" wp14:editId="7168F5EA">
            <wp:extent cx="3423138" cy="2737413"/>
            <wp:effectExtent l="0" t="0" r="6350" b="6350"/>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9" cstate="print"/>
                    <a:srcRect/>
                    <a:stretch/>
                  </pic:blipFill>
                  <pic:spPr>
                    <a:xfrm>
                      <a:off x="0" y="0"/>
                      <a:ext cx="3423138" cy="2737413"/>
                    </a:xfrm>
                    <a:prstGeom prst="rect">
                      <a:avLst/>
                    </a:prstGeom>
                    <a:ln>
                      <a:noFill/>
                    </a:ln>
                  </pic:spPr>
                </pic:pic>
              </a:graphicData>
            </a:graphic>
          </wp:inline>
        </w:drawing>
      </w:r>
    </w:p>
    <w:p w14:paraId="7168F587" w14:textId="77777777" w:rsidR="00AA18A1" w:rsidRDefault="0029354B" w:rsidP="005F4422">
      <w:pPr>
        <w:spacing w:line="360" w:lineRule="auto"/>
        <w:jc w:val="both"/>
        <w:rPr>
          <w:rFonts w:ascii="Times New Roman" w:hAnsi="Times New Roman" w:cs="Times New Roman"/>
          <w:sz w:val="24"/>
          <w:szCs w:val="24"/>
        </w:rPr>
      </w:pPr>
      <w:r>
        <w:rPr>
          <w:rFonts w:ascii="Times New Roman" w:hAnsi="Times New Roman" w:cs="Times New Roman"/>
          <w:sz w:val="24"/>
          <w:szCs w:val="24"/>
        </w:rPr>
        <w:t>Boxplot of infection rate of BAME which is given in figure 4 shows that minimum infection rate in BAME is 19 while the maximum infection rate in BAME is 100, the value of first quartile is 42.25 and value of third quartile is 80, having a mean of 60.04.</w:t>
      </w:r>
    </w:p>
    <w:p w14:paraId="7168F588" w14:textId="77777777" w:rsidR="00AA18A1" w:rsidRDefault="0029354B" w:rsidP="005F4422">
      <w:pPr>
        <w:spacing w:line="360" w:lineRule="auto"/>
        <w:jc w:val="both"/>
        <w:rPr>
          <w:rFonts w:ascii="Times New Roman" w:hAnsi="Times New Roman" w:cs="Times New Roman"/>
          <w:b/>
          <w:sz w:val="24"/>
          <w:szCs w:val="24"/>
        </w:rPr>
      </w:pPr>
      <w:r>
        <w:rPr>
          <w:rFonts w:ascii="Times New Roman" w:hAnsi="Times New Roman" w:cs="Times New Roman"/>
          <w:b/>
          <w:sz w:val="24"/>
          <w:szCs w:val="24"/>
        </w:rPr>
        <w:t>Figure 5: Normal Q-Q plot of White</w:t>
      </w:r>
    </w:p>
    <w:p w14:paraId="7168F589" w14:textId="77777777" w:rsidR="00AA18A1" w:rsidRDefault="0029354B" w:rsidP="005F4422">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14:anchorId="7168F5EB" wp14:editId="7168F5EC">
            <wp:extent cx="3235569" cy="2587416"/>
            <wp:effectExtent l="0" t="0" r="3175" b="3810"/>
            <wp:docPr id="1030"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10" cstate="print"/>
                    <a:srcRect/>
                    <a:stretch/>
                  </pic:blipFill>
                  <pic:spPr>
                    <a:xfrm>
                      <a:off x="0" y="0"/>
                      <a:ext cx="3235569" cy="2587416"/>
                    </a:xfrm>
                    <a:prstGeom prst="rect">
                      <a:avLst/>
                    </a:prstGeom>
                    <a:ln>
                      <a:noFill/>
                    </a:ln>
                  </pic:spPr>
                </pic:pic>
              </a:graphicData>
            </a:graphic>
          </wp:inline>
        </w:drawing>
      </w:r>
    </w:p>
    <w:p w14:paraId="7168F58A" w14:textId="77777777" w:rsidR="00AA18A1" w:rsidRDefault="0029354B" w:rsidP="005F4422">
      <w:pPr>
        <w:spacing w:line="360" w:lineRule="auto"/>
        <w:jc w:val="both"/>
        <w:rPr>
          <w:rFonts w:ascii="Times New Roman" w:hAnsi="Times New Roman" w:cs="Times New Roman"/>
          <w:sz w:val="24"/>
          <w:szCs w:val="24"/>
        </w:rPr>
      </w:pPr>
      <w:r>
        <w:rPr>
          <w:rFonts w:ascii="Times New Roman" w:hAnsi="Times New Roman" w:cs="Times New Roman"/>
          <w:sz w:val="24"/>
          <w:szCs w:val="24"/>
        </w:rPr>
        <w:t>Normal Q-Q plot of infection rate of White patients has been displayed in figure 5, showing that the data is following normal distribution, as all the points are alongside the line, and the plot also indicated the presence of an outlier in the White patient’s data.</w:t>
      </w:r>
    </w:p>
    <w:p w14:paraId="7168F58B" w14:textId="77777777" w:rsidR="00AA18A1" w:rsidRDefault="0029354B" w:rsidP="005F4422">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Figure 6: Normal Q-Q plot of BAME</w:t>
      </w:r>
    </w:p>
    <w:p w14:paraId="7168F58C" w14:textId="77777777" w:rsidR="00AA18A1" w:rsidRDefault="0029354B" w:rsidP="005F4422">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noProof/>
          <w:sz w:val="24"/>
          <w:szCs w:val="24"/>
          <w:lang w:bidi="bn-IN"/>
        </w:rPr>
        <w:drawing>
          <wp:inline distT="0" distB="0" distL="0" distR="0" wp14:anchorId="7168F5ED" wp14:editId="7168F5EE">
            <wp:extent cx="3634153" cy="2906158"/>
            <wp:effectExtent l="0" t="0" r="4445" b="8890"/>
            <wp:docPr id="1031"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11" cstate="print"/>
                    <a:srcRect/>
                    <a:stretch/>
                  </pic:blipFill>
                  <pic:spPr>
                    <a:xfrm>
                      <a:off x="0" y="0"/>
                      <a:ext cx="3634153" cy="2906158"/>
                    </a:xfrm>
                    <a:prstGeom prst="rect">
                      <a:avLst/>
                    </a:prstGeom>
                    <a:ln>
                      <a:noFill/>
                    </a:ln>
                  </pic:spPr>
                </pic:pic>
              </a:graphicData>
            </a:graphic>
          </wp:inline>
        </w:drawing>
      </w:r>
    </w:p>
    <w:p w14:paraId="7168F58D" w14:textId="77777777" w:rsidR="00AA18A1" w:rsidRDefault="0029354B" w:rsidP="005F44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Normal Q-Q plot of infection rate of BAME has been displayed in figure 6, </w:t>
      </w:r>
      <w:r>
        <w:rPr>
          <w:rFonts w:ascii="Times New Roman" w:hAnsi="Times New Roman" w:cs="Times New Roman"/>
          <w:color w:val="202124"/>
          <w:sz w:val="24"/>
          <w:szCs w:val="24"/>
          <w:shd w:val="clear" w:color="auto" w:fill="FFFFFF"/>
        </w:rPr>
        <w:t>points on the Normal Q-Q plot </w:t>
      </w:r>
      <w:r>
        <w:rPr>
          <w:rFonts w:ascii="Times New Roman" w:hAnsi="Times New Roman" w:cs="Times New Roman"/>
          <w:bCs/>
          <w:color w:val="202124"/>
          <w:sz w:val="24"/>
          <w:szCs w:val="24"/>
          <w:shd w:val="clear" w:color="auto" w:fill="FFFFFF"/>
        </w:rPr>
        <w:t xml:space="preserve">gives an illustration of normality, above plot is </w:t>
      </w:r>
      <w:r>
        <w:rPr>
          <w:rFonts w:ascii="Times New Roman" w:hAnsi="Times New Roman" w:cs="Times New Roman"/>
          <w:sz w:val="24"/>
          <w:szCs w:val="24"/>
        </w:rPr>
        <w:t>showing that the data is not following normal distribution, as all the points are not alongside the line, they are deviating.</w:t>
      </w:r>
    </w:p>
    <w:p w14:paraId="7168F58E" w14:textId="77777777" w:rsidR="00AA18A1" w:rsidRDefault="0029354B" w:rsidP="005F4422">
      <w:pPr>
        <w:pStyle w:val="Heading2"/>
        <w:jc w:val="both"/>
      </w:pPr>
      <w:bookmarkStart w:id="1" w:name="_Toc78826899"/>
      <w:r>
        <w:t>T-test:</w:t>
      </w:r>
      <w:bookmarkEnd w:id="1"/>
    </w:p>
    <w:p w14:paraId="7168F58F"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sidRPr="00111F98">
        <w:rPr>
          <w:rFonts w:ascii="Times New Roman" w:hAnsi="Times New Roman" w:cs="Times New Roman"/>
          <w:sz w:val="24"/>
          <w:szCs w:val="24"/>
          <w:highlight w:val="yellow"/>
        </w:rPr>
        <w:t>A t-test is such an</w:t>
      </w:r>
      <w:r w:rsidR="00111F98" w:rsidRPr="00111F98">
        <w:rPr>
          <w:rFonts w:ascii="Times New Roman" w:hAnsi="Times New Roman" w:cs="Times New Roman"/>
          <w:sz w:val="24"/>
          <w:szCs w:val="24"/>
          <w:highlight w:val="yellow"/>
        </w:rPr>
        <w:t xml:space="preserve"> application of</w:t>
      </w:r>
      <w:r w:rsidRPr="00111F98">
        <w:rPr>
          <w:rFonts w:ascii="Times New Roman" w:hAnsi="Times New Roman" w:cs="Times New Roman"/>
          <w:sz w:val="24"/>
          <w:szCs w:val="24"/>
          <w:highlight w:val="yellow"/>
        </w:rPr>
        <w:t xml:space="preserve"> inferential statistic </w:t>
      </w:r>
      <w:r w:rsidR="00111F98" w:rsidRPr="00111F98">
        <w:rPr>
          <w:rFonts w:ascii="Times New Roman" w:hAnsi="Times New Roman" w:cs="Times New Roman"/>
          <w:sz w:val="24"/>
          <w:szCs w:val="24"/>
          <w:highlight w:val="yellow"/>
        </w:rPr>
        <w:t xml:space="preserve">which is useful </w:t>
      </w:r>
      <w:r w:rsidRPr="00111F98">
        <w:rPr>
          <w:rFonts w:ascii="Times New Roman" w:hAnsi="Times New Roman" w:cs="Times New Roman"/>
          <w:sz w:val="24"/>
          <w:szCs w:val="24"/>
          <w:highlight w:val="yellow"/>
        </w:rPr>
        <w:t>w</w:t>
      </w:r>
      <w:r w:rsidR="00111F98" w:rsidRPr="00111F98">
        <w:rPr>
          <w:rFonts w:ascii="Times New Roman" w:hAnsi="Times New Roman" w:cs="Times New Roman"/>
          <w:sz w:val="24"/>
          <w:szCs w:val="24"/>
          <w:highlight w:val="yellow"/>
        </w:rPr>
        <w:t>and</w:t>
      </w:r>
      <w:r w:rsidRPr="00111F98">
        <w:rPr>
          <w:rFonts w:ascii="Times New Roman" w:hAnsi="Times New Roman" w:cs="Times New Roman"/>
          <w:sz w:val="24"/>
          <w:szCs w:val="24"/>
          <w:highlight w:val="yellow"/>
        </w:rPr>
        <w:t xml:space="preserve"> there is a significant difference </w:t>
      </w:r>
      <w:r w:rsidR="00111F98" w:rsidRPr="00111F98">
        <w:rPr>
          <w:rFonts w:ascii="Times New Roman" w:hAnsi="Times New Roman" w:cs="Times New Roman"/>
          <w:sz w:val="24"/>
          <w:szCs w:val="24"/>
          <w:highlight w:val="yellow"/>
        </w:rPr>
        <w:t>between the two</w:t>
      </w:r>
      <w:r w:rsidRPr="00111F98">
        <w:rPr>
          <w:rFonts w:ascii="Times New Roman" w:hAnsi="Times New Roman" w:cs="Times New Roman"/>
          <w:sz w:val="24"/>
          <w:szCs w:val="24"/>
          <w:highlight w:val="yellow"/>
        </w:rPr>
        <w:t xml:space="preserve"> two groups that are </w:t>
      </w:r>
      <w:r w:rsidR="00111F98" w:rsidRPr="00111F98">
        <w:rPr>
          <w:rFonts w:ascii="Times New Roman" w:hAnsi="Times New Roman" w:cs="Times New Roman"/>
          <w:sz w:val="24"/>
          <w:szCs w:val="24"/>
          <w:highlight w:val="yellow"/>
        </w:rPr>
        <w:t>interrelated to each other.</w:t>
      </w:r>
      <w:r w:rsidR="00A41474">
        <w:rPr>
          <w:rFonts w:ascii="Times New Roman" w:hAnsi="Times New Roman" w:cs="Times New Roman"/>
          <w:sz w:val="24"/>
          <w:szCs w:val="24"/>
        </w:rPr>
        <w:t xml:space="preserve"> As per </w:t>
      </w:r>
      <w:r w:rsidR="00A41474">
        <w:rPr>
          <w:rFonts w:ascii="Arial" w:hAnsi="Arial" w:cs="Arial"/>
          <w:color w:val="000000"/>
          <w:sz w:val="18"/>
          <w:szCs w:val="18"/>
          <w:shd w:val="clear" w:color="auto" w:fill="FFFFFF"/>
        </w:rPr>
        <w:t xml:space="preserve">(Kim, 2015), </w:t>
      </w:r>
      <w:r>
        <w:rPr>
          <w:rFonts w:ascii="Times New Roman" w:hAnsi="Times New Roman" w:cs="Times New Roman"/>
          <w:sz w:val="24"/>
          <w:szCs w:val="24"/>
        </w:rPr>
        <w:t>A t-test, in general, enables us to compare the average values of two data sets to see if they come from the same population. T-test assumes that data should come from randomly selected sample and following normal distribution, also it assumes equal variances in both the groups i.e. white patients and BAME. There are different kinds of t-test that can be used in different situations</w:t>
      </w:r>
      <w:r w:rsidR="00867721">
        <w:rPr>
          <w:rFonts w:ascii="Times New Roman" w:hAnsi="Times New Roman" w:cs="Times New Roman"/>
          <w:sz w:val="24"/>
          <w:szCs w:val="24"/>
        </w:rPr>
        <w:t xml:space="preserve">, </w:t>
      </w:r>
      <w:r w:rsidR="00867721">
        <w:rPr>
          <w:rFonts w:ascii="Arial" w:hAnsi="Arial" w:cs="Arial"/>
          <w:color w:val="000000"/>
          <w:sz w:val="18"/>
          <w:szCs w:val="18"/>
          <w:shd w:val="clear" w:color="auto" w:fill="FFFFFF"/>
        </w:rPr>
        <w:t>(Livingston, 2004)</w:t>
      </w:r>
      <w:r>
        <w:rPr>
          <w:rFonts w:ascii="Times New Roman" w:hAnsi="Times New Roman" w:cs="Times New Roman"/>
          <w:sz w:val="24"/>
          <w:szCs w:val="24"/>
        </w:rPr>
        <w:t xml:space="preserve">. For evaluating whether there is </w:t>
      </w:r>
      <w:r w:rsidR="00111F98">
        <w:rPr>
          <w:rFonts w:ascii="Times New Roman" w:hAnsi="Times New Roman" w:cs="Times New Roman"/>
          <w:sz w:val="24"/>
          <w:szCs w:val="24"/>
        </w:rPr>
        <w:t>variance among the</w:t>
      </w:r>
      <w:r>
        <w:rPr>
          <w:rFonts w:ascii="Times New Roman" w:hAnsi="Times New Roman" w:cs="Times New Roman"/>
          <w:sz w:val="24"/>
          <w:szCs w:val="24"/>
        </w:rPr>
        <w:t xml:space="preserve"> infection rate of Covid’19 in </w:t>
      </w:r>
      <w:r w:rsidR="00111F98">
        <w:rPr>
          <w:rFonts w:ascii="Times New Roman" w:hAnsi="Times New Roman" w:cs="Times New Roman"/>
          <w:sz w:val="24"/>
          <w:szCs w:val="24"/>
        </w:rPr>
        <w:t>“</w:t>
      </w:r>
      <w:r>
        <w:rPr>
          <w:rFonts w:ascii="Times New Roman" w:hAnsi="Times New Roman" w:cs="Times New Roman"/>
          <w:sz w:val="24"/>
          <w:szCs w:val="24"/>
        </w:rPr>
        <w:t>white and BAME</w:t>
      </w:r>
      <w:r w:rsidR="00111F98">
        <w:rPr>
          <w:rFonts w:ascii="Times New Roman" w:hAnsi="Times New Roman" w:cs="Times New Roman"/>
          <w:sz w:val="24"/>
          <w:szCs w:val="24"/>
        </w:rPr>
        <w:t>”</w:t>
      </w:r>
      <w:r>
        <w:rPr>
          <w:rFonts w:ascii="Times New Roman" w:hAnsi="Times New Roman" w:cs="Times New Roman"/>
          <w:sz w:val="24"/>
          <w:szCs w:val="24"/>
        </w:rPr>
        <w:t xml:space="preserve"> patients in United Kingdom, here we will use independent sample t-test.</w:t>
      </w:r>
    </w:p>
    <w:p w14:paraId="7168F590" w14:textId="77777777" w:rsidR="00AA18A1" w:rsidRDefault="0029354B" w:rsidP="005F4422">
      <w:pPr>
        <w:pStyle w:val="Heading2"/>
        <w:jc w:val="both"/>
      </w:pPr>
      <w:bookmarkStart w:id="2" w:name="_Toc78826900"/>
      <w:r>
        <w:t>Null Hypothesis:</w:t>
      </w:r>
      <w:bookmarkEnd w:id="2"/>
    </w:p>
    <w:p w14:paraId="7168F591"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sidRPr="00111F98">
        <w:rPr>
          <w:rFonts w:ascii="Times New Roman" w:hAnsi="Times New Roman" w:cs="Times New Roman"/>
          <w:sz w:val="24"/>
          <w:szCs w:val="24"/>
          <w:highlight w:val="yellow"/>
        </w:rPr>
        <w:t xml:space="preserve">There is no difference between </w:t>
      </w:r>
      <w:r w:rsidR="00111F98" w:rsidRPr="00111F98">
        <w:rPr>
          <w:rFonts w:ascii="Times New Roman" w:hAnsi="Times New Roman" w:cs="Times New Roman"/>
          <w:sz w:val="24"/>
          <w:szCs w:val="24"/>
          <w:highlight w:val="yellow"/>
        </w:rPr>
        <w:t>the rate of infection of</w:t>
      </w:r>
      <w:r w:rsidRPr="00111F98">
        <w:rPr>
          <w:rFonts w:ascii="Times New Roman" w:hAnsi="Times New Roman" w:cs="Times New Roman"/>
          <w:sz w:val="24"/>
          <w:szCs w:val="24"/>
          <w:highlight w:val="yellow"/>
        </w:rPr>
        <w:t xml:space="preserve"> White patients and BAME</w:t>
      </w:r>
    </w:p>
    <w:p w14:paraId="7168F592"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“or”</w:t>
      </w:r>
    </w:p>
    <w:p w14:paraId="7168F593" w14:textId="77777777" w:rsidR="00AA18A1" w:rsidRDefault="002130E5" w:rsidP="005F4422">
      <w:pPr>
        <w:autoSpaceDE w:val="0"/>
        <w:autoSpaceDN w:val="0"/>
        <w:adjustRightInd w:val="0"/>
        <w:spacing w:after="0" w:line="360" w:lineRule="auto"/>
        <w:jc w:val="both"/>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μ</m:t>
              </m:r>
            </m:e>
            <m:sub>
              <m:r>
                <w:rPr>
                  <w:rFonts w:ascii="Cambria Math" w:hAnsi="Cambria Math" w:cs="Times New Roman"/>
                  <w:sz w:val="24"/>
                  <w:szCs w:val="24"/>
                </w:rPr>
                <m:t>white</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μ</m:t>
              </m:r>
            </m:e>
            <m:sub>
              <m:r>
                <w:rPr>
                  <w:rFonts w:ascii="Cambria Math" w:hAnsi="Cambria Math" w:cs="Times New Roman"/>
                  <w:sz w:val="24"/>
                  <w:szCs w:val="24"/>
                </w:rPr>
                <m:t>BAME</m:t>
              </m:r>
            </m:sub>
          </m:sSub>
        </m:oMath>
      </m:oMathPara>
    </w:p>
    <w:p w14:paraId="7168F594" w14:textId="77777777" w:rsidR="00AA18A1" w:rsidRDefault="0029354B" w:rsidP="005F4422">
      <w:pPr>
        <w:pStyle w:val="Heading2"/>
        <w:jc w:val="both"/>
      </w:pPr>
      <w:bookmarkStart w:id="3" w:name="_Toc78826901"/>
      <w:r>
        <w:t>Alternative Hypothesis:</w:t>
      </w:r>
      <w:bookmarkEnd w:id="3"/>
    </w:p>
    <w:p w14:paraId="7168F595"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sidRPr="00111F98">
        <w:rPr>
          <w:rFonts w:ascii="Times New Roman" w:hAnsi="Times New Roman" w:cs="Times New Roman"/>
          <w:sz w:val="24"/>
          <w:szCs w:val="24"/>
          <w:highlight w:val="yellow"/>
        </w:rPr>
        <w:t xml:space="preserve">There is </w:t>
      </w:r>
      <w:r w:rsidR="00111F98" w:rsidRPr="00111F98">
        <w:rPr>
          <w:rFonts w:ascii="Times New Roman" w:hAnsi="Times New Roman" w:cs="Times New Roman"/>
          <w:sz w:val="24"/>
          <w:szCs w:val="24"/>
          <w:highlight w:val="yellow"/>
        </w:rPr>
        <w:t>variance</w:t>
      </w:r>
      <w:r w:rsidRPr="00111F98">
        <w:rPr>
          <w:rFonts w:ascii="Times New Roman" w:hAnsi="Times New Roman" w:cs="Times New Roman"/>
          <w:sz w:val="24"/>
          <w:szCs w:val="24"/>
          <w:highlight w:val="yellow"/>
        </w:rPr>
        <w:t xml:space="preserve"> between the </w:t>
      </w:r>
      <w:r w:rsidR="00111F98" w:rsidRPr="00111F98">
        <w:rPr>
          <w:rFonts w:ascii="Times New Roman" w:hAnsi="Times New Roman" w:cs="Times New Roman"/>
          <w:sz w:val="24"/>
          <w:szCs w:val="24"/>
          <w:highlight w:val="yellow"/>
        </w:rPr>
        <w:t xml:space="preserve">rate of infection of </w:t>
      </w:r>
      <w:r w:rsidRPr="00111F98">
        <w:rPr>
          <w:rFonts w:ascii="Times New Roman" w:hAnsi="Times New Roman" w:cs="Times New Roman"/>
          <w:sz w:val="24"/>
          <w:szCs w:val="24"/>
          <w:highlight w:val="yellow"/>
        </w:rPr>
        <w:t>White patients and BAME</w:t>
      </w:r>
    </w:p>
    <w:p w14:paraId="7168F596"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“or”</w:t>
      </w:r>
    </w:p>
    <w:p w14:paraId="7168F597" w14:textId="77777777" w:rsidR="00AA18A1" w:rsidRDefault="002130E5" w:rsidP="005F4422">
      <w:pPr>
        <w:autoSpaceDE w:val="0"/>
        <w:autoSpaceDN w:val="0"/>
        <w:adjustRightInd w:val="0"/>
        <w:spacing w:after="0" w:line="360" w:lineRule="auto"/>
        <w:jc w:val="both"/>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μ</m:t>
              </m:r>
            </m:e>
            <m:sub>
              <m:r>
                <w:rPr>
                  <w:rFonts w:ascii="Cambria Math" w:hAnsi="Cambria Math" w:cs="Times New Roman"/>
                  <w:sz w:val="24"/>
                  <w:szCs w:val="24"/>
                </w:rPr>
                <m:t>white</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μ</m:t>
              </m:r>
            </m:e>
            <m:sub>
              <m:r>
                <w:rPr>
                  <w:rFonts w:ascii="Cambria Math" w:hAnsi="Cambria Math" w:cs="Times New Roman"/>
                  <w:sz w:val="24"/>
                  <w:szCs w:val="24"/>
                </w:rPr>
                <m:t>BAME</m:t>
              </m:r>
            </m:sub>
          </m:sSub>
        </m:oMath>
      </m:oMathPara>
    </w:p>
    <w:p w14:paraId="7168F598"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Here, </w:t>
      </w:r>
      <m:oMath>
        <m:sSub>
          <m:sSubPr>
            <m:ctrlPr>
              <w:rPr>
                <w:rFonts w:ascii="Cambria Math" w:hAnsi="Cambria Math" w:cs="Times New Roman"/>
                <w:i/>
                <w:sz w:val="24"/>
                <w:szCs w:val="24"/>
              </w:rPr>
            </m:ctrlPr>
          </m:sSubPr>
          <m:e>
            <m:r>
              <w:rPr>
                <w:rFonts w:ascii="Cambria Math" w:hAnsi="Cambria Math" w:cs="Times New Roman"/>
                <w:sz w:val="24"/>
                <w:szCs w:val="24"/>
              </w:rPr>
              <m:t>μ</m:t>
            </m:r>
          </m:e>
          <m:sub>
            <m:r>
              <w:rPr>
                <w:rFonts w:ascii="Cambria Math" w:hAnsi="Cambria Math" w:cs="Times New Roman"/>
                <w:sz w:val="24"/>
                <w:szCs w:val="24"/>
              </w:rPr>
              <m:t>white</m:t>
            </m:r>
          </m:sub>
        </m:sSub>
      </m:oMath>
      <w:r>
        <w:rPr>
          <w:rFonts w:ascii="Times New Roman" w:eastAsia="SimSun" w:hAnsi="Times New Roman" w:cs="Times New Roman"/>
          <w:sz w:val="24"/>
          <w:szCs w:val="24"/>
        </w:rPr>
        <w:t xml:space="preserve"> is </w:t>
      </w:r>
      <w:r w:rsidRPr="00111F98">
        <w:rPr>
          <w:rFonts w:ascii="Times New Roman" w:eastAsia="SimSun" w:hAnsi="Times New Roman" w:cs="Times New Roman"/>
          <w:sz w:val="24"/>
          <w:szCs w:val="24"/>
          <w:highlight w:val="yellow"/>
        </w:rPr>
        <w:t>the mean rate</w:t>
      </w:r>
      <w:r w:rsidR="00111F98" w:rsidRPr="00111F98">
        <w:rPr>
          <w:rFonts w:ascii="Times New Roman" w:eastAsia="SimSun" w:hAnsi="Times New Roman" w:cs="Times New Roman"/>
          <w:sz w:val="24"/>
          <w:szCs w:val="24"/>
          <w:highlight w:val="yellow"/>
        </w:rPr>
        <w:t xml:space="preserve"> of infection</w:t>
      </w:r>
      <w:r w:rsidR="00111F98">
        <w:rPr>
          <w:rFonts w:ascii="Times New Roman" w:eastAsia="SimSun" w:hAnsi="Times New Roman" w:cs="Times New Roman"/>
          <w:sz w:val="24"/>
          <w:szCs w:val="24"/>
        </w:rPr>
        <w:t xml:space="preserve"> in</w:t>
      </w:r>
      <w:r>
        <w:rPr>
          <w:rFonts w:ascii="Times New Roman" w:eastAsia="SimSun" w:hAnsi="Times New Roman" w:cs="Times New Roman"/>
          <w:sz w:val="24"/>
          <w:szCs w:val="24"/>
        </w:rPr>
        <w:t xml:space="preserve"> the population of white patients while </w:t>
      </w:r>
      <m:oMath>
        <m:sSub>
          <m:sSubPr>
            <m:ctrlPr>
              <w:rPr>
                <w:rFonts w:ascii="Cambria Math" w:hAnsi="Cambria Math" w:cs="Times New Roman"/>
                <w:i/>
                <w:sz w:val="24"/>
                <w:szCs w:val="24"/>
              </w:rPr>
            </m:ctrlPr>
          </m:sSubPr>
          <m:e>
            <m:r>
              <w:rPr>
                <w:rFonts w:ascii="Cambria Math" w:hAnsi="Cambria Math" w:cs="Times New Roman"/>
                <w:sz w:val="24"/>
                <w:szCs w:val="24"/>
              </w:rPr>
              <m:t>μ</m:t>
            </m:r>
          </m:e>
          <m:sub>
            <m:r>
              <w:rPr>
                <w:rFonts w:ascii="Cambria Math" w:hAnsi="Cambria Math" w:cs="Times New Roman"/>
                <w:sz w:val="24"/>
                <w:szCs w:val="24"/>
              </w:rPr>
              <m:t>BAME</m:t>
            </m:r>
          </m:sub>
        </m:sSub>
      </m:oMath>
      <w:r>
        <w:rPr>
          <w:rFonts w:ascii="Times New Roman" w:eastAsia="SimSun" w:hAnsi="Times New Roman" w:cs="Times New Roman"/>
          <w:sz w:val="24"/>
          <w:szCs w:val="24"/>
        </w:rPr>
        <w:t xml:space="preserve"> is the mean infection rate in the population of BAME.</w:t>
      </w:r>
    </w:p>
    <w:p w14:paraId="7168F599"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000" w:firstRow="0" w:lastRow="0" w:firstColumn="0" w:lastColumn="0" w:noHBand="0" w:noVBand="0"/>
      </w:tblPr>
      <w:tblGrid>
        <w:gridCol w:w="1884"/>
        <w:gridCol w:w="1125"/>
        <w:gridCol w:w="1350"/>
        <w:gridCol w:w="1350"/>
        <w:gridCol w:w="1904"/>
        <w:gridCol w:w="1965"/>
      </w:tblGrid>
      <w:tr w:rsidR="00AA18A1" w14:paraId="7168F59B" w14:textId="77777777">
        <w:trPr>
          <w:cantSplit/>
        </w:trPr>
        <w:tc>
          <w:tcPr>
            <w:tcW w:w="5000" w:type="pct"/>
            <w:gridSpan w:val="6"/>
            <w:tcBorders>
              <w:top w:val="nil"/>
              <w:left w:val="nil"/>
              <w:bottom w:val="nil"/>
              <w:right w:val="nil"/>
            </w:tcBorders>
            <w:shd w:val="clear" w:color="auto" w:fill="FFFFFF"/>
          </w:tcPr>
          <w:p w14:paraId="7168F59A"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b/>
                <w:bCs/>
                <w:color w:val="000000"/>
                <w:sz w:val="24"/>
                <w:szCs w:val="24"/>
              </w:rPr>
              <w:t>Table 2: Group Statistics</w:t>
            </w:r>
          </w:p>
        </w:tc>
      </w:tr>
      <w:tr w:rsidR="00AA18A1" w14:paraId="7168F5A2" w14:textId="77777777">
        <w:trPr>
          <w:cantSplit/>
        </w:trPr>
        <w:tc>
          <w:tcPr>
            <w:tcW w:w="983" w:type="pct"/>
            <w:vAlign w:val="center"/>
          </w:tcPr>
          <w:p w14:paraId="7168F59C" w14:textId="77777777" w:rsidR="00AA18A1" w:rsidRDefault="00AA18A1" w:rsidP="005F4422">
            <w:pPr>
              <w:autoSpaceDE w:val="0"/>
              <w:autoSpaceDN w:val="0"/>
              <w:adjustRightInd w:val="0"/>
              <w:spacing w:after="0" w:line="360" w:lineRule="auto"/>
              <w:jc w:val="both"/>
              <w:rPr>
                <w:rFonts w:ascii="Times New Roman" w:hAnsi="Times New Roman" w:cs="Times New Roman"/>
                <w:color w:val="000000"/>
                <w:sz w:val="24"/>
                <w:szCs w:val="24"/>
              </w:rPr>
            </w:pPr>
          </w:p>
        </w:tc>
        <w:tc>
          <w:tcPr>
            <w:tcW w:w="587" w:type="pct"/>
            <w:tcBorders>
              <w:top w:val="single" w:sz="16" w:space="0" w:color="000000"/>
              <w:left w:val="nil"/>
              <w:bottom w:val="single" w:sz="16" w:space="0" w:color="000000"/>
              <w:right w:val="single" w:sz="16" w:space="0" w:color="000000"/>
            </w:tcBorders>
            <w:shd w:val="clear" w:color="auto" w:fill="FFFFFF"/>
          </w:tcPr>
          <w:p w14:paraId="7168F59D"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patient</w:t>
            </w:r>
          </w:p>
        </w:tc>
        <w:tc>
          <w:tcPr>
            <w:tcW w:w="705" w:type="pct"/>
            <w:tcBorders>
              <w:top w:val="single" w:sz="16" w:space="0" w:color="000000"/>
              <w:left w:val="single" w:sz="16" w:space="0" w:color="000000"/>
              <w:bottom w:val="single" w:sz="16" w:space="0" w:color="000000"/>
            </w:tcBorders>
            <w:shd w:val="clear" w:color="auto" w:fill="FFFFFF"/>
          </w:tcPr>
          <w:p w14:paraId="7168F59E"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N</w:t>
            </w:r>
          </w:p>
        </w:tc>
        <w:tc>
          <w:tcPr>
            <w:tcW w:w="705" w:type="pct"/>
            <w:tcBorders>
              <w:top w:val="single" w:sz="16" w:space="0" w:color="000000"/>
              <w:bottom w:val="single" w:sz="16" w:space="0" w:color="000000"/>
            </w:tcBorders>
            <w:shd w:val="clear" w:color="auto" w:fill="FFFFFF"/>
          </w:tcPr>
          <w:p w14:paraId="7168F59F"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Mean</w:t>
            </w:r>
          </w:p>
        </w:tc>
        <w:tc>
          <w:tcPr>
            <w:tcW w:w="994" w:type="pct"/>
            <w:tcBorders>
              <w:top w:val="single" w:sz="16" w:space="0" w:color="000000"/>
              <w:bottom w:val="single" w:sz="16" w:space="0" w:color="000000"/>
            </w:tcBorders>
            <w:shd w:val="clear" w:color="auto" w:fill="FFFFFF"/>
          </w:tcPr>
          <w:p w14:paraId="7168F5A0"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Std. Deviation</w:t>
            </w:r>
          </w:p>
        </w:tc>
        <w:tc>
          <w:tcPr>
            <w:tcW w:w="1026" w:type="pct"/>
            <w:tcBorders>
              <w:top w:val="single" w:sz="16" w:space="0" w:color="000000"/>
              <w:bottom w:val="single" w:sz="16" w:space="0" w:color="000000"/>
              <w:right w:val="single" w:sz="16" w:space="0" w:color="000000"/>
            </w:tcBorders>
            <w:shd w:val="clear" w:color="auto" w:fill="FFFFFF"/>
          </w:tcPr>
          <w:p w14:paraId="7168F5A1"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Std. Error Mean</w:t>
            </w:r>
          </w:p>
        </w:tc>
      </w:tr>
      <w:tr w:rsidR="00AA18A1" w14:paraId="7168F5A9" w14:textId="77777777">
        <w:trPr>
          <w:cantSplit/>
        </w:trPr>
        <w:tc>
          <w:tcPr>
            <w:tcW w:w="983" w:type="pct"/>
            <w:vMerge w:val="restart"/>
            <w:tcBorders>
              <w:top w:val="single" w:sz="16" w:space="0" w:color="000000"/>
              <w:left w:val="single" w:sz="16" w:space="0" w:color="000000"/>
              <w:bottom w:val="single" w:sz="16" w:space="0" w:color="000000"/>
              <w:right w:val="nil"/>
            </w:tcBorders>
            <w:shd w:val="clear" w:color="auto" w:fill="FFFFFF"/>
            <w:vAlign w:val="center"/>
          </w:tcPr>
          <w:p w14:paraId="7168F5A3"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infection_rate</w:t>
            </w:r>
          </w:p>
        </w:tc>
        <w:tc>
          <w:tcPr>
            <w:tcW w:w="587" w:type="pct"/>
            <w:tcBorders>
              <w:top w:val="single" w:sz="16" w:space="0" w:color="000000"/>
              <w:left w:val="nil"/>
              <w:bottom w:val="nil"/>
              <w:right w:val="single" w:sz="16" w:space="0" w:color="000000"/>
            </w:tcBorders>
            <w:shd w:val="clear" w:color="auto" w:fill="FFFFFF"/>
            <w:vAlign w:val="center"/>
          </w:tcPr>
          <w:p w14:paraId="7168F5A4"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White</w:t>
            </w:r>
          </w:p>
        </w:tc>
        <w:tc>
          <w:tcPr>
            <w:tcW w:w="705" w:type="pct"/>
            <w:tcBorders>
              <w:top w:val="single" w:sz="16" w:space="0" w:color="000000"/>
              <w:left w:val="single" w:sz="16" w:space="0" w:color="000000"/>
              <w:bottom w:val="nil"/>
            </w:tcBorders>
            <w:shd w:val="clear" w:color="auto" w:fill="FFFFFF"/>
          </w:tcPr>
          <w:p w14:paraId="7168F5A5"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50</w:t>
            </w:r>
          </w:p>
        </w:tc>
        <w:tc>
          <w:tcPr>
            <w:tcW w:w="705" w:type="pct"/>
            <w:tcBorders>
              <w:top w:val="single" w:sz="16" w:space="0" w:color="000000"/>
              <w:bottom w:val="nil"/>
            </w:tcBorders>
            <w:shd w:val="clear" w:color="auto" w:fill="FFFFFF"/>
          </w:tcPr>
          <w:p w14:paraId="7168F5A6"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36.5800</w:t>
            </w:r>
          </w:p>
        </w:tc>
        <w:tc>
          <w:tcPr>
            <w:tcW w:w="994" w:type="pct"/>
            <w:tcBorders>
              <w:top w:val="single" w:sz="16" w:space="0" w:color="000000"/>
              <w:bottom w:val="nil"/>
            </w:tcBorders>
            <w:shd w:val="clear" w:color="auto" w:fill="FFFFFF"/>
          </w:tcPr>
          <w:p w14:paraId="7168F5A7"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11.97973</w:t>
            </w:r>
          </w:p>
        </w:tc>
        <w:tc>
          <w:tcPr>
            <w:tcW w:w="1026" w:type="pct"/>
            <w:tcBorders>
              <w:top w:val="single" w:sz="16" w:space="0" w:color="000000"/>
              <w:bottom w:val="nil"/>
              <w:right w:val="single" w:sz="16" w:space="0" w:color="000000"/>
            </w:tcBorders>
            <w:shd w:val="clear" w:color="auto" w:fill="FFFFFF"/>
          </w:tcPr>
          <w:p w14:paraId="7168F5A8"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1.69419</w:t>
            </w:r>
          </w:p>
        </w:tc>
      </w:tr>
      <w:tr w:rsidR="00AA18A1" w14:paraId="7168F5B0" w14:textId="77777777">
        <w:trPr>
          <w:cantSplit/>
        </w:trPr>
        <w:tc>
          <w:tcPr>
            <w:tcW w:w="983" w:type="pct"/>
            <w:vMerge/>
            <w:tcBorders>
              <w:top w:val="single" w:sz="16" w:space="0" w:color="000000"/>
              <w:left w:val="single" w:sz="16" w:space="0" w:color="000000"/>
              <w:bottom w:val="single" w:sz="16" w:space="0" w:color="000000"/>
              <w:right w:val="nil"/>
            </w:tcBorders>
            <w:shd w:val="clear" w:color="auto" w:fill="FFFFFF"/>
            <w:vAlign w:val="center"/>
          </w:tcPr>
          <w:p w14:paraId="7168F5AA" w14:textId="77777777" w:rsidR="00AA18A1" w:rsidRDefault="00AA18A1" w:rsidP="005F4422">
            <w:pPr>
              <w:autoSpaceDE w:val="0"/>
              <w:autoSpaceDN w:val="0"/>
              <w:adjustRightInd w:val="0"/>
              <w:spacing w:after="0" w:line="360" w:lineRule="auto"/>
              <w:jc w:val="both"/>
              <w:rPr>
                <w:rFonts w:ascii="Times New Roman" w:hAnsi="Times New Roman" w:cs="Times New Roman"/>
                <w:color w:val="000000"/>
                <w:sz w:val="24"/>
                <w:szCs w:val="24"/>
              </w:rPr>
            </w:pPr>
          </w:p>
        </w:tc>
        <w:tc>
          <w:tcPr>
            <w:tcW w:w="587" w:type="pct"/>
            <w:tcBorders>
              <w:top w:val="nil"/>
              <w:left w:val="nil"/>
              <w:bottom w:val="single" w:sz="16" w:space="0" w:color="000000"/>
              <w:right w:val="single" w:sz="16" w:space="0" w:color="000000"/>
            </w:tcBorders>
            <w:shd w:val="clear" w:color="auto" w:fill="FFFFFF"/>
            <w:vAlign w:val="center"/>
          </w:tcPr>
          <w:p w14:paraId="7168F5AB"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BAME</w:t>
            </w:r>
          </w:p>
        </w:tc>
        <w:tc>
          <w:tcPr>
            <w:tcW w:w="705" w:type="pct"/>
            <w:tcBorders>
              <w:top w:val="nil"/>
              <w:left w:val="single" w:sz="16" w:space="0" w:color="000000"/>
              <w:bottom w:val="single" w:sz="16" w:space="0" w:color="000000"/>
            </w:tcBorders>
            <w:shd w:val="clear" w:color="auto" w:fill="FFFFFF"/>
          </w:tcPr>
          <w:p w14:paraId="7168F5AC"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50</w:t>
            </w:r>
          </w:p>
        </w:tc>
        <w:tc>
          <w:tcPr>
            <w:tcW w:w="705" w:type="pct"/>
            <w:tcBorders>
              <w:top w:val="nil"/>
              <w:bottom w:val="single" w:sz="16" w:space="0" w:color="000000"/>
            </w:tcBorders>
            <w:shd w:val="clear" w:color="auto" w:fill="FFFFFF"/>
          </w:tcPr>
          <w:p w14:paraId="7168F5AD"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60.0400</w:t>
            </w:r>
          </w:p>
        </w:tc>
        <w:tc>
          <w:tcPr>
            <w:tcW w:w="994" w:type="pct"/>
            <w:tcBorders>
              <w:top w:val="nil"/>
              <w:bottom w:val="single" w:sz="16" w:space="0" w:color="000000"/>
            </w:tcBorders>
            <w:shd w:val="clear" w:color="auto" w:fill="FFFFFF"/>
          </w:tcPr>
          <w:p w14:paraId="7168F5AE"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23.39192</w:t>
            </w:r>
          </w:p>
        </w:tc>
        <w:tc>
          <w:tcPr>
            <w:tcW w:w="1026" w:type="pct"/>
            <w:tcBorders>
              <w:top w:val="nil"/>
              <w:bottom w:val="single" w:sz="16" w:space="0" w:color="000000"/>
              <w:right w:val="single" w:sz="16" w:space="0" w:color="000000"/>
            </w:tcBorders>
            <w:shd w:val="clear" w:color="auto" w:fill="FFFFFF"/>
          </w:tcPr>
          <w:p w14:paraId="7168F5AF"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24"/>
              </w:rPr>
            </w:pPr>
            <w:r>
              <w:rPr>
                <w:rFonts w:ascii="Times New Roman" w:hAnsi="Times New Roman" w:cs="Times New Roman"/>
                <w:color w:val="000000"/>
                <w:sz w:val="24"/>
                <w:szCs w:val="24"/>
              </w:rPr>
              <w:t>3.30812</w:t>
            </w:r>
          </w:p>
        </w:tc>
      </w:tr>
    </w:tbl>
    <w:p w14:paraId="7168F5B1"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Table 2 defines group statistics of infection rate in white patients and BAME, the mean infection rate in white patients is 36.58 with a standard deviation of 11.97 and standard error mean of 1.69 and mean infection rate in BAME is 60.04 with a standard deviation of 23.39 and standard error of 3.30.</w:t>
      </w:r>
    </w:p>
    <w:p w14:paraId="7168F5B2"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bl>
      <w:tblPr>
        <w:tblW w:w="94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530"/>
        <w:gridCol w:w="2610"/>
        <w:gridCol w:w="1260"/>
        <w:gridCol w:w="1170"/>
        <w:gridCol w:w="713"/>
        <w:gridCol w:w="891"/>
        <w:gridCol w:w="1248"/>
      </w:tblGrid>
      <w:tr w:rsidR="00AA18A1" w14:paraId="7168F5B4" w14:textId="77777777">
        <w:trPr>
          <w:cantSplit/>
          <w:trHeight w:val="401"/>
        </w:trPr>
        <w:tc>
          <w:tcPr>
            <w:tcW w:w="9422" w:type="dxa"/>
            <w:gridSpan w:val="7"/>
            <w:tcBorders>
              <w:top w:val="nil"/>
              <w:left w:val="nil"/>
              <w:bottom w:val="nil"/>
              <w:right w:val="nil"/>
            </w:tcBorders>
            <w:shd w:val="clear" w:color="auto" w:fill="FFFFFF"/>
          </w:tcPr>
          <w:p w14:paraId="7168F5B3"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b/>
                <w:bCs/>
                <w:color w:val="000000"/>
                <w:sz w:val="24"/>
                <w:szCs w:val="18"/>
              </w:rPr>
              <w:t>Table 3: Independent Samples Test</w:t>
            </w:r>
          </w:p>
        </w:tc>
      </w:tr>
      <w:tr w:rsidR="00AA18A1" w14:paraId="7168F5B8" w14:textId="77777777">
        <w:trPr>
          <w:cantSplit/>
          <w:trHeight w:val="822"/>
        </w:trPr>
        <w:tc>
          <w:tcPr>
            <w:tcW w:w="4140" w:type="dxa"/>
            <w:gridSpan w:val="2"/>
            <w:vMerge w:val="restart"/>
            <w:tcBorders>
              <w:top w:val="single" w:sz="16" w:space="0" w:color="000000"/>
              <w:left w:val="single" w:sz="16" w:space="0" w:color="000000"/>
              <w:bottom w:val="nil"/>
              <w:right w:val="nil"/>
            </w:tcBorders>
            <w:shd w:val="clear" w:color="auto" w:fill="FFFFFF"/>
          </w:tcPr>
          <w:p w14:paraId="7168F5B5"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2430" w:type="dxa"/>
            <w:gridSpan w:val="2"/>
            <w:tcBorders>
              <w:top w:val="single" w:sz="16" w:space="0" w:color="000000"/>
              <w:left w:val="single" w:sz="16" w:space="0" w:color="000000"/>
            </w:tcBorders>
            <w:shd w:val="clear" w:color="auto" w:fill="FFFFFF"/>
          </w:tcPr>
          <w:p w14:paraId="7168F5B6"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Levene's Test for Equality of Variances</w:t>
            </w:r>
          </w:p>
        </w:tc>
        <w:tc>
          <w:tcPr>
            <w:tcW w:w="2852" w:type="dxa"/>
            <w:gridSpan w:val="3"/>
            <w:tcBorders>
              <w:top w:val="single" w:sz="16" w:space="0" w:color="000000"/>
            </w:tcBorders>
            <w:shd w:val="clear" w:color="auto" w:fill="FFFFFF"/>
          </w:tcPr>
          <w:p w14:paraId="7168F5B7"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t-test for Equality of Means</w:t>
            </w:r>
          </w:p>
        </w:tc>
      </w:tr>
      <w:tr w:rsidR="00AA18A1" w14:paraId="7168F5BF" w14:textId="77777777">
        <w:trPr>
          <w:cantSplit/>
          <w:trHeight w:val="439"/>
        </w:trPr>
        <w:tc>
          <w:tcPr>
            <w:tcW w:w="4140" w:type="dxa"/>
            <w:gridSpan w:val="2"/>
            <w:vMerge/>
            <w:tcBorders>
              <w:top w:val="single" w:sz="16" w:space="0" w:color="000000"/>
              <w:left w:val="single" w:sz="16" w:space="0" w:color="000000"/>
              <w:bottom w:val="nil"/>
              <w:right w:val="nil"/>
            </w:tcBorders>
            <w:shd w:val="clear" w:color="auto" w:fill="FFFFFF"/>
          </w:tcPr>
          <w:p w14:paraId="7168F5B9" w14:textId="77777777" w:rsidR="00AA18A1" w:rsidRDefault="00AA18A1" w:rsidP="005F4422">
            <w:pPr>
              <w:autoSpaceDE w:val="0"/>
              <w:autoSpaceDN w:val="0"/>
              <w:adjustRightInd w:val="0"/>
              <w:spacing w:after="0" w:line="360" w:lineRule="auto"/>
              <w:jc w:val="both"/>
              <w:rPr>
                <w:rFonts w:ascii="Times New Roman" w:hAnsi="Times New Roman" w:cs="Times New Roman"/>
                <w:color w:val="000000"/>
                <w:sz w:val="24"/>
                <w:szCs w:val="18"/>
              </w:rPr>
            </w:pPr>
          </w:p>
        </w:tc>
        <w:tc>
          <w:tcPr>
            <w:tcW w:w="1260" w:type="dxa"/>
            <w:tcBorders>
              <w:left w:val="single" w:sz="16" w:space="0" w:color="000000"/>
              <w:bottom w:val="single" w:sz="16" w:space="0" w:color="000000"/>
            </w:tcBorders>
            <w:shd w:val="clear" w:color="auto" w:fill="FFFFFF"/>
          </w:tcPr>
          <w:p w14:paraId="7168F5BA"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F</w:t>
            </w:r>
          </w:p>
        </w:tc>
        <w:tc>
          <w:tcPr>
            <w:tcW w:w="1170" w:type="dxa"/>
            <w:tcBorders>
              <w:bottom w:val="single" w:sz="16" w:space="0" w:color="000000"/>
            </w:tcBorders>
            <w:shd w:val="clear" w:color="auto" w:fill="FFFFFF"/>
          </w:tcPr>
          <w:p w14:paraId="7168F5BB"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Sig.</w:t>
            </w:r>
          </w:p>
        </w:tc>
        <w:tc>
          <w:tcPr>
            <w:tcW w:w="713" w:type="dxa"/>
            <w:tcBorders>
              <w:bottom w:val="single" w:sz="16" w:space="0" w:color="000000"/>
            </w:tcBorders>
            <w:shd w:val="clear" w:color="auto" w:fill="FFFFFF"/>
          </w:tcPr>
          <w:p w14:paraId="7168F5BC"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t</w:t>
            </w:r>
          </w:p>
        </w:tc>
        <w:tc>
          <w:tcPr>
            <w:tcW w:w="891" w:type="dxa"/>
            <w:tcBorders>
              <w:bottom w:val="single" w:sz="16" w:space="0" w:color="000000"/>
            </w:tcBorders>
            <w:shd w:val="clear" w:color="auto" w:fill="FFFFFF"/>
          </w:tcPr>
          <w:p w14:paraId="7168F5BD"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df</w:t>
            </w:r>
          </w:p>
        </w:tc>
        <w:tc>
          <w:tcPr>
            <w:tcW w:w="1248" w:type="dxa"/>
            <w:tcBorders>
              <w:bottom w:val="single" w:sz="16" w:space="0" w:color="000000"/>
              <w:right w:val="single" w:sz="16" w:space="0" w:color="000000"/>
            </w:tcBorders>
            <w:shd w:val="clear" w:color="auto" w:fill="FFFFFF"/>
          </w:tcPr>
          <w:p w14:paraId="7168F5BE"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Sig. (2-tailed)</w:t>
            </w:r>
          </w:p>
        </w:tc>
      </w:tr>
      <w:tr w:rsidR="00AA18A1" w14:paraId="7168F5C7" w14:textId="77777777">
        <w:trPr>
          <w:cantSplit/>
          <w:trHeight w:val="401"/>
        </w:trPr>
        <w:tc>
          <w:tcPr>
            <w:tcW w:w="1530" w:type="dxa"/>
            <w:vMerge w:val="restart"/>
            <w:tcBorders>
              <w:top w:val="single" w:sz="16" w:space="0" w:color="000000"/>
              <w:left w:val="single" w:sz="16" w:space="0" w:color="000000"/>
              <w:bottom w:val="single" w:sz="16" w:space="0" w:color="000000"/>
              <w:right w:val="nil"/>
            </w:tcBorders>
            <w:shd w:val="clear" w:color="auto" w:fill="FFFFFF"/>
            <w:vAlign w:val="center"/>
          </w:tcPr>
          <w:p w14:paraId="7168F5C0"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infection_rate</w:t>
            </w:r>
          </w:p>
        </w:tc>
        <w:tc>
          <w:tcPr>
            <w:tcW w:w="2610" w:type="dxa"/>
            <w:tcBorders>
              <w:top w:val="single" w:sz="16" w:space="0" w:color="000000"/>
              <w:left w:val="nil"/>
              <w:bottom w:val="nil"/>
              <w:right w:val="single" w:sz="16" w:space="0" w:color="000000"/>
            </w:tcBorders>
            <w:shd w:val="clear" w:color="auto" w:fill="FFFFFF"/>
            <w:vAlign w:val="center"/>
          </w:tcPr>
          <w:p w14:paraId="7168F5C1"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Equal variances assumed</w:t>
            </w:r>
          </w:p>
        </w:tc>
        <w:tc>
          <w:tcPr>
            <w:tcW w:w="1260" w:type="dxa"/>
            <w:tcBorders>
              <w:top w:val="single" w:sz="16" w:space="0" w:color="000000"/>
              <w:left w:val="single" w:sz="16" w:space="0" w:color="000000"/>
              <w:bottom w:val="nil"/>
            </w:tcBorders>
            <w:shd w:val="clear" w:color="auto" w:fill="FFFFFF"/>
          </w:tcPr>
          <w:p w14:paraId="7168F5C2"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37.695</w:t>
            </w:r>
          </w:p>
        </w:tc>
        <w:tc>
          <w:tcPr>
            <w:tcW w:w="1170" w:type="dxa"/>
            <w:tcBorders>
              <w:top w:val="single" w:sz="16" w:space="0" w:color="000000"/>
              <w:bottom w:val="nil"/>
            </w:tcBorders>
            <w:shd w:val="clear" w:color="auto" w:fill="FFFFFF"/>
          </w:tcPr>
          <w:p w14:paraId="7168F5C3"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.000</w:t>
            </w:r>
          </w:p>
        </w:tc>
        <w:tc>
          <w:tcPr>
            <w:tcW w:w="713" w:type="dxa"/>
            <w:tcBorders>
              <w:top w:val="single" w:sz="16" w:space="0" w:color="000000"/>
              <w:bottom w:val="nil"/>
            </w:tcBorders>
            <w:shd w:val="clear" w:color="auto" w:fill="FFFFFF"/>
          </w:tcPr>
          <w:p w14:paraId="7168F5C4"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-6.31</w:t>
            </w:r>
          </w:p>
        </w:tc>
        <w:tc>
          <w:tcPr>
            <w:tcW w:w="891" w:type="dxa"/>
            <w:tcBorders>
              <w:top w:val="single" w:sz="16" w:space="0" w:color="000000"/>
              <w:bottom w:val="nil"/>
            </w:tcBorders>
            <w:shd w:val="clear" w:color="auto" w:fill="FFFFFF"/>
          </w:tcPr>
          <w:p w14:paraId="7168F5C5"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98</w:t>
            </w:r>
          </w:p>
        </w:tc>
        <w:tc>
          <w:tcPr>
            <w:tcW w:w="1248" w:type="dxa"/>
            <w:tcBorders>
              <w:top w:val="single" w:sz="16" w:space="0" w:color="000000"/>
              <w:bottom w:val="nil"/>
              <w:right w:val="single" w:sz="16" w:space="0" w:color="000000"/>
            </w:tcBorders>
            <w:shd w:val="clear" w:color="auto" w:fill="FFFFFF"/>
          </w:tcPr>
          <w:p w14:paraId="7168F5C6"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.000</w:t>
            </w:r>
          </w:p>
        </w:tc>
      </w:tr>
      <w:tr w:rsidR="00AA18A1" w14:paraId="7168F5CF" w14:textId="77777777">
        <w:trPr>
          <w:cantSplit/>
          <w:trHeight w:val="439"/>
        </w:trPr>
        <w:tc>
          <w:tcPr>
            <w:tcW w:w="1530" w:type="dxa"/>
            <w:vMerge/>
            <w:tcBorders>
              <w:top w:val="single" w:sz="16" w:space="0" w:color="000000"/>
              <w:left w:val="single" w:sz="16" w:space="0" w:color="000000"/>
              <w:bottom w:val="single" w:sz="16" w:space="0" w:color="000000"/>
              <w:right w:val="nil"/>
            </w:tcBorders>
            <w:shd w:val="clear" w:color="auto" w:fill="FFFFFF"/>
            <w:vAlign w:val="center"/>
          </w:tcPr>
          <w:p w14:paraId="7168F5C8" w14:textId="77777777" w:rsidR="00AA18A1" w:rsidRDefault="00AA18A1" w:rsidP="005F4422">
            <w:pPr>
              <w:autoSpaceDE w:val="0"/>
              <w:autoSpaceDN w:val="0"/>
              <w:adjustRightInd w:val="0"/>
              <w:spacing w:after="0" w:line="360" w:lineRule="auto"/>
              <w:jc w:val="both"/>
              <w:rPr>
                <w:rFonts w:ascii="Times New Roman" w:hAnsi="Times New Roman" w:cs="Times New Roman"/>
                <w:color w:val="000000"/>
                <w:sz w:val="24"/>
                <w:szCs w:val="18"/>
              </w:rPr>
            </w:pPr>
          </w:p>
        </w:tc>
        <w:tc>
          <w:tcPr>
            <w:tcW w:w="2610" w:type="dxa"/>
            <w:tcBorders>
              <w:top w:val="nil"/>
              <w:left w:val="nil"/>
              <w:bottom w:val="single" w:sz="16" w:space="0" w:color="000000"/>
              <w:right w:val="single" w:sz="16" w:space="0" w:color="000000"/>
            </w:tcBorders>
            <w:shd w:val="clear" w:color="auto" w:fill="FFFFFF"/>
            <w:vAlign w:val="center"/>
          </w:tcPr>
          <w:p w14:paraId="7168F5C9"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Equal variances not assumed</w:t>
            </w:r>
          </w:p>
        </w:tc>
        <w:tc>
          <w:tcPr>
            <w:tcW w:w="1260" w:type="dxa"/>
            <w:tcBorders>
              <w:top w:val="nil"/>
              <w:left w:val="single" w:sz="16" w:space="0" w:color="000000"/>
              <w:bottom w:val="single" w:sz="16" w:space="0" w:color="000000"/>
            </w:tcBorders>
            <w:shd w:val="clear" w:color="auto" w:fill="FFFFFF"/>
          </w:tcPr>
          <w:p w14:paraId="7168F5CA"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1170" w:type="dxa"/>
            <w:tcBorders>
              <w:top w:val="nil"/>
              <w:bottom w:val="single" w:sz="16" w:space="0" w:color="000000"/>
            </w:tcBorders>
            <w:shd w:val="clear" w:color="auto" w:fill="FFFFFF"/>
          </w:tcPr>
          <w:p w14:paraId="7168F5CB"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tc>
        <w:tc>
          <w:tcPr>
            <w:tcW w:w="713" w:type="dxa"/>
            <w:tcBorders>
              <w:top w:val="nil"/>
              <w:bottom w:val="single" w:sz="16" w:space="0" w:color="000000"/>
            </w:tcBorders>
            <w:shd w:val="clear" w:color="auto" w:fill="FFFFFF"/>
          </w:tcPr>
          <w:p w14:paraId="7168F5CC"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-6.31</w:t>
            </w:r>
          </w:p>
        </w:tc>
        <w:tc>
          <w:tcPr>
            <w:tcW w:w="891" w:type="dxa"/>
            <w:tcBorders>
              <w:top w:val="nil"/>
              <w:bottom w:val="single" w:sz="16" w:space="0" w:color="000000"/>
            </w:tcBorders>
            <w:shd w:val="clear" w:color="auto" w:fill="FFFFFF"/>
          </w:tcPr>
          <w:p w14:paraId="7168F5CD"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73.049</w:t>
            </w:r>
          </w:p>
        </w:tc>
        <w:tc>
          <w:tcPr>
            <w:tcW w:w="1248" w:type="dxa"/>
            <w:tcBorders>
              <w:top w:val="nil"/>
              <w:bottom w:val="single" w:sz="16" w:space="0" w:color="000000"/>
              <w:right w:val="single" w:sz="16" w:space="0" w:color="000000"/>
            </w:tcBorders>
            <w:shd w:val="clear" w:color="auto" w:fill="FFFFFF"/>
          </w:tcPr>
          <w:p w14:paraId="7168F5CE" w14:textId="77777777" w:rsidR="00AA18A1" w:rsidRDefault="0029354B" w:rsidP="005F4422">
            <w:pPr>
              <w:autoSpaceDE w:val="0"/>
              <w:autoSpaceDN w:val="0"/>
              <w:adjustRightInd w:val="0"/>
              <w:spacing w:after="0" w:line="360" w:lineRule="auto"/>
              <w:ind w:left="60" w:right="60"/>
              <w:jc w:val="both"/>
              <w:rPr>
                <w:rFonts w:ascii="Times New Roman" w:hAnsi="Times New Roman" w:cs="Times New Roman"/>
                <w:color w:val="000000"/>
                <w:sz w:val="24"/>
                <w:szCs w:val="18"/>
              </w:rPr>
            </w:pPr>
            <w:r>
              <w:rPr>
                <w:rFonts w:ascii="Times New Roman" w:hAnsi="Times New Roman" w:cs="Times New Roman"/>
                <w:color w:val="000000"/>
                <w:sz w:val="24"/>
                <w:szCs w:val="18"/>
              </w:rPr>
              <w:t>.000</w:t>
            </w:r>
          </w:p>
        </w:tc>
      </w:tr>
    </w:tbl>
    <w:p w14:paraId="7168F5D0" w14:textId="77777777" w:rsidR="00AA18A1" w:rsidRDefault="00AA18A1" w:rsidP="005F4422">
      <w:pPr>
        <w:autoSpaceDE w:val="0"/>
        <w:autoSpaceDN w:val="0"/>
        <w:adjustRightInd w:val="0"/>
        <w:spacing w:after="0" w:line="360" w:lineRule="auto"/>
        <w:jc w:val="both"/>
        <w:rPr>
          <w:rFonts w:ascii="Times New Roman" w:hAnsi="Times New Roman" w:cs="Times New Roman"/>
          <w:sz w:val="24"/>
          <w:szCs w:val="24"/>
        </w:rPr>
      </w:pPr>
    </w:p>
    <w:p w14:paraId="7168F5D1"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provides us which output of independent sample t-test, for investigating the homogeneity assumption, we need levenes test having null hypothesis that white patients and BAME </w:t>
      </w:r>
      <w:r>
        <w:rPr>
          <w:rFonts w:ascii="Times New Roman" w:hAnsi="Times New Roman" w:cs="Times New Roman"/>
          <w:bCs/>
          <w:color w:val="000000"/>
          <w:sz w:val="24"/>
          <w:szCs w:val="24"/>
        </w:rPr>
        <w:t xml:space="preserve">have equal population variances, since significance value is 0.00, which is less than alpha 0.05, so we reject null hypothesis, and assume that </w:t>
      </w:r>
      <w:r>
        <w:rPr>
          <w:rFonts w:ascii="Times New Roman" w:hAnsi="Times New Roman" w:cs="Times New Roman"/>
          <w:sz w:val="24"/>
          <w:szCs w:val="24"/>
        </w:rPr>
        <w:t xml:space="preserve">white patients and BAME do not </w:t>
      </w:r>
      <w:r>
        <w:rPr>
          <w:rFonts w:ascii="Times New Roman" w:hAnsi="Times New Roman" w:cs="Times New Roman"/>
          <w:bCs/>
          <w:color w:val="000000"/>
          <w:sz w:val="24"/>
          <w:szCs w:val="24"/>
        </w:rPr>
        <w:t xml:space="preserve">have equal population </w:t>
      </w:r>
      <w:r>
        <w:rPr>
          <w:rFonts w:ascii="Times New Roman" w:hAnsi="Times New Roman" w:cs="Times New Roman"/>
          <w:bCs/>
          <w:color w:val="000000"/>
          <w:sz w:val="24"/>
          <w:szCs w:val="24"/>
        </w:rPr>
        <w:lastRenderedPageBreak/>
        <w:t xml:space="preserve">variances. </w:t>
      </w:r>
      <w:r w:rsidRPr="00111F98">
        <w:rPr>
          <w:rFonts w:ascii="Times New Roman" w:hAnsi="Times New Roman" w:cs="Times New Roman"/>
          <w:bCs/>
          <w:color w:val="000000"/>
          <w:sz w:val="24"/>
          <w:szCs w:val="24"/>
          <w:highlight w:val="yellow"/>
        </w:rPr>
        <w:t xml:space="preserve">Thus using t-test for equality </w:t>
      </w:r>
      <w:r w:rsidR="00111F98" w:rsidRPr="00111F98">
        <w:rPr>
          <w:rFonts w:ascii="Times New Roman" w:hAnsi="Times New Roman" w:cs="Times New Roman"/>
          <w:bCs/>
          <w:color w:val="000000"/>
          <w:sz w:val="24"/>
          <w:szCs w:val="24"/>
          <w:highlight w:val="yellow"/>
        </w:rPr>
        <w:t xml:space="preserve">relates to the term </w:t>
      </w:r>
      <w:proofErr w:type="gramStart"/>
      <w:r w:rsidR="00111F98" w:rsidRPr="00111F98">
        <w:rPr>
          <w:rFonts w:ascii="Times New Roman" w:hAnsi="Times New Roman" w:cs="Times New Roman"/>
          <w:bCs/>
          <w:color w:val="000000"/>
          <w:sz w:val="24"/>
          <w:szCs w:val="24"/>
          <w:highlight w:val="yellow"/>
        </w:rPr>
        <w:t xml:space="preserve">of </w:t>
      </w:r>
      <w:r w:rsidRPr="00111F98">
        <w:rPr>
          <w:rFonts w:ascii="Times New Roman" w:hAnsi="Times New Roman" w:cs="Times New Roman"/>
          <w:bCs/>
          <w:color w:val="000000"/>
          <w:sz w:val="24"/>
          <w:szCs w:val="24"/>
          <w:highlight w:val="yellow"/>
        </w:rPr>
        <w:t xml:space="preserve"> equal</w:t>
      </w:r>
      <w:proofErr w:type="gramEnd"/>
      <w:r w:rsidRPr="00111F98">
        <w:rPr>
          <w:rFonts w:ascii="Times New Roman" w:hAnsi="Times New Roman" w:cs="Times New Roman"/>
          <w:bCs/>
          <w:color w:val="000000"/>
          <w:sz w:val="24"/>
          <w:szCs w:val="24"/>
          <w:highlight w:val="yellow"/>
        </w:rPr>
        <w:t xml:space="preserve"> variances </w:t>
      </w:r>
      <w:r w:rsidR="00111F98" w:rsidRPr="00111F98">
        <w:rPr>
          <w:rFonts w:ascii="Times New Roman" w:hAnsi="Times New Roman" w:cs="Times New Roman"/>
          <w:bCs/>
          <w:color w:val="000000"/>
          <w:sz w:val="24"/>
          <w:szCs w:val="24"/>
          <w:highlight w:val="yellow"/>
        </w:rPr>
        <w:t xml:space="preserve">which are assumed and equal </w:t>
      </w:r>
      <w:r w:rsidRPr="00111F98">
        <w:rPr>
          <w:rFonts w:ascii="Times New Roman" w:hAnsi="Times New Roman" w:cs="Times New Roman"/>
          <w:bCs/>
          <w:color w:val="000000"/>
          <w:sz w:val="24"/>
          <w:szCs w:val="24"/>
          <w:highlight w:val="yellow"/>
        </w:rPr>
        <w:t xml:space="preserve">variances </w:t>
      </w:r>
      <w:r w:rsidR="00111F98" w:rsidRPr="00111F98">
        <w:rPr>
          <w:rFonts w:ascii="Times New Roman" w:hAnsi="Times New Roman" w:cs="Times New Roman"/>
          <w:bCs/>
          <w:color w:val="000000"/>
          <w:sz w:val="24"/>
          <w:szCs w:val="24"/>
          <w:highlight w:val="yellow"/>
        </w:rPr>
        <w:t xml:space="preserve">are </w:t>
      </w:r>
      <w:r w:rsidRPr="00111F98">
        <w:rPr>
          <w:rFonts w:ascii="Times New Roman" w:hAnsi="Times New Roman" w:cs="Times New Roman"/>
          <w:bCs/>
          <w:color w:val="000000"/>
          <w:sz w:val="24"/>
          <w:szCs w:val="24"/>
          <w:highlight w:val="yellow"/>
        </w:rPr>
        <w:t xml:space="preserve">not </w:t>
      </w:r>
      <w:r w:rsidR="00111F98" w:rsidRPr="00111F98">
        <w:rPr>
          <w:rFonts w:ascii="Times New Roman" w:hAnsi="Times New Roman" w:cs="Times New Roman"/>
          <w:bCs/>
          <w:color w:val="000000"/>
          <w:sz w:val="24"/>
          <w:szCs w:val="24"/>
          <w:highlight w:val="yellow"/>
        </w:rPr>
        <w:t>anticipated</w:t>
      </w:r>
      <w:r w:rsidRPr="00111F98">
        <w:rPr>
          <w:rFonts w:ascii="Times New Roman" w:hAnsi="Times New Roman" w:cs="Times New Roman"/>
          <w:bCs/>
          <w:color w:val="000000"/>
          <w:sz w:val="24"/>
          <w:szCs w:val="24"/>
          <w:highlight w:val="yellow"/>
        </w:rPr>
        <w:t>.</w:t>
      </w:r>
      <w:r>
        <w:rPr>
          <w:rFonts w:ascii="Times New Roman" w:hAnsi="Times New Roman" w:cs="Times New Roman"/>
          <w:bCs/>
          <w:color w:val="000000"/>
          <w:sz w:val="24"/>
          <w:szCs w:val="24"/>
        </w:rPr>
        <w:t xml:space="preserve"> </w:t>
      </w:r>
      <w:r>
        <w:rPr>
          <w:rFonts w:ascii="Times New Roman" w:hAnsi="Times New Roman" w:cs="Times New Roman"/>
          <w:sz w:val="24"/>
          <w:szCs w:val="24"/>
        </w:rPr>
        <w:t xml:space="preserve">The significance value for </w:t>
      </w:r>
      <w:r>
        <w:rPr>
          <w:rFonts w:ascii="Times New Roman" w:hAnsi="Times New Roman" w:cs="Times New Roman"/>
          <w:bCs/>
          <w:color w:val="000000"/>
          <w:sz w:val="24"/>
          <w:szCs w:val="24"/>
        </w:rPr>
        <w:t>equal variances assumed and equal variances not assumed</w:t>
      </w:r>
      <w:r>
        <w:rPr>
          <w:rFonts w:ascii="Times New Roman" w:hAnsi="Times New Roman" w:cs="Times New Roman"/>
          <w:sz w:val="24"/>
          <w:szCs w:val="24"/>
        </w:rPr>
        <w:t xml:space="preserve"> is 0.000 and 0.000 respectively which is less than</w:t>
      </w:r>
      <w:r>
        <w:rPr>
          <w:rFonts w:ascii="Times New Roman" w:hAnsi="Times New Roman" w:cs="Times New Roman"/>
          <w:i/>
          <w:iCs/>
          <w:sz w:val="24"/>
          <w:szCs w:val="24"/>
        </w:rPr>
        <w:t xml:space="preserve"> α=0.10, α=0.01, and α=0.02, </w:t>
      </w:r>
      <w:r>
        <w:rPr>
          <w:rFonts w:ascii="Times New Roman" w:hAnsi="Times New Roman" w:cs="Times New Roman"/>
          <w:iCs/>
          <w:sz w:val="24"/>
          <w:szCs w:val="24"/>
        </w:rPr>
        <w:t xml:space="preserve">so we reject the null hypothesis and conclude that </w:t>
      </w:r>
      <w:r>
        <w:rPr>
          <w:rFonts w:ascii="Times New Roman" w:hAnsi="Times New Roman" w:cs="Times New Roman"/>
          <w:sz w:val="24"/>
          <w:szCs w:val="24"/>
        </w:rPr>
        <w:t xml:space="preserve">there is difference between the mean infection rate of White patients and BAME i.e. </w:t>
      </w:r>
      <w:r w:rsidRPr="00111F98">
        <w:rPr>
          <w:rFonts w:ascii="Times New Roman" w:hAnsi="Times New Roman" w:cs="Times New Roman"/>
          <w:sz w:val="24"/>
          <w:szCs w:val="24"/>
          <w:highlight w:val="yellow"/>
        </w:rPr>
        <w:t xml:space="preserve">the mean rate </w:t>
      </w:r>
      <w:r w:rsidR="00111F98" w:rsidRPr="00111F98">
        <w:rPr>
          <w:rFonts w:ascii="Times New Roman" w:hAnsi="Times New Roman" w:cs="Times New Roman"/>
          <w:sz w:val="24"/>
          <w:szCs w:val="24"/>
          <w:highlight w:val="yellow"/>
        </w:rPr>
        <w:t>of infection</w:t>
      </w:r>
      <w:r w:rsidR="00111F98">
        <w:rPr>
          <w:rFonts w:ascii="Times New Roman" w:hAnsi="Times New Roman" w:cs="Times New Roman"/>
          <w:sz w:val="24"/>
          <w:szCs w:val="24"/>
        </w:rPr>
        <w:t xml:space="preserve"> </w:t>
      </w:r>
      <w:r>
        <w:rPr>
          <w:rFonts w:ascii="Times New Roman" w:hAnsi="Times New Roman" w:cs="Times New Roman"/>
          <w:sz w:val="24"/>
          <w:szCs w:val="24"/>
        </w:rPr>
        <w:t>in white patients and BAME is not same at 10%, 1% and 2% level of significances in the United Kingdom.</w:t>
      </w:r>
    </w:p>
    <w:p w14:paraId="7168F5D2" w14:textId="77777777" w:rsidR="00AA18A1" w:rsidRDefault="0029354B" w:rsidP="005F4422">
      <w:pPr>
        <w:pStyle w:val="Heading1"/>
        <w:jc w:val="both"/>
      </w:pPr>
      <w:bookmarkStart w:id="4" w:name="_Toc78826902"/>
      <w:r>
        <w:t>Conclusion:</w:t>
      </w:r>
      <w:bookmarkEnd w:id="4"/>
    </w:p>
    <w:p w14:paraId="7168F5D3"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results discussed above, we may conclude </w:t>
      </w:r>
      <w:r w:rsidRPr="00111F98">
        <w:rPr>
          <w:rFonts w:ascii="Times New Roman" w:hAnsi="Times New Roman" w:cs="Times New Roman"/>
          <w:sz w:val="24"/>
          <w:szCs w:val="24"/>
          <w:highlight w:val="yellow"/>
        </w:rPr>
        <w:t xml:space="preserve">that mean rate </w:t>
      </w:r>
      <w:r w:rsidR="00111F98" w:rsidRPr="00111F98">
        <w:rPr>
          <w:rFonts w:ascii="Times New Roman" w:hAnsi="Times New Roman" w:cs="Times New Roman"/>
          <w:sz w:val="24"/>
          <w:szCs w:val="24"/>
          <w:highlight w:val="yellow"/>
        </w:rPr>
        <w:t>in the infection</w:t>
      </w:r>
      <w:r w:rsidR="00111F98">
        <w:rPr>
          <w:rFonts w:ascii="Times New Roman" w:hAnsi="Times New Roman" w:cs="Times New Roman"/>
          <w:sz w:val="24"/>
          <w:szCs w:val="24"/>
        </w:rPr>
        <w:t xml:space="preserve"> </w:t>
      </w:r>
      <w:r>
        <w:rPr>
          <w:rFonts w:ascii="Times New Roman" w:hAnsi="Times New Roman" w:cs="Times New Roman"/>
          <w:sz w:val="24"/>
          <w:szCs w:val="24"/>
        </w:rPr>
        <w:t>of Covid’19 in white patients is 36.58 while the mean infection rate of Covid’19 in BAME is 60.04.</w:t>
      </w:r>
    </w:p>
    <w:p w14:paraId="7168F5D4" w14:textId="77777777" w:rsidR="00AA18A1" w:rsidRDefault="0029354B" w:rsidP="005F442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According to the findings of t-test,</w:t>
      </w:r>
      <w:r w:rsidR="00111F98">
        <w:rPr>
          <w:rFonts w:ascii="Times New Roman" w:hAnsi="Times New Roman" w:cs="Times New Roman"/>
          <w:sz w:val="24"/>
          <w:szCs w:val="24"/>
        </w:rPr>
        <w:t xml:space="preserve"> the rating of</w:t>
      </w:r>
      <w:r>
        <w:rPr>
          <w:rFonts w:ascii="Times New Roman" w:hAnsi="Times New Roman" w:cs="Times New Roman"/>
          <w:sz w:val="24"/>
          <w:szCs w:val="24"/>
        </w:rPr>
        <w:t xml:space="preserve"> infection Covid’19 in white patients and BAME is not same in the United Kingdom, </w:t>
      </w:r>
      <w:r w:rsidRPr="00111F98">
        <w:rPr>
          <w:rFonts w:ascii="Times New Roman" w:hAnsi="Times New Roman" w:cs="Times New Roman"/>
          <w:sz w:val="24"/>
          <w:szCs w:val="24"/>
          <w:highlight w:val="yellow"/>
        </w:rPr>
        <w:t xml:space="preserve">though there is </w:t>
      </w:r>
      <w:r w:rsidR="00111F98" w:rsidRPr="00111F98">
        <w:rPr>
          <w:rFonts w:ascii="Times New Roman" w:hAnsi="Times New Roman" w:cs="Times New Roman"/>
          <w:sz w:val="24"/>
          <w:szCs w:val="24"/>
          <w:highlight w:val="yellow"/>
        </w:rPr>
        <w:t>several differences among</w:t>
      </w:r>
      <w:r>
        <w:rPr>
          <w:rFonts w:ascii="Times New Roman" w:hAnsi="Times New Roman" w:cs="Times New Roman"/>
          <w:sz w:val="24"/>
          <w:szCs w:val="24"/>
        </w:rPr>
        <w:t xml:space="preserve"> the mean infection rate of Covid’19 in W</w:t>
      </w:r>
      <w:r w:rsidRPr="00111F98">
        <w:rPr>
          <w:rFonts w:ascii="Times New Roman" w:hAnsi="Times New Roman" w:cs="Times New Roman"/>
          <w:sz w:val="24"/>
          <w:szCs w:val="24"/>
          <w:highlight w:val="yellow"/>
        </w:rPr>
        <w:t>hite and BAME</w:t>
      </w:r>
      <w:r w:rsidR="00111F98" w:rsidRPr="00111F98">
        <w:rPr>
          <w:rFonts w:ascii="Times New Roman" w:hAnsi="Times New Roman" w:cs="Times New Roman"/>
          <w:sz w:val="24"/>
          <w:szCs w:val="24"/>
          <w:highlight w:val="yellow"/>
        </w:rPr>
        <w:t xml:space="preserve"> patients</w:t>
      </w:r>
      <w:r>
        <w:rPr>
          <w:rFonts w:ascii="Times New Roman" w:hAnsi="Times New Roman" w:cs="Times New Roman"/>
          <w:sz w:val="24"/>
          <w:szCs w:val="24"/>
        </w:rPr>
        <w:t xml:space="preserve"> in the United Kingdomat 10%, 1% and 2% level of significances.</w:t>
      </w:r>
    </w:p>
    <w:p w14:paraId="7168F5D5" w14:textId="77777777" w:rsidR="00B14DFE" w:rsidRDefault="00B14DFE" w:rsidP="005F4422">
      <w:pPr>
        <w:autoSpaceDE w:val="0"/>
        <w:autoSpaceDN w:val="0"/>
        <w:adjustRightInd w:val="0"/>
        <w:spacing w:after="0" w:line="360" w:lineRule="auto"/>
        <w:jc w:val="both"/>
        <w:rPr>
          <w:rFonts w:ascii="Times New Roman" w:hAnsi="Times New Roman" w:cs="Times New Roman"/>
          <w:sz w:val="24"/>
          <w:szCs w:val="24"/>
        </w:rPr>
      </w:pPr>
    </w:p>
    <w:p w14:paraId="7168F5D6" w14:textId="77777777" w:rsidR="00B14DFE" w:rsidRDefault="00B14DFE" w:rsidP="005F4422">
      <w:pPr>
        <w:autoSpaceDE w:val="0"/>
        <w:autoSpaceDN w:val="0"/>
        <w:adjustRightInd w:val="0"/>
        <w:spacing w:after="0" w:line="360" w:lineRule="auto"/>
        <w:jc w:val="both"/>
        <w:rPr>
          <w:rFonts w:ascii="Times New Roman" w:hAnsi="Times New Roman" w:cs="Times New Roman"/>
          <w:sz w:val="24"/>
          <w:szCs w:val="24"/>
        </w:rPr>
      </w:pPr>
    </w:p>
    <w:p w14:paraId="7168F5D7" w14:textId="77777777" w:rsidR="00B14DFE" w:rsidRDefault="00B14DFE" w:rsidP="005F4422">
      <w:pPr>
        <w:autoSpaceDE w:val="0"/>
        <w:autoSpaceDN w:val="0"/>
        <w:adjustRightInd w:val="0"/>
        <w:spacing w:after="0" w:line="360" w:lineRule="auto"/>
        <w:jc w:val="both"/>
        <w:rPr>
          <w:rFonts w:ascii="Times New Roman" w:hAnsi="Times New Roman" w:cs="Times New Roman"/>
          <w:sz w:val="24"/>
          <w:szCs w:val="24"/>
        </w:rPr>
      </w:pPr>
    </w:p>
    <w:p w14:paraId="7168F5D8" w14:textId="77777777" w:rsidR="004F4F20" w:rsidRDefault="004F4F20" w:rsidP="005F4422">
      <w:pPr>
        <w:pStyle w:val="Heading1"/>
        <w:jc w:val="both"/>
        <w:rPr>
          <w:shd w:val="clear" w:color="auto" w:fill="FFFFFF"/>
        </w:rPr>
      </w:pPr>
      <w:r>
        <w:rPr>
          <w:shd w:val="clear" w:color="auto" w:fill="FFFFFF"/>
        </w:rPr>
        <w:t xml:space="preserve">References </w:t>
      </w:r>
    </w:p>
    <w:p w14:paraId="7168F5D9" w14:textId="77777777" w:rsidR="004F4F20" w:rsidRP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p>
    <w:p w14:paraId="7168F5DA" w14:textId="77777777" w:rsidR="004F4F20" w:rsidRP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p>
    <w:p w14:paraId="7168F5DB" w14:textId="77777777" w:rsid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r w:rsidRPr="004F4F20">
        <w:rPr>
          <w:rFonts w:ascii="Times New Roman" w:hAnsi="Times New Roman" w:cs="Times New Roman"/>
          <w:color w:val="000000"/>
          <w:sz w:val="24"/>
          <w:szCs w:val="24"/>
          <w:shd w:val="clear" w:color="auto" w:fill="FFFFFF"/>
        </w:rPr>
        <w:t>Bhatia, M., 2020. COVID-19 and BAME Group in the United Kingdom. </w:t>
      </w:r>
      <w:r w:rsidRPr="004F4F20">
        <w:rPr>
          <w:rFonts w:ascii="Times New Roman" w:hAnsi="Times New Roman" w:cs="Times New Roman"/>
          <w:i/>
          <w:iCs/>
          <w:color w:val="000000"/>
          <w:sz w:val="24"/>
          <w:szCs w:val="24"/>
          <w:shd w:val="clear" w:color="auto" w:fill="FFFFFF"/>
        </w:rPr>
        <w:t>The International Journal of Community and Social Development</w:t>
      </w:r>
      <w:r w:rsidRPr="004F4F20">
        <w:rPr>
          <w:rFonts w:ascii="Times New Roman" w:hAnsi="Times New Roman" w:cs="Times New Roman"/>
          <w:color w:val="000000"/>
          <w:sz w:val="24"/>
          <w:szCs w:val="24"/>
          <w:shd w:val="clear" w:color="auto" w:fill="FFFFFF"/>
        </w:rPr>
        <w:t xml:space="preserve">, 2(2), pp.269-272. </w:t>
      </w:r>
    </w:p>
    <w:p w14:paraId="7168F5DC" w14:textId="77777777" w:rsidR="004F4F20" w:rsidRP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p>
    <w:p w14:paraId="7168F5DD" w14:textId="77777777" w:rsid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r w:rsidRPr="004F4F20">
        <w:rPr>
          <w:rFonts w:ascii="Times New Roman" w:hAnsi="Times New Roman" w:cs="Times New Roman"/>
          <w:color w:val="000000"/>
          <w:sz w:val="24"/>
          <w:szCs w:val="24"/>
          <w:shd w:val="clear" w:color="auto" w:fill="FFFFFF"/>
        </w:rPr>
        <w:t>Kim, T., 2015. T test as a parametric statistic. </w:t>
      </w:r>
      <w:r w:rsidRPr="004F4F20">
        <w:rPr>
          <w:rFonts w:ascii="Times New Roman" w:hAnsi="Times New Roman" w:cs="Times New Roman"/>
          <w:i/>
          <w:iCs/>
          <w:color w:val="000000"/>
          <w:sz w:val="24"/>
          <w:szCs w:val="24"/>
          <w:shd w:val="clear" w:color="auto" w:fill="FFFFFF"/>
        </w:rPr>
        <w:t>Korean Journal of Anesthesiology</w:t>
      </w:r>
      <w:r w:rsidRPr="004F4F20">
        <w:rPr>
          <w:rFonts w:ascii="Times New Roman" w:hAnsi="Times New Roman" w:cs="Times New Roman"/>
          <w:color w:val="000000"/>
          <w:sz w:val="24"/>
          <w:szCs w:val="24"/>
          <w:shd w:val="clear" w:color="auto" w:fill="FFFFFF"/>
        </w:rPr>
        <w:t>, 68(6), p.540.</w:t>
      </w:r>
    </w:p>
    <w:p w14:paraId="7168F5DE" w14:textId="77777777" w:rsidR="004F4F20" w:rsidRP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p>
    <w:p w14:paraId="7168F5DF" w14:textId="77777777" w:rsidR="004F4F20" w:rsidRPr="004F4F20" w:rsidRDefault="004F4F20" w:rsidP="005F4422">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r w:rsidRPr="004F4F20">
        <w:rPr>
          <w:rFonts w:ascii="Times New Roman" w:hAnsi="Times New Roman" w:cs="Times New Roman"/>
          <w:color w:val="000000"/>
          <w:sz w:val="24"/>
          <w:szCs w:val="24"/>
          <w:shd w:val="clear" w:color="auto" w:fill="FFFFFF"/>
        </w:rPr>
        <w:t>Livingston, E., 2004. Who was student and why do we care so much about his t-test?1. </w:t>
      </w:r>
      <w:r w:rsidRPr="004F4F20">
        <w:rPr>
          <w:rFonts w:ascii="Times New Roman" w:hAnsi="Times New Roman" w:cs="Times New Roman"/>
          <w:i/>
          <w:iCs/>
          <w:color w:val="000000"/>
          <w:sz w:val="24"/>
          <w:szCs w:val="24"/>
          <w:shd w:val="clear" w:color="auto" w:fill="FFFFFF"/>
        </w:rPr>
        <w:t>Journal of Surgical Research</w:t>
      </w:r>
      <w:r w:rsidRPr="004F4F20">
        <w:rPr>
          <w:rFonts w:ascii="Times New Roman" w:hAnsi="Times New Roman" w:cs="Times New Roman"/>
          <w:color w:val="000000"/>
          <w:sz w:val="24"/>
          <w:szCs w:val="24"/>
          <w:shd w:val="clear" w:color="auto" w:fill="FFFFFF"/>
        </w:rPr>
        <w:t xml:space="preserve">, 118(1), pp.58-65. </w:t>
      </w:r>
    </w:p>
    <w:p w14:paraId="7168F5E0" w14:textId="77777777" w:rsidR="00A41474" w:rsidRDefault="00A41474" w:rsidP="005F4422">
      <w:pPr>
        <w:autoSpaceDE w:val="0"/>
        <w:autoSpaceDN w:val="0"/>
        <w:adjustRightInd w:val="0"/>
        <w:spacing w:after="0" w:line="360" w:lineRule="auto"/>
        <w:jc w:val="both"/>
        <w:rPr>
          <w:rFonts w:ascii="Arial" w:hAnsi="Arial" w:cs="Arial"/>
          <w:color w:val="000000"/>
          <w:sz w:val="20"/>
          <w:szCs w:val="20"/>
          <w:shd w:val="clear" w:color="auto" w:fill="FFFFFF"/>
        </w:rPr>
      </w:pPr>
    </w:p>
    <w:p w14:paraId="7168F5E1" w14:textId="77777777" w:rsidR="00B14DFE" w:rsidRDefault="00B14DFE" w:rsidP="005F4422">
      <w:pPr>
        <w:autoSpaceDE w:val="0"/>
        <w:autoSpaceDN w:val="0"/>
        <w:adjustRightInd w:val="0"/>
        <w:spacing w:after="0" w:line="360" w:lineRule="auto"/>
        <w:jc w:val="both"/>
        <w:rPr>
          <w:rFonts w:ascii="Arial" w:hAnsi="Arial" w:cs="Arial"/>
          <w:color w:val="000000"/>
          <w:sz w:val="20"/>
          <w:szCs w:val="20"/>
          <w:shd w:val="clear" w:color="auto" w:fill="FFFFFF"/>
        </w:rPr>
      </w:pPr>
    </w:p>
    <w:p w14:paraId="7168F5E2" w14:textId="77777777" w:rsidR="00B14DFE" w:rsidRDefault="00B14DFE" w:rsidP="005F4422">
      <w:pPr>
        <w:autoSpaceDE w:val="0"/>
        <w:autoSpaceDN w:val="0"/>
        <w:adjustRightInd w:val="0"/>
        <w:spacing w:after="0" w:line="360" w:lineRule="auto"/>
        <w:jc w:val="both"/>
        <w:rPr>
          <w:rFonts w:ascii="Times New Roman" w:hAnsi="Times New Roman" w:cs="Times New Roman"/>
          <w:sz w:val="24"/>
          <w:szCs w:val="24"/>
        </w:rPr>
      </w:pPr>
    </w:p>
    <w:sectPr w:rsidR="00B14DFE" w:rsidSect="00AA18A1">
      <w:pgSz w:w="12242" w:h="15842"/>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CC"/>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B02E3"/>
    <w:multiLevelType w:val="hybridMultilevel"/>
    <w:tmpl w:val="679E92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K2NDI2tDQzNTA3MjdV0lEKTi0uzszPAykwrAUAHcr4zSwAAAA="/>
  </w:docVars>
  <w:rsids>
    <w:rsidRoot w:val="00AA18A1"/>
    <w:rsid w:val="00111F98"/>
    <w:rsid w:val="00135ECF"/>
    <w:rsid w:val="002130E5"/>
    <w:rsid w:val="0029354B"/>
    <w:rsid w:val="004F4F20"/>
    <w:rsid w:val="005A474C"/>
    <w:rsid w:val="005F4422"/>
    <w:rsid w:val="007B35E9"/>
    <w:rsid w:val="00867721"/>
    <w:rsid w:val="009A3630"/>
    <w:rsid w:val="00A41474"/>
    <w:rsid w:val="00AA18A1"/>
    <w:rsid w:val="00B14DFE"/>
    <w:rsid w:val="00B3239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8F526"/>
  <w15:docId w15:val="{BE31DE3D-3C06-4506-9E6E-6AC9E72A6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8A1"/>
  </w:style>
  <w:style w:type="paragraph" w:styleId="Heading1">
    <w:name w:val="heading 1"/>
    <w:basedOn w:val="Normal"/>
    <w:next w:val="Normal"/>
    <w:link w:val="Heading1Char"/>
    <w:uiPriority w:val="9"/>
    <w:qFormat/>
    <w:rsid w:val="00135E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5EC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AA18A1"/>
    <w:rPr>
      <w:color w:val="808080"/>
    </w:rPr>
  </w:style>
  <w:style w:type="paragraph" w:styleId="ListParagraph">
    <w:name w:val="List Paragraph"/>
    <w:basedOn w:val="Normal"/>
    <w:uiPriority w:val="34"/>
    <w:qFormat/>
    <w:rsid w:val="00AA18A1"/>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135E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ECF"/>
    <w:rPr>
      <w:rFonts w:ascii="Tahoma" w:hAnsi="Tahoma" w:cs="Tahoma"/>
      <w:sz w:val="16"/>
      <w:szCs w:val="16"/>
    </w:rPr>
  </w:style>
  <w:style w:type="character" w:customStyle="1" w:styleId="Heading1Char">
    <w:name w:val="Heading 1 Char"/>
    <w:basedOn w:val="DefaultParagraphFont"/>
    <w:link w:val="Heading1"/>
    <w:uiPriority w:val="9"/>
    <w:rsid w:val="00135EC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5EC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A3630"/>
    <w:pPr>
      <w:spacing w:line="276" w:lineRule="auto"/>
      <w:outlineLvl w:val="9"/>
    </w:pPr>
  </w:style>
  <w:style w:type="paragraph" w:styleId="TOC1">
    <w:name w:val="toc 1"/>
    <w:basedOn w:val="Normal"/>
    <w:next w:val="Normal"/>
    <w:autoRedefine/>
    <w:uiPriority w:val="39"/>
    <w:unhideWhenUsed/>
    <w:rsid w:val="009A3630"/>
    <w:pPr>
      <w:spacing w:after="100"/>
    </w:pPr>
  </w:style>
  <w:style w:type="paragraph" w:styleId="TOC2">
    <w:name w:val="toc 2"/>
    <w:basedOn w:val="Normal"/>
    <w:next w:val="Normal"/>
    <w:autoRedefine/>
    <w:uiPriority w:val="39"/>
    <w:unhideWhenUsed/>
    <w:rsid w:val="009A3630"/>
    <w:pPr>
      <w:spacing w:after="100"/>
      <w:ind w:left="220"/>
    </w:pPr>
  </w:style>
  <w:style w:type="character" w:styleId="Hyperlink">
    <w:name w:val="Hyperlink"/>
    <w:basedOn w:val="DefaultParagraphFont"/>
    <w:uiPriority w:val="99"/>
    <w:unhideWhenUsed/>
    <w:rsid w:val="009A36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14C15D-A065-4722-B637-10124C29B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9</Pages>
  <Words>1207</Words>
  <Characters>6885</Characters>
  <Application>Microsoft Office Word</Application>
  <DocSecurity>0</DocSecurity>
  <Lines>57</Lines>
  <Paragraphs>16</Paragraphs>
  <ScaleCrop>false</ScaleCrop>
  <Company/>
  <LinksUpToDate>false</LinksUpToDate>
  <CharactersWithSpaces>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Rana Rehan</dc:creator>
  <cp:lastModifiedBy>Cristian Bitca (2026078)</cp:lastModifiedBy>
  <cp:revision>38</cp:revision>
  <dcterms:created xsi:type="dcterms:W3CDTF">2021-08-01T11:25:00Z</dcterms:created>
  <dcterms:modified xsi:type="dcterms:W3CDTF">2021-08-02T16:25:00Z</dcterms:modified>
</cp:coreProperties>
</file>