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251890" w14:textId="77777777" w:rsidR="004A0EF9" w:rsidRDefault="0040396C">
      <w:pPr>
        <w:rPr>
          <w:b/>
          <w:bCs/>
          <w:sz w:val="28"/>
          <w:szCs w:val="28"/>
          <w:u w:val="single"/>
        </w:rPr>
      </w:pPr>
      <w:r>
        <w:rPr>
          <w:b/>
          <w:bCs/>
          <w:sz w:val="28"/>
          <w:szCs w:val="28"/>
          <w:u w:val="single"/>
        </w:rPr>
        <w:t>What things have moral standing and why?</w:t>
      </w:r>
    </w:p>
    <w:p w14:paraId="2E2C2627" w14:textId="77777777" w:rsidR="004A0EF9" w:rsidRDefault="0040396C">
      <w:r>
        <w:rPr>
          <w:sz w:val="24"/>
          <w:szCs w:val="24"/>
        </w:rPr>
        <w:t>Moral standing in ethics is the status of an entity by virtue of which it is deserving of consideration in moral decision making.</w:t>
      </w:r>
      <w:r>
        <w:rPr>
          <w:rStyle w:val="FootnoteReference"/>
          <w:sz w:val="24"/>
          <w:szCs w:val="24"/>
        </w:rPr>
        <w:footnoteReference w:id="1"/>
      </w:r>
      <w:r>
        <w:rPr>
          <w:sz w:val="24"/>
          <w:szCs w:val="24"/>
        </w:rPr>
        <w:t xml:space="preserve"> Some philosophers such as R.M Hare and Immanuel Kant argued for universalization, which means the ethical</w:t>
      </w:r>
      <w:r>
        <w:rPr>
          <w:sz w:val="24"/>
          <w:szCs w:val="24"/>
        </w:rPr>
        <w:t xml:space="preserve"> laws we have to apply to everything. However, other philosophers such as Baroness Warnock argue that moral standing could only be done by humans.</w:t>
      </w:r>
      <w:r>
        <w:rPr>
          <w:rStyle w:val="FootnoteReference"/>
          <w:sz w:val="24"/>
          <w:szCs w:val="24"/>
        </w:rPr>
        <w:footnoteReference w:id="2"/>
      </w:r>
      <w:r>
        <w:rPr>
          <w:sz w:val="24"/>
          <w:szCs w:val="24"/>
        </w:rPr>
        <w:t xml:space="preserve"> In my opinion, B</w:t>
      </w:r>
      <w:r>
        <w:rPr>
          <w:sz w:val="24"/>
          <w:szCs w:val="24"/>
        </w:rPr>
        <w:t xml:space="preserve">iocentrism gives the best explanation of moral standing because it states every living organism has moral standing however, in conflict, it looks at the relevance of the organisms which helps us make a moral conclusion. </w:t>
      </w:r>
    </w:p>
    <w:p w14:paraId="6EC077D6" w14:textId="77777777" w:rsidR="004A0EF9" w:rsidRDefault="0040396C">
      <w:r>
        <w:rPr>
          <w:sz w:val="24"/>
          <w:szCs w:val="24"/>
        </w:rPr>
        <w:t>Kant used an Anthropocentric approa</w:t>
      </w:r>
      <w:r>
        <w:rPr>
          <w:sz w:val="24"/>
          <w:szCs w:val="24"/>
        </w:rPr>
        <w:t>ch which focuses on the only human being able to make moral decisions.  The Anthropocentric approach is an epistemological argument. This theory that only humans have moral standing can be supported by philosophers such as Rene Descartes who argues that hu</w:t>
      </w:r>
      <w:r>
        <w:rPr>
          <w:sz w:val="24"/>
          <w:szCs w:val="24"/>
        </w:rPr>
        <w:t>mans have rationality which is why only humans have moral standing.</w:t>
      </w:r>
      <w:r>
        <w:rPr>
          <w:rStyle w:val="FootnoteReference"/>
          <w:sz w:val="24"/>
          <w:szCs w:val="24"/>
        </w:rPr>
        <w:footnoteReference w:id="3"/>
      </w:r>
      <w:r>
        <w:rPr>
          <w:sz w:val="24"/>
          <w:szCs w:val="24"/>
        </w:rPr>
        <w:t xml:space="preserve">  Evidence of this is a quote </w:t>
      </w:r>
      <w:r>
        <w:rPr>
          <w:sz w:val="24"/>
          <w:szCs w:val="24"/>
        </w:rPr>
        <w:t xml:space="preserve">from Descartes which states, “Common sense is the most widely shared commodity in the world, for every man is convinced that he is well supplied with it.” </w:t>
      </w:r>
      <w:r>
        <w:rPr>
          <w:rStyle w:val="FootnoteReference"/>
          <w:sz w:val="24"/>
          <w:szCs w:val="24"/>
        </w:rPr>
        <w:footnoteReference w:id="4"/>
      </w:r>
      <w:r>
        <w:rPr>
          <w:sz w:val="24"/>
          <w:szCs w:val="24"/>
        </w:rPr>
        <w:t xml:space="preserve"> This shows that as humans we have special attributes such as “common sense” we, therefore, have higher moral standing over everything else. However, an issue with this ideology is the question of</w:t>
      </w:r>
      <w:r>
        <w:rPr>
          <w:sz w:val="24"/>
          <w:szCs w:val="24"/>
        </w:rPr>
        <w:t xml:space="preserve"> how do we protect animals and the environment if we only look at the world from a humanistic perspective. Mary Midgley would argue that “people have duties as farmers, parents, consumers, forest dwellers, shipwrecked mariners, potential ancestors and actu</w:t>
      </w:r>
      <w:r>
        <w:rPr>
          <w:sz w:val="24"/>
          <w:szCs w:val="24"/>
        </w:rPr>
        <w:t>al descendants.”</w:t>
      </w:r>
      <w:r>
        <w:rPr>
          <w:rStyle w:val="FootnoteReference"/>
          <w:sz w:val="24"/>
          <w:szCs w:val="24"/>
        </w:rPr>
        <w:footnoteReference w:id="5"/>
      </w:r>
      <w:r>
        <w:rPr>
          <w:sz w:val="24"/>
          <w:szCs w:val="24"/>
        </w:rPr>
        <w:t xml:space="preserve"> This links to the idea of “Stewardship” in Christianity. However, this view is problematic because it suggests that humans ar</w:t>
      </w:r>
      <w:r>
        <w:rPr>
          <w:sz w:val="24"/>
          <w:szCs w:val="24"/>
        </w:rPr>
        <w:t xml:space="preserve">e some sort of divine creature which is more important and better than everyone else, which would clearly be a cloud over humans moral standing. </w:t>
      </w:r>
    </w:p>
    <w:p w14:paraId="68C24C7E" w14:textId="77777777" w:rsidR="004A0EF9" w:rsidRDefault="0040396C">
      <w:r>
        <w:rPr>
          <w:sz w:val="24"/>
          <w:szCs w:val="24"/>
        </w:rPr>
        <w:t>A different perspective on moral standing comes from Joel Feinberg idea of sentience. Joel Feinberg asks two q</w:t>
      </w:r>
      <w:r>
        <w:rPr>
          <w:sz w:val="24"/>
          <w:szCs w:val="24"/>
        </w:rPr>
        <w:t>uestions, question 1: “What sorts of beings can (logically) be said to deserve moral consideration?” and question 2: “What sorts of beings do, as a matter of “ethical fact” deserve moral consideration?”</w:t>
      </w:r>
      <w:r>
        <w:rPr>
          <w:rStyle w:val="FootnoteReference"/>
          <w:sz w:val="24"/>
          <w:szCs w:val="24"/>
        </w:rPr>
        <w:footnoteReference w:id="6"/>
      </w:r>
      <w:r>
        <w:rPr>
          <w:sz w:val="24"/>
          <w:szCs w:val="24"/>
        </w:rPr>
        <w:t xml:space="preserve"> This shows the flexibility of our metamoral beliefs. A realistic example of this is that there have been societies throughout time in which the moral standing of black people has supported segregation due to the id</w:t>
      </w:r>
      <w:r>
        <w:rPr>
          <w:sz w:val="24"/>
          <w:szCs w:val="24"/>
        </w:rPr>
        <w:t>ea of conceptual analysis.</w:t>
      </w:r>
      <w:r>
        <w:rPr>
          <w:rStyle w:val="FootnoteReference"/>
          <w:sz w:val="24"/>
          <w:szCs w:val="24"/>
        </w:rPr>
        <w:footnoteReference w:id="7"/>
      </w:r>
      <w:r>
        <w:rPr>
          <w:sz w:val="24"/>
          <w:szCs w:val="24"/>
        </w:rPr>
        <w:t xml:space="preserve"> This, therefore, supports my view that moral standing should not be based on humans. Peter Singer argues that whatever capacity we pick we can always find an animal that has more of that capacity than some human </w:t>
      </w:r>
      <w:r>
        <w:rPr>
          <w:sz w:val="24"/>
          <w:szCs w:val="24"/>
        </w:rPr>
        <w:t>beings and the only property humans seem to have is being in the species of Homosapien.  However, if we class this as the reason for moral standing it shows that humans discriminate on the class of speciesism.</w:t>
      </w:r>
      <w:r>
        <w:rPr>
          <w:rStyle w:val="FootnoteReference"/>
          <w:sz w:val="24"/>
          <w:szCs w:val="24"/>
        </w:rPr>
        <w:footnoteReference w:id="8"/>
      </w:r>
      <w:r>
        <w:rPr>
          <w:sz w:val="24"/>
          <w:szCs w:val="24"/>
        </w:rPr>
        <w:t xml:space="preserve">  This idea </w:t>
      </w:r>
      <w:r>
        <w:rPr>
          <w:sz w:val="24"/>
          <w:szCs w:val="24"/>
        </w:rPr>
        <w:lastRenderedPageBreak/>
        <w:t>is supported by Dale Jamieson who gives the analogy of alternative history where Neanderthals are still around and are exactly like y</w:t>
      </w:r>
      <w:r>
        <w:rPr>
          <w:sz w:val="24"/>
          <w:szCs w:val="24"/>
        </w:rPr>
        <w:t>ou. Then you find out your roommate is a Neanderthal would this mean you could use them for research. The moral answer is no.</w:t>
      </w:r>
      <w:r>
        <w:rPr>
          <w:rStyle w:val="FootnoteReference"/>
          <w:sz w:val="24"/>
          <w:szCs w:val="24"/>
        </w:rPr>
        <w:footnoteReference w:id="9"/>
      </w:r>
      <w:r>
        <w:rPr>
          <w:sz w:val="24"/>
          <w:szCs w:val="24"/>
        </w:rPr>
        <w:t xml:space="preserve"> This, therefore, shows that sentience is sufficient for moral standing. </w:t>
      </w:r>
    </w:p>
    <w:p w14:paraId="00FD7271" w14:textId="5D49FA8F" w:rsidR="004A0EF9" w:rsidRDefault="0040396C">
      <w:r>
        <w:rPr>
          <w:sz w:val="24"/>
          <w:szCs w:val="24"/>
        </w:rPr>
        <w:t xml:space="preserve">Finally, another view of moral standing is </w:t>
      </w:r>
      <w:r>
        <w:rPr>
          <w:sz w:val="24"/>
          <w:szCs w:val="24"/>
        </w:rPr>
        <w:t>Biocentrism which argues that all living organism</w:t>
      </w:r>
      <w:r w:rsidR="00221696">
        <w:rPr>
          <w:sz w:val="24"/>
          <w:szCs w:val="24"/>
        </w:rPr>
        <w:t>s</w:t>
      </w:r>
      <w:r>
        <w:rPr>
          <w:sz w:val="24"/>
          <w:szCs w:val="24"/>
        </w:rPr>
        <w:t xml:space="preserve"> ha</w:t>
      </w:r>
      <w:r w:rsidR="00221696">
        <w:rPr>
          <w:sz w:val="24"/>
          <w:szCs w:val="24"/>
        </w:rPr>
        <w:t>ve</w:t>
      </w:r>
      <w:r>
        <w:rPr>
          <w:sz w:val="24"/>
          <w:szCs w:val="24"/>
        </w:rPr>
        <w:t xml:space="preserve"> moral standing. However the theory also recognises that different organisms have different levels of moral relevance when interests conflict.</w:t>
      </w:r>
      <w:r>
        <w:rPr>
          <w:rStyle w:val="FootnoteReference"/>
          <w:sz w:val="24"/>
          <w:szCs w:val="24"/>
        </w:rPr>
        <w:footnoteReference w:id="10"/>
      </w:r>
      <w:r>
        <w:rPr>
          <w:sz w:val="24"/>
          <w:szCs w:val="24"/>
        </w:rPr>
        <w:t xml:space="preserve"> A Philosopher who supports this view is Kenneth Goodpaster who argues “Sentience or the capacity to have conscious experiences is only one tool t</w:t>
      </w:r>
      <w:r>
        <w:rPr>
          <w:sz w:val="24"/>
          <w:szCs w:val="24"/>
        </w:rPr>
        <w:t>hat evolution gave us in order to survive and reproduce. So why should morality privilege those of us who happen to survive and reproduce by experiencing pleasure and pain over other living organisms who survive and reproduce in other ways?”</w:t>
      </w:r>
      <w:r>
        <w:rPr>
          <w:rStyle w:val="FootnoteReference"/>
          <w:sz w:val="24"/>
          <w:szCs w:val="24"/>
        </w:rPr>
        <w:footnoteReference w:id="11"/>
      </w:r>
      <w:r>
        <w:rPr>
          <w:sz w:val="24"/>
          <w:szCs w:val="24"/>
        </w:rPr>
        <w:t xml:space="preserve"> This </w:t>
      </w:r>
      <w:r>
        <w:rPr>
          <w:sz w:val="24"/>
          <w:szCs w:val="24"/>
        </w:rPr>
        <w:t>view is supported by Robin Attfield’s work “The Good Trees”: “And God said, “Let the earth put forth vegetation, plant yielding seeds, and fruit trees bearing fruit in which their seed, each according to its kind upon the earth.”</w:t>
      </w:r>
      <w:r>
        <w:rPr>
          <w:rStyle w:val="FootnoteReference"/>
          <w:sz w:val="24"/>
          <w:szCs w:val="24"/>
        </w:rPr>
        <w:footnoteReference w:id="12"/>
      </w:r>
      <w:r>
        <w:rPr>
          <w:sz w:val="24"/>
          <w:szCs w:val="24"/>
        </w:rPr>
        <w:t>( Genesis 1)  Attfield</w:t>
      </w:r>
      <w:r>
        <w:rPr>
          <w:sz w:val="24"/>
          <w:szCs w:val="24"/>
        </w:rPr>
        <w:t xml:space="preserve">’s view is </w:t>
      </w:r>
      <w:proofErr w:type="spellStart"/>
      <w:r>
        <w:rPr>
          <w:sz w:val="24"/>
          <w:szCs w:val="24"/>
        </w:rPr>
        <w:t>biocentrist</w:t>
      </w:r>
      <w:proofErr w:type="spellEnd"/>
      <w:r>
        <w:rPr>
          <w:sz w:val="24"/>
          <w:szCs w:val="24"/>
        </w:rPr>
        <w:t xml:space="preserve"> as he considers all living things to have value. Biocentrism is the most important theory in understanding moral standing because it looks at the value of living organisms as well as understanding that different organisms have more m</w:t>
      </w:r>
      <w:r>
        <w:rPr>
          <w:sz w:val="24"/>
          <w:szCs w:val="24"/>
        </w:rPr>
        <w:t>oral relevance than others. However, one clear argument against this theory is that it is not possible to consider all life in your endorse this view.</w:t>
      </w:r>
    </w:p>
    <w:p w14:paraId="161C0569" w14:textId="77777777" w:rsidR="004A0EF9" w:rsidRDefault="0040396C">
      <w:r>
        <w:rPr>
          <w:sz w:val="24"/>
          <w:szCs w:val="24"/>
        </w:rPr>
        <w:t xml:space="preserve">To conclude,  Biocentrism is the best theory regarding moral standing because  every living organism has </w:t>
      </w:r>
      <w:r>
        <w:rPr>
          <w:sz w:val="24"/>
          <w:szCs w:val="24"/>
        </w:rPr>
        <w:t xml:space="preserve">interests or their own good, and thus has moral standing. This is compared to </w:t>
      </w:r>
      <w:proofErr w:type="spellStart"/>
      <w:r>
        <w:rPr>
          <w:sz w:val="24"/>
          <w:szCs w:val="24"/>
        </w:rPr>
        <w:t>sentientism</w:t>
      </w:r>
      <w:proofErr w:type="spellEnd"/>
      <w:r>
        <w:rPr>
          <w:sz w:val="24"/>
          <w:szCs w:val="24"/>
        </w:rPr>
        <w:t xml:space="preserve"> which focuses on pain and pleasure which is a form of prejudice  as not everything that has interests suffers pain and pleasure.  So to summarise every living organis</w:t>
      </w:r>
      <w:r>
        <w:rPr>
          <w:sz w:val="24"/>
          <w:szCs w:val="24"/>
        </w:rPr>
        <w:t>m has moral standing because organisms can have interests or their own good, even if they are not sentient.</w:t>
      </w:r>
    </w:p>
    <w:sectPr w:rsidR="004A0EF9">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7A6B5E" w14:textId="77777777" w:rsidR="0040396C" w:rsidRDefault="0040396C">
      <w:pPr>
        <w:spacing w:after="0"/>
      </w:pPr>
      <w:r>
        <w:separator/>
      </w:r>
    </w:p>
  </w:endnote>
  <w:endnote w:type="continuationSeparator" w:id="0">
    <w:p w14:paraId="5C3AA629" w14:textId="77777777" w:rsidR="0040396C" w:rsidRDefault="0040396C">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F10DDC" w14:textId="77777777" w:rsidR="0040396C" w:rsidRDefault="0040396C">
      <w:pPr>
        <w:spacing w:after="0"/>
      </w:pPr>
      <w:r>
        <w:rPr>
          <w:color w:val="000000"/>
        </w:rPr>
        <w:separator/>
      </w:r>
    </w:p>
  </w:footnote>
  <w:footnote w:type="continuationSeparator" w:id="0">
    <w:p w14:paraId="4C419416" w14:textId="77777777" w:rsidR="0040396C" w:rsidRDefault="0040396C">
      <w:pPr>
        <w:spacing w:after="0"/>
      </w:pPr>
      <w:r>
        <w:continuationSeparator/>
      </w:r>
    </w:p>
  </w:footnote>
  <w:footnote w:id="1">
    <w:p w14:paraId="294E7F22" w14:textId="77777777" w:rsidR="004A0EF9" w:rsidRDefault="0040396C">
      <w:pPr>
        <w:pStyle w:val="FootnoteText"/>
      </w:pPr>
      <w:r>
        <w:rPr>
          <w:rStyle w:val="FootnoteReference"/>
        </w:rPr>
        <w:footnoteRef/>
      </w:r>
      <w:r>
        <w:t xml:space="preserve"> Madsen, P. (2015, December 17). moral standing. </w:t>
      </w:r>
      <w:proofErr w:type="spellStart"/>
      <w:r>
        <w:t>Encyclopedia</w:t>
      </w:r>
      <w:proofErr w:type="spellEnd"/>
      <w:r>
        <w:t xml:space="preserve"> Britannica. </w:t>
      </w:r>
      <w:hyperlink r:id="rId1" w:history="1">
        <w:r>
          <w:rPr>
            <w:rStyle w:val="Hyperlink"/>
          </w:rPr>
          <w:t>https://www.britannica.com/topic/moral-standing</w:t>
        </w:r>
      </w:hyperlink>
      <w:r>
        <w:t xml:space="preserve"> (21/11/2021)</w:t>
      </w:r>
    </w:p>
  </w:footnote>
  <w:footnote w:id="2">
    <w:p w14:paraId="436FF2CC" w14:textId="77777777" w:rsidR="004A0EF9" w:rsidRDefault="0040396C">
      <w:pPr>
        <w:pStyle w:val="FootnoteText"/>
      </w:pPr>
      <w:r>
        <w:rPr>
          <w:rStyle w:val="FootnoteReference"/>
        </w:rPr>
        <w:footnoteRef/>
      </w:r>
      <w:r>
        <w:t xml:space="preserve">  </w:t>
      </w:r>
      <w:proofErr w:type="spellStart"/>
      <w:r>
        <w:t>Goodpaster,K</w:t>
      </w:r>
      <w:proofErr w:type="spellEnd"/>
      <w:r>
        <w:t>.(1978) ‘On Being Morally Considerable’, in Journal of Philosophy, page 311</w:t>
      </w:r>
    </w:p>
  </w:footnote>
  <w:footnote w:id="3">
    <w:p w14:paraId="38C265D5" w14:textId="77777777" w:rsidR="004A0EF9" w:rsidRDefault="0040396C">
      <w:pPr>
        <w:pStyle w:val="FootnoteText"/>
      </w:pPr>
      <w:r>
        <w:rPr>
          <w:rStyle w:val="FootnoteReference"/>
        </w:rPr>
        <w:footnoteRef/>
      </w:r>
      <w:r>
        <w:t xml:space="preserve"> </w:t>
      </w:r>
      <w:proofErr w:type="spellStart"/>
      <w:r>
        <w:t>Sebo</w:t>
      </w:r>
      <w:proofErr w:type="spellEnd"/>
      <w:r>
        <w:t>, J. (2014). PHILOSOPHY - Ethics: Moral Status [HD]. [online] Available at: https://www.youtube.com/watch?v=smuhAjyRbw0&amp;t=35s [Accessed 21 Nov. 2021].</w:t>
      </w:r>
    </w:p>
  </w:footnote>
  <w:footnote w:id="4">
    <w:p w14:paraId="14C98189" w14:textId="77777777" w:rsidR="004A0EF9" w:rsidRDefault="0040396C">
      <w:pPr>
        <w:pStyle w:val="FootnoteText"/>
      </w:pPr>
      <w:r>
        <w:rPr>
          <w:rStyle w:val="FootnoteReference"/>
        </w:rPr>
        <w:footnoteRef/>
      </w:r>
      <w:r>
        <w:t xml:space="preserve"> </w:t>
      </w:r>
      <w:hyperlink r:id="rId2" w:history="1">
        <w:r>
          <w:rPr>
            <w:rStyle w:val="Hyperlink"/>
          </w:rPr>
          <w:t>https://www.goodrea</w:t>
        </w:r>
        <w:r>
          <w:rPr>
            <w:rStyle w:val="Hyperlink"/>
          </w:rPr>
          <w:t>ds.com/author/quotes/36556.Ren_Descartes</w:t>
        </w:r>
      </w:hyperlink>
      <w:r>
        <w:t xml:space="preserve"> accessed 21/11/2021</w:t>
      </w:r>
    </w:p>
  </w:footnote>
  <w:footnote w:id="5">
    <w:p w14:paraId="117B207E" w14:textId="77777777" w:rsidR="004A0EF9" w:rsidRDefault="0040396C">
      <w:pPr>
        <w:pStyle w:val="FootnoteText"/>
      </w:pPr>
      <w:r>
        <w:rPr>
          <w:rStyle w:val="FootnoteReference"/>
        </w:rPr>
        <w:footnoteRef/>
      </w:r>
      <w:r>
        <w:t xml:space="preserve"> Benson, J. (2000) Environmental ethics : an introduction with readings. [Online]. London ;: Routledge page 13</w:t>
      </w:r>
    </w:p>
  </w:footnote>
  <w:footnote w:id="6">
    <w:p w14:paraId="3B9A2C55" w14:textId="77777777" w:rsidR="004A0EF9" w:rsidRDefault="0040396C">
      <w:pPr>
        <w:pStyle w:val="FootnoteText"/>
      </w:pPr>
      <w:r>
        <w:rPr>
          <w:rStyle w:val="FootnoteReference"/>
        </w:rPr>
        <w:footnoteRef/>
      </w:r>
      <w:r>
        <w:t xml:space="preserve">  Goodpaster, K. (1978) ‘On Being Morally Consider</w:t>
      </w:r>
      <w:r>
        <w:t>able’, in Journal of Philosophy, page 312</w:t>
      </w:r>
    </w:p>
  </w:footnote>
  <w:footnote w:id="7">
    <w:p w14:paraId="24A39950" w14:textId="77777777" w:rsidR="004A0EF9" w:rsidRDefault="0040396C">
      <w:pPr>
        <w:pStyle w:val="FootnoteText"/>
      </w:pPr>
      <w:r>
        <w:rPr>
          <w:rStyle w:val="FootnoteReference"/>
        </w:rPr>
        <w:footnoteRef/>
      </w:r>
      <w:r>
        <w:t xml:space="preserve"> Ibid</w:t>
      </w:r>
    </w:p>
  </w:footnote>
  <w:footnote w:id="8">
    <w:p w14:paraId="333D6323" w14:textId="77777777" w:rsidR="004A0EF9" w:rsidRDefault="0040396C">
      <w:pPr>
        <w:pStyle w:val="FootnoteText"/>
      </w:pPr>
      <w:r>
        <w:rPr>
          <w:rStyle w:val="FootnoteReference"/>
        </w:rPr>
        <w:footnoteRef/>
      </w:r>
      <w:r>
        <w:t xml:space="preserve"> </w:t>
      </w:r>
      <w:proofErr w:type="spellStart"/>
      <w:r>
        <w:t>Sebo,J</w:t>
      </w:r>
      <w:proofErr w:type="spellEnd"/>
      <w:r>
        <w:t>. (2014). PHILOSOPHY - Ethics: Moral</w:t>
      </w:r>
      <w:r>
        <w:t xml:space="preserve"> Status [HD]. [online] Available at: https://www.youtube.com/watch?v=smuhAjyRbw0&amp;t=35s [Accessed 21 Nov. 2021].</w:t>
      </w:r>
    </w:p>
  </w:footnote>
  <w:footnote w:id="9">
    <w:p w14:paraId="5510FDB8" w14:textId="77777777" w:rsidR="004A0EF9" w:rsidRDefault="0040396C">
      <w:pPr>
        <w:pStyle w:val="FootnoteText"/>
      </w:pPr>
      <w:r>
        <w:rPr>
          <w:rStyle w:val="FootnoteReference"/>
        </w:rPr>
        <w:footnoteRef/>
      </w:r>
      <w:r>
        <w:t xml:space="preserve"> Ibid</w:t>
      </w:r>
    </w:p>
  </w:footnote>
  <w:footnote w:id="10">
    <w:p w14:paraId="07E26B0B" w14:textId="77777777" w:rsidR="004A0EF9" w:rsidRDefault="0040396C">
      <w:pPr>
        <w:pStyle w:val="FootnoteText"/>
      </w:pPr>
      <w:r>
        <w:rPr>
          <w:rStyle w:val="FootnoteReference"/>
        </w:rPr>
        <w:footnoteRef/>
      </w:r>
      <w:r>
        <w:t xml:space="preserve"> Humphreys, R. (2014), 'Biocentrism', Springer, Encyclopa</w:t>
      </w:r>
      <w:r>
        <w:t>edia of Bioethics, page 12, https://www.researchgate.net/publication/305377158_Biocentrism accessed 22/11/2021</w:t>
      </w:r>
    </w:p>
  </w:footnote>
  <w:footnote w:id="11">
    <w:p w14:paraId="14312764" w14:textId="77777777" w:rsidR="004A0EF9" w:rsidRDefault="0040396C">
      <w:pPr>
        <w:pStyle w:val="FootnoteText"/>
      </w:pPr>
      <w:r>
        <w:rPr>
          <w:rStyle w:val="FootnoteReference"/>
        </w:rPr>
        <w:footnoteRef/>
      </w:r>
      <w:r>
        <w:t xml:space="preserve"> ibid</w:t>
      </w:r>
    </w:p>
  </w:footnote>
  <w:footnote w:id="12">
    <w:p w14:paraId="3CC0E91E" w14:textId="77777777" w:rsidR="004A0EF9" w:rsidRDefault="0040396C">
      <w:pPr>
        <w:pStyle w:val="FootnoteText"/>
      </w:pPr>
      <w:r>
        <w:rPr>
          <w:rStyle w:val="FootnoteReference"/>
        </w:rPr>
        <w:footnoteRef/>
      </w:r>
      <w:r>
        <w:t xml:space="preserve">  </w:t>
      </w:r>
      <w:proofErr w:type="spellStart"/>
      <w:r>
        <w:t>Attifield</w:t>
      </w:r>
      <w:proofErr w:type="spellEnd"/>
      <w:r>
        <w:t>, R. (1981),</w:t>
      </w:r>
      <w:r>
        <w:t xml:space="preserve"> The Good of trees, The </w:t>
      </w:r>
      <w:proofErr w:type="spellStart"/>
      <w:r>
        <w:t>Journel</w:t>
      </w:r>
      <w:proofErr w:type="spellEnd"/>
      <w:r>
        <w:t xml:space="preserve"> of Value inquiry, page 160, </w:t>
      </w:r>
      <w:hyperlink r:id="rId3" w:history="1">
        <w:r>
          <w:rPr>
            <w:rStyle w:val="Hyperlink"/>
          </w:rPr>
          <w:t>https://www.researchgate.net/publication/281279212_The_Good_of_Trees</w:t>
        </w:r>
      </w:hyperlink>
      <w:r>
        <w:t xml:space="preserve"> accessed 22/11/2021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defaultTabStop w:val="720"/>
  <w:autoHyphenation/>
  <w:characterSpacingControl w:val="doNotCompress"/>
  <w:savePreviewPicture/>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docVars>
    <w:docVar w:name="__Grammarly_42____i" w:val="H4sIAAAAAAAEAKtWckksSQxILCpxzi/NK1GyMqwFAAEhoTITAAAA"/>
    <w:docVar w:name="__Grammarly_42___1" w:val="H4sIAAAAAAAEAKtWcslP9kxRslIyNDayMDI2MDU0NjQzMzM1szBV0lEKTi0uzszPAykwrAUA3WMCASwAAAA="/>
  </w:docVars>
  <w:rsids>
    <w:rsidRoot w:val="004A0EF9"/>
    <w:rsid w:val="00221696"/>
    <w:rsid w:val="0040396C"/>
    <w:rsid w:val="004A0EF9"/>
    <w:rsid w:val="005272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9C485B"/>
  <w15:docId w15:val="{E0893C2D-B703-4BF5-8E7D-4B7BFCAE7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pPr>
      <w:spacing w:after="0"/>
    </w:pPr>
    <w:rPr>
      <w:sz w:val="20"/>
      <w:szCs w:val="20"/>
    </w:rPr>
  </w:style>
  <w:style w:type="character" w:customStyle="1" w:styleId="FootnoteTextChar">
    <w:name w:val="Footnote Text Char"/>
    <w:basedOn w:val="DefaultParagraphFont"/>
    <w:rPr>
      <w:sz w:val="20"/>
      <w:szCs w:val="20"/>
    </w:rPr>
  </w:style>
  <w:style w:type="character" w:styleId="FootnoteReference">
    <w:name w:val="footnote reference"/>
    <w:basedOn w:val="DefaultParagraphFont"/>
    <w:rPr>
      <w:position w:val="0"/>
      <w:vertAlign w:val="superscript"/>
    </w:rPr>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_rels/footnotes.xml.rels><?xml version="1.0" encoding="UTF-8" standalone="yes"?>
<Relationships xmlns="http://schemas.openxmlformats.org/package/2006/relationships"><Relationship Id="rId3" Type="http://schemas.openxmlformats.org/officeDocument/2006/relationships/hyperlink" Target="https://www.researchgate.net/publication/281279212_The_Good_of_Trees" TargetMode="External"/><Relationship Id="rId2" Type="http://schemas.openxmlformats.org/officeDocument/2006/relationships/hyperlink" Target="https://www.goodreads.com/author/quotes/36556.Ren_Descartes" TargetMode="External"/><Relationship Id="rId1" Type="http://schemas.openxmlformats.org/officeDocument/2006/relationships/hyperlink" Target="https://www.britannica.com/topic/moral-standing"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751</Words>
  <Characters>4283</Characters>
  <Application>Microsoft Office Word</Application>
  <DocSecurity>0</DocSecurity>
  <Lines>35</Lines>
  <Paragraphs>10</Paragraphs>
  <ScaleCrop>false</ScaleCrop>
  <Company/>
  <LinksUpToDate>false</LinksUpToDate>
  <CharactersWithSpaces>5024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Stewart Hinsull (2103522)</dc:creator>
  <dc:description/>
  <cp:lastModifiedBy>David Stewart Hinsull (2103522)</cp:lastModifiedBy>
  <cp:revision>2</cp:revision>
  <dcterms:created xsi:type="dcterms:W3CDTF">2021-11-25T09:42:00Z</dcterms:created>
  <dcterms:modified xsi:type="dcterms:W3CDTF">2021-11-25T09:42:00Z</dcterms:modified>
</cp:coreProperties>
</file>