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9F333B" w14:textId="77777777" w:rsidR="00391293" w:rsidRPr="00391293" w:rsidRDefault="001C6FD2" w:rsidP="00391293">
      <w:pPr>
        <w:spacing w:line="360" w:lineRule="auto"/>
        <w:jc w:val="center"/>
        <w:rPr>
          <w:color w:val="000000" w:themeColor="text1"/>
        </w:rPr>
      </w:pPr>
      <w:r w:rsidRPr="00391293">
        <w:rPr>
          <w:color w:val="000000" w:themeColor="text1"/>
        </w:rPr>
        <w:t xml:space="preserve">    </w:t>
      </w:r>
      <w:r w:rsidR="00391293" w:rsidRPr="00391293">
        <w:rPr>
          <w:noProof/>
          <w:color w:val="000000" w:themeColor="text1"/>
          <w:lang w:eastAsia="en-GB"/>
        </w:rPr>
        <w:drawing>
          <wp:inline distT="0" distB="0" distL="0" distR="0" wp14:anchorId="0ABF0F2C" wp14:editId="5EB5B252">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7A50DD33" w14:textId="77777777" w:rsidR="00391293" w:rsidRPr="00391293" w:rsidRDefault="00391293" w:rsidP="00391293">
      <w:pPr>
        <w:spacing w:line="360" w:lineRule="auto"/>
        <w:jc w:val="center"/>
        <w:rPr>
          <w:color w:val="000000" w:themeColor="text1"/>
        </w:rPr>
      </w:pPr>
    </w:p>
    <w:p w14:paraId="2011A2FE" w14:textId="32989517" w:rsidR="00391293" w:rsidRDefault="00391293" w:rsidP="00391293">
      <w:pPr>
        <w:spacing w:line="360" w:lineRule="auto"/>
        <w:jc w:val="center"/>
        <w:rPr>
          <w:color w:val="000000" w:themeColor="text1"/>
        </w:rPr>
      </w:pPr>
    </w:p>
    <w:p w14:paraId="229C6F4B" w14:textId="77777777" w:rsidR="00391293" w:rsidRPr="00391293" w:rsidRDefault="00391293" w:rsidP="00391293">
      <w:pPr>
        <w:spacing w:line="360" w:lineRule="auto"/>
        <w:jc w:val="center"/>
        <w:rPr>
          <w:color w:val="000000" w:themeColor="text1"/>
        </w:rPr>
      </w:pPr>
    </w:p>
    <w:p w14:paraId="18DB9F72" w14:textId="77777777" w:rsidR="00391293" w:rsidRPr="00391293" w:rsidRDefault="00391293" w:rsidP="00391293">
      <w:pPr>
        <w:spacing w:line="360" w:lineRule="auto"/>
        <w:jc w:val="center"/>
        <w:rPr>
          <w:color w:val="000000" w:themeColor="text1"/>
        </w:rPr>
      </w:pPr>
    </w:p>
    <w:p w14:paraId="642FA12A" w14:textId="5FA6B0DB" w:rsidR="00391293" w:rsidRPr="00391293" w:rsidRDefault="001C6FD2" w:rsidP="00391293">
      <w:pPr>
        <w:spacing w:line="360" w:lineRule="auto"/>
        <w:jc w:val="center"/>
        <w:rPr>
          <w:rFonts w:ascii="Arial" w:hAnsi="Arial" w:cs="Arial"/>
          <w:b/>
          <w:color w:val="000000" w:themeColor="text1"/>
          <w:sz w:val="32"/>
          <w:szCs w:val="32"/>
        </w:rPr>
      </w:pPr>
      <w:r w:rsidRPr="00391293">
        <w:rPr>
          <w:color w:val="000000" w:themeColor="text1"/>
        </w:rPr>
        <w:t xml:space="preserve"> </w:t>
      </w:r>
      <w:r w:rsidR="00391293" w:rsidRPr="00391293">
        <w:rPr>
          <w:rFonts w:ascii="Arial" w:hAnsi="Arial" w:cs="Arial"/>
          <w:b/>
          <w:color w:val="000000" w:themeColor="text1"/>
          <w:sz w:val="32"/>
          <w:szCs w:val="32"/>
        </w:rPr>
        <w:t>Academic Discipline of Psychology &amp; Counselling</w:t>
      </w:r>
    </w:p>
    <w:p w14:paraId="1246B4AF" w14:textId="66666536" w:rsidR="00391293" w:rsidRDefault="00391293" w:rsidP="00391293">
      <w:pPr>
        <w:spacing w:line="360" w:lineRule="auto"/>
        <w:jc w:val="center"/>
        <w:rPr>
          <w:rFonts w:ascii="Arial" w:hAnsi="Arial" w:cs="Arial"/>
          <w:b/>
          <w:color w:val="000000" w:themeColor="text1"/>
          <w:sz w:val="32"/>
          <w:szCs w:val="32"/>
        </w:rPr>
      </w:pPr>
    </w:p>
    <w:p w14:paraId="0145C813" w14:textId="77777777" w:rsidR="00391293" w:rsidRPr="00391293" w:rsidRDefault="00391293" w:rsidP="00391293">
      <w:pPr>
        <w:spacing w:line="360" w:lineRule="auto"/>
        <w:jc w:val="center"/>
        <w:rPr>
          <w:rFonts w:ascii="Arial" w:hAnsi="Arial" w:cs="Arial"/>
          <w:b/>
          <w:color w:val="000000" w:themeColor="text1"/>
          <w:sz w:val="32"/>
          <w:szCs w:val="32"/>
        </w:rPr>
      </w:pPr>
    </w:p>
    <w:p w14:paraId="3D8E4AAE" w14:textId="77777777" w:rsidR="00391293" w:rsidRPr="00391293" w:rsidRDefault="00391293" w:rsidP="00391293">
      <w:pPr>
        <w:autoSpaceDE w:val="0"/>
        <w:autoSpaceDN w:val="0"/>
        <w:adjustRightInd w:val="0"/>
        <w:spacing w:line="360" w:lineRule="auto"/>
        <w:jc w:val="center"/>
        <w:rPr>
          <w:rFonts w:ascii="Arial" w:hAnsi="Arial" w:cs="Arial"/>
          <w:b/>
          <w:color w:val="000000" w:themeColor="text1"/>
          <w:sz w:val="32"/>
          <w:szCs w:val="32"/>
          <w:lang w:eastAsia="en-GB"/>
        </w:rPr>
      </w:pPr>
      <w:proofErr w:type="spellStart"/>
      <w:r w:rsidRPr="00391293">
        <w:rPr>
          <w:rFonts w:ascii="Arial" w:hAnsi="Arial" w:cs="Arial"/>
          <w:b/>
          <w:color w:val="000000" w:themeColor="text1"/>
          <w:sz w:val="32"/>
          <w:szCs w:val="32"/>
          <w:lang w:eastAsia="en-GB"/>
        </w:rPr>
        <w:t>MArts</w:t>
      </w:r>
      <w:proofErr w:type="spellEnd"/>
      <w:r w:rsidRPr="00391293">
        <w:rPr>
          <w:rFonts w:ascii="Arial" w:hAnsi="Arial" w:cs="Arial"/>
          <w:b/>
          <w:color w:val="000000" w:themeColor="text1"/>
          <w:sz w:val="32"/>
          <w:szCs w:val="32"/>
          <w:lang w:eastAsia="en-GB"/>
        </w:rPr>
        <w:t>/BA Humanistic Counselling Practice</w:t>
      </w:r>
    </w:p>
    <w:p w14:paraId="16D3DC64" w14:textId="77777777" w:rsidR="00391293" w:rsidRPr="00391293" w:rsidRDefault="00391293" w:rsidP="00391293">
      <w:pPr>
        <w:jc w:val="center"/>
        <w:rPr>
          <w:rFonts w:ascii="Arial" w:hAnsi="Arial" w:cs="Arial"/>
          <w:b/>
          <w:color w:val="000000" w:themeColor="text1"/>
          <w:sz w:val="32"/>
          <w:szCs w:val="32"/>
        </w:rPr>
      </w:pPr>
    </w:p>
    <w:p w14:paraId="58BAA060" w14:textId="77777777" w:rsidR="00391293" w:rsidRPr="00391293" w:rsidRDefault="00391293" w:rsidP="00391293">
      <w:pPr>
        <w:jc w:val="center"/>
        <w:rPr>
          <w:rFonts w:ascii="Arial" w:hAnsi="Arial" w:cs="Arial"/>
          <w:b/>
          <w:color w:val="000000" w:themeColor="text1"/>
          <w:sz w:val="32"/>
          <w:szCs w:val="32"/>
        </w:rPr>
      </w:pPr>
    </w:p>
    <w:p w14:paraId="0AA7579F" w14:textId="77777777" w:rsidR="00391293" w:rsidRPr="00391293" w:rsidRDefault="00391293" w:rsidP="00391293">
      <w:pPr>
        <w:jc w:val="center"/>
        <w:rPr>
          <w:rFonts w:ascii="Arial" w:hAnsi="Arial" w:cs="Arial"/>
          <w:b/>
          <w:color w:val="000000" w:themeColor="text1"/>
          <w:sz w:val="32"/>
          <w:szCs w:val="32"/>
        </w:rPr>
      </w:pPr>
    </w:p>
    <w:p w14:paraId="50D932F2" w14:textId="12A23DC1" w:rsidR="00391293" w:rsidRPr="00391293" w:rsidRDefault="00391293" w:rsidP="00391293">
      <w:pPr>
        <w:jc w:val="center"/>
        <w:rPr>
          <w:rFonts w:ascii="Arial" w:hAnsi="Arial" w:cs="Arial"/>
          <w:b/>
          <w:color w:val="000000" w:themeColor="text1"/>
          <w:sz w:val="32"/>
          <w:szCs w:val="32"/>
        </w:rPr>
      </w:pPr>
      <w:r w:rsidRPr="00391293">
        <w:rPr>
          <w:rFonts w:ascii="Arial" w:hAnsi="Arial" w:cs="Arial"/>
          <w:b/>
          <w:color w:val="000000" w:themeColor="text1"/>
          <w:sz w:val="32"/>
          <w:szCs w:val="32"/>
        </w:rPr>
        <w:t xml:space="preserve">Module: </w:t>
      </w:r>
      <w:r>
        <w:rPr>
          <w:rFonts w:ascii="Arial" w:hAnsi="Arial" w:cs="Arial"/>
          <w:b/>
          <w:color w:val="000000" w:themeColor="text1"/>
          <w:sz w:val="32"/>
          <w:szCs w:val="32"/>
        </w:rPr>
        <w:t>Practicum</w:t>
      </w:r>
      <w:r w:rsidRPr="00391293">
        <w:rPr>
          <w:rFonts w:ascii="Arial" w:hAnsi="Arial" w:cs="Arial"/>
          <w:b/>
          <w:color w:val="000000" w:themeColor="text1"/>
          <w:sz w:val="32"/>
          <w:szCs w:val="32"/>
        </w:rPr>
        <w:t xml:space="preserve"> 2 </w:t>
      </w:r>
    </w:p>
    <w:p w14:paraId="378452FE" w14:textId="11B1A141" w:rsidR="00391293" w:rsidRPr="00391293" w:rsidRDefault="00391293" w:rsidP="00391293">
      <w:pPr>
        <w:jc w:val="center"/>
        <w:rPr>
          <w:rFonts w:ascii="Arial" w:hAnsi="Arial" w:cs="Arial"/>
          <w:b/>
          <w:color w:val="000000" w:themeColor="text1"/>
          <w:sz w:val="32"/>
          <w:szCs w:val="32"/>
        </w:rPr>
      </w:pPr>
      <w:r w:rsidRPr="00391293">
        <w:rPr>
          <w:rFonts w:ascii="Arial" w:hAnsi="Arial" w:cs="Arial"/>
          <w:b/>
          <w:color w:val="000000" w:themeColor="text1"/>
          <w:sz w:val="32"/>
          <w:szCs w:val="32"/>
        </w:rPr>
        <w:t>ECHC500</w:t>
      </w:r>
      <w:r>
        <w:rPr>
          <w:rFonts w:ascii="Arial" w:hAnsi="Arial" w:cs="Arial"/>
          <w:b/>
          <w:color w:val="000000" w:themeColor="text1"/>
          <w:sz w:val="32"/>
          <w:szCs w:val="32"/>
        </w:rPr>
        <w:t>5</w:t>
      </w:r>
    </w:p>
    <w:p w14:paraId="6A70B562" w14:textId="77777777" w:rsidR="00391293" w:rsidRPr="00391293" w:rsidRDefault="00391293" w:rsidP="00391293">
      <w:pPr>
        <w:jc w:val="center"/>
        <w:rPr>
          <w:rFonts w:ascii="Arial" w:hAnsi="Arial" w:cs="Arial"/>
          <w:b/>
          <w:color w:val="000000" w:themeColor="text1"/>
          <w:sz w:val="32"/>
          <w:szCs w:val="32"/>
        </w:rPr>
      </w:pPr>
    </w:p>
    <w:p w14:paraId="00EB6C03" w14:textId="09F49626" w:rsidR="00391293" w:rsidRPr="00391293" w:rsidRDefault="00391293" w:rsidP="00391293">
      <w:pPr>
        <w:jc w:val="center"/>
        <w:rPr>
          <w:rFonts w:ascii="Arial" w:hAnsi="Arial" w:cs="Arial"/>
          <w:b/>
          <w:color w:val="000000" w:themeColor="text1"/>
          <w:sz w:val="32"/>
          <w:szCs w:val="32"/>
        </w:rPr>
      </w:pPr>
      <w:r w:rsidRPr="00391293">
        <w:rPr>
          <w:rFonts w:ascii="Arial" w:hAnsi="Arial" w:cs="Arial"/>
          <w:b/>
          <w:color w:val="000000" w:themeColor="text1"/>
          <w:sz w:val="32"/>
          <w:szCs w:val="32"/>
        </w:rPr>
        <w:t xml:space="preserve">Assessment Component: </w:t>
      </w:r>
      <w:r>
        <w:rPr>
          <w:rFonts w:ascii="Arial" w:hAnsi="Arial" w:cs="Arial"/>
          <w:b/>
          <w:color w:val="000000" w:themeColor="text1"/>
          <w:sz w:val="32"/>
          <w:szCs w:val="32"/>
        </w:rPr>
        <w:t>Two</w:t>
      </w:r>
    </w:p>
    <w:p w14:paraId="629B68C8" w14:textId="77777777" w:rsidR="00391293" w:rsidRPr="00391293" w:rsidRDefault="00391293" w:rsidP="00391293">
      <w:pPr>
        <w:jc w:val="center"/>
        <w:rPr>
          <w:rFonts w:ascii="Arial" w:hAnsi="Arial" w:cs="Arial"/>
          <w:b/>
          <w:color w:val="000000" w:themeColor="text1"/>
          <w:sz w:val="32"/>
          <w:szCs w:val="32"/>
        </w:rPr>
      </w:pPr>
    </w:p>
    <w:p w14:paraId="7F0FBB9C" w14:textId="6D193340" w:rsidR="00391293" w:rsidRDefault="00391293" w:rsidP="00391293">
      <w:pPr>
        <w:jc w:val="center"/>
        <w:rPr>
          <w:rFonts w:ascii="Arial" w:hAnsi="Arial" w:cs="Arial"/>
          <w:b/>
          <w:color w:val="000000" w:themeColor="text1"/>
          <w:sz w:val="32"/>
          <w:szCs w:val="32"/>
        </w:rPr>
      </w:pPr>
    </w:p>
    <w:p w14:paraId="7AD020D9" w14:textId="77777777" w:rsidR="00391293" w:rsidRPr="00391293" w:rsidRDefault="00391293" w:rsidP="00391293">
      <w:pPr>
        <w:jc w:val="center"/>
        <w:rPr>
          <w:rFonts w:ascii="Arial" w:hAnsi="Arial" w:cs="Arial"/>
          <w:b/>
          <w:color w:val="000000" w:themeColor="text1"/>
          <w:sz w:val="32"/>
          <w:szCs w:val="32"/>
        </w:rPr>
      </w:pPr>
    </w:p>
    <w:p w14:paraId="199D5E1D" w14:textId="77777777" w:rsidR="00391293" w:rsidRPr="00391293" w:rsidRDefault="00391293" w:rsidP="00391293">
      <w:pPr>
        <w:jc w:val="center"/>
        <w:rPr>
          <w:rFonts w:ascii="Arial" w:hAnsi="Arial" w:cs="Arial"/>
          <w:b/>
          <w:color w:val="000000" w:themeColor="text1"/>
          <w:sz w:val="32"/>
          <w:szCs w:val="32"/>
        </w:rPr>
      </w:pPr>
    </w:p>
    <w:p w14:paraId="45303D8D" w14:textId="77777777" w:rsidR="00391293" w:rsidRPr="00391293" w:rsidRDefault="00391293" w:rsidP="00391293">
      <w:pPr>
        <w:jc w:val="center"/>
        <w:rPr>
          <w:rFonts w:ascii="Arial" w:hAnsi="Arial" w:cs="Arial"/>
          <w:b/>
          <w:color w:val="000000" w:themeColor="text1"/>
          <w:sz w:val="32"/>
          <w:szCs w:val="32"/>
        </w:rPr>
      </w:pPr>
      <w:r w:rsidRPr="00391293">
        <w:rPr>
          <w:rFonts w:ascii="Arial" w:hAnsi="Arial" w:cs="Arial"/>
          <w:b/>
          <w:color w:val="000000" w:themeColor="text1"/>
          <w:sz w:val="32"/>
          <w:szCs w:val="32"/>
        </w:rPr>
        <w:t xml:space="preserve">Student: Danielle </w:t>
      </w:r>
      <w:proofErr w:type="spellStart"/>
      <w:r w:rsidRPr="00391293">
        <w:rPr>
          <w:rFonts w:ascii="Arial" w:hAnsi="Arial" w:cs="Arial"/>
          <w:b/>
          <w:color w:val="000000" w:themeColor="text1"/>
          <w:sz w:val="32"/>
          <w:szCs w:val="32"/>
        </w:rPr>
        <w:t>Bastier</w:t>
      </w:r>
      <w:proofErr w:type="spellEnd"/>
    </w:p>
    <w:p w14:paraId="66B61AD8" w14:textId="77777777" w:rsidR="00391293" w:rsidRPr="00391293" w:rsidRDefault="00391293" w:rsidP="00391293">
      <w:pPr>
        <w:jc w:val="center"/>
        <w:rPr>
          <w:rFonts w:ascii="Arial" w:hAnsi="Arial" w:cs="Arial"/>
          <w:b/>
          <w:color w:val="000000" w:themeColor="text1"/>
          <w:sz w:val="32"/>
          <w:szCs w:val="32"/>
        </w:rPr>
      </w:pPr>
    </w:p>
    <w:p w14:paraId="7330BB63" w14:textId="0730D593" w:rsidR="00391293" w:rsidRDefault="00391293" w:rsidP="00391293">
      <w:pPr>
        <w:jc w:val="center"/>
        <w:rPr>
          <w:rFonts w:ascii="Arial" w:hAnsi="Arial" w:cs="Arial"/>
          <w:b/>
          <w:color w:val="000000" w:themeColor="text1"/>
          <w:sz w:val="32"/>
          <w:szCs w:val="32"/>
        </w:rPr>
      </w:pPr>
      <w:r w:rsidRPr="00391293">
        <w:rPr>
          <w:rFonts w:ascii="Arial" w:hAnsi="Arial" w:cs="Arial"/>
          <w:b/>
          <w:color w:val="000000" w:themeColor="text1"/>
          <w:sz w:val="32"/>
          <w:szCs w:val="32"/>
        </w:rPr>
        <w:t>Student Number: 1150159</w:t>
      </w:r>
    </w:p>
    <w:p w14:paraId="047C970E" w14:textId="4E126424" w:rsidR="00391293" w:rsidRPr="00391293" w:rsidRDefault="00391293" w:rsidP="00391293">
      <w:pPr>
        <w:rPr>
          <w:rFonts w:ascii="Arial" w:hAnsi="Arial" w:cs="Arial"/>
          <w:b/>
          <w:color w:val="000000" w:themeColor="text1"/>
          <w:sz w:val="32"/>
          <w:szCs w:val="32"/>
        </w:rPr>
      </w:pPr>
      <w:r>
        <w:rPr>
          <w:rFonts w:ascii="Arial" w:hAnsi="Arial" w:cs="Arial"/>
          <w:b/>
          <w:color w:val="000000" w:themeColor="text1"/>
          <w:sz w:val="32"/>
          <w:szCs w:val="32"/>
        </w:rPr>
        <w:br w:type="page"/>
      </w:r>
    </w:p>
    <w:p w14:paraId="08D19B4C" w14:textId="15FAB585" w:rsidR="00CA2D93" w:rsidRDefault="00391293" w:rsidP="001C6FD2">
      <w:pPr>
        <w:spacing w:line="480" w:lineRule="auto"/>
        <w:jc w:val="both"/>
      </w:pPr>
      <w:r>
        <w:lastRenderedPageBreak/>
        <w:t xml:space="preserve">     </w:t>
      </w:r>
      <w:r w:rsidR="001C6FD2">
        <w:t xml:space="preserve">For this assignment </w:t>
      </w:r>
      <w:r w:rsidR="00CA2D93">
        <w:t xml:space="preserve">I </w:t>
      </w:r>
      <w:r w:rsidR="001C6FD2">
        <w:t>have been asked</w:t>
      </w:r>
      <w:r w:rsidR="00CA2D93">
        <w:t xml:space="preserve"> to provide a reflective account of a client presented at supervision, identifying any issues that may need addressing when working as a counsellor</w:t>
      </w:r>
      <w:r w:rsidR="001C6FD2">
        <w:t>, whilst</w:t>
      </w:r>
      <w:r w:rsidR="00CA2D93">
        <w:t xml:space="preserve"> demonstrat</w:t>
      </w:r>
      <w:r w:rsidR="001C6FD2">
        <w:t>ing</w:t>
      </w:r>
      <w:r w:rsidR="00CA2D93">
        <w:t xml:space="preserve"> self-awareness. </w:t>
      </w:r>
      <w:r w:rsidR="001C6FD2">
        <w:t xml:space="preserve">This reflection will follow several reflective </w:t>
      </w:r>
      <w:r w:rsidR="001C6FD2">
        <w:t>theories,</w:t>
      </w:r>
      <w:r w:rsidR="001C6FD2">
        <w:t xml:space="preserve"> but the overarching model used is Gibb’s (1988) Framework for Reflection.</w:t>
      </w:r>
    </w:p>
    <w:p w14:paraId="14A267C8" w14:textId="77777777" w:rsidR="005C357F" w:rsidRDefault="005C357F" w:rsidP="001C6FD2">
      <w:pPr>
        <w:spacing w:line="480" w:lineRule="auto"/>
        <w:jc w:val="both"/>
      </w:pPr>
    </w:p>
    <w:p w14:paraId="397C25C7" w14:textId="714BD1B5" w:rsidR="00321111" w:rsidRDefault="00A4415B" w:rsidP="001C6FD2">
      <w:pPr>
        <w:spacing w:line="480" w:lineRule="auto"/>
        <w:jc w:val="both"/>
      </w:pPr>
      <w:r>
        <w:t xml:space="preserve">     </w:t>
      </w:r>
      <w:r w:rsidR="001C6FD2">
        <w:t xml:space="preserve">I took an audio account of a </w:t>
      </w:r>
      <w:r w:rsidR="00864290">
        <w:t xml:space="preserve">counselling session with a </w:t>
      </w:r>
      <w:r w:rsidR="001C6FD2">
        <w:t xml:space="preserve">client to my supervisor to discuss and examine. Using </w:t>
      </w:r>
      <w:r>
        <w:t>t</w:t>
      </w:r>
      <w:r>
        <w:t xml:space="preserve">he self-reflective theory model </w:t>
      </w:r>
      <w:r>
        <w:t xml:space="preserve">written by </w:t>
      </w:r>
      <w:proofErr w:type="spellStart"/>
      <w:r>
        <w:t>Kagan</w:t>
      </w:r>
      <w:proofErr w:type="spellEnd"/>
      <w:r>
        <w:t xml:space="preserve"> (1980)</w:t>
      </w:r>
      <w:r>
        <w:t>, called</w:t>
      </w:r>
      <w:r>
        <w:t xml:space="preserve"> Interpersonal Process Recall (IPR)</w:t>
      </w:r>
      <w:r w:rsidR="001C6FD2">
        <w:t>, we worked together to examine my internal reactions through reexperiencing the encounter</w:t>
      </w:r>
      <w:r w:rsidR="00391293">
        <w:t xml:space="preserve"> (Cashwell, 1994)</w:t>
      </w:r>
      <w:r w:rsidR="001C6FD2">
        <w:t>.</w:t>
      </w:r>
      <w:r w:rsidR="00391293">
        <w:t xml:space="preserve"> </w:t>
      </w:r>
      <w:r w:rsidR="00321111">
        <w:t>IPR is a self-reflective method of learning; a process of self-discovery. Seen as a safe, self-reliant way of placing the participant(s) at the heart of their own experience.</w:t>
      </w:r>
      <w:r>
        <w:t xml:space="preserve"> </w:t>
      </w:r>
      <w:r w:rsidR="00BC69BD">
        <w:t xml:space="preserve">Based on </w:t>
      </w:r>
      <w:proofErr w:type="spellStart"/>
      <w:r w:rsidR="00BC69BD">
        <w:t>Kagan’s</w:t>
      </w:r>
      <w:proofErr w:type="spellEnd"/>
      <w:r w:rsidR="00BC69BD">
        <w:t xml:space="preserve"> </w:t>
      </w:r>
      <w:r w:rsidR="003911DF">
        <w:t xml:space="preserve">(1980) </w:t>
      </w:r>
      <w:r w:rsidR="00BC69BD">
        <w:t>model of the person</w:t>
      </w:r>
      <w:r w:rsidR="003911DF">
        <w:t>,</w:t>
      </w:r>
      <w:r w:rsidR="00BC69BD">
        <w:t xml:space="preserve"> </w:t>
      </w:r>
      <w:proofErr w:type="spellStart"/>
      <w:r w:rsidR="00BC69BD">
        <w:t>Kagan</w:t>
      </w:r>
      <w:proofErr w:type="spellEnd"/>
      <w:r w:rsidR="00BC69BD">
        <w:t xml:space="preserve"> suggests that people need each other but at the same time fear one another because they might hurt us, or we might hurt them. </w:t>
      </w:r>
      <w:r>
        <w:t>The g</w:t>
      </w:r>
      <w:r w:rsidR="00BC69BD">
        <w:t>uiding principle</w:t>
      </w:r>
      <w:r>
        <w:t xml:space="preserve"> is that </w:t>
      </w:r>
      <w:r w:rsidR="00321111">
        <w:t>‘</w:t>
      </w:r>
      <w:r>
        <w:t>t</w:t>
      </w:r>
      <w:r w:rsidR="00321111">
        <w:t xml:space="preserve">he individual knows best about the meaning of their own experience. Each individual is a unique authority about her/himself’ </w:t>
      </w:r>
      <w:r w:rsidR="003A537C">
        <w:t>(</w:t>
      </w:r>
      <w:proofErr w:type="spellStart"/>
      <w:r w:rsidR="003A537C">
        <w:t>Kettley</w:t>
      </w:r>
      <w:proofErr w:type="spellEnd"/>
      <w:r w:rsidR="003A537C">
        <w:t xml:space="preserve"> et al., 2015)</w:t>
      </w:r>
      <w:r w:rsidR="003A537C">
        <w:t>.</w:t>
      </w:r>
    </w:p>
    <w:p w14:paraId="21D52FF3" w14:textId="77777777" w:rsidR="00DC4039" w:rsidRDefault="00DC4039" w:rsidP="001C6FD2">
      <w:pPr>
        <w:spacing w:line="480" w:lineRule="auto"/>
        <w:jc w:val="both"/>
      </w:pPr>
    </w:p>
    <w:p w14:paraId="29BE7D4C" w14:textId="1A137A68" w:rsidR="00DC4039" w:rsidRDefault="00DC4039" w:rsidP="001C6FD2">
      <w:pPr>
        <w:spacing w:line="480" w:lineRule="auto"/>
        <w:jc w:val="both"/>
      </w:pPr>
      <w:r>
        <w:t xml:space="preserve">     </w:t>
      </w:r>
      <w:r w:rsidR="00864290">
        <w:t>My client is a woman in her fifties who is receiving support from a male support worker from the domestic abuse hub</w:t>
      </w:r>
      <w:r>
        <w:t xml:space="preserve">, to help her to communicate and live in harmony with her </w:t>
      </w:r>
      <w:r w:rsidR="00226867">
        <w:t>abusive</w:t>
      </w:r>
      <w:r>
        <w:t>, teenage son. Both the client and her son have autism. The primary focus of concern for the client is that she has, in her own words, “fallen in love” with her support worker and the distress that this is bringing her. The romance is not reciprocated, and this is bringing up deep feelings of rejection and triggering patterns of unhealthy behaviour</w:t>
      </w:r>
      <w:r w:rsidR="00391293">
        <w:t xml:space="preserve"> and suicidal thoughts</w:t>
      </w:r>
      <w:r>
        <w:t>.</w:t>
      </w:r>
    </w:p>
    <w:p w14:paraId="7F61854B" w14:textId="5B439B7C" w:rsidR="003911DF" w:rsidRDefault="003911DF" w:rsidP="001C6FD2">
      <w:pPr>
        <w:spacing w:line="480" w:lineRule="auto"/>
        <w:jc w:val="both"/>
      </w:pPr>
    </w:p>
    <w:p w14:paraId="4BB0CD05" w14:textId="6D9910EE" w:rsidR="003911DF" w:rsidRDefault="003911DF" w:rsidP="001C6FD2">
      <w:pPr>
        <w:spacing w:line="480" w:lineRule="auto"/>
        <w:jc w:val="both"/>
      </w:pPr>
      <w:r>
        <w:lastRenderedPageBreak/>
        <w:t xml:space="preserve">     I took our fifth session together to supervision</w:t>
      </w:r>
      <w:r w:rsidR="00226867">
        <w:t>. T</w:t>
      </w:r>
      <w:r w:rsidR="005C357F">
        <w:t xml:space="preserve">his session had taken place over the telephone due to the COVID-19 situation and this was our first telephone counselling session. We reviewed the session together and the supervisor took an inquirer role and offered inquirer leads, or questions, to help </w:t>
      </w:r>
      <w:r w:rsidR="00391293">
        <w:t xml:space="preserve">to </w:t>
      </w:r>
      <w:r w:rsidR="005C357F">
        <w:t xml:space="preserve">enhance my awareness and blind spots.  Together we examined what came up for me, my reactions and my noticing. </w:t>
      </w:r>
      <w:r w:rsidR="004F0102">
        <w:t xml:space="preserve">The following thoughts and feelings follow a list of inquirer leads as recommended by </w:t>
      </w:r>
      <w:proofErr w:type="spellStart"/>
      <w:r w:rsidR="004F0102">
        <w:t>Kagan</w:t>
      </w:r>
      <w:proofErr w:type="spellEnd"/>
      <w:r w:rsidR="004F0102">
        <w:t xml:space="preserve"> (1980)</w:t>
      </w:r>
      <w:r w:rsidR="003A537C">
        <w:t xml:space="preserve"> model (Cashwell, 1994)</w:t>
      </w:r>
      <w:r w:rsidR="004F0102">
        <w:t xml:space="preserve">. </w:t>
      </w:r>
    </w:p>
    <w:p w14:paraId="47D15592" w14:textId="3ED810F4" w:rsidR="00A4415B" w:rsidRDefault="00A4415B" w:rsidP="001C6FD2">
      <w:pPr>
        <w:spacing w:line="480" w:lineRule="auto"/>
        <w:jc w:val="both"/>
      </w:pPr>
      <w:r>
        <w:t xml:space="preserve">      </w:t>
      </w:r>
    </w:p>
    <w:p w14:paraId="17DDDCE8" w14:textId="05FB9A1F" w:rsidR="00B27E42" w:rsidRDefault="005C357F" w:rsidP="001C6FD2">
      <w:pPr>
        <w:spacing w:line="480" w:lineRule="auto"/>
        <w:jc w:val="both"/>
      </w:pPr>
      <w:r>
        <w:t xml:space="preserve">     The client had been feeling extremely low due to the rejection of her feelings towards the support worker</w:t>
      </w:r>
      <w:r w:rsidR="00EA3665">
        <w:t>, to the point of ‘feeling suicidal’</w:t>
      </w:r>
      <w:r>
        <w:t xml:space="preserve">. Her default to rejection is to find attention from elsewhere and she had enrolled on a dating website. </w:t>
      </w:r>
      <w:r w:rsidR="00B27E42">
        <w:t>The client agreed to meet up with a man in the park, during lockdown. This man was very pushy and at the end of the meeting had put his hands on her and kissed her. Not only was this concerning from a safeguarding point of view, in terms of meeting strangers, but it was especially concerning during a time of lockdown. I did not express these concerns, even though the client had asked m</w:t>
      </w:r>
      <w:r w:rsidR="00EA3665">
        <w:t>y</w:t>
      </w:r>
      <w:r w:rsidR="00B27E42">
        <w:t xml:space="preserve"> advice as to whether </w:t>
      </w:r>
      <w:r w:rsidR="002F4C52">
        <w:t xml:space="preserve">or not </w:t>
      </w:r>
      <w:r w:rsidR="00B27E42">
        <w:t xml:space="preserve">she should see him again? </w:t>
      </w:r>
    </w:p>
    <w:p w14:paraId="34A9EFE6" w14:textId="77777777" w:rsidR="00B27E42" w:rsidRDefault="00B27E42" w:rsidP="001C6FD2">
      <w:pPr>
        <w:spacing w:line="480" w:lineRule="auto"/>
        <w:jc w:val="both"/>
      </w:pPr>
    </w:p>
    <w:p w14:paraId="0689312A" w14:textId="139E95DE" w:rsidR="00BC69BD" w:rsidRDefault="00B27E42" w:rsidP="001C6FD2">
      <w:pPr>
        <w:spacing w:line="480" w:lineRule="auto"/>
        <w:jc w:val="both"/>
      </w:pPr>
      <w:r>
        <w:t xml:space="preserve">    Upon hearing this information, I wish I had said to my client that I had concerns about her meeting up with people during lockdown.  I also wish that I had challenged her understanding of what it means </w:t>
      </w:r>
      <w:r w:rsidR="002B78B2">
        <w:t xml:space="preserve">for her </w:t>
      </w:r>
      <w:r>
        <w:t>to socially distance</w:t>
      </w:r>
      <w:r w:rsidR="002B78B2">
        <w:t xml:space="preserve">. In the moment I was unsure of how to take on an advisory role without taking off my counsellor hat and I also had a sense of not wanting to distress or offend the client. Afterwards, it occurred to me that her autism may have </w:t>
      </w:r>
      <w:r w:rsidR="002F4C52">
        <w:t xml:space="preserve">had </w:t>
      </w:r>
      <w:r w:rsidR="002B78B2">
        <w:t xml:space="preserve">an effect on her understanding of the rules and </w:t>
      </w:r>
      <w:r w:rsidR="002F4C52">
        <w:t xml:space="preserve">knowing </w:t>
      </w:r>
      <w:r w:rsidR="002B78B2">
        <w:t>what right from wrong.</w:t>
      </w:r>
    </w:p>
    <w:p w14:paraId="744EACC7" w14:textId="45A1528E" w:rsidR="002B78B2" w:rsidRDefault="002B78B2" w:rsidP="001C6FD2">
      <w:pPr>
        <w:spacing w:line="480" w:lineRule="auto"/>
        <w:jc w:val="both"/>
      </w:pPr>
    </w:p>
    <w:p w14:paraId="58E8E50E" w14:textId="4100E310" w:rsidR="00E258FE" w:rsidRDefault="00E258FE" w:rsidP="001C6FD2">
      <w:pPr>
        <w:spacing w:line="480" w:lineRule="auto"/>
        <w:jc w:val="both"/>
      </w:pPr>
      <w:r>
        <w:lastRenderedPageBreak/>
        <w:t xml:space="preserve">     If I had expressed my concerns and challenged her, I believe that my client would have been triggered by her feelings of worthlessness. She had said that she was feeling worthless and rejected. I would not have wanted to reprimand her and take on a parent role. </w:t>
      </w:r>
      <w:r w:rsidR="00A2260B">
        <w:t xml:space="preserve"> I did not know whether expressing concern about breaking lockdown rules was appropriate as this is new territory for us all. </w:t>
      </w:r>
      <w:r w:rsidR="009E6330">
        <w:t xml:space="preserve">At that moment I felt out of my depth and conflicted. </w:t>
      </w:r>
      <w:r w:rsidR="001B46D0">
        <w:t xml:space="preserve">Alternatively, the client may not have understood what it means to be socially distanced. I am still becoming familiar with my client and how much she understands about the world around her. I am conscious that I need to take into account her diagnosis of autism throughout my reflection. </w:t>
      </w:r>
    </w:p>
    <w:p w14:paraId="6B36286D" w14:textId="17B9BEA2" w:rsidR="009E6330" w:rsidRDefault="009E6330" w:rsidP="001C6FD2">
      <w:pPr>
        <w:spacing w:line="480" w:lineRule="auto"/>
        <w:jc w:val="both"/>
      </w:pPr>
    </w:p>
    <w:p w14:paraId="4A60C596" w14:textId="47C993ED" w:rsidR="003A3619" w:rsidRDefault="009E6330" w:rsidP="003A3619">
      <w:pPr>
        <w:spacing w:line="480" w:lineRule="auto"/>
        <w:jc w:val="both"/>
      </w:pPr>
      <w:r>
        <w:t xml:space="preserve">     There may have been a risk that the client would have </w:t>
      </w:r>
      <w:r w:rsidR="004F0102">
        <w:t xml:space="preserve">become distressed </w:t>
      </w:r>
      <w:r w:rsidR="00EA3665">
        <w:t xml:space="preserve">upon challenging her actions in a non-sensitive manner. The client was feeling deflated and was experiencing suicidal thoughts. The risk of me, as her counsellor and confidante, turning quickly to question her actions could have been damaging and there could have been a risk of losing her confidence and trust. </w:t>
      </w:r>
      <w:r w:rsidR="00B8772F">
        <w:t xml:space="preserve">There is also an understanding here of my ‘rescuer’ being triggered. </w:t>
      </w:r>
      <w:r w:rsidR="00E84E91">
        <w:t xml:space="preserve">Using the theory of </w:t>
      </w:r>
      <w:proofErr w:type="spellStart"/>
      <w:r w:rsidR="00E84E91">
        <w:t>Karpman’s</w:t>
      </w:r>
      <w:proofErr w:type="spellEnd"/>
      <w:r w:rsidR="00E84E91">
        <w:t xml:space="preserve"> (</w:t>
      </w:r>
      <w:r w:rsidR="003A537C">
        <w:t>1968</w:t>
      </w:r>
      <w:r w:rsidR="00E84E91">
        <w:t xml:space="preserve">) drama triangle, </w:t>
      </w:r>
      <w:r w:rsidR="00B8772F">
        <w:t xml:space="preserve">I have been working </w:t>
      </w:r>
      <w:r w:rsidR="00E84E91">
        <w:t>with my supervisor</w:t>
      </w:r>
      <w:r w:rsidR="00B8772F">
        <w:t xml:space="preserve"> to notice my ‘rescuer’ and </w:t>
      </w:r>
      <w:r w:rsidR="00E84E91">
        <w:t xml:space="preserve">to </w:t>
      </w:r>
      <w:r w:rsidR="00B8772F">
        <w:t xml:space="preserve">not jump in and overstep a client’s boundary and </w:t>
      </w:r>
      <w:r w:rsidR="00E84E91">
        <w:t xml:space="preserve">their </w:t>
      </w:r>
      <w:r w:rsidR="00B8772F">
        <w:t xml:space="preserve">chance to learn from their own challenges in life. In this moment, I was trying to understand whether giving my opinion was me wanting to rescue this client or was it an urgent matter of safeguarding? </w:t>
      </w:r>
      <w:r w:rsidR="003A3619">
        <w:t>Upon reviewing the session in supervision, with a slightly more pragmatic approach</w:t>
      </w:r>
      <w:r w:rsidR="002F4C52">
        <w:t>,</w:t>
      </w:r>
      <w:r w:rsidR="003A3619">
        <w:t xml:space="preserve"> I believe that if I had gently approached the subject of social distancing and asked the client if she understood why we could not meet as client and counsellor and then </w:t>
      </w:r>
      <w:r w:rsidR="003A3619">
        <w:t>succinctly direct</w:t>
      </w:r>
      <w:r w:rsidR="003A3619">
        <w:t xml:space="preserve"> her understanding from there to a place of curiosity as to why meeting strangers in a park was okay for her, I think she would have responded well and</w:t>
      </w:r>
      <w:r w:rsidR="003A3619">
        <w:t xml:space="preserve"> she would</w:t>
      </w:r>
      <w:r w:rsidR="003A3619">
        <w:t xml:space="preserve"> have been able to make her own conclusion.</w:t>
      </w:r>
    </w:p>
    <w:p w14:paraId="7D2518D7" w14:textId="1336E166" w:rsidR="003A3619" w:rsidRDefault="003A3619" w:rsidP="003A3619">
      <w:pPr>
        <w:spacing w:line="480" w:lineRule="auto"/>
        <w:jc w:val="both"/>
      </w:pPr>
    </w:p>
    <w:p w14:paraId="06257FC4" w14:textId="1B821558" w:rsidR="007C72A0" w:rsidRDefault="003A3619" w:rsidP="001C6FD2">
      <w:pPr>
        <w:spacing w:line="480" w:lineRule="auto"/>
        <w:jc w:val="both"/>
      </w:pPr>
      <w:r>
        <w:t xml:space="preserve">     There were other thoughts going through my mind that the client may have wanted me to take an authoritative stance and parent her. Throughout our previous sessions I get the impression that she is seeking my </w:t>
      </w:r>
      <w:r w:rsidR="00E21AE0">
        <w:t>approval,</w:t>
      </w:r>
      <w:r>
        <w:t xml:space="preserve"> </w:t>
      </w:r>
      <w:r w:rsidR="00E21AE0">
        <w:t xml:space="preserve">and, on several occasions, I will remind the client that I cannot give her my advice or opinion, but we can explore the options surrounding certain events. If I am to look at this using Berne’s (1966) transactional analysis (TA) perspective, </w:t>
      </w:r>
      <w:r w:rsidR="00AB4E8B">
        <w:t>using</w:t>
      </w:r>
      <w:r w:rsidR="00E21AE0">
        <w:t xml:space="preserve"> the ego states of parent, adult, child</w:t>
      </w:r>
      <w:r w:rsidR="00AB4E8B">
        <w:t>:</w:t>
      </w:r>
      <w:r w:rsidR="00E21AE0">
        <w:t xml:space="preserve"> my client has a tendency to take an adaptive childlike stance with me</w:t>
      </w:r>
      <w:r w:rsidR="00AB4E8B">
        <w:t>;</w:t>
      </w:r>
      <w:r w:rsidR="00E21AE0">
        <w:t xml:space="preserve"> guilty, afraid, anxious and trying to please me (Stewart, 2011 p.44-45).  </w:t>
      </w:r>
      <w:r w:rsidR="00AB4E8B">
        <w:t>What would happen if</w:t>
      </w:r>
      <w:r w:rsidR="00E21AE0">
        <w:t xml:space="preserve"> I </w:t>
      </w:r>
      <w:r w:rsidR="00AB4E8B">
        <w:t xml:space="preserve">was to </w:t>
      </w:r>
      <w:r w:rsidR="00E21AE0">
        <w:t xml:space="preserve">reciprocate and take on a parent ego state? Would I have been doing that if I had started to reprimand, criticize or judge her actions? Yes, I believe I would have been. </w:t>
      </w:r>
      <w:r w:rsidR="00AB4E8B">
        <w:t>This</w:t>
      </w:r>
      <w:r w:rsidR="00DE09D2">
        <w:t xml:space="preserve"> model can be used in the future to focus on why the client behaves this way</w:t>
      </w:r>
      <w:r w:rsidR="00AB4E8B">
        <w:t>, and p</w:t>
      </w:r>
      <w:r w:rsidR="00DE09D2">
        <w:t xml:space="preserve">erhaps this is </w:t>
      </w:r>
      <w:r w:rsidR="00AB4E8B">
        <w:t>a</w:t>
      </w:r>
      <w:r w:rsidR="00DE09D2">
        <w:t xml:space="preserve"> stance that she adopts throughout her other relationships? </w:t>
      </w:r>
      <w:r w:rsidR="001B46D0">
        <w:t xml:space="preserve">It may also be linked to the client’s diagnosis of autism and I am cautious to be mindful of such. </w:t>
      </w:r>
    </w:p>
    <w:p w14:paraId="470E4B09" w14:textId="0A61740F" w:rsidR="00E21AE0" w:rsidRDefault="00E21AE0" w:rsidP="001C6FD2">
      <w:pPr>
        <w:spacing w:line="480" w:lineRule="auto"/>
        <w:jc w:val="both"/>
      </w:pPr>
    </w:p>
    <w:p w14:paraId="57AE2A7B" w14:textId="4C0B4ECF" w:rsidR="00E21AE0" w:rsidRDefault="00E21AE0" w:rsidP="001C6FD2">
      <w:pPr>
        <w:spacing w:line="480" w:lineRule="auto"/>
        <w:jc w:val="both"/>
      </w:pPr>
      <w:r>
        <w:t xml:space="preserve">     It is my intention for my client </w:t>
      </w:r>
      <w:r w:rsidR="00DE09D2">
        <w:t>to perceive me as</w:t>
      </w:r>
      <w:r>
        <w:t xml:space="preserve"> someone who will not judge her and someone that she can trust</w:t>
      </w:r>
      <w:r w:rsidR="00DE09D2">
        <w:t xml:space="preserve">. </w:t>
      </w:r>
      <w:r w:rsidR="001B46D0">
        <w:t>She has been let down and abused by significant people in her life. As a therapist</w:t>
      </w:r>
      <w:r w:rsidR="002F4C52">
        <w:t>,</w:t>
      </w:r>
      <w:r w:rsidR="001B46D0">
        <w:t xml:space="preserve"> I try to develop acceptance and tolerance for all aspects of the client. Rogers (1957) referred to </w:t>
      </w:r>
      <w:r w:rsidR="002F4C52">
        <w:t>t</w:t>
      </w:r>
      <w:r w:rsidR="001B46D0">
        <w:t>his attitude as “unconditionality”, incorporating a deep sense of trust in the client’s resources for self-understanding and significant change (Elliot et al, 2013, p.10), especially at moments of great vulnerability. The client had not been able to confide in her support worker, on account of her feelings towards him and it was important that I remained accepting and non-judgemental when she told me about what she had done.</w:t>
      </w:r>
    </w:p>
    <w:p w14:paraId="2B0BBAFB" w14:textId="77777777" w:rsidR="00F40212" w:rsidRDefault="00F40212" w:rsidP="001C6FD2">
      <w:pPr>
        <w:spacing w:line="480" w:lineRule="auto"/>
        <w:jc w:val="both"/>
      </w:pPr>
      <w:r>
        <w:t xml:space="preserve">     </w:t>
      </w:r>
    </w:p>
    <w:p w14:paraId="232A9EF6" w14:textId="2D515C40" w:rsidR="00F40212" w:rsidRDefault="00F40212" w:rsidP="001C6FD2">
      <w:pPr>
        <w:spacing w:line="480" w:lineRule="auto"/>
        <w:jc w:val="both"/>
      </w:pPr>
      <w:r>
        <w:lastRenderedPageBreak/>
        <w:t xml:space="preserve">     </w:t>
      </w:r>
      <w:r w:rsidR="007C72A0">
        <w:t xml:space="preserve">Throughout the supervision session I was feeling apprehensive. My counselling session had brought up feelings of hopelessness and I was concerned as to whether I had dealt with </w:t>
      </w:r>
      <w:r w:rsidR="001F0B96">
        <w:t>the</w:t>
      </w:r>
      <w:r w:rsidR="007C72A0">
        <w:t xml:space="preserve"> situation in the correct manner.</w:t>
      </w:r>
      <w:r>
        <w:t xml:space="preserve"> Upon reviewing the session, </w:t>
      </w:r>
      <w:r w:rsidR="001F0B96">
        <w:t xml:space="preserve">my supervisor asked if I could locate those feelings physically in my body. I could confirm that yes, </w:t>
      </w:r>
      <w:r>
        <w:t>those feelings</w:t>
      </w:r>
      <w:r w:rsidR="001F0B96">
        <w:t xml:space="preserve"> had</w:t>
      </w:r>
      <w:r>
        <w:t xml:space="preserve"> returned, and I could locate a physical reaction in my body</w:t>
      </w:r>
      <w:r w:rsidR="001F0B96">
        <w:t>;</w:t>
      </w:r>
      <w:r>
        <w:t xml:space="preserve"> a quickening of my heartbeat and a rising level of panic</w:t>
      </w:r>
      <w:r w:rsidR="001F0B96">
        <w:t xml:space="preserve">, an elevated level of breathing. </w:t>
      </w:r>
      <w:r>
        <w:t>Those feeling</w:t>
      </w:r>
      <w:r w:rsidR="002F4C52">
        <w:t>s</w:t>
      </w:r>
      <w:r>
        <w:t xml:space="preserve"> were linked to responsibility. </w:t>
      </w:r>
      <w:r w:rsidR="001F0B96">
        <w:t xml:space="preserve">I had to think very carefully about </w:t>
      </w:r>
      <w:r w:rsidR="001B46D0">
        <w:t>the rights of the client and my responsibilities as a therapist</w:t>
      </w:r>
      <w:r w:rsidR="00290A0D">
        <w:t>, not only from an ethical perspective, but as a representative of Swansea, Mind</w:t>
      </w:r>
      <w:r w:rsidR="002F4C52">
        <w:t xml:space="preserve"> and the University</w:t>
      </w:r>
      <w:r w:rsidR="00290A0D">
        <w:t xml:space="preserve">. The problem I had, was how to balance the needs of the client with their best interest in the context of safeguarding a vulnerable adult. The presence of physical symptoms of panic was evident to me that I care but also that I need to work on my ability to trust myself to make informed decisions using the skills and knowledge that I have at that time. </w:t>
      </w:r>
    </w:p>
    <w:p w14:paraId="11F26C94" w14:textId="1C3C35AC" w:rsidR="00F40212" w:rsidRDefault="00F40212" w:rsidP="001C6FD2">
      <w:pPr>
        <w:spacing w:line="480" w:lineRule="auto"/>
        <w:jc w:val="both"/>
      </w:pPr>
    </w:p>
    <w:p w14:paraId="1C2D361C" w14:textId="2748CED5" w:rsidR="00B30251" w:rsidRDefault="00290A0D" w:rsidP="001C6FD2">
      <w:pPr>
        <w:spacing w:line="480" w:lineRule="auto"/>
        <w:jc w:val="both"/>
      </w:pPr>
      <w:r>
        <w:t xml:space="preserve">     </w:t>
      </w:r>
      <w:r w:rsidR="00F40212">
        <w:t>I want my client to tell me tha</w:t>
      </w:r>
      <w:r>
        <w:t xml:space="preserve">t they understand that meeting a stranger, under lockdown conditions, is not advisable. I also want them to recognise that the knee-jerk reaction to seek attention from other men is a pattern that she repeats when she feels rejection and these men that she meets tend to take advantage of her vulnerability and sadness. </w:t>
      </w:r>
      <w:r w:rsidR="00F40212">
        <w:t>I think my client wanted me t</w:t>
      </w:r>
      <w:r w:rsidR="00B30251">
        <w:t>o tell her what to do. I think she is afraid to make her own decisions because she too fears responsibility for her actions. It appears that there may be some countertransference here. I am noticing throughout my supervision that I am looking to my supervisor for help in much the same</w:t>
      </w:r>
      <w:r w:rsidR="0045295B">
        <w:t xml:space="preserve">, anxiety fuelled </w:t>
      </w:r>
      <w:r w:rsidR="00B30251">
        <w:t xml:space="preserve">way that my client looks to me for help. If I am aware of this happening, it could be a source of </w:t>
      </w:r>
      <w:r w:rsidR="00D831FF">
        <w:t>useful</w:t>
      </w:r>
      <w:r w:rsidR="00B30251">
        <w:t xml:space="preserve"> information about the client and their pattern of relating to others (</w:t>
      </w:r>
      <w:proofErr w:type="spellStart"/>
      <w:r w:rsidR="00B30251">
        <w:t>Yakeley</w:t>
      </w:r>
      <w:proofErr w:type="spellEnd"/>
      <w:r w:rsidR="00B30251">
        <w:t>, 201</w:t>
      </w:r>
      <w:r w:rsidR="00BA23FD">
        <w:t>7</w:t>
      </w:r>
      <w:r w:rsidR="00B30251">
        <w:t xml:space="preserve">, p.203). </w:t>
      </w:r>
      <w:r w:rsidR="0045295B">
        <w:t xml:space="preserve">I am also aware of an underlying </w:t>
      </w:r>
      <w:r w:rsidR="0045295B">
        <w:lastRenderedPageBreak/>
        <w:t>message that may be going unacknowledged and I do not want to underestimate the seriousness of the suicidal intent. It would be important for me to explore the meaning of their suicidal thoughts and consider the degree of intent and the level of risk (Reeves, 201</w:t>
      </w:r>
      <w:r w:rsidR="00BA23FD">
        <w:t>7</w:t>
      </w:r>
      <w:r w:rsidR="0045295B">
        <w:t xml:space="preserve">, p. 502). </w:t>
      </w:r>
    </w:p>
    <w:p w14:paraId="6584BF4B" w14:textId="30AB9C41" w:rsidR="00F40212" w:rsidRDefault="00F40212" w:rsidP="001C6FD2">
      <w:pPr>
        <w:spacing w:line="480" w:lineRule="auto"/>
        <w:jc w:val="both"/>
      </w:pPr>
    </w:p>
    <w:p w14:paraId="14B963C1" w14:textId="70604411" w:rsidR="0045295B" w:rsidRDefault="0045295B" w:rsidP="001C6FD2">
      <w:pPr>
        <w:spacing w:line="480" w:lineRule="auto"/>
        <w:jc w:val="both"/>
      </w:pPr>
      <w:r>
        <w:t xml:space="preserve">     My supervision session was crucial for helping to uncover blind spots relating to my work with my client. I was able to determine </w:t>
      </w:r>
      <w:r w:rsidR="005520B0">
        <w:t xml:space="preserve">my boundaries and my sense of responsibility and how to determine the middle ground between swooping in to save someone and allowing them the chance to make sense of their own situation. I </w:t>
      </w:r>
      <w:r w:rsidR="007D225E">
        <w:t xml:space="preserve">will continue to work on my ‘rescuer’ and also work with TA to make sense of my client’s tendency to take on a childlike state in her relationships with others. My supervisor in their enquirer role was able to guide me through uncomfortable sensations and reactions in my physical body and understand why I react the way I do when I do not feel in control of a situation and the panic and fear that arises when I do not know the answer or the correct way of proceeding. </w:t>
      </w:r>
    </w:p>
    <w:p w14:paraId="382040E7" w14:textId="4866BA28" w:rsidR="007D225E" w:rsidRDefault="007D225E" w:rsidP="001C6FD2">
      <w:pPr>
        <w:spacing w:line="480" w:lineRule="auto"/>
        <w:jc w:val="both"/>
      </w:pPr>
    </w:p>
    <w:p w14:paraId="71EFBEFF" w14:textId="613898DC" w:rsidR="005A1138" w:rsidRDefault="007D225E" w:rsidP="001C6FD2">
      <w:pPr>
        <w:spacing w:line="480" w:lineRule="auto"/>
        <w:jc w:val="both"/>
      </w:pPr>
      <w:r>
        <w:t xml:space="preserve">     My supervision brought up a lack of self-confidence. This was difficult for me to accept and I am working to develop an ability to be more vulnerable with my supervisor. Quite like my client, I am wanting to impress </w:t>
      </w:r>
      <w:r w:rsidR="00D16D44">
        <w:t xml:space="preserve">the </w:t>
      </w:r>
      <w:r>
        <w:t>people around me. If I am aware of this need, I can tune in to what it would be like for me to appear before someone with challenges and areas to improve</w:t>
      </w:r>
      <w:r w:rsidR="00D16D44">
        <w:t xml:space="preserve"> on and</w:t>
      </w:r>
      <w:r>
        <w:t xml:space="preserve"> embrace those as being positive. Once I am aware of my challenges and limitations, then I can use them as areas for growth. With the aid of IPR and supervision, I was able to make sense of the counselling session and understand both mine and my client’s reactions. </w:t>
      </w:r>
      <w:r w:rsidR="00C37E9F">
        <w:t xml:space="preserve">It was helpful to raise my awareness and increase my ability to deepen my relationship with my client. IPR in supervision allowed me to confront interpersonal fears and </w:t>
      </w:r>
      <w:r w:rsidR="00C37E9F">
        <w:lastRenderedPageBreak/>
        <w:t>maximise my interpersonal encounter with my client. If I was to repeat this process again, which naturally I will, I may choose to use other models of counselling supervision such as the seven-eye</w:t>
      </w:r>
      <w:r w:rsidR="001C5D73">
        <w:t>d</w:t>
      </w:r>
      <w:r w:rsidR="00C37E9F">
        <w:t xml:space="preserve"> model by Hawkins and </w:t>
      </w:r>
      <w:proofErr w:type="spellStart"/>
      <w:r w:rsidR="001C5D73">
        <w:t>Shohet</w:t>
      </w:r>
      <w:proofErr w:type="spellEnd"/>
      <w:r w:rsidR="001C5D73">
        <w:t xml:space="preserve"> (1985) or the integrated feminist model (</w:t>
      </w:r>
      <w:proofErr w:type="spellStart"/>
      <w:r w:rsidR="001C5D73">
        <w:t>Stoltenburg</w:t>
      </w:r>
      <w:proofErr w:type="spellEnd"/>
      <w:r w:rsidR="001C5D73">
        <w:t xml:space="preserve"> and </w:t>
      </w:r>
      <w:proofErr w:type="spellStart"/>
      <w:r w:rsidR="001C5D73">
        <w:t>Delworth</w:t>
      </w:r>
      <w:proofErr w:type="spellEnd"/>
      <w:r w:rsidR="001C5D73">
        <w:t>, 1987)</w:t>
      </w:r>
      <w:r w:rsidR="009F1C63">
        <w:t>, (</w:t>
      </w:r>
      <w:proofErr w:type="spellStart"/>
      <w:r w:rsidR="009F1C63">
        <w:t>Creaner</w:t>
      </w:r>
      <w:proofErr w:type="spellEnd"/>
      <w:r w:rsidR="009F1C63">
        <w:t>, 201</w:t>
      </w:r>
      <w:r w:rsidR="00BA23FD">
        <w:t>7</w:t>
      </w:r>
      <w:r w:rsidR="009F1C63">
        <w:t>, p.122)</w:t>
      </w:r>
      <w:r w:rsidR="001C5D73">
        <w:t xml:space="preserve">. </w:t>
      </w:r>
      <w:r w:rsidR="009F1C63">
        <w:t xml:space="preserve">I have been able to identify issues that need addressing when working as a counsellor such as boundary work and having conviction in my ability to safeguard and work within my ethical boundaries. I have shown self-awareness and an ability to locate and understand my physical and emotional reactions to situations. </w:t>
      </w:r>
    </w:p>
    <w:p w14:paraId="4DDD8F63" w14:textId="72E56926" w:rsidR="005E5D9E" w:rsidRDefault="005E5D9E">
      <w:r>
        <w:br w:type="page"/>
      </w:r>
    </w:p>
    <w:p w14:paraId="1F9DFF71" w14:textId="77777777" w:rsidR="005E5D9E" w:rsidRDefault="005E5D9E" w:rsidP="005E5D9E">
      <w:pPr>
        <w:rPr>
          <w:u w:val="single"/>
        </w:rPr>
      </w:pPr>
      <w:r w:rsidRPr="00A65510">
        <w:rPr>
          <w:u w:val="single"/>
        </w:rPr>
        <w:lastRenderedPageBreak/>
        <w:t>References</w:t>
      </w:r>
    </w:p>
    <w:p w14:paraId="0B5D653A" w14:textId="77777777" w:rsidR="005E5D9E" w:rsidRDefault="005E5D9E" w:rsidP="005E5D9E">
      <w:pPr>
        <w:rPr>
          <w:u w:val="single"/>
        </w:rPr>
      </w:pPr>
    </w:p>
    <w:p w14:paraId="19010703" w14:textId="77777777" w:rsidR="005E5D9E" w:rsidRDefault="005E5D9E" w:rsidP="005E5D9E">
      <w:r>
        <w:t xml:space="preserve">Cashwell, C. (1994) ‘Interpersonal process recall’, </w:t>
      </w:r>
      <w:r>
        <w:rPr>
          <w:i/>
          <w:iCs/>
        </w:rPr>
        <w:t>ERIC Digest</w:t>
      </w:r>
      <w:r>
        <w:t xml:space="preserve">. (Publisher unknown). </w:t>
      </w:r>
    </w:p>
    <w:p w14:paraId="5776C69F" w14:textId="77777777" w:rsidR="005E5D9E" w:rsidRDefault="005E5D9E" w:rsidP="005E5D9E"/>
    <w:p w14:paraId="02AE9503" w14:textId="77777777" w:rsidR="005E5D9E" w:rsidRDefault="005E5D9E" w:rsidP="005E5D9E">
      <w:proofErr w:type="spellStart"/>
      <w:r>
        <w:t>Creaner</w:t>
      </w:r>
      <w:proofErr w:type="spellEnd"/>
      <w:r>
        <w:t xml:space="preserve">, M. (2017) ‘Clinical </w:t>
      </w:r>
      <w:proofErr w:type="spellStart"/>
      <w:r>
        <w:t>supervsion</w:t>
      </w:r>
      <w:proofErr w:type="spellEnd"/>
      <w:r>
        <w:t xml:space="preserve">’, in Feltham, C et al. (ed.) </w:t>
      </w:r>
      <w:r>
        <w:rPr>
          <w:i/>
          <w:iCs/>
        </w:rPr>
        <w:t xml:space="preserve">The sage handbook of counselling and psychotherapy. </w:t>
      </w:r>
      <w:r>
        <w:t>London: Sage</w:t>
      </w:r>
    </w:p>
    <w:p w14:paraId="7E973FFF" w14:textId="77777777" w:rsidR="005E5D9E" w:rsidRPr="00A65510" w:rsidRDefault="005E5D9E" w:rsidP="005E5D9E">
      <w:pPr>
        <w:rPr>
          <w:u w:val="single"/>
        </w:rPr>
      </w:pPr>
    </w:p>
    <w:p w14:paraId="0B7F046A" w14:textId="77777777" w:rsidR="005E5D9E" w:rsidRDefault="005E5D9E" w:rsidP="005E5D9E">
      <w:r>
        <w:t xml:space="preserve">Elliott et al. (2013) </w:t>
      </w:r>
      <w:r>
        <w:rPr>
          <w:i/>
          <w:iCs/>
        </w:rPr>
        <w:t xml:space="preserve">Learning emotion-focused therapy. </w:t>
      </w:r>
      <w:r>
        <w:t>Washington: APA.</w:t>
      </w:r>
    </w:p>
    <w:p w14:paraId="22D91AC5" w14:textId="77777777" w:rsidR="005E5D9E" w:rsidRPr="00316A00" w:rsidRDefault="005E5D9E" w:rsidP="005E5D9E"/>
    <w:p w14:paraId="7DE4BD3F" w14:textId="77777777" w:rsidR="005E5D9E" w:rsidRPr="00316A00" w:rsidRDefault="005E5D9E" w:rsidP="005E5D9E">
      <w:pPr>
        <w:rPr>
          <w:rFonts w:eastAsia="Times New Roman" w:cstheme="minorHAnsi"/>
          <w:color w:val="000000" w:themeColor="text1"/>
          <w:shd w:val="clear" w:color="auto" w:fill="FFFFFF"/>
          <w:lang w:eastAsia="en-GB"/>
        </w:rPr>
      </w:pPr>
      <w:r w:rsidRPr="00175C24">
        <w:rPr>
          <w:rFonts w:eastAsia="Times New Roman" w:cs="Arial"/>
          <w:color w:val="222222"/>
          <w:lang w:eastAsia="en-GB"/>
        </w:rPr>
        <w:t>Gibbs</w:t>
      </w:r>
      <w:r w:rsidRPr="00423D70">
        <w:rPr>
          <w:rFonts w:eastAsia="Times New Roman" w:cs="Arial"/>
          <w:color w:val="222222"/>
          <w:shd w:val="clear" w:color="auto" w:fill="FFFFFF"/>
          <w:lang w:eastAsia="en-GB"/>
        </w:rPr>
        <w:t>,</w:t>
      </w:r>
      <w:r w:rsidRPr="00175C24">
        <w:rPr>
          <w:rFonts w:eastAsia="Times New Roman" w:cs="Arial"/>
          <w:color w:val="222222"/>
          <w:shd w:val="clear" w:color="auto" w:fill="FFFFFF"/>
          <w:lang w:eastAsia="en-GB"/>
        </w:rPr>
        <w:t> G</w:t>
      </w:r>
      <w:r w:rsidRPr="00423D70">
        <w:rPr>
          <w:rFonts w:eastAsia="Times New Roman" w:cs="Arial"/>
          <w:color w:val="222222"/>
          <w:shd w:val="clear" w:color="auto" w:fill="FFFFFF"/>
          <w:lang w:eastAsia="en-GB"/>
        </w:rPr>
        <w:t>.</w:t>
      </w:r>
      <w:r w:rsidRPr="00175C24">
        <w:rPr>
          <w:rFonts w:eastAsia="Times New Roman" w:cs="Arial"/>
          <w:color w:val="222222"/>
          <w:shd w:val="clear" w:color="auto" w:fill="FFFFFF"/>
          <w:lang w:eastAsia="en-GB"/>
        </w:rPr>
        <w:t xml:space="preserve"> (1988) </w:t>
      </w:r>
      <w:r w:rsidRPr="00175C24">
        <w:rPr>
          <w:rFonts w:eastAsia="Times New Roman" w:cs="Arial"/>
          <w:i/>
          <w:iCs/>
          <w:color w:val="222222"/>
          <w:shd w:val="clear" w:color="auto" w:fill="FFFFFF"/>
          <w:lang w:eastAsia="en-GB"/>
        </w:rPr>
        <w:t>Learning by Doing: A guide to teaching and learning methods</w:t>
      </w:r>
      <w:r w:rsidRPr="00175C24">
        <w:rPr>
          <w:rFonts w:eastAsia="Times New Roman" w:cs="Arial"/>
          <w:color w:val="222222"/>
          <w:shd w:val="clear" w:color="auto" w:fill="FFFFFF"/>
          <w:lang w:eastAsia="en-GB"/>
        </w:rPr>
        <w:t>. Ox</w:t>
      </w:r>
      <w:r w:rsidRPr="00423D70">
        <w:rPr>
          <w:rFonts w:eastAsia="Times New Roman" w:cs="Arial"/>
          <w:color w:val="222222"/>
          <w:shd w:val="clear" w:color="auto" w:fill="FFFFFF"/>
          <w:lang w:eastAsia="en-GB"/>
        </w:rPr>
        <w:t xml:space="preserve">ford: </w:t>
      </w:r>
      <w:r w:rsidRPr="00C12D24">
        <w:rPr>
          <w:rFonts w:eastAsia="Times New Roman" w:cstheme="minorHAnsi"/>
          <w:color w:val="000000" w:themeColor="text1"/>
          <w:shd w:val="clear" w:color="auto" w:fill="FFFFFF"/>
          <w:lang w:eastAsia="en-GB"/>
        </w:rPr>
        <w:t xml:space="preserve">Polytechnic </w:t>
      </w:r>
    </w:p>
    <w:p w14:paraId="4B3D173E" w14:textId="77777777" w:rsidR="005E5D9E" w:rsidRPr="00316A00" w:rsidRDefault="005E5D9E" w:rsidP="005E5D9E">
      <w:pPr>
        <w:pStyle w:val="Heading4"/>
        <w:shd w:val="clear" w:color="auto" w:fill="FFFFFF"/>
        <w:rPr>
          <w:rFonts w:asciiTheme="minorHAnsi" w:hAnsiTheme="minorHAnsi" w:cstheme="minorHAnsi"/>
          <w:b w:val="0"/>
          <w:bCs w:val="0"/>
          <w:color w:val="000000" w:themeColor="text1"/>
        </w:rPr>
      </w:pPr>
      <w:proofErr w:type="spellStart"/>
      <w:r w:rsidRPr="00C12D24">
        <w:rPr>
          <w:rFonts w:asciiTheme="minorHAnsi" w:hAnsiTheme="minorHAnsi" w:cstheme="minorHAnsi"/>
          <w:b w:val="0"/>
          <w:bCs w:val="0"/>
          <w:color w:val="000000" w:themeColor="text1"/>
        </w:rPr>
        <w:t>Karpman</w:t>
      </w:r>
      <w:proofErr w:type="spellEnd"/>
      <w:r w:rsidRPr="00C12D24">
        <w:rPr>
          <w:rFonts w:asciiTheme="minorHAnsi" w:hAnsiTheme="minorHAnsi" w:cstheme="minorHAnsi"/>
          <w:b w:val="0"/>
          <w:bCs w:val="0"/>
          <w:color w:val="000000" w:themeColor="text1"/>
        </w:rPr>
        <w:t xml:space="preserve">, S. (1968) </w:t>
      </w:r>
      <w:r>
        <w:rPr>
          <w:rFonts w:asciiTheme="minorHAnsi" w:hAnsiTheme="minorHAnsi" w:cstheme="minorHAnsi"/>
          <w:b w:val="0"/>
          <w:bCs w:val="0"/>
          <w:color w:val="000000" w:themeColor="text1"/>
        </w:rPr>
        <w:t>‘</w:t>
      </w:r>
      <w:r w:rsidRPr="00C12D24">
        <w:rPr>
          <w:rFonts w:asciiTheme="minorHAnsi" w:hAnsiTheme="minorHAnsi" w:cstheme="minorHAnsi"/>
          <w:b w:val="0"/>
          <w:bCs w:val="0"/>
          <w:color w:val="000000" w:themeColor="text1"/>
        </w:rPr>
        <w:t>Fairy tales and script drama analysis</w:t>
      </w:r>
      <w:r>
        <w:rPr>
          <w:rFonts w:asciiTheme="minorHAnsi" w:hAnsiTheme="minorHAnsi" w:cstheme="minorHAnsi"/>
          <w:b w:val="0"/>
          <w:bCs w:val="0"/>
          <w:color w:val="000000" w:themeColor="text1"/>
        </w:rPr>
        <w:t>’</w:t>
      </w:r>
      <w:r w:rsidRPr="00C12D24">
        <w:rPr>
          <w:rFonts w:asciiTheme="minorHAnsi" w:hAnsiTheme="minorHAnsi" w:cstheme="minorHAnsi"/>
          <w:b w:val="0"/>
          <w:bCs w:val="0"/>
          <w:color w:val="000000" w:themeColor="text1"/>
        </w:rPr>
        <w:t xml:space="preserve">. </w:t>
      </w:r>
      <w:r w:rsidRPr="00C12D24">
        <w:rPr>
          <w:rFonts w:asciiTheme="minorHAnsi" w:hAnsiTheme="minorHAnsi" w:cstheme="minorHAnsi"/>
          <w:b w:val="0"/>
          <w:bCs w:val="0"/>
          <w:i/>
          <w:iCs/>
          <w:color w:val="000000" w:themeColor="text1"/>
        </w:rPr>
        <w:t>Transactional Analysis Bulletin</w:t>
      </w:r>
      <w:r w:rsidRPr="00C12D24">
        <w:rPr>
          <w:rFonts w:asciiTheme="minorHAnsi" w:hAnsiTheme="minorHAnsi" w:cstheme="minorHAnsi"/>
          <w:b w:val="0"/>
          <w:bCs w:val="0"/>
          <w:color w:val="000000" w:themeColor="text1"/>
        </w:rPr>
        <w:t xml:space="preserve">, 7(26), </w:t>
      </w:r>
      <w:r>
        <w:rPr>
          <w:rFonts w:asciiTheme="minorHAnsi" w:hAnsiTheme="minorHAnsi" w:cstheme="minorHAnsi"/>
          <w:b w:val="0"/>
          <w:bCs w:val="0"/>
          <w:color w:val="000000" w:themeColor="text1"/>
        </w:rPr>
        <w:t xml:space="preserve">p. </w:t>
      </w:r>
      <w:r w:rsidRPr="00C12D24">
        <w:rPr>
          <w:rFonts w:asciiTheme="minorHAnsi" w:hAnsiTheme="minorHAnsi" w:cstheme="minorHAnsi"/>
          <w:b w:val="0"/>
          <w:bCs w:val="0"/>
          <w:color w:val="000000" w:themeColor="text1"/>
        </w:rPr>
        <w:t>39-43.</w:t>
      </w:r>
    </w:p>
    <w:p w14:paraId="01B17B05" w14:textId="77777777" w:rsidR="005E5D9E" w:rsidRDefault="005E5D9E" w:rsidP="005E5D9E">
      <w:proofErr w:type="spellStart"/>
      <w:r>
        <w:t>Kettley</w:t>
      </w:r>
      <w:proofErr w:type="spellEnd"/>
      <w:r>
        <w:t xml:space="preserve">, R et al. (2015) </w:t>
      </w:r>
      <w:r>
        <w:rPr>
          <w:i/>
          <w:iCs/>
        </w:rPr>
        <w:t xml:space="preserve">Interpersonal process recall as a participatory design method. </w:t>
      </w:r>
      <w:r>
        <w:t xml:space="preserve">Available at: </w:t>
      </w:r>
      <w:r w:rsidRPr="00C12D24">
        <w:t>http://aninternetofsoftthings.com/files/2015/09/An-Introduction-to-Interpersonal-Process-Recall-as-a.pdf</w:t>
      </w:r>
      <w:r>
        <w:t xml:space="preserve"> (Accessed on: 10</w:t>
      </w:r>
      <w:r w:rsidRPr="00C12D24">
        <w:rPr>
          <w:vertAlign w:val="superscript"/>
        </w:rPr>
        <w:t>th</w:t>
      </w:r>
      <w:r>
        <w:t xml:space="preserve"> May 2020). </w:t>
      </w:r>
    </w:p>
    <w:p w14:paraId="10C92BF6" w14:textId="77777777" w:rsidR="005E5D9E" w:rsidRDefault="005E5D9E" w:rsidP="005E5D9E"/>
    <w:p w14:paraId="10A8383E" w14:textId="77777777" w:rsidR="005E5D9E" w:rsidRDefault="005E5D9E" w:rsidP="005E5D9E">
      <w:r>
        <w:t xml:space="preserve">Reeves, A. (2017) ‘Suicide and self-harm’, in Feltham, C et al. (ed.) </w:t>
      </w:r>
      <w:r>
        <w:rPr>
          <w:i/>
          <w:iCs/>
        </w:rPr>
        <w:t xml:space="preserve">The sage handbook of counselling and psychotherapy. </w:t>
      </w:r>
      <w:r>
        <w:t>London: Sage.</w:t>
      </w:r>
    </w:p>
    <w:p w14:paraId="20824BA9" w14:textId="77777777" w:rsidR="005E5D9E" w:rsidRDefault="005E5D9E" w:rsidP="005E5D9E"/>
    <w:p w14:paraId="419D6185" w14:textId="77777777" w:rsidR="005E5D9E" w:rsidRDefault="005E5D9E" w:rsidP="005E5D9E">
      <w:r>
        <w:t xml:space="preserve">Stewart, I. (2011) </w:t>
      </w:r>
      <w:r>
        <w:rPr>
          <w:i/>
          <w:iCs/>
        </w:rPr>
        <w:t xml:space="preserve">Transactional analysis counselling in action. </w:t>
      </w:r>
      <w:r>
        <w:t>4</w:t>
      </w:r>
      <w:r w:rsidRPr="00C12D24">
        <w:rPr>
          <w:vertAlign w:val="superscript"/>
        </w:rPr>
        <w:t>th</w:t>
      </w:r>
      <w:r>
        <w:t xml:space="preserve"> Ed. London: Sage.</w:t>
      </w:r>
    </w:p>
    <w:p w14:paraId="4DB2FDF6" w14:textId="77777777" w:rsidR="005E5D9E" w:rsidRDefault="005E5D9E" w:rsidP="005E5D9E"/>
    <w:p w14:paraId="66C5AD9E" w14:textId="77777777" w:rsidR="005E5D9E" w:rsidRPr="00316A00" w:rsidRDefault="005E5D9E" w:rsidP="005E5D9E">
      <w:proofErr w:type="spellStart"/>
      <w:r>
        <w:t>Yakeley</w:t>
      </w:r>
      <w:proofErr w:type="spellEnd"/>
      <w:r>
        <w:t xml:space="preserve">, J. (2017) ‘Psychoanalytic therapy’, in Feltham, C et al. (ed.) </w:t>
      </w:r>
      <w:r>
        <w:rPr>
          <w:i/>
          <w:iCs/>
        </w:rPr>
        <w:t xml:space="preserve">The sage handbook of counselling and psychotherapy. </w:t>
      </w:r>
      <w:r>
        <w:t>London: Sage.</w:t>
      </w:r>
    </w:p>
    <w:p w14:paraId="65FFC10D" w14:textId="77777777" w:rsidR="005A1138" w:rsidRDefault="005A1138" w:rsidP="001C6FD2">
      <w:pPr>
        <w:spacing w:line="480" w:lineRule="auto"/>
        <w:jc w:val="both"/>
      </w:pPr>
    </w:p>
    <w:sectPr w:rsidR="005A1138" w:rsidSect="00B71E1C">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82E152" w14:textId="77777777" w:rsidR="000956FF" w:rsidRDefault="000956FF" w:rsidP="00391293">
      <w:r>
        <w:separator/>
      </w:r>
    </w:p>
  </w:endnote>
  <w:endnote w:type="continuationSeparator" w:id="0">
    <w:p w14:paraId="58AF67D5" w14:textId="77777777" w:rsidR="000956FF" w:rsidRDefault="000956FF" w:rsidP="00391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98203991"/>
      <w:docPartObj>
        <w:docPartGallery w:val="Page Numbers (Bottom of Page)"/>
        <w:docPartUnique/>
      </w:docPartObj>
    </w:sdtPr>
    <w:sdtContent>
      <w:p w14:paraId="5D723FFC" w14:textId="3AB50899" w:rsidR="00391293" w:rsidRDefault="00391293" w:rsidP="00A9155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EB2834" w14:textId="77777777" w:rsidR="00391293" w:rsidRDefault="00391293" w:rsidP="0039129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36582786"/>
      <w:docPartObj>
        <w:docPartGallery w:val="Page Numbers (Bottom of Page)"/>
        <w:docPartUnique/>
      </w:docPartObj>
    </w:sdtPr>
    <w:sdtContent>
      <w:p w14:paraId="782CF966" w14:textId="3B434D15" w:rsidR="00391293" w:rsidRDefault="00391293" w:rsidP="00A9155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92EEC52" w14:textId="48595220" w:rsidR="00391293" w:rsidRDefault="00391293" w:rsidP="00391293">
    <w:pPr>
      <w:pStyle w:val="Footer"/>
      <w:ind w:right="360"/>
    </w:pPr>
    <w:r>
      <w:t xml:space="preserve">Danielle </w:t>
    </w:r>
    <w:proofErr w:type="spellStart"/>
    <w:r>
      <w:t>Bastier</w:t>
    </w:r>
    <w:proofErr w:type="spellEnd"/>
    <w:r>
      <w:t xml:space="preserve"> - 1150159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B6E1F6" w14:textId="77777777" w:rsidR="000956FF" w:rsidRDefault="000956FF" w:rsidP="00391293">
      <w:r>
        <w:separator/>
      </w:r>
    </w:p>
  </w:footnote>
  <w:footnote w:type="continuationSeparator" w:id="0">
    <w:p w14:paraId="47B755CC" w14:textId="77777777" w:rsidR="000956FF" w:rsidRDefault="000956FF" w:rsidP="003912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111"/>
    <w:rsid w:val="000956FF"/>
    <w:rsid w:val="001B46D0"/>
    <w:rsid w:val="001C5D73"/>
    <w:rsid w:val="001C6FD2"/>
    <w:rsid w:val="001F0B96"/>
    <w:rsid w:val="00226867"/>
    <w:rsid w:val="00290A0D"/>
    <w:rsid w:val="002B78B2"/>
    <w:rsid w:val="002F4C52"/>
    <w:rsid w:val="00321111"/>
    <w:rsid w:val="003911DF"/>
    <w:rsid w:val="00391293"/>
    <w:rsid w:val="003A3619"/>
    <w:rsid w:val="003A537C"/>
    <w:rsid w:val="0045295B"/>
    <w:rsid w:val="00494B77"/>
    <w:rsid w:val="004F0102"/>
    <w:rsid w:val="005520B0"/>
    <w:rsid w:val="005A1138"/>
    <w:rsid w:val="005C357F"/>
    <w:rsid w:val="005E5D9E"/>
    <w:rsid w:val="0064637A"/>
    <w:rsid w:val="00721A2F"/>
    <w:rsid w:val="007C72A0"/>
    <w:rsid w:val="007D225E"/>
    <w:rsid w:val="00864290"/>
    <w:rsid w:val="0098211C"/>
    <w:rsid w:val="009E6330"/>
    <w:rsid w:val="009F1C63"/>
    <w:rsid w:val="00A2260B"/>
    <w:rsid w:val="00A4415B"/>
    <w:rsid w:val="00AB4E8B"/>
    <w:rsid w:val="00B27E42"/>
    <w:rsid w:val="00B30251"/>
    <w:rsid w:val="00B71E1C"/>
    <w:rsid w:val="00B8772F"/>
    <w:rsid w:val="00BA23FD"/>
    <w:rsid w:val="00BC69BD"/>
    <w:rsid w:val="00C37E9F"/>
    <w:rsid w:val="00C55090"/>
    <w:rsid w:val="00CA2D93"/>
    <w:rsid w:val="00CB14D2"/>
    <w:rsid w:val="00CD00CF"/>
    <w:rsid w:val="00D16D44"/>
    <w:rsid w:val="00D831FF"/>
    <w:rsid w:val="00D93C1F"/>
    <w:rsid w:val="00DC4039"/>
    <w:rsid w:val="00DE09D2"/>
    <w:rsid w:val="00DE3B68"/>
    <w:rsid w:val="00E21AE0"/>
    <w:rsid w:val="00E258FE"/>
    <w:rsid w:val="00E84E91"/>
    <w:rsid w:val="00EA3665"/>
    <w:rsid w:val="00F40212"/>
    <w:rsid w:val="00F95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9E256B"/>
  <w15:chartTrackingRefBased/>
  <w15:docId w15:val="{2284E124-B6B1-BC44-A643-98DE6F5FC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5E5D9E"/>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91293"/>
    <w:pPr>
      <w:tabs>
        <w:tab w:val="center" w:pos="4680"/>
        <w:tab w:val="right" w:pos="9360"/>
      </w:tabs>
    </w:pPr>
  </w:style>
  <w:style w:type="character" w:customStyle="1" w:styleId="FooterChar">
    <w:name w:val="Footer Char"/>
    <w:basedOn w:val="DefaultParagraphFont"/>
    <w:link w:val="Footer"/>
    <w:uiPriority w:val="99"/>
    <w:rsid w:val="00391293"/>
  </w:style>
  <w:style w:type="character" w:styleId="PageNumber">
    <w:name w:val="page number"/>
    <w:basedOn w:val="DefaultParagraphFont"/>
    <w:uiPriority w:val="99"/>
    <w:semiHidden/>
    <w:unhideWhenUsed/>
    <w:rsid w:val="00391293"/>
  </w:style>
  <w:style w:type="paragraph" w:styleId="Header">
    <w:name w:val="header"/>
    <w:basedOn w:val="Normal"/>
    <w:link w:val="HeaderChar"/>
    <w:uiPriority w:val="99"/>
    <w:unhideWhenUsed/>
    <w:rsid w:val="00391293"/>
    <w:pPr>
      <w:tabs>
        <w:tab w:val="center" w:pos="4680"/>
        <w:tab w:val="right" w:pos="9360"/>
      </w:tabs>
    </w:pPr>
  </w:style>
  <w:style w:type="character" w:customStyle="1" w:styleId="HeaderChar">
    <w:name w:val="Header Char"/>
    <w:basedOn w:val="DefaultParagraphFont"/>
    <w:link w:val="Header"/>
    <w:uiPriority w:val="99"/>
    <w:rsid w:val="00391293"/>
  </w:style>
  <w:style w:type="character" w:customStyle="1" w:styleId="Heading4Char">
    <w:name w:val="Heading 4 Char"/>
    <w:basedOn w:val="DefaultParagraphFont"/>
    <w:link w:val="Heading4"/>
    <w:uiPriority w:val="9"/>
    <w:rsid w:val="005E5D9E"/>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cid:image002.png@01D3889D.06E5258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466</TotalTime>
  <Pages>9</Pages>
  <Words>2000</Words>
  <Characters>11400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Bastier (1150159)</dc:creator>
  <cp:keywords/>
  <dc:description/>
  <cp:lastModifiedBy>Danielle Bastier (1150159)</cp:lastModifiedBy>
  <cp:revision>18</cp:revision>
  <dcterms:created xsi:type="dcterms:W3CDTF">2020-05-11T10:33:00Z</dcterms:created>
  <dcterms:modified xsi:type="dcterms:W3CDTF">2020-05-12T14:41:00Z</dcterms:modified>
</cp:coreProperties>
</file>