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51B0AC" w14:textId="77777777" w:rsidR="007F3E8A" w:rsidRDefault="007F3E8A" w:rsidP="007F3E8A">
      <w:pPr>
        <w:pStyle w:val="NormalWeb"/>
        <w:ind w:left="-180" w:right="-334"/>
      </w:pPr>
      <w:r>
        <w:rPr>
          <w:noProof/>
        </w:rPr>
        <w:drawing>
          <wp:inline distT="0" distB="0" distL="0" distR="0" wp14:anchorId="7639371B" wp14:editId="0C040A29">
            <wp:extent cx="1907540" cy="635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bwMode="auto">
                    <a:xfrm>
                      <a:off x="0" y="0"/>
                      <a:ext cx="1907540" cy="635635"/>
                    </a:xfrm>
                    <a:prstGeom prst="rect">
                      <a:avLst/>
                    </a:prstGeom>
                    <a:noFill/>
                  </pic:spPr>
                </pic:pic>
              </a:graphicData>
            </a:graphic>
          </wp:inline>
        </w:drawing>
      </w:r>
    </w:p>
    <w:p w14:paraId="38F3A741" w14:textId="77777777" w:rsidR="007F3E8A" w:rsidRDefault="007F3E8A" w:rsidP="007F3E8A">
      <w:pPr>
        <w:pStyle w:val="NormalWeb"/>
        <w:ind w:left="-180" w:right="-334"/>
      </w:pPr>
    </w:p>
    <w:p w14:paraId="76642A3F" w14:textId="77777777" w:rsidR="007F3E8A" w:rsidRDefault="007F3E8A" w:rsidP="007F3E8A">
      <w:pPr>
        <w:pStyle w:val="NormalWeb"/>
        <w:ind w:left="-180" w:right="-334"/>
      </w:pPr>
    </w:p>
    <w:p w14:paraId="7BB5B795" w14:textId="77777777" w:rsidR="007F3E8A" w:rsidRDefault="007F3E8A" w:rsidP="007F3E8A">
      <w:pPr>
        <w:pStyle w:val="NormalWeb"/>
        <w:ind w:left="-180" w:right="-334"/>
        <w:jc w:val="center"/>
      </w:pPr>
      <w:r>
        <w:rPr>
          <w:rFonts w:ascii="Arial" w:hAnsi="Arial"/>
          <w:b/>
          <w:sz w:val="28"/>
          <w:szCs w:val="28"/>
        </w:rPr>
        <w:t xml:space="preserve">Postgraduate/Distance Learning </w:t>
      </w:r>
    </w:p>
    <w:p w14:paraId="0550C359" w14:textId="77777777" w:rsidR="007F3E8A" w:rsidRDefault="007F3E8A" w:rsidP="007F3E8A">
      <w:pPr>
        <w:pStyle w:val="NormalWeb"/>
        <w:ind w:left="-180" w:right="-334"/>
        <w:jc w:val="center"/>
        <w:rPr>
          <w:rFonts w:ascii="Arial" w:hAnsi="Arial"/>
          <w:b/>
          <w:sz w:val="28"/>
          <w:szCs w:val="28"/>
        </w:rPr>
      </w:pPr>
      <w:r>
        <w:rPr>
          <w:rFonts w:ascii="Arial" w:hAnsi="Arial"/>
          <w:b/>
          <w:sz w:val="28"/>
          <w:szCs w:val="28"/>
        </w:rPr>
        <w:t>Assignment coversheet &amp; feedback form</w:t>
      </w:r>
    </w:p>
    <w:p w14:paraId="0662D652" w14:textId="77777777" w:rsidR="007F3E8A" w:rsidRDefault="007F3E8A" w:rsidP="007F3E8A">
      <w:pPr>
        <w:rPr>
          <w:rFonts w:ascii="Arial" w:hAnsi="Arial"/>
          <w:sz w:val="28"/>
          <w:szCs w:val="28"/>
        </w:rPr>
      </w:pPr>
    </w:p>
    <w:p w14:paraId="18C4C8FB" w14:textId="77777777" w:rsidR="007F3E8A" w:rsidRDefault="007F3E8A" w:rsidP="007F3E8A">
      <w:pPr>
        <w:pStyle w:val="Heading3"/>
        <w:jc w:val="center"/>
      </w:pPr>
      <w:r>
        <w:t xml:space="preserve">THIS SHEET MUST BE THE FIRST PAGE OF THE ASSIGNMENT YOU ARE </w:t>
      </w:r>
      <w:proofErr w:type="gramStart"/>
      <w:r>
        <w:t>SUBMITTING  (</w:t>
      </w:r>
      <w:proofErr w:type="gramEnd"/>
      <w:r>
        <w:t>DO NOT SEND AS A SEPARATE FILE)</w:t>
      </w:r>
    </w:p>
    <w:p w14:paraId="505EF9B5" w14:textId="77777777" w:rsidR="007F3E8A" w:rsidRDefault="007F3E8A" w:rsidP="007F3E8A">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7F3E8A" w14:paraId="68EB5908" w14:textId="77777777" w:rsidTr="00B065CA">
        <w:trPr>
          <w:trHeight w:val="614"/>
        </w:trPr>
        <w:tc>
          <w:tcPr>
            <w:tcW w:w="8856" w:type="dxa"/>
            <w:gridSpan w:val="5"/>
          </w:tcPr>
          <w:p w14:paraId="669E7B41" w14:textId="77777777" w:rsidR="007F3E8A" w:rsidRDefault="007F3E8A" w:rsidP="00B065CA">
            <w:pPr>
              <w:pStyle w:val="NormalWeb"/>
              <w:ind w:right="34"/>
            </w:pPr>
            <w:r>
              <w:rPr>
                <w:rFonts w:ascii="Arial" w:hAnsi="Arial"/>
                <w:b/>
                <w:sz w:val="22"/>
                <w:szCs w:val="22"/>
              </w:rPr>
              <w:t>For completion by the student</w:t>
            </w:r>
            <w:r>
              <w:rPr>
                <w:rFonts w:ascii="Arial" w:hAnsi="Arial"/>
                <w:sz w:val="22"/>
                <w:szCs w:val="22"/>
              </w:rPr>
              <w:t>:</w:t>
            </w:r>
          </w:p>
        </w:tc>
      </w:tr>
      <w:tr w:rsidR="007F3E8A" w14:paraId="461222E9" w14:textId="77777777" w:rsidTr="00B065CA">
        <w:trPr>
          <w:trHeight w:val="718"/>
        </w:trPr>
        <w:tc>
          <w:tcPr>
            <w:tcW w:w="8856" w:type="dxa"/>
            <w:gridSpan w:val="5"/>
          </w:tcPr>
          <w:p w14:paraId="27C381BE" w14:textId="77777777" w:rsidR="007F3E8A" w:rsidRDefault="007F3E8A" w:rsidP="00B065CA">
            <w:pPr>
              <w:pStyle w:val="NormalWeb"/>
              <w:ind w:right="34"/>
              <w:rPr>
                <w:rFonts w:ascii="Arial" w:hAnsi="Arial"/>
                <w:sz w:val="22"/>
                <w:szCs w:val="22"/>
              </w:rPr>
            </w:pPr>
            <w:r>
              <w:rPr>
                <w:rFonts w:ascii="Arial" w:hAnsi="Arial"/>
                <w:sz w:val="22"/>
                <w:szCs w:val="22"/>
              </w:rPr>
              <w:t>Student Name: Vadim Zaver</w:t>
            </w:r>
          </w:p>
          <w:p w14:paraId="125516D7" w14:textId="77777777" w:rsidR="007F3E8A" w:rsidRDefault="007F3E8A" w:rsidP="00B065CA">
            <w:pPr>
              <w:pStyle w:val="NormalWeb"/>
              <w:ind w:right="34"/>
              <w:rPr>
                <w:rFonts w:ascii="Arial" w:hAnsi="Arial"/>
                <w:sz w:val="22"/>
                <w:szCs w:val="22"/>
              </w:rPr>
            </w:pPr>
          </w:p>
          <w:p w14:paraId="6559EE26" w14:textId="77777777" w:rsidR="007F3E8A" w:rsidRDefault="007F3E8A" w:rsidP="00B065CA">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r w:rsidRPr="005B5E9C">
              <w:rPr>
                <w:rFonts w:ascii="Arial" w:hAnsi="Arial"/>
                <w:sz w:val="22"/>
                <w:szCs w:val="22"/>
              </w:rPr>
              <w:t>2111154@student.uwtsd.ac.uk</w:t>
            </w:r>
          </w:p>
        </w:tc>
      </w:tr>
      <w:tr w:rsidR="007F3E8A" w14:paraId="51F0BD53" w14:textId="77777777" w:rsidTr="00B065CA">
        <w:trPr>
          <w:trHeight w:val="849"/>
        </w:trPr>
        <w:tc>
          <w:tcPr>
            <w:tcW w:w="4788" w:type="dxa"/>
          </w:tcPr>
          <w:p w14:paraId="40D22F31" w14:textId="77777777" w:rsidR="007F3E8A" w:rsidRDefault="007F3E8A" w:rsidP="00B065CA">
            <w:pPr>
              <w:pStyle w:val="NormalWeb"/>
              <w:ind w:right="34"/>
              <w:rPr>
                <w:rFonts w:ascii="Arial" w:hAnsi="Arial"/>
                <w:sz w:val="22"/>
                <w:szCs w:val="22"/>
              </w:rPr>
            </w:pPr>
            <w:r>
              <w:rPr>
                <w:rFonts w:ascii="Arial" w:hAnsi="Arial"/>
                <w:sz w:val="22"/>
                <w:szCs w:val="22"/>
              </w:rPr>
              <w:t xml:space="preserve">Module code: </w:t>
            </w:r>
            <w:r w:rsidRPr="005B5E9C">
              <w:rPr>
                <w:rFonts w:ascii="Arial" w:hAnsi="Arial"/>
                <w:sz w:val="22"/>
                <w:szCs w:val="22"/>
              </w:rPr>
              <w:t>HPCA7027</w:t>
            </w:r>
          </w:p>
          <w:p w14:paraId="5A694FE1" w14:textId="77777777" w:rsidR="007F3E8A" w:rsidRDefault="007F3E8A" w:rsidP="00B065CA">
            <w:pPr>
              <w:pStyle w:val="NormalWeb"/>
              <w:ind w:right="34"/>
              <w:rPr>
                <w:rFonts w:ascii="Arial" w:hAnsi="Arial"/>
                <w:sz w:val="22"/>
                <w:szCs w:val="22"/>
              </w:rPr>
            </w:pPr>
          </w:p>
          <w:p w14:paraId="152A45DB" w14:textId="77777777" w:rsidR="007F3E8A" w:rsidRDefault="007F3E8A" w:rsidP="00B065CA">
            <w:pPr>
              <w:pStyle w:val="NormalWeb"/>
              <w:ind w:right="34"/>
              <w:rPr>
                <w:rFonts w:ascii="Arial" w:hAnsi="Arial"/>
                <w:sz w:val="22"/>
                <w:szCs w:val="22"/>
              </w:rPr>
            </w:pPr>
            <w:r>
              <w:rPr>
                <w:rFonts w:ascii="Arial" w:hAnsi="Arial"/>
                <w:sz w:val="22"/>
                <w:szCs w:val="22"/>
              </w:rPr>
              <w:t>Module title: Sacred Skies</w:t>
            </w:r>
          </w:p>
          <w:p w14:paraId="11C6913E" w14:textId="09FB811F" w:rsidR="007F3E8A" w:rsidRDefault="007F3E8A" w:rsidP="00B065CA">
            <w:pPr>
              <w:pStyle w:val="NormalWeb"/>
              <w:ind w:right="34"/>
              <w:rPr>
                <w:rFonts w:ascii="Arial" w:hAnsi="Arial"/>
                <w:sz w:val="22"/>
                <w:szCs w:val="22"/>
              </w:rPr>
            </w:pPr>
            <w:r>
              <w:rPr>
                <w:rFonts w:ascii="Arial" w:hAnsi="Arial"/>
                <w:sz w:val="22"/>
                <w:szCs w:val="22"/>
              </w:rPr>
              <w:t>Word count: 3</w:t>
            </w:r>
            <w:r w:rsidR="00CA5674">
              <w:rPr>
                <w:rFonts w:ascii="Arial" w:hAnsi="Arial"/>
                <w:sz w:val="22"/>
                <w:szCs w:val="22"/>
              </w:rPr>
              <w:t>149</w:t>
            </w:r>
          </w:p>
          <w:p w14:paraId="09BEB139" w14:textId="77777777" w:rsidR="007F3E8A" w:rsidRDefault="007F3E8A" w:rsidP="00B065CA">
            <w:pPr>
              <w:pStyle w:val="NormalWeb"/>
              <w:ind w:right="34"/>
            </w:pPr>
          </w:p>
        </w:tc>
        <w:tc>
          <w:tcPr>
            <w:tcW w:w="2266" w:type="dxa"/>
            <w:gridSpan w:val="3"/>
          </w:tcPr>
          <w:p w14:paraId="73A185EF" w14:textId="77777777" w:rsidR="007F3E8A" w:rsidRDefault="007F3E8A" w:rsidP="00B065CA">
            <w:pPr>
              <w:pStyle w:val="NormalWeb"/>
              <w:ind w:right="34"/>
            </w:pPr>
            <w:r>
              <w:rPr>
                <w:rFonts w:ascii="Arial" w:hAnsi="Arial"/>
                <w:sz w:val="22"/>
                <w:szCs w:val="22"/>
              </w:rPr>
              <w:t>Student ID number:</w:t>
            </w:r>
            <w:r w:rsidRPr="005B5E9C">
              <w:rPr>
                <w:rFonts w:ascii="Arial" w:hAnsi="Arial"/>
                <w:sz w:val="22"/>
                <w:szCs w:val="22"/>
              </w:rPr>
              <w:t xml:space="preserve"> 2111154</w:t>
            </w:r>
          </w:p>
        </w:tc>
        <w:tc>
          <w:tcPr>
            <w:tcW w:w="1802" w:type="dxa"/>
          </w:tcPr>
          <w:p w14:paraId="169C24CD" w14:textId="77777777" w:rsidR="007F3E8A" w:rsidRDefault="007F3E8A" w:rsidP="00B065CA">
            <w:pPr>
              <w:pStyle w:val="NormalWeb"/>
              <w:ind w:right="34"/>
            </w:pPr>
            <w:r>
              <w:rPr>
                <w:rFonts w:ascii="Arial" w:hAnsi="Arial"/>
                <w:sz w:val="22"/>
                <w:szCs w:val="22"/>
              </w:rPr>
              <w:t>Educational support needs:</w:t>
            </w:r>
          </w:p>
          <w:p w14:paraId="7F3C936D" w14:textId="77777777" w:rsidR="007F3E8A" w:rsidRDefault="007F3E8A" w:rsidP="00B065CA">
            <w:pPr>
              <w:pStyle w:val="NormalWeb"/>
              <w:ind w:right="34"/>
            </w:pPr>
            <w:r>
              <w:rPr>
                <w:rFonts w:ascii="Arial" w:hAnsi="Arial"/>
                <w:sz w:val="22"/>
                <w:szCs w:val="22"/>
              </w:rPr>
              <w:t>Yes</w:t>
            </w:r>
          </w:p>
        </w:tc>
      </w:tr>
      <w:tr w:rsidR="007F3E8A" w14:paraId="6C44CDDF" w14:textId="77777777" w:rsidTr="00B065CA">
        <w:trPr>
          <w:trHeight w:val="1139"/>
        </w:trPr>
        <w:tc>
          <w:tcPr>
            <w:tcW w:w="8856" w:type="dxa"/>
            <w:gridSpan w:val="5"/>
          </w:tcPr>
          <w:p w14:paraId="1B9BF564" w14:textId="77777777" w:rsidR="007F3E8A" w:rsidRDefault="007F3E8A" w:rsidP="00B065CA">
            <w:pPr>
              <w:pStyle w:val="NormalWeb"/>
              <w:ind w:right="34"/>
            </w:pPr>
            <w:r>
              <w:rPr>
                <w:rFonts w:ascii="Arial" w:hAnsi="Arial"/>
                <w:sz w:val="22"/>
                <w:szCs w:val="22"/>
              </w:rPr>
              <w:t xml:space="preserve">Assignment title: </w:t>
            </w:r>
            <w:r w:rsidRPr="005B5E9C">
              <w:rPr>
                <w:rFonts w:ascii="Arial" w:hAnsi="Arial"/>
                <w:sz w:val="22"/>
                <w:szCs w:val="22"/>
              </w:rPr>
              <w:t>Explore the Cultural Significance of a Sky Myth</w:t>
            </w:r>
          </w:p>
          <w:p w14:paraId="4921C7CE" w14:textId="77777777" w:rsidR="007F3E8A" w:rsidRDefault="007F3E8A" w:rsidP="00B065CA">
            <w:pPr>
              <w:pStyle w:val="NormalWeb"/>
              <w:ind w:right="34"/>
              <w:rPr>
                <w:rFonts w:ascii="Arial" w:hAnsi="Arial"/>
                <w:sz w:val="22"/>
                <w:szCs w:val="22"/>
              </w:rPr>
            </w:pPr>
          </w:p>
          <w:p w14:paraId="2FFB18CE" w14:textId="77777777" w:rsidR="007F3E8A" w:rsidRDefault="007F3E8A" w:rsidP="00B065CA">
            <w:pPr>
              <w:pStyle w:val="NormalWeb"/>
              <w:ind w:right="34"/>
              <w:rPr>
                <w:rFonts w:ascii="Arial" w:hAnsi="Arial"/>
                <w:sz w:val="22"/>
                <w:szCs w:val="22"/>
              </w:rPr>
            </w:pPr>
          </w:p>
          <w:p w14:paraId="4EF3710D" w14:textId="77777777" w:rsidR="007F3E8A" w:rsidRDefault="007F3E8A" w:rsidP="00B065CA">
            <w:pPr>
              <w:pStyle w:val="NormalWeb"/>
              <w:ind w:right="34"/>
            </w:pPr>
            <w:r>
              <w:rPr>
                <w:rFonts w:ascii="Arial" w:hAnsi="Arial"/>
                <w:sz w:val="22"/>
                <w:szCs w:val="22"/>
              </w:rPr>
              <w:t>Assignment due date: 31/03/2022</w:t>
            </w:r>
          </w:p>
        </w:tc>
      </w:tr>
      <w:tr w:rsidR="007F3E8A" w14:paraId="1C0A2825" w14:textId="77777777" w:rsidTr="00B065CA">
        <w:trPr>
          <w:trHeight w:val="978"/>
        </w:trPr>
        <w:tc>
          <w:tcPr>
            <w:tcW w:w="8856" w:type="dxa"/>
            <w:gridSpan w:val="5"/>
            <w:tcBorders>
              <w:bottom w:val="single" w:sz="4" w:space="0" w:color="000000"/>
            </w:tcBorders>
          </w:tcPr>
          <w:p w14:paraId="269ACF29" w14:textId="77777777" w:rsidR="007F3E8A" w:rsidRDefault="007F3E8A" w:rsidP="00B065CA">
            <w:r>
              <w:rPr>
                <w:rFonts w:ascii="Arial" w:hAnsi="Arial"/>
                <w:sz w:val="22"/>
                <w:szCs w:val="22"/>
              </w:rPr>
              <w:t>This assignment is for the       1</w:t>
            </w:r>
            <w:r>
              <w:rPr>
                <w:rFonts w:ascii="Arial" w:hAnsi="Arial"/>
                <w:sz w:val="22"/>
                <w:szCs w:val="22"/>
                <w:vertAlign w:val="superscript"/>
              </w:rPr>
              <w:t xml:space="preserve">st </w:t>
            </w:r>
            <w:r>
              <w:rPr>
                <w:rFonts w:ascii="Arial" w:hAnsi="Arial"/>
                <w:sz w:val="22"/>
                <w:szCs w:val="22"/>
              </w:rPr>
              <w:t xml:space="preserve">    </w:t>
            </w:r>
            <w:r w:rsidRPr="005B5E9C">
              <w:rPr>
                <w:rFonts w:ascii="Arial" w:hAnsi="Arial"/>
                <w:sz w:val="22"/>
                <w:szCs w:val="22"/>
                <w:highlight w:val="green"/>
              </w:rPr>
              <w:t>2</w:t>
            </w:r>
            <w:r w:rsidRPr="005B5E9C">
              <w:rPr>
                <w:rFonts w:ascii="Arial" w:hAnsi="Arial"/>
                <w:sz w:val="22"/>
                <w:szCs w:val="22"/>
                <w:highlight w:val="green"/>
                <w:vertAlign w:val="superscript"/>
              </w:rPr>
              <w:t>nd</w:t>
            </w:r>
            <w:r>
              <w:rPr>
                <w:rFonts w:ascii="Arial" w:hAnsi="Arial"/>
                <w:sz w:val="22"/>
                <w:szCs w:val="22"/>
              </w:rPr>
              <w:t xml:space="preserve">       3</w:t>
            </w:r>
            <w:r>
              <w:rPr>
                <w:rFonts w:ascii="Arial" w:hAnsi="Arial"/>
                <w:sz w:val="22"/>
                <w:szCs w:val="22"/>
                <w:vertAlign w:val="superscript"/>
              </w:rPr>
              <w:t>rd</w:t>
            </w:r>
            <w:r>
              <w:rPr>
                <w:rFonts w:ascii="Arial" w:hAnsi="Arial"/>
                <w:sz w:val="22"/>
                <w:szCs w:val="22"/>
              </w:rPr>
              <w:t xml:space="preserve">        4</w:t>
            </w:r>
            <w:r>
              <w:rPr>
                <w:rFonts w:ascii="Arial" w:hAnsi="Arial"/>
                <w:sz w:val="22"/>
                <w:szCs w:val="22"/>
                <w:vertAlign w:val="superscript"/>
              </w:rPr>
              <w:t>th</w:t>
            </w:r>
            <w:r>
              <w:rPr>
                <w:rFonts w:ascii="Arial" w:hAnsi="Arial"/>
                <w:sz w:val="22"/>
                <w:szCs w:val="22"/>
              </w:rPr>
              <w:t xml:space="preserve">       5</w:t>
            </w:r>
            <w:r>
              <w:rPr>
                <w:rFonts w:ascii="Arial" w:hAnsi="Arial"/>
                <w:sz w:val="22"/>
                <w:szCs w:val="22"/>
                <w:vertAlign w:val="superscript"/>
              </w:rPr>
              <w:t>th</w:t>
            </w:r>
            <w:r>
              <w:rPr>
                <w:rFonts w:ascii="Arial" w:hAnsi="Arial"/>
                <w:sz w:val="22"/>
                <w:szCs w:val="22"/>
              </w:rPr>
              <w:t xml:space="preserve">       6</w:t>
            </w:r>
            <w:r>
              <w:rPr>
                <w:rFonts w:ascii="Arial" w:hAnsi="Arial"/>
                <w:sz w:val="22"/>
                <w:szCs w:val="22"/>
                <w:vertAlign w:val="superscript"/>
              </w:rPr>
              <w:t>th</w:t>
            </w:r>
            <w:r>
              <w:rPr>
                <w:rFonts w:ascii="Arial" w:hAnsi="Arial"/>
                <w:sz w:val="22"/>
                <w:szCs w:val="22"/>
              </w:rPr>
              <w:t xml:space="preserve"> </w:t>
            </w:r>
            <w:r>
              <w:rPr>
                <w:rFonts w:ascii="Arial" w:hAnsi="Arial"/>
                <w:b/>
                <w:sz w:val="22"/>
                <w:szCs w:val="22"/>
              </w:rPr>
              <w:t xml:space="preserve">   </w:t>
            </w:r>
            <w:r>
              <w:rPr>
                <w:rFonts w:ascii="Arial" w:hAnsi="Arial"/>
                <w:sz w:val="22"/>
                <w:szCs w:val="22"/>
              </w:rPr>
              <w:t>module of the degree</w:t>
            </w:r>
          </w:p>
        </w:tc>
      </w:tr>
      <w:tr w:rsidR="007F3E8A" w14:paraId="25F89C08" w14:textId="77777777" w:rsidTr="00B065CA">
        <w:trPr>
          <w:trHeight w:val="978"/>
        </w:trPr>
        <w:tc>
          <w:tcPr>
            <w:tcW w:w="8856" w:type="dxa"/>
            <w:gridSpan w:val="5"/>
            <w:shd w:val="clear" w:color="auto" w:fill="D9D9D9"/>
          </w:tcPr>
          <w:p w14:paraId="4CB2DB86" w14:textId="77777777" w:rsidR="007F3E8A" w:rsidRDefault="007F3E8A" w:rsidP="00B065CA">
            <w:pPr>
              <w:pStyle w:val="NormalWeb"/>
              <w:ind w:right="34"/>
            </w:pPr>
            <w:r>
              <w:rPr>
                <w:rFonts w:ascii="Arial" w:hAnsi="Arial"/>
                <w:sz w:val="22"/>
                <w:szCs w:val="22"/>
              </w:rPr>
              <w:t>I confirm that this is my original work and that I have adhered to the University policy on plagiarism.</w:t>
            </w:r>
          </w:p>
          <w:p w14:paraId="049C737B" w14:textId="77777777" w:rsidR="007F3E8A" w:rsidRDefault="007F3E8A" w:rsidP="00B065CA">
            <w:pPr>
              <w:pStyle w:val="NormalWeb"/>
              <w:ind w:right="34"/>
              <w:rPr>
                <w:rFonts w:ascii="Arial" w:hAnsi="Arial"/>
                <w:sz w:val="22"/>
                <w:szCs w:val="22"/>
              </w:rPr>
            </w:pPr>
            <w:r>
              <w:rPr>
                <w:rFonts w:ascii="Arial" w:hAnsi="Arial"/>
                <w:sz w:val="22"/>
                <w:szCs w:val="22"/>
              </w:rPr>
              <w:t>Signed ……/</w:t>
            </w:r>
            <w:proofErr w:type="spellStart"/>
            <w:r>
              <w:rPr>
                <w:rFonts w:ascii="Arial" w:hAnsi="Arial"/>
                <w:sz w:val="22"/>
                <w:szCs w:val="22"/>
              </w:rPr>
              <w:t>vadimzaver</w:t>
            </w:r>
            <w:proofErr w:type="spellEnd"/>
            <w:r>
              <w:rPr>
                <w:rFonts w:ascii="Arial" w:hAnsi="Arial"/>
                <w:sz w:val="22"/>
                <w:szCs w:val="22"/>
              </w:rPr>
              <w:t>/………………………………………………………</w:t>
            </w:r>
          </w:p>
          <w:p w14:paraId="0106FA52" w14:textId="77777777" w:rsidR="007F3E8A" w:rsidRDefault="007F3E8A" w:rsidP="00B065CA">
            <w:pPr>
              <w:pStyle w:val="NormalWeb"/>
              <w:ind w:right="34"/>
              <w:rPr>
                <w:rFonts w:ascii="Calibri" w:hAnsi="Calibri"/>
                <w:b/>
                <w:sz w:val="44"/>
                <w:szCs w:val="44"/>
              </w:rPr>
            </w:pPr>
            <w:r>
              <w:rPr>
                <w:rFonts w:ascii="Calibri" w:hAnsi="Calibri"/>
                <w:b/>
                <w:sz w:val="24"/>
                <w:szCs w:val="24"/>
              </w:rPr>
              <w:t xml:space="preserve">Email </w:t>
            </w:r>
            <w:proofErr w:type="spellStart"/>
            <w:proofErr w:type="gramStart"/>
            <w:r>
              <w:rPr>
                <w:rFonts w:ascii="Calibri" w:hAnsi="Calibri"/>
                <w:b/>
                <w:sz w:val="24"/>
                <w:szCs w:val="24"/>
              </w:rPr>
              <w:t>submission:if</w:t>
            </w:r>
            <w:proofErr w:type="spellEnd"/>
            <w:proofErr w:type="gramEnd"/>
            <w:r>
              <w:rPr>
                <w:rFonts w:ascii="Calibri" w:hAnsi="Calibri"/>
                <w:b/>
                <w:sz w:val="24"/>
                <w:szCs w:val="24"/>
              </w:rPr>
              <w:t xml:space="preserve"> you are submitting this form via email, please tick this box </w:t>
            </w:r>
            <w:r>
              <w:rPr>
                <w:rFonts w:ascii="Calibri" w:hAnsi="Calibri"/>
                <w:b/>
                <w:sz w:val="44"/>
                <w:szCs w:val="44"/>
              </w:rPr>
              <w:t>□</w:t>
            </w:r>
          </w:p>
          <w:p w14:paraId="03BDDDF4" w14:textId="77777777" w:rsidR="007F3E8A" w:rsidRDefault="007F3E8A" w:rsidP="00B065CA">
            <w:pPr>
              <w:pStyle w:val="NormalWeb"/>
              <w:ind w:right="34"/>
            </w:pPr>
            <w:r>
              <w:rPr>
                <w:rFonts w:ascii="Calibri" w:hAnsi="Calibri"/>
                <w:b/>
                <w:sz w:val="24"/>
                <w:szCs w:val="24"/>
              </w:rPr>
              <w:t>(as a substitute for your signature) to confirm that you agree to the above declaration.</w:t>
            </w:r>
          </w:p>
        </w:tc>
      </w:tr>
      <w:tr w:rsidR="007F3E8A" w14:paraId="56BFEB4D" w14:textId="77777777" w:rsidTr="00B065CA">
        <w:trPr>
          <w:trHeight w:val="3972"/>
        </w:trPr>
        <w:tc>
          <w:tcPr>
            <w:tcW w:w="8856" w:type="dxa"/>
            <w:gridSpan w:val="5"/>
          </w:tcPr>
          <w:p w14:paraId="4D869B55" w14:textId="77777777" w:rsidR="007F3E8A" w:rsidRDefault="007F3E8A" w:rsidP="00B065CA">
            <w:pPr>
              <w:rPr>
                <w:rFonts w:ascii="Arial" w:hAnsi="Arial"/>
                <w:b/>
              </w:rPr>
            </w:pPr>
          </w:p>
          <w:p w14:paraId="4001DDD0" w14:textId="77777777" w:rsidR="007F3E8A" w:rsidRDefault="007F3E8A" w:rsidP="00B065CA">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7F3E8A" w14:paraId="7B5EF862" w14:textId="77777777" w:rsidTr="00B065CA">
              <w:tc>
                <w:tcPr>
                  <w:tcW w:w="6970" w:type="dxa"/>
                </w:tcPr>
                <w:p w14:paraId="22A75320" w14:textId="77777777" w:rsidR="007F3E8A" w:rsidRDefault="007F3E8A" w:rsidP="00B065CA">
                  <w:pPr>
                    <w:rPr>
                      <w:rFonts w:ascii="Arial" w:hAnsi="Arial"/>
                      <w:sz w:val="20"/>
                      <w:szCs w:val="20"/>
                    </w:rPr>
                  </w:pPr>
                </w:p>
                <w:p w14:paraId="082CAEF2" w14:textId="77777777" w:rsidR="007F3E8A" w:rsidRDefault="007F3E8A" w:rsidP="00B065CA">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354035DC" w14:textId="77777777" w:rsidR="007F3E8A" w:rsidRDefault="007F3E8A" w:rsidP="00B065CA">
                  <w:pPr>
                    <w:rPr>
                      <w:rFonts w:ascii="Arial" w:hAnsi="Arial"/>
                      <w:sz w:val="20"/>
                      <w:szCs w:val="20"/>
                    </w:rPr>
                  </w:pPr>
                </w:p>
              </w:tc>
            </w:tr>
            <w:tr w:rsidR="007F3E8A" w14:paraId="5AC3C6CA" w14:textId="77777777" w:rsidTr="00B065CA">
              <w:tc>
                <w:tcPr>
                  <w:tcW w:w="6970" w:type="dxa"/>
                </w:tcPr>
                <w:p w14:paraId="056BC20A" w14:textId="77777777" w:rsidR="007F3E8A" w:rsidRDefault="007F3E8A" w:rsidP="00B065CA">
                  <w:pPr>
                    <w:rPr>
                      <w:rFonts w:ascii="Arial" w:hAnsi="Arial"/>
                      <w:sz w:val="20"/>
                      <w:szCs w:val="20"/>
                    </w:rPr>
                  </w:pPr>
                </w:p>
                <w:p w14:paraId="11FFA59E" w14:textId="77777777" w:rsidR="007F3E8A" w:rsidRDefault="007F3E8A" w:rsidP="00B065CA">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178169C7" w14:textId="77777777" w:rsidR="007F3E8A" w:rsidRDefault="007F3E8A" w:rsidP="00B065CA">
                  <w:pPr>
                    <w:rPr>
                      <w:rFonts w:ascii="Arial" w:hAnsi="Arial"/>
                      <w:sz w:val="20"/>
                      <w:szCs w:val="20"/>
                    </w:rPr>
                  </w:pPr>
                </w:p>
              </w:tc>
            </w:tr>
            <w:tr w:rsidR="007F3E8A" w14:paraId="55E2A0AF" w14:textId="77777777" w:rsidTr="00B065CA">
              <w:tc>
                <w:tcPr>
                  <w:tcW w:w="6970" w:type="dxa"/>
                </w:tcPr>
                <w:p w14:paraId="23AE28DF" w14:textId="77777777" w:rsidR="007F3E8A" w:rsidRDefault="007F3E8A" w:rsidP="00B065CA">
                  <w:pPr>
                    <w:rPr>
                      <w:rFonts w:ascii="Arial" w:hAnsi="Arial"/>
                      <w:sz w:val="20"/>
                      <w:szCs w:val="20"/>
                    </w:rPr>
                  </w:pPr>
                </w:p>
                <w:p w14:paraId="6B62C5A8" w14:textId="77777777" w:rsidR="007F3E8A" w:rsidRDefault="007F3E8A" w:rsidP="00B065CA">
                  <w:pPr>
                    <w:rPr>
                      <w:rFonts w:ascii="Arial" w:hAnsi="Arial"/>
                      <w:sz w:val="20"/>
                      <w:szCs w:val="20"/>
                    </w:rPr>
                  </w:pPr>
                  <w:r>
                    <w:rPr>
                      <w:rFonts w:ascii="Arial" w:hAnsi="Arial"/>
                      <w:sz w:val="20"/>
                      <w:szCs w:val="20"/>
                    </w:rPr>
                    <w:t>External Examiner’s mark (if relevant)</w:t>
                  </w:r>
                </w:p>
              </w:tc>
              <w:tc>
                <w:tcPr>
                  <w:tcW w:w="1660" w:type="dxa"/>
                </w:tcPr>
                <w:p w14:paraId="4745A548" w14:textId="77777777" w:rsidR="007F3E8A" w:rsidRDefault="007F3E8A" w:rsidP="00B065CA">
                  <w:pPr>
                    <w:rPr>
                      <w:rFonts w:ascii="Arial" w:hAnsi="Arial"/>
                      <w:sz w:val="20"/>
                      <w:szCs w:val="20"/>
                    </w:rPr>
                  </w:pPr>
                </w:p>
              </w:tc>
            </w:tr>
            <w:tr w:rsidR="007F3E8A" w14:paraId="56745860" w14:textId="77777777" w:rsidTr="00B065CA">
              <w:tc>
                <w:tcPr>
                  <w:tcW w:w="6970" w:type="dxa"/>
                </w:tcPr>
                <w:p w14:paraId="723B3822" w14:textId="77777777" w:rsidR="007F3E8A" w:rsidRDefault="007F3E8A" w:rsidP="00B065CA">
                  <w:pPr>
                    <w:rPr>
                      <w:rFonts w:ascii="Arial" w:hAnsi="Arial"/>
                      <w:sz w:val="20"/>
                      <w:szCs w:val="20"/>
                    </w:rPr>
                  </w:pPr>
                </w:p>
                <w:p w14:paraId="64E55308" w14:textId="77777777" w:rsidR="007F3E8A" w:rsidRDefault="007F3E8A" w:rsidP="00B065CA">
                  <w:r>
                    <w:rPr>
                      <w:rFonts w:ascii="Arial" w:hAnsi="Arial"/>
                      <w:b/>
                      <w:sz w:val="20"/>
                      <w:szCs w:val="20"/>
                    </w:rPr>
                    <w:t>Final Mark</w:t>
                  </w:r>
                </w:p>
                <w:p w14:paraId="4CAF3C49" w14:textId="77777777" w:rsidR="007F3E8A" w:rsidRDefault="007F3E8A" w:rsidP="00B065CA">
                  <w:pPr>
                    <w:rPr>
                      <w:rFonts w:ascii="Arial" w:hAnsi="Arial"/>
                      <w:sz w:val="20"/>
                      <w:szCs w:val="20"/>
                    </w:rPr>
                  </w:pPr>
                </w:p>
              </w:tc>
              <w:tc>
                <w:tcPr>
                  <w:tcW w:w="1660" w:type="dxa"/>
                </w:tcPr>
                <w:p w14:paraId="79A8A950" w14:textId="77777777" w:rsidR="007F3E8A" w:rsidRDefault="007F3E8A" w:rsidP="00B065CA">
                  <w:pPr>
                    <w:rPr>
                      <w:rFonts w:ascii="Arial" w:hAnsi="Arial"/>
                      <w:sz w:val="20"/>
                      <w:szCs w:val="20"/>
                    </w:rPr>
                  </w:pPr>
                </w:p>
              </w:tc>
            </w:tr>
          </w:tbl>
          <w:p w14:paraId="486F2D85" w14:textId="77777777" w:rsidR="007F3E8A" w:rsidRDefault="007F3E8A" w:rsidP="00B065CA">
            <w:pPr>
              <w:pStyle w:val="NormalWeb"/>
              <w:ind w:left="142" w:right="34"/>
              <w:rPr>
                <w:rFonts w:ascii="Arial" w:hAnsi="Arial"/>
                <w:b/>
                <w:sz w:val="22"/>
                <w:szCs w:val="22"/>
              </w:rPr>
            </w:pPr>
          </w:p>
          <w:p w14:paraId="6C322E91" w14:textId="77777777" w:rsidR="007F3E8A" w:rsidRDefault="007F3E8A" w:rsidP="00B065CA">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5C31560D" w14:textId="77777777" w:rsidR="007F3E8A" w:rsidRDefault="007F3E8A" w:rsidP="00B065CA">
            <w:pPr>
              <w:pStyle w:val="NormalWeb"/>
              <w:rPr>
                <w:rFonts w:ascii="Arial" w:hAnsi="Arial"/>
                <w:b/>
                <w:sz w:val="22"/>
                <w:szCs w:val="22"/>
              </w:rPr>
            </w:pPr>
          </w:p>
          <w:p w14:paraId="6BBF27C8" w14:textId="77777777" w:rsidR="007F3E8A" w:rsidRDefault="007F3E8A" w:rsidP="00B065CA">
            <w:pPr>
              <w:pStyle w:val="NormalWeb"/>
              <w:rPr>
                <w:rFonts w:ascii="Arial" w:hAnsi="Arial"/>
                <w:b/>
                <w:sz w:val="22"/>
                <w:szCs w:val="22"/>
              </w:rPr>
            </w:pPr>
          </w:p>
          <w:p w14:paraId="1F66158D" w14:textId="77777777" w:rsidR="007F3E8A" w:rsidRDefault="007F3E8A" w:rsidP="00B065CA">
            <w:pPr>
              <w:pStyle w:val="NormalWeb"/>
              <w:rPr>
                <w:rFonts w:ascii="Arial" w:hAnsi="Arial"/>
                <w:b/>
                <w:sz w:val="22"/>
                <w:szCs w:val="22"/>
              </w:rPr>
            </w:pPr>
            <w:r>
              <w:rPr>
                <w:rFonts w:ascii="Arial"/>
                <w:b/>
                <w:sz w:val="22"/>
              </w:rPr>
              <w:t xml:space="preserve">            ALL COMMENTS </w:t>
            </w:r>
            <w:proofErr w:type="gramStart"/>
            <w:r>
              <w:rPr>
                <w:rFonts w:ascii="Arial"/>
                <w:b/>
                <w:sz w:val="22"/>
              </w:rPr>
              <w:t>ARE  ON</w:t>
            </w:r>
            <w:proofErr w:type="gramEnd"/>
            <w:r>
              <w:rPr>
                <w:rFonts w:ascii="Arial"/>
                <w:b/>
                <w:sz w:val="22"/>
              </w:rPr>
              <w:t xml:space="preserve"> THE PDF OF YOUR PAPER IN TURNITIN </w:t>
            </w:r>
          </w:p>
          <w:p w14:paraId="2A55794C" w14:textId="77777777" w:rsidR="007F3E8A" w:rsidRDefault="007F3E8A" w:rsidP="00B065CA">
            <w:pPr>
              <w:pStyle w:val="NormalWeb"/>
              <w:rPr>
                <w:rFonts w:ascii="Arial" w:hAnsi="Arial"/>
                <w:b/>
                <w:sz w:val="22"/>
                <w:szCs w:val="22"/>
              </w:rPr>
            </w:pPr>
          </w:p>
          <w:p w14:paraId="2C1B1F7E" w14:textId="77777777" w:rsidR="007F3E8A" w:rsidRDefault="007F3E8A" w:rsidP="00B065CA">
            <w:pPr>
              <w:pStyle w:val="NormalWeb"/>
              <w:rPr>
                <w:rFonts w:ascii="Arial" w:hAnsi="Arial"/>
                <w:b/>
                <w:sz w:val="22"/>
                <w:szCs w:val="22"/>
              </w:rPr>
            </w:pPr>
          </w:p>
          <w:p w14:paraId="2793F82C" w14:textId="77777777" w:rsidR="007F3E8A" w:rsidRDefault="007F3E8A" w:rsidP="00B065CA">
            <w:pPr>
              <w:pStyle w:val="NormalWeb"/>
            </w:pPr>
            <w:r>
              <w:rPr>
                <w:rFonts w:ascii="Arial" w:hAnsi="Arial"/>
                <w:b/>
                <w:sz w:val="22"/>
                <w:szCs w:val="22"/>
              </w:rPr>
              <w:t xml:space="preserve">For completion by Marker </w:t>
            </w:r>
            <w:proofErr w:type="gramStart"/>
            <w:r>
              <w:rPr>
                <w:rFonts w:ascii="Arial" w:hAnsi="Arial"/>
                <w:b/>
                <w:sz w:val="22"/>
                <w:szCs w:val="22"/>
              </w:rPr>
              <w:t>1 :</w:t>
            </w:r>
            <w:proofErr w:type="gramEnd"/>
          </w:p>
          <w:p w14:paraId="72A469D4" w14:textId="77777777" w:rsidR="007F3E8A" w:rsidRDefault="007F3E8A" w:rsidP="00B065CA">
            <w:pPr>
              <w:pStyle w:val="NormalWeb"/>
              <w:rPr>
                <w:rFonts w:ascii="Arial" w:hAnsi="Arial"/>
                <w:sz w:val="22"/>
                <w:szCs w:val="22"/>
              </w:rPr>
            </w:pPr>
            <w:r>
              <w:rPr>
                <w:rFonts w:ascii="Arial" w:hAnsi="Arial"/>
                <w:sz w:val="22"/>
                <w:szCs w:val="22"/>
              </w:rPr>
              <w:t>Comments:</w:t>
            </w:r>
          </w:p>
          <w:p w14:paraId="287CCC8C" w14:textId="77777777" w:rsidR="007F3E8A" w:rsidRDefault="007F3E8A" w:rsidP="00B065CA">
            <w:pPr>
              <w:pStyle w:val="NormalWeb"/>
            </w:pPr>
          </w:p>
        </w:tc>
      </w:tr>
      <w:tr w:rsidR="007F3E8A" w14:paraId="560B387F" w14:textId="77777777" w:rsidTr="00B065CA">
        <w:trPr>
          <w:trHeight w:val="492"/>
        </w:trPr>
        <w:tc>
          <w:tcPr>
            <w:tcW w:w="6768" w:type="dxa"/>
            <w:gridSpan w:val="3"/>
          </w:tcPr>
          <w:p w14:paraId="1BB2DE03" w14:textId="77777777" w:rsidR="007F3E8A" w:rsidRDefault="007F3E8A" w:rsidP="00B065CA">
            <w:pPr>
              <w:pStyle w:val="NormalWeb"/>
              <w:ind w:left="142" w:right="34"/>
            </w:pPr>
            <w:r>
              <w:rPr>
                <w:rFonts w:ascii="Arial" w:hAnsi="Arial"/>
                <w:sz w:val="22"/>
                <w:szCs w:val="22"/>
              </w:rPr>
              <w:t>Marker’s signature:</w:t>
            </w:r>
          </w:p>
        </w:tc>
        <w:tc>
          <w:tcPr>
            <w:tcW w:w="2088" w:type="dxa"/>
            <w:gridSpan w:val="2"/>
          </w:tcPr>
          <w:p w14:paraId="37FBE84A" w14:textId="77777777" w:rsidR="007F3E8A" w:rsidRDefault="007F3E8A" w:rsidP="007F3E8A">
            <w:pPr>
              <w:pStyle w:val="NormalWeb"/>
              <w:ind w:right="34"/>
            </w:pPr>
            <w:r>
              <w:rPr>
                <w:rFonts w:ascii="Arial" w:hAnsi="Arial"/>
                <w:sz w:val="22"/>
                <w:szCs w:val="22"/>
              </w:rPr>
              <w:t>Date:</w:t>
            </w:r>
          </w:p>
        </w:tc>
      </w:tr>
      <w:tr w:rsidR="007F3E8A" w14:paraId="7BADE4F5" w14:textId="77777777" w:rsidTr="00B065CA">
        <w:tc>
          <w:tcPr>
            <w:tcW w:w="8856" w:type="dxa"/>
            <w:gridSpan w:val="5"/>
          </w:tcPr>
          <w:p w14:paraId="07834345" w14:textId="77777777" w:rsidR="007F3E8A" w:rsidRDefault="007F3E8A" w:rsidP="00B065CA">
            <w:pPr>
              <w:pStyle w:val="NormalWeb"/>
              <w:ind w:right="-334"/>
              <w:rPr>
                <w:rFonts w:ascii="Arial" w:hAnsi="Arial"/>
                <w:i/>
                <w:sz w:val="22"/>
                <w:szCs w:val="22"/>
              </w:rPr>
            </w:pPr>
          </w:p>
          <w:p w14:paraId="51B86D74" w14:textId="77777777" w:rsidR="007F3E8A" w:rsidRDefault="007F3E8A" w:rsidP="00B065CA">
            <w:pPr>
              <w:pStyle w:val="NormalWeb"/>
              <w:ind w:right="-334"/>
            </w:pPr>
            <w:r>
              <w:rPr>
                <w:rFonts w:ascii="Arial" w:hAnsi="Arial"/>
                <w:b/>
                <w:sz w:val="22"/>
                <w:szCs w:val="22"/>
              </w:rPr>
              <w:t>For completion by Marker 2/Moderator:</w:t>
            </w:r>
          </w:p>
          <w:p w14:paraId="2B4BEE9B" w14:textId="77777777" w:rsidR="007F3E8A" w:rsidRDefault="007F3E8A" w:rsidP="00B065CA">
            <w:pPr>
              <w:pStyle w:val="NormalWeb"/>
              <w:ind w:right="-334"/>
              <w:rPr>
                <w:rFonts w:ascii="Arial" w:hAnsi="Arial"/>
                <w:b/>
                <w:sz w:val="22"/>
                <w:szCs w:val="22"/>
              </w:rPr>
            </w:pPr>
          </w:p>
          <w:p w14:paraId="1B0D86A1" w14:textId="77777777" w:rsidR="007F3E8A" w:rsidRDefault="007F3E8A" w:rsidP="00B065CA">
            <w:pPr>
              <w:pStyle w:val="NormalWeb"/>
              <w:ind w:right="-334"/>
            </w:pPr>
            <w:r>
              <w:rPr>
                <w:rFonts w:ascii="Arial" w:hAnsi="Arial"/>
                <w:sz w:val="22"/>
                <w:szCs w:val="22"/>
              </w:rPr>
              <w:t>Comments:</w:t>
            </w:r>
          </w:p>
          <w:p w14:paraId="70F28B8D" w14:textId="77777777" w:rsidR="007F3E8A" w:rsidRDefault="007F3E8A" w:rsidP="00B065CA">
            <w:pPr>
              <w:pStyle w:val="NormalWeb"/>
              <w:ind w:right="-334"/>
              <w:rPr>
                <w:rFonts w:ascii="Arial" w:hAnsi="Arial"/>
                <w:sz w:val="22"/>
                <w:szCs w:val="22"/>
              </w:rPr>
            </w:pPr>
          </w:p>
          <w:p w14:paraId="23E0A1DA" w14:textId="77777777" w:rsidR="007F3E8A" w:rsidRDefault="007F3E8A" w:rsidP="00B065CA">
            <w:pPr>
              <w:pStyle w:val="NormalWeb"/>
              <w:ind w:right="-334"/>
              <w:rPr>
                <w:rFonts w:ascii="Arial" w:hAnsi="Arial"/>
                <w:sz w:val="22"/>
                <w:szCs w:val="22"/>
              </w:rPr>
            </w:pPr>
          </w:p>
        </w:tc>
      </w:tr>
      <w:tr w:rsidR="007F3E8A" w14:paraId="4BF17ED8" w14:textId="77777777" w:rsidTr="00B065CA">
        <w:trPr>
          <w:trHeight w:val="720"/>
        </w:trPr>
        <w:tc>
          <w:tcPr>
            <w:tcW w:w="5211" w:type="dxa"/>
            <w:gridSpan w:val="2"/>
          </w:tcPr>
          <w:p w14:paraId="5935971E" w14:textId="77777777" w:rsidR="007F3E8A" w:rsidRDefault="007F3E8A" w:rsidP="00B065CA">
            <w:pPr>
              <w:pStyle w:val="NormalWeb"/>
              <w:ind w:right="-334"/>
            </w:pPr>
            <w:r>
              <w:rPr>
                <w:rFonts w:ascii="Arial" w:hAnsi="Arial"/>
                <w:sz w:val="22"/>
                <w:szCs w:val="22"/>
              </w:rPr>
              <w:t>Marker’s Signature:</w:t>
            </w:r>
          </w:p>
        </w:tc>
        <w:tc>
          <w:tcPr>
            <w:tcW w:w="3645" w:type="dxa"/>
            <w:gridSpan w:val="3"/>
          </w:tcPr>
          <w:p w14:paraId="77F34D82" w14:textId="77777777" w:rsidR="007F3E8A" w:rsidRDefault="007F3E8A" w:rsidP="00B065CA">
            <w:pPr>
              <w:pStyle w:val="NormalWeb"/>
              <w:ind w:right="-334"/>
            </w:pPr>
            <w:r>
              <w:rPr>
                <w:rFonts w:ascii="Arial" w:hAnsi="Arial"/>
                <w:sz w:val="22"/>
                <w:szCs w:val="22"/>
              </w:rPr>
              <w:t>Date:</w:t>
            </w:r>
          </w:p>
        </w:tc>
      </w:tr>
      <w:tr w:rsidR="007F3E8A" w14:paraId="3A80D1B7" w14:textId="77777777" w:rsidTr="00B065CA">
        <w:trPr>
          <w:trHeight w:val="720"/>
        </w:trPr>
        <w:tc>
          <w:tcPr>
            <w:tcW w:w="8856" w:type="dxa"/>
            <w:gridSpan w:val="5"/>
          </w:tcPr>
          <w:p w14:paraId="0A9BFFCF" w14:textId="77777777" w:rsidR="007F3E8A" w:rsidRDefault="007F3E8A" w:rsidP="00B065CA">
            <w:r>
              <w:rPr>
                <w:rFonts w:ascii="Arial" w:hAnsi="Arial"/>
                <w:b/>
                <w:sz w:val="22"/>
                <w:szCs w:val="22"/>
              </w:rPr>
              <w:t>External Examiner’s comments (if relevant)</w:t>
            </w:r>
          </w:p>
          <w:p w14:paraId="1DB16BC9" w14:textId="77777777" w:rsidR="007F3E8A" w:rsidRDefault="007F3E8A" w:rsidP="00B065CA">
            <w:pPr>
              <w:pStyle w:val="NormalWeb"/>
              <w:ind w:right="-334"/>
              <w:rPr>
                <w:rFonts w:ascii="Arial" w:hAnsi="Arial"/>
                <w:sz w:val="22"/>
                <w:szCs w:val="22"/>
              </w:rPr>
            </w:pPr>
          </w:p>
        </w:tc>
      </w:tr>
      <w:tr w:rsidR="007F3E8A" w14:paraId="4F37A258" w14:textId="77777777" w:rsidTr="00B065CA">
        <w:trPr>
          <w:trHeight w:val="720"/>
        </w:trPr>
        <w:tc>
          <w:tcPr>
            <w:tcW w:w="5211" w:type="dxa"/>
            <w:gridSpan w:val="2"/>
          </w:tcPr>
          <w:p w14:paraId="7AFA2F32" w14:textId="77777777" w:rsidR="007F3E8A" w:rsidRDefault="007F3E8A" w:rsidP="00B065CA">
            <w:r>
              <w:rPr>
                <w:rFonts w:ascii="Arial" w:hAnsi="Arial"/>
                <w:sz w:val="22"/>
                <w:szCs w:val="22"/>
              </w:rPr>
              <w:t>External Examiner’s Signature:</w:t>
            </w:r>
          </w:p>
        </w:tc>
        <w:tc>
          <w:tcPr>
            <w:tcW w:w="3645" w:type="dxa"/>
            <w:gridSpan w:val="3"/>
          </w:tcPr>
          <w:p w14:paraId="6AF18992" w14:textId="77777777" w:rsidR="007F3E8A" w:rsidRDefault="007F3E8A" w:rsidP="00B065CA">
            <w:r>
              <w:rPr>
                <w:rFonts w:ascii="Arial" w:hAnsi="Arial"/>
                <w:sz w:val="22"/>
                <w:szCs w:val="22"/>
              </w:rPr>
              <w:t>Date:</w:t>
            </w:r>
          </w:p>
        </w:tc>
      </w:tr>
    </w:tbl>
    <w:p w14:paraId="245BF0FF" w14:textId="77777777" w:rsidR="007F3E8A" w:rsidRDefault="007F3E8A" w:rsidP="007F3E8A">
      <w:pPr>
        <w:pStyle w:val="NormalWeb"/>
        <w:ind w:right="-334"/>
        <w:rPr>
          <w:rFonts w:ascii="Trebuchet MS" w:hAnsi="Trebuchet MS"/>
          <w:sz w:val="24"/>
          <w:szCs w:val="24"/>
        </w:rPr>
      </w:pPr>
    </w:p>
    <w:p w14:paraId="1FF88483" w14:textId="77777777" w:rsidR="007F3E8A" w:rsidRDefault="007F3E8A">
      <w:pPr>
        <w:rPr>
          <w:rFonts w:ascii="Times New Roman" w:hAnsi="Times New Roman" w:cs="Times New Roman (Body CS)"/>
          <w:color w:val="000000" w:themeColor="text1"/>
        </w:rPr>
      </w:pPr>
      <w:r>
        <w:br w:type="page"/>
      </w:r>
    </w:p>
    <w:p w14:paraId="56ECF21B" w14:textId="12068A68" w:rsidR="00625254" w:rsidRDefault="00625254" w:rsidP="00625254">
      <w:pPr>
        <w:pStyle w:val="Subhead"/>
      </w:pPr>
      <w:r>
        <w:lastRenderedPageBreak/>
        <w:t>Introduction</w:t>
      </w:r>
    </w:p>
    <w:p w14:paraId="0F35F3EB" w14:textId="0BF1DC81" w:rsidR="00D02750" w:rsidRDefault="00D02750" w:rsidP="00A55581">
      <w:pPr>
        <w:pStyle w:val="BodyNoIndent"/>
      </w:pPr>
      <w:r>
        <w:t xml:space="preserve">Like many European languages have </w:t>
      </w:r>
      <w:r w:rsidR="00203F6F">
        <w:t xml:space="preserve">the </w:t>
      </w:r>
      <w:r>
        <w:t xml:space="preserve">Latin roots, many ancient </w:t>
      </w:r>
      <w:r w:rsidR="007E4129">
        <w:t>cultures</w:t>
      </w:r>
      <w:r>
        <w:t xml:space="preserve"> have </w:t>
      </w:r>
      <w:r w:rsidR="00203F6F">
        <w:t xml:space="preserve">the </w:t>
      </w:r>
      <w:r>
        <w:t xml:space="preserve">roots embedded into </w:t>
      </w:r>
      <w:r w:rsidR="00434D8F">
        <w:t xml:space="preserve">the </w:t>
      </w:r>
      <w:r>
        <w:t xml:space="preserve">times of the beginning of </w:t>
      </w:r>
      <w:r w:rsidR="00203F6F">
        <w:t>humankind</w:t>
      </w:r>
      <w:r>
        <w:t>.</w:t>
      </w:r>
      <w:r w:rsidR="00203F6F">
        <w:t xml:space="preserve"> The</w:t>
      </w:r>
      <w:r>
        <w:t xml:space="preserve"> </w:t>
      </w:r>
      <w:r w:rsidRPr="00D02750">
        <w:rPr>
          <w:rStyle w:val="Publication"/>
        </w:rPr>
        <w:t>Orion and Pleiades</w:t>
      </w:r>
      <w:r w:rsidR="00731B07">
        <w:rPr>
          <w:rStyle w:val="FootnoteReference"/>
          <w:i/>
        </w:rPr>
        <w:footnoteReference w:id="1"/>
      </w:r>
      <w:r>
        <w:t xml:space="preserve"> </w:t>
      </w:r>
      <w:r w:rsidR="00434D8F">
        <w:t>myth is</w:t>
      </w:r>
      <w:r>
        <w:t xml:space="preserve"> </w:t>
      </w:r>
      <w:r w:rsidR="00D62464">
        <w:t xml:space="preserve">such a root, which has connection to many </w:t>
      </w:r>
      <w:r w:rsidR="007E4129">
        <w:t>cultures</w:t>
      </w:r>
      <w:r w:rsidR="00D62464">
        <w:t xml:space="preserve"> and </w:t>
      </w:r>
      <w:r w:rsidR="00203F6F">
        <w:t xml:space="preserve">could </w:t>
      </w:r>
      <w:r w:rsidR="00D62464">
        <w:t xml:space="preserve">in fact </w:t>
      </w:r>
      <w:r w:rsidR="00203F6F">
        <w:t>be a culture enabler</w:t>
      </w:r>
      <w:r w:rsidR="00D62464">
        <w:t>.</w:t>
      </w:r>
      <w:r>
        <w:t xml:space="preserve"> </w:t>
      </w:r>
    </w:p>
    <w:p w14:paraId="07495D59" w14:textId="1C8DD4B0" w:rsidR="00D62464" w:rsidRDefault="00140141" w:rsidP="00AA36E6">
      <w:pPr>
        <w:pStyle w:val="Body"/>
      </w:pPr>
      <w:r>
        <w:t>The a</w:t>
      </w:r>
      <w:r w:rsidR="00500E4A">
        <w:t xml:space="preserve">ncient Greeks myth </w:t>
      </w:r>
      <w:r w:rsidR="00500E4A" w:rsidRPr="00140141">
        <w:rPr>
          <w:rStyle w:val="Publication"/>
        </w:rPr>
        <w:t>Orion and Pleiades</w:t>
      </w:r>
      <w:r w:rsidR="00500E4A">
        <w:t xml:space="preserve"> has </w:t>
      </w:r>
      <w:r w:rsidR="00434D8F">
        <w:t>huge</w:t>
      </w:r>
      <w:r w:rsidR="00500E4A">
        <w:t xml:space="preserve"> cultural significance and stands aside from all other myths for three </w:t>
      </w:r>
      <w:r w:rsidR="00500E4A" w:rsidRPr="00602AC4">
        <w:t>reasons</w:t>
      </w:r>
      <w:r>
        <w:t>:</w:t>
      </w:r>
      <w:r w:rsidR="00500E4A">
        <w:t xml:space="preserve"> </w:t>
      </w:r>
    </w:p>
    <w:p w14:paraId="4B55F5D6" w14:textId="6BC10053" w:rsidR="00500E4A" w:rsidRDefault="00500E4A" w:rsidP="00AA36E6">
      <w:pPr>
        <w:pStyle w:val="Body"/>
        <w:numPr>
          <w:ilvl w:val="0"/>
          <w:numId w:val="15"/>
        </w:numPr>
      </w:pPr>
      <w:r>
        <w:t xml:space="preserve">The myth is extremely </w:t>
      </w:r>
      <w:r w:rsidR="00331054">
        <w:t>primordial</w:t>
      </w:r>
      <w:r>
        <w:t>, its variations exist in many ancient cultures (</w:t>
      </w:r>
      <w:r w:rsidR="00D02750">
        <w:t xml:space="preserve">see </w:t>
      </w:r>
      <w:r w:rsidR="00D02750" w:rsidRPr="00D62464">
        <w:rPr>
          <w:rStyle w:val="Publication"/>
        </w:rPr>
        <w:t>Appendix</w:t>
      </w:r>
      <w:r w:rsidR="00555586">
        <w:rPr>
          <w:rStyle w:val="Publication"/>
        </w:rPr>
        <w:t xml:space="preserve"> </w:t>
      </w:r>
      <w:r w:rsidR="00D02750" w:rsidRPr="00D62464">
        <w:rPr>
          <w:rStyle w:val="Publication"/>
        </w:rPr>
        <w:t>1</w:t>
      </w:r>
      <w:r>
        <w:t xml:space="preserve">). In fact, </w:t>
      </w:r>
      <w:r w:rsidR="00331054">
        <w:t xml:space="preserve">the </w:t>
      </w:r>
      <w:r w:rsidRPr="00D02750">
        <w:rPr>
          <w:rStyle w:val="Publication"/>
        </w:rPr>
        <w:t>Orion and Pleiades</w:t>
      </w:r>
      <w:r>
        <w:t xml:space="preserve"> could be the oldest myth. </w:t>
      </w:r>
      <w:r w:rsidR="00331054">
        <w:t xml:space="preserve">The </w:t>
      </w:r>
      <w:r w:rsidRPr="00202ABC">
        <w:rPr>
          <w:rStyle w:val="Publication"/>
        </w:rPr>
        <w:t>Lascaux cave</w:t>
      </w:r>
      <w:r w:rsidR="00434D8F">
        <w:t xml:space="preserve"> image from 22,</w:t>
      </w:r>
      <w:r w:rsidR="00202ABC">
        <w:t>5</w:t>
      </w:r>
      <w:r w:rsidR="00434D8F">
        <w:t>00 years ago likely features Pleiades.</w:t>
      </w:r>
    </w:p>
    <w:p w14:paraId="55FF60D9" w14:textId="6AA4F4D4" w:rsidR="007E4129" w:rsidRDefault="00D8699F" w:rsidP="00AA36E6">
      <w:pPr>
        <w:pStyle w:val="Body"/>
        <w:numPr>
          <w:ilvl w:val="0"/>
          <w:numId w:val="15"/>
        </w:numPr>
      </w:pPr>
      <w:r>
        <w:t xml:space="preserve">The myth made </w:t>
      </w:r>
      <w:r w:rsidR="00331054">
        <w:t>enabled</w:t>
      </w:r>
      <w:r>
        <w:t xml:space="preserve"> </w:t>
      </w:r>
      <w:r w:rsidR="00471511">
        <w:t>the ancient Greeks</w:t>
      </w:r>
      <w:r w:rsidR="00331054">
        <w:t>’</w:t>
      </w:r>
      <w:r w:rsidR="00471511">
        <w:t xml:space="preserve"> </w:t>
      </w:r>
      <w:r>
        <w:t>agriculture</w:t>
      </w:r>
      <w:r w:rsidR="00202ABC">
        <w:t>, seafaring</w:t>
      </w:r>
      <w:r w:rsidR="00471511">
        <w:t>,</w:t>
      </w:r>
      <w:r>
        <w:t xml:space="preserve"> trade, </w:t>
      </w:r>
      <w:r w:rsidR="00471511">
        <w:t>poleis</w:t>
      </w:r>
      <w:r>
        <w:t xml:space="preserve"> and culture.</w:t>
      </w:r>
    </w:p>
    <w:p w14:paraId="08AAB770" w14:textId="44FF0E5C" w:rsidR="00500E4A" w:rsidRDefault="00D8699F" w:rsidP="00202ABC">
      <w:pPr>
        <w:pStyle w:val="Body"/>
        <w:numPr>
          <w:ilvl w:val="0"/>
          <w:numId w:val="15"/>
        </w:numPr>
      </w:pPr>
      <w:r>
        <w:t>The myth might have sustained hunter-gatherers since dawn of the man.</w:t>
      </w:r>
    </w:p>
    <w:p w14:paraId="1D7141A9" w14:textId="16C0B07E" w:rsidR="00D02750" w:rsidRDefault="00331054" w:rsidP="00A55581">
      <w:pPr>
        <w:pStyle w:val="BodyNoIndent"/>
      </w:pPr>
      <w:r>
        <w:t>Knowing</w:t>
      </w:r>
      <w:r w:rsidR="00500E4A">
        <w:t xml:space="preserve"> what made </w:t>
      </w:r>
      <w:r>
        <w:t xml:space="preserve">a </w:t>
      </w:r>
      <w:r w:rsidR="00500E4A">
        <w:t xml:space="preserve">culture </w:t>
      </w:r>
      <w:r>
        <w:t>viable</w:t>
      </w:r>
      <w:r w:rsidR="00202ABC">
        <w:t xml:space="preserve"> </w:t>
      </w:r>
      <w:r w:rsidR="00694CEA">
        <w:t xml:space="preserve">is important for understanding </w:t>
      </w:r>
      <w:r w:rsidR="00202ABC">
        <w:t>the past</w:t>
      </w:r>
      <w:r w:rsidR="00694CEA">
        <w:t xml:space="preserve">. </w:t>
      </w:r>
      <w:r>
        <w:t xml:space="preserve">The </w:t>
      </w:r>
      <w:r w:rsidR="00694CEA" w:rsidRPr="00202ABC">
        <w:rPr>
          <w:rStyle w:val="Publication"/>
        </w:rPr>
        <w:t>Lascaux cave</w:t>
      </w:r>
      <w:r w:rsidR="00694CEA">
        <w:t xml:space="preserve"> </w:t>
      </w:r>
      <w:r w:rsidR="00202ABC">
        <w:t xml:space="preserve">art </w:t>
      </w:r>
      <w:r w:rsidR="00694CEA">
        <w:t>project</w:t>
      </w:r>
      <w:r w:rsidR="00202ABC">
        <w:t>,</w:t>
      </w:r>
      <w:r w:rsidR="00694CEA">
        <w:t xml:space="preserve"> which lasted over </w:t>
      </w:r>
      <w:r w:rsidR="00202ABC">
        <w:t>5</w:t>
      </w:r>
      <w:r w:rsidR="00694CEA">
        <w:t>,</w:t>
      </w:r>
      <w:r w:rsidR="00202ABC">
        <w:t>5</w:t>
      </w:r>
      <w:r w:rsidR="00694CEA">
        <w:t>00 years</w:t>
      </w:r>
      <w:r w:rsidR="00202ABC">
        <w:t>,</w:t>
      </w:r>
      <w:r w:rsidR="00694CEA">
        <w:t xml:space="preserve"> shows that the</w:t>
      </w:r>
      <w:r w:rsidR="00202ABC">
        <w:t xml:space="preserve"> </w:t>
      </w:r>
      <w:r w:rsidR="00694CEA">
        <w:t xml:space="preserve">humanity </w:t>
      </w:r>
      <w:r w:rsidR="00202ABC">
        <w:t xml:space="preserve">has </w:t>
      </w:r>
      <w:r w:rsidR="00694CEA">
        <w:t xml:space="preserve">had incredibly long periods of stability. My aim </w:t>
      </w:r>
      <w:r w:rsidR="008A55D8">
        <w:t xml:space="preserve">is to </w:t>
      </w:r>
      <w:r w:rsidR="00990EF9">
        <w:t>search for</w:t>
      </w:r>
      <w:r w:rsidR="00D02750">
        <w:t xml:space="preserve"> </w:t>
      </w:r>
      <w:r w:rsidR="008A55D8">
        <w:t>the myth</w:t>
      </w:r>
      <w:r w:rsidR="00D02750">
        <w:t xml:space="preserve"> roots</w:t>
      </w:r>
      <w:r w:rsidR="008A55D8">
        <w:t xml:space="preserve">, look </w:t>
      </w:r>
      <w:r w:rsidR="00793851">
        <w:t>at</w:t>
      </w:r>
      <w:r w:rsidR="00990EF9">
        <w:t xml:space="preserve"> works of Hesiod and Homer, examine newly found artefact</w:t>
      </w:r>
      <w:r>
        <w:t xml:space="preserve"> and show that the myth made the ancient Greeks culture viable.</w:t>
      </w:r>
    </w:p>
    <w:p w14:paraId="41893940" w14:textId="77777777" w:rsidR="002D03D6" w:rsidRDefault="002D03D6" w:rsidP="002D03D6">
      <w:pPr>
        <w:pStyle w:val="Subhead"/>
      </w:pPr>
      <w:r>
        <w:t>Greek myth summary</w:t>
      </w:r>
    </w:p>
    <w:p w14:paraId="4866196D" w14:textId="77777777" w:rsidR="002D03D6" w:rsidRDefault="002D03D6" w:rsidP="00A55581">
      <w:pPr>
        <w:pStyle w:val="BodyNoIndent"/>
      </w:pPr>
      <w:r>
        <w:t xml:space="preserve">The myth of </w:t>
      </w:r>
      <w:r w:rsidRPr="00196B85">
        <w:rPr>
          <w:rStyle w:val="Publication"/>
        </w:rPr>
        <w:t>Orion and Pleiades</w:t>
      </w:r>
      <w:r>
        <w:t xml:space="preserve"> is found in </w:t>
      </w:r>
      <w:r w:rsidRPr="00196B85">
        <w:rPr>
          <w:rStyle w:val="Publication"/>
        </w:rPr>
        <w:t>Myths of Hyginus</w:t>
      </w:r>
      <w:r>
        <w:t>.</w:t>
      </w:r>
      <w:r>
        <w:rPr>
          <w:rStyle w:val="FootnoteReference"/>
        </w:rPr>
        <w:footnoteReference w:id="2"/>
      </w:r>
      <w:r>
        <w:t xml:space="preserve"> </w:t>
      </w:r>
    </w:p>
    <w:p w14:paraId="0FEA47E3" w14:textId="77777777" w:rsidR="002D03D6" w:rsidRPr="00E9401D" w:rsidRDefault="002D03D6" w:rsidP="00AA36E6">
      <w:pPr>
        <w:pStyle w:val="LongQuote"/>
      </w:pPr>
      <w:r w:rsidRPr="00F2431A">
        <w:t>Pleiades</w:t>
      </w:r>
      <w:r>
        <w:t xml:space="preserve"> were seven sisters who were daughters of Atlas and</w:t>
      </w:r>
      <w:r w:rsidRPr="00F2431A">
        <w:t xml:space="preserve"> </w:t>
      </w:r>
      <w:proofErr w:type="spellStart"/>
      <w:r w:rsidRPr="00F2431A">
        <w:t>Pleio</w:t>
      </w:r>
      <w:proofErr w:type="spellEnd"/>
      <w:r w:rsidRPr="00F2431A">
        <w:t>, daughter of Ocean</w:t>
      </w:r>
      <w:r>
        <w:t xml:space="preserve">. There were seven sisters, but only six stars are visible in the skies. The myth explains it as six of Pleiades bore children of immortal gods, but the seventh, Merope, married a mortal </w:t>
      </w:r>
      <w:r w:rsidRPr="007216C0">
        <w:t>Sisyphus</w:t>
      </w:r>
      <w:r>
        <w:t xml:space="preserve">. Because of this, her star is less bright. </w:t>
      </w:r>
      <w:r w:rsidRPr="007216C0">
        <w:t xml:space="preserve">When </w:t>
      </w:r>
      <w:r>
        <w:t>Pleiades and their mother</w:t>
      </w:r>
      <w:r w:rsidRPr="007216C0">
        <w:t xml:space="preserve"> once </w:t>
      </w:r>
      <w:r>
        <w:t>were</w:t>
      </w:r>
      <w:r w:rsidRPr="007216C0">
        <w:t xml:space="preserve"> travelling through Boeotia, Orion, who was accompanying her, tried to attack </w:t>
      </w:r>
      <w:r>
        <w:t>the mother</w:t>
      </w:r>
      <w:r w:rsidRPr="007216C0">
        <w:t xml:space="preserve">. She escaped, but Orion sought her for seven years and couldn't find her. Jove, pitying the girls, appointed a way to the stars, and later, by some astronomers, they were called the Bull's tail. And so up to this time Orion seems to be following them as they flee towards the west. Our writers call these stars </w:t>
      </w:r>
      <w:proofErr w:type="spellStart"/>
      <w:r w:rsidRPr="007216C0">
        <w:t>Vergiliae</w:t>
      </w:r>
      <w:proofErr w:type="spellEnd"/>
      <w:r w:rsidRPr="007216C0">
        <w:t>, because they rise after spring. They have still greater honour than the others, too, because their rising is a sign of summer, their setting of winter — a thing is not true of the other constellations.</w:t>
      </w:r>
      <w:r>
        <w:rPr>
          <w:rStyle w:val="FootnoteReference"/>
        </w:rPr>
        <w:footnoteReference w:id="3"/>
      </w:r>
    </w:p>
    <w:p w14:paraId="4CE6A934" w14:textId="77777777" w:rsidR="00351D8E" w:rsidRDefault="00351D8E" w:rsidP="00351D8E">
      <w:pPr>
        <w:pStyle w:val="Subhead"/>
      </w:pPr>
      <w:r>
        <w:t>Definition of myth</w:t>
      </w:r>
    </w:p>
    <w:p w14:paraId="47F61F02" w14:textId="77777777" w:rsidR="00351D8E" w:rsidRDefault="00351D8E" w:rsidP="00A55581">
      <w:pPr>
        <w:pStyle w:val="BodyNoIndent"/>
      </w:pPr>
      <w:r>
        <w:t xml:space="preserve">In this essay I will use the following definition of myth: </w:t>
      </w:r>
    </w:p>
    <w:p w14:paraId="7D6CAAF0" w14:textId="5002D614" w:rsidR="00351D8E" w:rsidRDefault="00351D8E" w:rsidP="00351D8E">
      <w:pPr>
        <w:pStyle w:val="LongQuote"/>
      </w:pPr>
      <w:r>
        <w:t xml:space="preserve">Myths are prose narratives which, in the society in which they are told, are considered to be truthful accounts of what happened in the remote past. They are accepted on faith, they are </w:t>
      </w:r>
      <w:r w:rsidR="00555586">
        <w:t>taught</w:t>
      </w:r>
      <w:r>
        <w:t xml:space="preserve"> to be believed, and they can be cited as authority in answer to ignorance, doubt or disbelief.</w:t>
      </w:r>
      <w:r w:rsidRPr="005F40A1">
        <w:rPr>
          <w:rStyle w:val="FootnoteReference"/>
        </w:rPr>
        <w:footnoteReference w:id="4"/>
      </w:r>
    </w:p>
    <w:p w14:paraId="6AA2FBBB" w14:textId="3687B3B6" w:rsidR="002325F4" w:rsidRDefault="002325F4" w:rsidP="002325F4">
      <w:pPr>
        <w:pStyle w:val="Subhead"/>
      </w:pPr>
      <w:r>
        <w:t>Definition of culture</w:t>
      </w:r>
    </w:p>
    <w:p w14:paraId="2C3D9715" w14:textId="19ABE238" w:rsidR="002325F4" w:rsidRPr="008811AA" w:rsidRDefault="002325F4" w:rsidP="00A55581">
      <w:pPr>
        <w:pStyle w:val="BodyNoIndent"/>
      </w:pPr>
      <w:r>
        <w:t>According to Terry Eagleton, culture is one of the most complex words in the language:</w:t>
      </w:r>
    </w:p>
    <w:p w14:paraId="51D9D6B9" w14:textId="77777777" w:rsidR="002325F4" w:rsidRDefault="002325F4" w:rsidP="00AA36E6">
      <w:pPr>
        <w:pStyle w:val="LongQuote"/>
      </w:pPr>
      <w:r>
        <w:t xml:space="preserve">The Latin root of the word ‘culture’ is </w:t>
      </w:r>
      <w:proofErr w:type="spellStart"/>
      <w:r>
        <w:t>colere</w:t>
      </w:r>
      <w:proofErr w:type="spellEnd"/>
      <w:r>
        <w:t xml:space="preserve">, which can mean anything from cultivating and inhabiting to worshipping and protecting. Its meaning as ‘inhabit’ has evolved from the Latin </w:t>
      </w:r>
      <w:proofErr w:type="spellStart"/>
      <w:r>
        <w:t>colonus</w:t>
      </w:r>
      <w:proofErr w:type="spellEnd"/>
      <w:r>
        <w:t xml:space="preserve"> to the contemporary ‘colonialism’, so that titles like Culture and Colonialism are, once again, mildly tautological. But </w:t>
      </w:r>
      <w:proofErr w:type="spellStart"/>
      <w:r>
        <w:t>colere</w:t>
      </w:r>
      <w:proofErr w:type="spellEnd"/>
      <w:r>
        <w:t xml:space="preserve"> also ends up via the Latin cultus as the religious term ‘cult’, just as the idea of culture itself in the modern age comes to substitute itself for a fading sense of divinity and transcendence. Cultural truths – whether high art or the traditions of a people – are sometimes sacred ones, to be protected and revered. Culture, then, inherits</w:t>
      </w:r>
    </w:p>
    <w:p w14:paraId="2D0F45BC" w14:textId="77777777" w:rsidR="002325F4" w:rsidRDefault="002325F4" w:rsidP="00AA36E6">
      <w:pPr>
        <w:pStyle w:val="LongQuote"/>
      </w:pPr>
      <w:r>
        <w:lastRenderedPageBreak/>
        <w:t>the imposing mantle of religious authority, but also has uneasy affinities with occupation and invasion; and it is between these two poles, positive and negative, that the concept is currently pitched.</w:t>
      </w:r>
      <w:r>
        <w:rPr>
          <w:rStyle w:val="FootnoteReference"/>
        </w:rPr>
        <w:footnoteReference w:id="5"/>
      </w:r>
    </w:p>
    <w:p w14:paraId="1DE88BD0" w14:textId="4160C0B4" w:rsidR="002D03D6" w:rsidRDefault="005D3366" w:rsidP="00A55581">
      <w:pPr>
        <w:pStyle w:val="BodyNoIndent"/>
      </w:pPr>
      <w:r>
        <w:t>I will examine the</w:t>
      </w:r>
      <w:r w:rsidR="00115888">
        <w:t xml:space="preserve"> following </w:t>
      </w:r>
      <w:r>
        <w:t xml:space="preserve">culture </w:t>
      </w:r>
      <w:r w:rsidR="00115888">
        <w:t>meanings</w:t>
      </w:r>
      <w:r>
        <w:t xml:space="preserve"> in relations to the sky myth</w:t>
      </w:r>
      <w:r w:rsidR="00115888">
        <w:t>: c</w:t>
      </w:r>
      <w:r w:rsidR="00A8288D">
        <w:t>ultivating</w:t>
      </w:r>
      <w:r w:rsidR="00115888">
        <w:t>/agriculture</w:t>
      </w:r>
      <w:r w:rsidR="00A8288D">
        <w:t>, colon</w:t>
      </w:r>
      <w:r w:rsidR="00115888">
        <w:t>y</w:t>
      </w:r>
      <w:r>
        <w:t>/</w:t>
      </w:r>
      <w:r w:rsidR="00A8288D">
        <w:t>occupation, invasion</w:t>
      </w:r>
      <w:r>
        <w:t>/war</w:t>
      </w:r>
      <w:r w:rsidR="00A8288D">
        <w:t>.</w:t>
      </w:r>
    </w:p>
    <w:p w14:paraId="2D10D912" w14:textId="0A0A38AB" w:rsidR="00B66256" w:rsidRDefault="00B66256" w:rsidP="0056797A">
      <w:pPr>
        <w:pStyle w:val="Subhead"/>
      </w:pPr>
      <w:r>
        <w:t xml:space="preserve">Hesiod </w:t>
      </w:r>
    </w:p>
    <w:p w14:paraId="281B06A2" w14:textId="4242378E" w:rsidR="00974D88" w:rsidRDefault="006F4489" w:rsidP="00A55581">
      <w:pPr>
        <w:pStyle w:val="BodyNoIndent"/>
      </w:pPr>
      <w:r>
        <w:t>To explore cultural significance of a myth it is important to establish the timelines of the culture and of the myth.</w:t>
      </w:r>
      <w:r w:rsidR="00BA6AA2">
        <w:t xml:space="preserve"> Two great ancient Greek poets, Homer and Hesiod</w:t>
      </w:r>
      <w:r w:rsidR="00EB4A25">
        <w:t xml:space="preserve"> mentioned</w:t>
      </w:r>
      <w:r w:rsidR="004B5397">
        <w:t xml:space="preserve"> different aspects of</w:t>
      </w:r>
      <w:r w:rsidR="00731B07">
        <w:t xml:space="preserve"> the</w:t>
      </w:r>
      <w:r w:rsidR="00EB4A25">
        <w:t xml:space="preserve"> </w:t>
      </w:r>
      <w:r w:rsidR="00EB4A25" w:rsidRPr="004B5397">
        <w:rPr>
          <w:rStyle w:val="Publication"/>
        </w:rPr>
        <w:t>Orion and Pleiades</w:t>
      </w:r>
      <w:r w:rsidR="00EB4A25">
        <w:t>. B</w:t>
      </w:r>
      <w:r w:rsidR="00BA6AA2">
        <w:t xml:space="preserve">oth </w:t>
      </w:r>
      <w:r w:rsidR="00EB4A25">
        <w:t xml:space="preserve">poets </w:t>
      </w:r>
      <w:r w:rsidR="00BA6AA2">
        <w:t xml:space="preserve">thought to be lived between 750BC and 650BC. </w:t>
      </w:r>
      <w:r w:rsidR="00731B07">
        <w:t>The a</w:t>
      </w:r>
      <w:r w:rsidR="00BA6AA2">
        <w:t>ncient period of the Greek history lasted from 800BC to 480BC.</w:t>
      </w:r>
      <w:r w:rsidR="00EB4A25">
        <w:t xml:space="preserve"> </w:t>
      </w:r>
      <w:r w:rsidR="00974D88">
        <w:t>Around 700BC</w:t>
      </w:r>
      <w:r w:rsidR="00354367">
        <w:t>,</w:t>
      </w:r>
      <w:r w:rsidR="00974D88">
        <w:t xml:space="preserve"> Hesiod wrote:</w:t>
      </w:r>
    </w:p>
    <w:p w14:paraId="2FDA2FAC" w14:textId="34C2B62F" w:rsidR="00974D88" w:rsidRDefault="00974D88" w:rsidP="00AA36E6">
      <w:pPr>
        <w:pStyle w:val="LongQuote"/>
      </w:pPr>
      <w:r>
        <w:t xml:space="preserve">When the Pleiades have risen, just before the sun, </w:t>
      </w:r>
      <w:r w:rsidR="00587E1C">
        <w:t xml:space="preserve">         </w:t>
      </w:r>
    </w:p>
    <w:p w14:paraId="6063A383" w14:textId="2CD3EC10" w:rsidR="00974D88" w:rsidRDefault="00974D88" w:rsidP="00AA36E6">
      <w:pPr>
        <w:pStyle w:val="LongQuote"/>
      </w:pPr>
      <w:r>
        <w:t xml:space="preserve">Begin to reap; begin to plant before they set at dawn. </w:t>
      </w:r>
      <w:r w:rsidR="00587E1C">
        <w:t xml:space="preserve">                                       </w:t>
      </w:r>
    </w:p>
    <w:p w14:paraId="6984C41C" w14:textId="2D76B395" w:rsidR="00974D88" w:rsidRDefault="00974D88" w:rsidP="00AA36E6">
      <w:pPr>
        <w:pStyle w:val="LongQuote"/>
      </w:pPr>
      <w:r>
        <w:t>Those daughters of Atlas are obscured and never can be found</w:t>
      </w:r>
    </w:p>
    <w:p w14:paraId="2564591D" w14:textId="77777777" w:rsidR="00974D88" w:rsidRDefault="00974D88" w:rsidP="00AA36E6">
      <w:pPr>
        <w:pStyle w:val="LongQuote"/>
      </w:pPr>
      <w:r>
        <w:t>For forty nights and days until the year again turns round;</w:t>
      </w:r>
    </w:p>
    <w:p w14:paraId="15BB7971" w14:textId="77777777" w:rsidR="00974D88" w:rsidRDefault="00974D88" w:rsidP="00AA36E6">
      <w:pPr>
        <w:pStyle w:val="LongQuote"/>
      </w:pPr>
      <w:r>
        <w:t>But when the harvest blade is honed, they twinkle in the sky.</w:t>
      </w:r>
    </w:p>
    <w:p w14:paraId="542E979A" w14:textId="77777777" w:rsidR="00974D88" w:rsidRDefault="00974D88" w:rsidP="00AA36E6">
      <w:pPr>
        <w:pStyle w:val="LongQuote"/>
      </w:pPr>
      <w:r>
        <w:t>This law is of the land-for those who dwell hard by the sea,</w:t>
      </w:r>
    </w:p>
    <w:p w14:paraId="1A7AC797" w14:textId="77777777" w:rsidR="00974D88" w:rsidRDefault="00974D88" w:rsidP="00AA36E6">
      <w:pPr>
        <w:pStyle w:val="LongQuote"/>
      </w:pPr>
      <w:r>
        <w:t>And those who in the hollow glens that skirt the mountainside,</w:t>
      </w:r>
    </w:p>
    <w:p w14:paraId="73479AC2" w14:textId="2CCFDCA7" w:rsidR="00974D88" w:rsidRDefault="00974D88" w:rsidP="00AA36E6">
      <w:pPr>
        <w:pStyle w:val="LongQuote"/>
      </w:pPr>
      <w:r>
        <w:t>Far from the swelling sea, in fertile pasturelands abide.</w:t>
      </w:r>
    </w:p>
    <w:p w14:paraId="1D08F971" w14:textId="77777777" w:rsidR="00974D88" w:rsidRDefault="00974D88" w:rsidP="00AA36E6">
      <w:pPr>
        <w:pStyle w:val="LongQuote"/>
      </w:pPr>
      <w:r>
        <w:t xml:space="preserve">Then, naked, sow and, naked, </w:t>
      </w:r>
      <w:proofErr w:type="spellStart"/>
      <w:r>
        <w:t>plow</w:t>
      </w:r>
      <w:proofErr w:type="spellEnd"/>
      <w:r>
        <w:t xml:space="preserve"> (I say it for a reason),</w:t>
      </w:r>
    </w:p>
    <w:p w14:paraId="7C562C5A" w14:textId="77777777" w:rsidR="00974D88" w:rsidRDefault="00974D88" w:rsidP="00AA36E6">
      <w:pPr>
        <w:pStyle w:val="LongQuote"/>
      </w:pPr>
      <w:r>
        <w:t>And, naked, reap the corn, if you desire in good season</w:t>
      </w:r>
    </w:p>
    <w:p w14:paraId="10F083C4" w14:textId="77777777" w:rsidR="00974D88" w:rsidRDefault="00974D88" w:rsidP="00AA36E6">
      <w:pPr>
        <w:pStyle w:val="LongQuote"/>
      </w:pPr>
      <w:r>
        <w:t>To put Demeter's works in order, each crop, as is proper,</w:t>
      </w:r>
    </w:p>
    <w:p w14:paraId="75FBAE79" w14:textId="77777777" w:rsidR="00974D88" w:rsidRDefault="00974D88" w:rsidP="00AA36E6">
      <w:pPr>
        <w:pStyle w:val="LongQuote"/>
      </w:pPr>
      <w:r>
        <w:t>Growing in its own due time, so you won't be a pauper</w:t>
      </w:r>
    </w:p>
    <w:p w14:paraId="5361419B" w14:textId="0D024C52" w:rsidR="00974D88" w:rsidRDefault="00974D88" w:rsidP="00AA36E6">
      <w:pPr>
        <w:pStyle w:val="LongQuote"/>
      </w:pPr>
      <w:r>
        <w:t>Crouching in the homes of others, doing no earthly good,</w:t>
      </w:r>
    </w:p>
    <w:p w14:paraId="551EB5A4" w14:textId="77777777" w:rsidR="00974D88" w:rsidRDefault="00974D88" w:rsidP="00AA36E6">
      <w:pPr>
        <w:pStyle w:val="LongQuote"/>
      </w:pPr>
      <w:r>
        <w:t>As now you come to me once more. I hope it's understood,</w:t>
      </w:r>
    </w:p>
    <w:p w14:paraId="162B48B8" w14:textId="77777777" w:rsidR="00974D88" w:rsidRDefault="00974D88" w:rsidP="00AA36E6">
      <w:pPr>
        <w:pStyle w:val="LongQuote"/>
      </w:pPr>
      <w:r>
        <w:t>I'll measure nothing further out-</w:t>
      </w:r>
      <w:proofErr w:type="spellStart"/>
      <w:r>
        <w:t>Perses</w:t>
      </w:r>
      <w:proofErr w:type="spellEnd"/>
      <w:r>
        <w:t>, no more for you!</w:t>
      </w:r>
      <w:r>
        <w:rPr>
          <w:rStyle w:val="FootnoteReference"/>
        </w:rPr>
        <w:footnoteReference w:id="6"/>
      </w:r>
    </w:p>
    <w:p w14:paraId="5271D4A2" w14:textId="12B26BDF" w:rsidR="00354367" w:rsidRDefault="002325F4" w:rsidP="00A55581">
      <w:pPr>
        <w:pStyle w:val="BodyNoIndent"/>
      </w:pPr>
      <w:r>
        <w:t xml:space="preserve">Hesiod was writing with the purpose to educate his brother, who didn’t know how to run </w:t>
      </w:r>
      <w:r w:rsidR="00466EDA">
        <w:t>his</w:t>
      </w:r>
      <w:r>
        <w:t xml:space="preserve"> estate and got into financial difficulties. </w:t>
      </w:r>
      <w:r w:rsidR="00354367">
        <w:t>According to Eagleton, the word ‘culture’ is derived from Latin for cultivating, linking culture to agriculture. And one of the most crucial things in the agriculture is timing:</w:t>
      </w:r>
    </w:p>
    <w:p w14:paraId="73F72044" w14:textId="06B9DF5F" w:rsidR="00354367" w:rsidRPr="00AE718D" w:rsidRDefault="00354367" w:rsidP="00AA36E6">
      <w:pPr>
        <w:pStyle w:val="LongQuote"/>
      </w:pPr>
      <w:r>
        <w:t>K</w:t>
      </w:r>
      <w:r w:rsidRPr="00AE718D">
        <w:t>nowing what needs to be done is not enough. It’s the timing of each step that can make all the difference between a good yield and a mediocre one.</w:t>
      </w:r>
      <w:r>
        <w:rPr>
          <w:rStyle w:val="FootnoteReference"/>
        </w:rPr>
        <w:footnoteReference w:id="7"/>
      </w:r>
    </w:p>
    <w:p w14:paraId="3E85881F" w14:textId="305E4B95" w:rsidR="00B57C7E" w:rsidRDefault="00354367" w:rsidP="00A55581">
      <w:pPr>
        <w:pStyle w:val="BodyNoIndent"/>
      </w:pPr>
      <w:r>
        <w:t xml:space="preserve">Hesiod was referring to the Pleiades calendar, which was used for farming since the beginning of agriculture. Unlike ancient solar and lunar calendars, which were floating, </w:t>
      </w:r>
      <w:r w:rsidR="00731B07">
        <w:t xml:space="preserve">the </w:t>
      </w:r>
      <w:r>
        <w:t>Pleiades calendar floats very little compar</w:t>
      </w:r>
      <w:r w:rsidR="00731B07">
        <w:t>e</w:t>
      </w:r>
      <w:r>
        <w:t xml:space="preserve"> to today’s calendar. But unlike </w:t>
      </w:r>
      <w:r w:rsidR="00731B07">
        <w:t xml:space="preserve">the </w:t>
      </w:r>
      <w:r>
        <w:t>modern calendar which we use daily</w:t>
      </w:r>
      <w:r w:rsidR="00C85334">
        <w:t>,</w:t>
      </w:r>
      <w:r>
        <w:t xml:space="preserve"> the Pleiades calendar </w:t>
      </w:r>
      <w:r w:rsidR="001613DF">
        <w:t xml:space="preserve">is </w:t>
      </w:r>
      <w:r>
        <w:t xml:space="preserve">the true one. It floats because </w:t>
      </w:r>
      <w:r w:rsidR="001613DF">
        <w:t xml:space="preserve">of, </w:t>
      </w:r>
      <w:r>
        <w:t xml:space="preserve">and in line </w:t>
      </w:r>
      <w:r w:rsidR="001613DF">
        <w:t>with</w:t>
      </w:r>
      <w:r>
        <w:t xml:space="preserve"> Earth’s prec</w:t>
      </w:r>
      <w:r w:rsidR="00731B07">
        <w:t>ession</w:t>
      </w:r>
      <w:r>
        <w:t xml:space="preserve">, but the planet’s seasons also float because of </w:t>
      </w:r>
      <w:r w:rsidR="00731B07">
        <w:t xml:space="preserve">the </w:t>
      </w:r>
      <w:r>
        <w:t>Earth pr</w:t>
      </w:r>
      <w:r w:rsidR="00466EDA">
        <w:t>e</w:t>
      </w:r>
      <w:r>
        <w:t>c</w:t>
      </w:r>
      <w:r w:rsidR="00466EDA">
        <w:t>es</w:t>
      </w:r>
      <w:r>
        <w:t xml:space="preserve">sion. </w:t>
      </w:r>
      <w:r w:rsidR="00731B07">
        <w:t xml:space="preserve">Using </w:t>
      </w:r>
      <w:r w:rsidR="00731B07" w:rsidRPr="00731B07">
        <w:rPr>
          <w:rStyle w:val="Publication"/>
        </w:rPr>
        <w:t>Starry Night</w:t>
      </w:r>
      <w:r w:rsidR="00A541B8">
        <w:rPr>
          <w:rStyle w:val="Publication"/>
        </w:rPr>
        <w:t xml:space="preserve"> software,</w:t>
      </w:r>
      <w:r w:rsidR="00731B07">
        <w:rPr>
          <w:rStyle w:val="FootnoteReference"/>
          <w:i/>
        </w:rPr>
        <w:footnoteReference w:id="8"/>
      </w:r>
      <w:r w:rsidR="00731B07">
        <w:t xml:space="preserve"> I calculated a few interesting dates. </w:t>
      </w:r>
      <w:r w:rsidR="00C85334">
        <w:t>Hesiod was writing around 700BC and Pleiades were rising on 22</w:t>
      </w:r>
      <w:r w:rsidR="00C85334" w:rsidRPr="00C85334">
        <w:rPr>
          <w:vertAlign w:val="superscript"/>
        </w:rPr>
        <w:t>nd</w:t>
      </w:r>
      <w:r w:rsidR="00C85334">
        <w:t xml:space="preserve"> of April 700BC.</w:t>
      </w:r>
      <w:r w:rsidR="00C85334">
        <w:rPr>
          <w:rStyle w:val="FootnoteReference"/>
        </w:rPr>
        <w:footnoteReference w:id="9"/>
      </w:r>
      <w:r w:rsidR="00C85334">
        <w:t xml:space="preserve"> This year Pleiades will rise on 25</w:t>
      </w:r>
      <w:r w:rsidR="00C85334" w:rsidRPr="00C85334">
        <w:rPr>
          <w:vertAlign w:val="superscript"/>
        </w:rPr>
        <w:t>th</w:t>
      </w:r>
      <w:r w:rsidR="00C85334">
        <w:t xml:space="preserve"> of May,</w:t>
      </w:r>
      <w:r w:rsidR="00C85334">
        <w:rPr>
          <w:rStyle w:val="FootnoteReference"/>
        </w:rPr>
        <w:footnoteReference w:id="10"/>
      </w:r>
      <w:r w:rsidR="00C85334">
        <w:t xml:space="preserve"> but it is still the right time to </w:t>
      </w:r>
      <w:r w:rsidR="00B57C7E">
        <w:t>harvest</w:t>
      </w:r>
      <w:r w:rsidR="00C85334">
        <w:t>, because the seasons move forward a month in 3,000 years.</w:t>
      </w:r>
      <w:r w:rsidR="00C85334">
        <w:rPr>
          <w:rStyle w:val="FootnoteReference"/>
        </w:rPr>
        <w:footnoteReference w:id="11"/>
      </w:r>
      <w:r w:rsidR="00C85334">
        <w:t xml:space="preserve"> </w:t>
      </w:r>
      <w:r w:rsidR="00A541B8">
        <w:t>The m</w:t>
      </w:r>
      <w:r w:rsidR="00B57C7E">
        <w:t xml:space="preserve">odern calendar needs </w:t>
      </w:r>
      <w:r w:rsidR="00A541B8">
        <w:t>upgrading</w:t>
      </w:r>
      <w:r w:rsidR="00B57C7E">
        <w:t xml:space="preserve"> to take into account </w:t>
      </w:r>
      <w:r w:rsidR="00731B07">
        <w:t xml:space="preserve">the </w:t>
      </w:r>
      <w:r w:rsidR="00B57C7E">
        <w:t>floating seasons, as the error grows with each passing ye</w:t>
      </w:r>
      <w:r w:rsidR="00E47385">
        <w:t>ar</w:t>
      </w:r>
      <w:r w:rsidR="00175FE4">
        <w:t xml:space="preserve"> and one day spring might actually start in June</w:t>
      </w:r>
      <w:r w:rsidR="00B57C7E">
        <w:t>.</w:t>
      </w:r>
      <w:r w:rsidR="007661EE">
        <w:t xml:space="preserve"> Curiously, </w:t>
      </w:r>
      <w:r w:rsidR="00E76372">
        <w:t xml:space="preserve">the </w:t>
      </w:r>
      <w:r w:rsidR="007661EE">
        <w:t>Pleiades were rising on 1</w:t>
      </w:r>
      <w:r w:rsidR="007661EE" w:rsidRPr="007661EE">
        <w:rPr>
          <w:vertAlign w:val="superscript"/>
        </w:rPr>
        <w:t>st</w:t>
      </w:r>
      <w:r w:rsidR="007661EE">
        <w:t xml:space="preserve"> of March (change of seasons) </w:t>
      </w:r>
      <w:r w:rsidR="007661EE">
        <w:lastRenderedPageBreak/>
        <w:t>8</w:t>
      </w:r>
      <w:r w:rsidR="00434D8F">
        <w:t>,</w:t>
      </w:r>
      <w:r w:rsidR="007661EE">
        <w:t>400BC,</w:t>
      </w:r>
      <w:r w:rsidR="007661EE">
        <w:rPr>
          <w:rStyle w:val="FootnoteReference"/>
        </w:rPr>
        <w:footnoteReference w:id="12"/>
      </w:r>
      <w:r w:rsidR="007661EE">
        <w:t xml:space="preserve"> </w:t>
      </w:r>
      <w:r w:rsidR="0039219B">
        <w:t xml:space="preserve">and </w:t>
      </w:r>
      <w:r w:rsidR="007661EE">
        <w:t xml:space="preserve">since that date the modern calendar (didn’t exist </w:t>
      </w:r>
      <w:r w:rsidR="00466EDA">
        <w:t>on</w:t>
      </w:r>
      <w:r w:rsidR="007661EE">
        <w:t xml:space="preserve"> that date) and </w:t>
      </w:r>
      <w:r w:rsidR="00C95A1C">
        <w:t xml:space="preserve">the </w:t>
      </w:r>
      <w:r w:rsidR="007661EE">
        <w:t>Pleiades calendar are floating away from each other.</w:t>
      </w:r>
      <w:r w:rsidR="0039219B">
        <w:t xml:space="preserve"> </w:t>
      </w:r>
      <w:r w:rsidR="00E76372">
        <w:t xml:space="preserve">The </w:t>
      </w:r>
      <w:r w:rsidR="00B57C7E">
        <w:t xml:space="preserve">Pleiades calendar </w:t>
      </w:r>
      <w:r w:rsidR="00C95A1C">
        <w:t xml:space="preserve">likely </w:t>
      </w:r>
      <w:r w:rsidR="00B749A3">
        <w:t>e</w:t>
      </w:r>
      <w:r w:rsidR="00E76372">
        <w:t>mpowered</w:t>
      </w:r>
      <w:r w:rsidR="00B749A3">
        <w:t xml:space="preserve"> many cultures around the world by being</w:t>
      </w:r>
      <w:r w:rsidR="00B57C7E">
        <w:t xml:space="preserve"> the hidden force behind</w:t>
      </w:r>
      <w:r w:rsidR="00B749A3">
        <w:t xml:space="preserve"> </w:t>
      </w:r>
      <w:r w:rsidR="007661EE">
        <w:t xml:space="preserve">the </w:t>
      </w:r>
      <w:r w:rsidR="00B57C7E">
        <w:t xml:space="preserve">agricultural revolution. </w:t>
      </w:r>
    </w:p>
    <w:p w14:paraId="3A967B39" w14:textId="77777777" w:rsidR="00B57C7E" w:rsidRPr="00AE718D" w:rsidRDefault="00B57C7E" w:rsidP="00AA36E6">
      <w:pPr>
        <w:pStyle w:val="LongQuote"/>
      </w:pPr>
      <w:r>
        <w:t>This revolution entailed major long-term changes in the structure and organization of the societies that adopted this new way of life as well as a totally new relationship with the environment. Humans truly began to harness the earth.</w:t>
      </w:r>
      <w:r>
        <w:rPr>
          <w:rStyle w:val="FootnoteReference"/>
        </w:rPr>
        <w:footnoteReference w:id="13"/>
      </w:r>
    </w:p>
    <w:p w14:paraId="5EA55FE6" w14:textId="592CE968" w:rsidR="00B57C7E" w:rsidRDefault="00B57C7E" w:rsidP="00A55581">
      <w:pPr>
        <w:pStyle w:val="BodyNoIndent"/>
      </w:pPr>
      <w:r>
        <w:t>Keeping time today is a simple task, but 11,500 years ago, when according to Price and Bar-Yosef agriculture begun, determining the right timing for ploughing and harvesting was uneasy task especially with the harvest and well-being of the farmers at stake.</w:t>
      </w:r>
      <w:r w:rsidR="00186DF3">
        <w:t xml:space="preserve"> Many </w:t>
      </w:r>
      <w:r w:rsidR="0039219B">
        <w:t>thousand</w:t>
      </w:r>
      <w:r w:rsidR="00186DF3">
        <w:t xml:space="preserve"> years later, </w:t>
      </w:r>
      <w:r>
        <w:t xml:space="preserve">Chaldeans and Egyptians </w:t>
      </w:r>
      <w:r w:rsidR="00186DF3">
        <w:t xml:space="preserve">still </w:t>
      </w:r>
      <w:r>
        <w:t xml:space="preserve">struggled to make Lunar and Solar calendars </w:t>
      </w:r>
      <w:r w:rsidR="00C95A1C">
        <w:t xml:space="preserve">to </w:t>
      </w:r>
      <w:r>
        <w:t>work</w:t>
      </w:r>
      <w:r w:rsidR="00AA50F0">
        <w:t>,</w:t>
      </w:r>
      <w:r>
        <w:t xml:space="preserve"> the</w:t>
      </w:r>
      <w:r w:rsidR="00AA50F0">
        <w:t>ir</w:t>
      </w:r>
      <w:r>
        <w:t xml:space="preserve"> calendars were floating and weren’t suitable for agricultural purposes. For thousands of years, before a </w:t>
      </w:r>
      <w:r w:rsidR="00AA50F0">
        <w:t xml:space="preserve">properly </w:t>
      </w:r>
      <w:r>
        <w:t xml:space="preserve">working Solar/Lunar calendar was available, </w:t>
      </w:r>
      <w:r w:rsidR="00C95A1C">
        <w:t xml:space="preserve">the </w:t>
      </w:r>
      <w:r>
        <w:t xml:space="preserve">agriculture and existence of farmers depended on </w:t>
      </w:r>
      <w:r w:rsidR="00C95A1C">
        <w:t xml:space="preserve">the </w:t>
      </w:r>
      <w:r>
        <w:t xml:space="preserve">Pleiades calendar. </w:t>
      </w:r>
    </w:p>
    <w:p w14:paraId="346DF86B" w14:textId="1C937497" w:rsidR="00AA36E6" w:rsidRDefault="00B57C7E" w:rsidP="00AA36E6">
      <w:pPr>
        <w:pStyle w:val="Body"/>
      </w:pPr>
      <w:r>
        <w:t>I have produced a</w:t>
      </w:r>
      <w:r w:rsidR="00C95A1C">
        <w:t xml:space="preserve">n </w:t>
      </w:r>
      <w:r>
        <w:t xml:space="preserve">incomplete world map (see </w:t>
      </w:r>
      <w:r w:rsidRPr="00A66E78">
        <w:rPr>
          <w:rStyle w:val="Publication"/>
        </w:rPr>
        <w:t>Appendix 1</w:t>
      </w:r>
      <w:r>
        <w:t xml:space="preserve">), where the cultures which have </w:t>
      </w:r>
      <w:r w:rsidR="00C95A1C">
        <w:t xml:space="preserve">the </w:t>
      </w:r>
      <w:r w:rsidRPr="00212A4C">
        <w:rPr>
          <w:rStyle w:val="Publication"/>
        </w:rPr>
        <w:t>Orion and Pleiades</w:t>
      </w:r>
      <w:r>
        <w:t xml:space="preserve"> myth are marked with green colour. </w:t>
      </w:r>
      <w:r w:rsidR="00B749A3">
        <w:t xml:space="preserve">The map listed in the </w:t>
      </w:r>
      <w:r w:rsidR="00B749A3" w:rsidRPr="00EE6326">
        <w:rPr>
          <w:rStyle w:val="Publication"/>
        </w:rPr>
        <w:t>Appendix</w:t>
      </w:r>
      <w:r w:rsidR="00B749A3">
        <w:rPr>
          <w:rStyle w:val="Publication"/>
        </w:rPr>
        <w:t xml:space="preserve"> 2,</w:t>
      </w:r>
      <w:r w:rsidR="00B749A3">
        <w:t xml:space="preserve"> covers the </w:t>
      </w:r>
      <w:r w:rsidR="00EB4C58">
        <w:t>centres of origin of agriculture</w:t>
      </w:r>
      <w:r w:rsidR="00B749A3">
        <w:t xml:space="preserve">. Both maps cover </w:t>
      </w:r>
      <w:r w:rsidR="00C95A1C">
        <w:t>the same</w:t>
      </w:r>
      <w:r w:rsidR="00B749A3">
        <w:t xml:space="preserve"> areas,</w:t>
      </w:r>
      <w:r w:rsidR="00EB4C58">
        <w:rPr>
          <w:rStyle w:val="FootnoteReference"/>
        </w:rPr>
        <w:footnoteReference w:id="14"/>
      </w:r>
      <w:r w:rsidR="00B749A3">
        <w:t xml:space="preserve"> and this is an indicat</w:t>
      </w:r>
      <w:r w:rsidR="00CB17CC">
        <w:t>ion</w:t>
      </w:r>
      <w:r w:rsidR="00B749A3">
        <w:t xml:space="preserve">, that </w:t>
      </w:r>
      <w:r w:rsidR="00C95A1C">
        <w:t xml:space="preserve">the </w:t>
      </w:r>
      <w:r w:rsidR="00B749A3">
        <w:t xml:space="preserve">Pleiades calendar made </w:t>
      </w:r>
      <w:r w:rsidR="00C95A1C">
        <w:t xml:space="preserve">the </w:t>
      </w:r>
      <w:r w:rsidR="00CB17CC">
        <w:t xml:space="preserve">agriculture </w:t>
      </w:r>
      <w:r w:rsidR="00B749A3">
        <w:t xml:space="preserve">possible in all these </w:t>
      </w:r>
      <w:r w:rsidR="00C95A1C">
        <w:t>places</w:t>
      </w:r>
      <w:r w:rsidR="00B749A3">
        <w:t xml:space="preserve"> and as result enabled the birth and development of many cultures around the world.</w:t>
      </w:r>
      <w:r w:rsidR="00B749A3">
        <w:rPr>
          <w:rStyle w:val="FootnoteReference"/>
        </w:rPr>
        <w:footnoteReference w:id="15"/>
      </w:r>
      <w:r w:rsidR="00B749A3">
        <w:t xml:space="preserve"> </w:t>
      </w:r>
    </w:p>
    <w:p w14:paraId="3E80964D" w14:textId="06C50F93" w:rsidR="00026C37" w:rsidRDefault="00A8288D" w:rsidP="00026C37">
      <w:pPr>
        <w:pStyle w:val="Body"/>
      </w:pPr>
      <w:r w:rsidRPr="00AA36E6">
        <w:t>City</w:t>
      </w:r>
      <w:r>
        <w:t>-states in the ancient Greece were cultural centre</w:t>
      </w:r>
      <w:r w:rsidR="00B57C7E">
        <w:t>s</w:t>
      </w:r>
      <w:r w:rsidR="00436462">
        <w:t xml:space="preserve"> which produced uncountable cultural treasures. </w:t>
      </w:r>
      <w:r w:rsidR="00CB17CC">
        <w:t>But t</w:t>
      </w:r>
      <w:r w:rsidR="00B57C7E">
        <w:t xml:space="preserve">he </w:t>
      </w:r>
      <w:r w:rsidR="00C95A1C">
        <w:t>polies</w:t>
      </w:r>
      <w:r w:rsidR="00B57C7E">
        <w:t xml:space="preserve"> only </w:t>
      </w:r>
      <w:r w:rsidR="00AA36E6">
        <w:t xml:space="preserve">existed </w:t>
      </w:r>
      <w:r w:rsidR="00B57C7E">
        <w:t xml:space="preserve">and </w:t>
      </w:r>
      <w:r w:rsidR="00AA36E6">
        <w:t xml:space="preserve">were </w:t>
      </w:r>
      <w:r w:rsidR="00B57C7E">
        <w:t xml:space="preserve">sustainable, because </w:t>
      </w:r>
      <w:r w:rsidR="00C95A1C">
        <w:t xml:space="preserve">the </w:t>
      </w:r>
      <w:r w:rsidR="00B57C7E">
        <w:t xml:space="preserve">surrounding rural areas were growing wheat and barley, and </w:t>
      </w:r>
      <w:r w:rsidR="00AA36E6">
        <w:t xml:space="preserve">were </w:t>
      </w:r>
      <w:r w:rsidR="00B57C7E">
        <w:t xml:space="preserve">supplying food to the </w:t>
      </w:r>
      <w:r w:rsidR="00C95A1C">
        <w:t>polies</w:t>
      </w:r>
      <w:r w:rsidR="00B57C7E">
        <w:t>.</w:t>
      </w:r>
      <w:r w:rsidR="00115888">
        <w:t xml:space="preserve"> But it wasn’t enough to feed </w:t>
      </w:r>
      <w:r w:rsidR="00CB17CC">
        <w:t xml:space="preserve">the </w:t>
      </w:r>
      <w:r w:rsidR="00115888">
        <w:t xml:space="preserve">growing urban population. </w:t>
      </w:r>
      <w:r w:rsidR="00026C37">
        <w:t xml:space="preserve">Eagleton associated culture not just with agriculture, but also with invasion, occupation and colonization. </w:t>
      </w:r>
      <w:r w:rsidR="00115888">
        <w:t>At the time of Hesiod</w:t>
      </w:r>
      <w:r w:rsidR="00CB17CC">
        <w:t>,</w:t>
      </w:r>
      <w:r w:rsidR="00115888">
        <w:t xml:space="preserve"> there were ninety Greek colonies.</w:t>
      </w:r>
    </w:p>
    <w:p w14:paraId="45511E0A" w14:textId="1860393D" w:rsidR="00115888" w:rsidRPr="00974D88" w:rsidRDefault="00115888" w:rsidP="00026C37">
      <w:pPr>
        <w:pStyle w:val="LongQuote"/>
      </w:pPr>
      <w:r w:rsidRPr="00115888">
        <w:t>Greek colonies and settlements stretched all the way from western Asia Minor to southern Italy, Sicily, North Africa, and even to the coasts of southern France and Spain</w:t>
      </w:r>
      <w:r>
        <w:t>.</w:t>
      </w:r>
      <w:r>
        <w:rPr>
          <w:rStyle w:val="FootnoteReference"/>
        </w:rPr>
        <w:footnoteReference w:id="16"/>
      </w:r>
    </w:p>
    <w:p w14:paraId="4EEB6EFD" w14:textId="419093AC" w:rsidR="00115888" w:rsidRDefault="00026C37" w:rsidP="00A55581">
      <w:pPr>
        <w:pStyle w:val="BodyNoIndent"/>
      </w:pPr>
      <w:r>
        <w:t>Greece is surrounded by seas and the ancient Greek seafarers, us</w:t>
      </w:r>
      <w:r w:rsidR="00CB17CC">
        <w:t>ed</w:t>
      </w:r>
      <w:r>
        <w:t xml:space="preserve"> ships for trade </w:t>
      </w:r>
      <w:r w:rsidR="00CB17CC">
        <w:t>and</w:t>
      </w:r>
      <w:r>
        <w:t xml:space="preserve"> for war as described in </w:t>
      </w:r>
      <w:r w:rsidRPr="002A4B28">
        <w:rPr>
          <w:rStyle w:val="Publication"/>
        </w:rPr>
        <w:t xml:space="preserve">The </w:t>
      </w:r>
      <w:r w:rsidRPr="00115888">
        <w:rPr>
          <w:rStyle w:val="Publication"/>
        </w:rPr>
        <w:t>Iliad</w:t>
      </w:r>
      <w:r>
        <w:t xml:space="preserve">. </w:t>
      </w:r>
      <w:r w:rsidR="00C95A1C">
        <w:t xml:space="preserve">The </w:t>
      </w:r>
      <w:r w:rsidRPr="008D144B">
        <w:rPr>
          <w:rStyle w:val="Publication"/>
        </w:rPr>
        <w:t>Orion and Pleiades</w:t>
      </w:r>
      <w:r>
        <w:t xml:space="preserve"> were the key for determining shipping seasons. </w:t>
      </w:r>
      <w:r w:rsidR="00115888">
        <w:t>Around 700BC Hesiod wrote:</w:t>
      </w:r>
    </w:p>
    <w:p w14:paraId="390DCA75" w14:textId="77777777" w:rsidR="00115888" w:rsidRDefault="00115888" w:rsidP="00115888">
      <w:pPr>
        <w:pStyle w:val="LongQuote"/>
      </w:pPr>
      <w:r>
        <w:t>When the Pleiades and Hyades, Orion in his might,</w:t>
      </w:r>
    </w:p>
    <w:p w14:paraId="611CCF95" w14:textId="77777777" w:rsidR="00115888" w:rsidRDefault="00115888" w:rsidP="00115888">
      <w:pPr>
        <w:pStyle w:val="LongQuote"/>
      </w:pPr>
      <w:r>
        <w:t>Are setting, then remember that the season now is right</w:t>
      </w:r>
    </w:p>
    <w:p w14:paraId="2954623E" w14:textId="77777777" w:rsidR="00115888" w:rsidRDefault="00115888" w:rsidP="00115888">
      <w:pPr>
        <w:pStyle w:val="LongQuote"/>
      </w:pPr>
      <w:r>
        <w:t xml:space="preserve">For </w:t>
      </w:r>
      <w:proofErr w:type="spellStart"/>
      <w:r>
        <w:t>plowing</w:t>
      </w:r>
      <w:proofErr w:type="spellEnd"/>
      <w:r>
        <w:t>: may the seed you sow lie firm beneath the earth.</w:t>
      </w:r>
    </w:p>
    <w:p w14:paraId="2549B992" w14:textId="77777777" w:rsidR="00115888" w:rsidRDefault="00115888" w:rsidP="00115888">
      <w:pPr>
        <w:pStyle w:val="LongQuote"/>
      </w:pPr>
      <w:r>
        <w:t>And though desire for sailing stormy seas should draw you forth,</w:t>
      </w:r>
    </w:p>
    <w:p w14:paraId="1860CFBD" w14:textId="77777777" w:rsidR="00115888" w:rsidRDefault="00115888" w:rsidP="00115888">
      <w:pPr>
        <w:pStyle w:val="LongQuote"/>
      </w:pPr>
      <w:r>
        <w:t>At such time as the Pleiades are hurtling in flight</w:t>
      </w:r>
    </w:p>
    <w:p w14:paraId="550E33E4" w14:textId="77777777" w:rsidR="00115888" w:rsidRDefault="00115888" w:rsidP="00115888">
      <w:pPr>
        <w:pStyle w:val="LongQuote"/>
      </w:pPr>
      <w:r>
        <w:t>Toward the misty sea, before Orion in his might,</w:t>
      </w:r>
    </w:p>
    <w:p w14:paraId="1CE98E71" w14:textId="77777777" w:rsidR="00115888" w:rsidRDefault="00115888" w:rsidP="00115888">
      <w:pPr>
        <w:pStyle w:val="LongQuote"/>
      </w:pPr>
      <w:r>
        <w:t>And gales of every kind of wind are raging furiously,</w:t>
      </w:r>
    </w:p>
    <w:p w14:paraId="470A4C02" w14:textId="77777777" w:rsidR="00115888" w:rsidRDefault="00115888" w:rsidP="00115888">
      <w:pPr>
        <w:pStyle w:val="LongQuote"/>
      </w:pPr>
      <w:r>
        <w:t>No longer should you sail your ships upon the wine-dark sea,</w:t>
      </w:r>
    </w:p>
    <w:p w14:paraId="7112C316" w14:textId="77777777" w:rsidR="00115888" w:rsidRDefault="00115888" w:rsidP="00115888">
      <w:pPr>
        <w:pStyle w:val="LongQuote"/>
      </w:pPr>
      <w:r>
        <w:t>But keep on working, mindful of the earth, as I command.</w:t>
      </w:r>
    </w:p>
    <w:p w14:paraId="77D32570" w14:textId="09655B30" w:rsidR="00115888" w:rsidRPr="00107CFA" w:rsidRDefault="00115888" w:rsidP="00115888">
      <w:pPr>
        <w:pStyle w:val="LongQuote"/>
      </w:pPr>
      <w:r w:rsidRPr="00107CFA">
        <w:t>Prop up your ship with rocks when you have hauled it onto land,</w:t>
      </w:r>
      <w:r>
        <w:rPr>
          <w:rStyle w:val="FootnoteReference"/>
        </w:rPr>
        <w:footnoteReference w:id="17"/>
      </w:r>
    </w:p>
    <w:p w14:paraId="2DD19A1A" w14:textId="1FA1922F" w:rsidR="00EB4A25" w:rsidRDefault="008D144B" w:rsidP="00A55581">
      <w:pPr>
        <w:pStyle w:val="BodyNoIndent"/>
      </w:pPr>
      <w:r>
        <w:t xml:space="preserve">So </w:t>
      </w:r>
      <w:r w:rsidR="00186DF3">
        <w:t>far,</w:t>
      </w:r>
      <w:r>
        <w:t xml:space="preserve"> we can see that </w:t>
      </w:r>
      <w:r w:rsidR="00C95A1C">
        <w:t xml:space="preserve">the </w:t>
      </w:r>
      <w:r w:rsidRPr="00186DF3">
        <w:rPr>
          <w:rStyle w:val="Publication"/>
        </w:rPr>
        <w:t>Orion and Pleiades</w:t>
      </w:r>
      <w:r>
        <w:t xml:space="preserve"> were instrumental to </w:t>
      </w:r>
      <w:r w:rsidR="00C95A1C">
        <w:t>the farming</w:t>
      </w:r>
      <w:r>
        <w:t xml:space="preserve"> and seafaring of the ancient Greeks</w:t>
      </w:r>
      <w:r w:rsidR="00186DF3">
        <w:t xml:space="preserve">. </w:t>
      </w:r>
      <w:r w:rsidR="00EB4A25">
        <w:t xml:space="preserve">However, </w:t>
      </w:r>
      <w:r w:rsidR="00C95A1C">
        <w:t xml:space="preserve">the </w:t>
      </w:r>
      <w:r w:rsidR="00EB4A25" w:rsidRPr="004B5397">
        <w:rPr>
          <w:rStyle w:val="Publication"/>
        </w:rPr>
        <w:t>Orion and Pleiades</w:t>
      </w:r>
      <w:r w:rsidR="00EB4A25">
        <w:t xml:space="preserve"> myth could be much older</w:t>
      </w:r>
      <w:r w:rsidR="00CB17CC">
        <w:t xml:space="preserve"> than </w:t>
      </w:r>
      <w:r w:rsidR="00C95A1C">
        <w:t xml:space="preserve">the </w:t>
      </w:r>
      <w:r w:rsidR="00CB17CC">
        <w:t xml:space="preserve">ancient Greeks’ </w:t>
      </w:r>
      <w:proofErr w:type="spellStart"/>
      <w:r w:rsidR="00C95A1C">
        <w:t>hasbandry</w:t>
      </w:r>
      <w:proofErr w:type="spellEnd"/>
      <w:r w:rsidR="00CB17CC">
        <w:t xml:space="preserve"> and </w:t>
      </w:r>
      <w:r w:rsidR="00C95A1C">
        <w:t>seagoing</w:t>
      </w:r>
      <w:r w:rsidR="00EB4A25">
        <w:t>. There are two ways to establish approximate dating of the myth.</w:t>
      </w:r>
      <w:r w:rsidR="00BA6AA2">
        <w:t xml:space="preserve"> </w:t>
      </w:r>
    </w:p>
    <w:p w14:paraId="23F9BEB1" w14:textId="7043AB8F" w:rsidR="00951637" w:rsidRDefault="00EB4A25" w:rsidP="00186DF3">
      <w:pPr>
        <w:pStyle w:val="Body"/>
      </w:pPr>
      <w:r>
        <w:lastRenderedPageBreak/>
        <w:t>Firstly, there is a large number of similar myths across the world cultures</w:t>
      </w:r>
      <w:r w:rsidR="009B3E98">
        <w:t xml:space="preserve"> (see </w:t>
      </w:r>
      <w:r w:rsidR="009B3E98" w:rsidRPr="00CB17CC">
        <w:rPr>
          <w:rStyle w:val="Publication"/>
        </w:rPr>
        <w:t>Appendix 1</w:t>
      </w:r>
      <w:r w:rsidR="009B3E98">
        <w:t>)</w:t>
      </w:r>
      <w:r w:rsidR="00186DF3">
        <w:t xml:space="preserve">. </w:t>
      </w:r>
      <w:r>
        <w:t xml:space="preserve">One explanation of spreading the myth around the globe is that the myth was already </w:t>
      </w:r>
      <w:r w:rsidR="00C95A1C">
        <w:t xml:space="preserve">a </w:t>
      </w:r>
      <w:r>
        <w:t>part of the mythology of the humans who were migrating and populating these parts of the world.</w:t>
      </w:r>
      <w:r w:rsidR="00186DF3">
        <w:t xml:space="preserve"> </w:t>
      </w:r>
      <w:r>
        <w:t>Aboriginal Australians have many variations of the myth</w:t>
      </w:r>
      <w:r w:rsidR="00186DF3">
        <w:t>.</w:t>
      </w:r>
    </w:p>
    <w:p w14:paraId="40980B63" w14:textId="3DB5E240" w:rsidR="00951637" w:rsidRDefault="00951637" w:rsidP="00AA36E6">
      <w:pPr>
        <w:pStyle w:val="LongQuote"/>
      </w:pPr>
      <w:r w:rsidRPr="00392EDA">
        <w:t>Around 50,000 years ago, the wave of migration reached Sahul, a prehistoric supercontinent composed of present-day Australia, Tasmania and New Guinea prior to their separation by rising sea levels 10,000 years ago. At that time, according to the study’s authors, Aboriginal Australians became genetically isolated, making it the world’s oldest civilization.</w:t>
      </w:r>
      <w:r>
        <w:rPr>
          <w:rStyle w:val="FootnoteReference"/>
        </w:rPr>
        <w:footnoteReference w:id="18"/>
      </w:r>
    </w:p>
    <w:p w14:paraId="55696FFD" w14:textId="23008DD0" w:rsidR="00186DF3" w:rsidRDefault="00CB17CC" w:rsidP="00A55581">
      <w:pPr>
        <w:pStyle w:val="BodyNoIndent"/>
      </w:pPr>
      <w:r>
        <w:t>So,</w:t>
      </w:r>
      <w:r w:rsidR="00186DF3">
        <w:t xml:space="preserve"> the original </w:t>
      </w:r>
      <w:r w:rsidR="00186DF3" w:rsidRPr="0050300D">
        <w:rPr>
          <w:rStyle w:val="Publication"/>
        </w:rPr>
        <w:t>Orion and Pleiades</w:t>
      </w:r>
      <w:r w:rsidR="00186DF3">
        <w:t xml:space="preserve"> myth could be dated </w:t>
      </w:r>
      <w:r w:rsidR="00C95A1C">
        <w:t xml:space="preserve">to </w:t>
      </w:r>
      <w:r w:rsidR="00186DF3">
        <w:t xml:space="preserve">at least 10,000 years old. </w:t>
      </w:r>
    </w:p>
    <w:p w14:paraId="6C66198B" w14:textId="7533DC57" w:rsidR="00EB4A25" w:rsidRDefault="00EB4A25" w:rsidP="00186DF3">
      <w:pPr>
        <w:pStyle w:val="Body"/>
      </w:pPr>
      <w:r>
        <w:t xml:space="preserve">Secondly, although Hesiod refers to the agricultural and navigational utilities of the </w:t>
      </w:r>
      <w:r w:rsidRPr="00186DF3">
        <w:rPr>
          <w:rStyle w:val="Publication"/>
        </w:rPr>
        <w:t>Orion and Pleiades</w:t>
      </w:r>
      <w:r>
        <w:t xml:space="preserve"> myth, there is another utility, which likely predates the first two. Agriculture started around 9,500BC</w:t>
      </w:r>
      <w:r w:rsidR="006F12D7">
        <w:t>, but humans survived as hunter</w:t>
      </w:r>
      <w:r w:rsidR="00717A0A">
        <w:t>-</w:t>
      </w:r>
      <w:r w:rsidR="006F12D7">
        <w:t xml:space="preserve">gatherers for 200,000 </w:t>
      </w:r>
      <w:r w:rsidR="009A273C">
        <w:t xml:space="preserve">years </w:t>
      </w:r>
      <w:r w:rsidR="006F12D7">
        <w:t xml:space="preserve">before that. </w:t>
      </w:r>
      <w:r w:rsidR="00C95A1C">
        <w:t xml:space="preserve">The </w:t>
      </w:r>
      <w:r w:rsidR="006F12D7">
        <w:t xml:space="preserve">Pleiades </w:t>
      </w:r>
      <w:r w:rsidR="009A273C">
        <w:t xml:space="preserve">do </w:t>
      </w:r>
      <w:r w:rsidR="006F12D7">
        <w:t>mark</w:t>
      </w:r>
      <w:r w:rsidR="00C95A1C">
        <w:t xml:space="preserve"> a</w:t>
      </w:r>
      <w:r w:rsidR="006F12D7">
        <w:t xml:space="preserve"> </w:t>
      </w:r>
      <w:r w:rsidR="00CB17CC">
        <w:t>change of</w:t>
      </w:r>
      <w:r w:rsidR="006F12D7">
        <w:t xml:space="preserve"> seasons, but also </w:t>
      </w:r>
      <w:r w:rsidR="009A273C">
        <w:t xml:space="preserve">mark </w:t>
      </w:r>
      <w:r w:rsidR="00C95A1C">
        <w:t xml:space="preserve">the </w:t>
      </w:r>
      <w:r w:rsidR="006F12D7">
        <w:t>m</w:t>
      </w:r>
      <w:r w:rsidR="00186DF3">
        <w:t>ovement</w:t>
      </w:r>
      <w:r w:rsidR="006F12D7">
        <w:t xml:space="preserve"> dates of </w:t>
      </w:r>
      <w:r w:rsidR="009A273C">
        <w:t xml:space="preserve">the </w:t>
      </w:r>
      <w:r w:rsidR="006F12D7">
        <w:t>herds of migrating animals</w:t>
      </w:r>
      <w:r w:rsidR="009A273C">
        <w:t xml:space="preserve"> around the world</w:t>
      </w:r>
      <w:r w:rsidR="006F12D7">
        <w:t xml:space="preserve">. </w:t>
      </w:r>
      <w:r w:rsidR="00CB17CC">
        <w:t xml:space="preserve">In 1871, by Arkansas river there </w:t>
      </w:r>
      <w:r w:rsidR="00C95A1C">
        <w:t xml:space="preserve">still </w:t>
      </w:r>
      <w:r w:rsidR="00CB17CC">
        <w:t>were herds containing over 4,000,000 bison.</w:t>
      </w:r>
      <w:r w:rsidR="00CB17CC">
        <w:rPr>
          <w:rStyle w:val="FootnoteReference"/>
        </w:rPr>
        <w:footnoteReference w:id="19"/>
      </w:r>
      <w:r w:rsidR="00CB17CC">
        <w:t xml:space="preserve"> W</w:t>
      </w:r>
      <w:r w:rsidR="009A273C">
        <w:t xml:space="preserve">e can </w:t>
      </w:r>
      <w:r w:rsidR="00CB17CC">
        <w:t xml:space="preserve">only </w:t>
      </w:r>
      <w:r w:rsidR="009A273C">
        <w:t xml:space="preserve">imagine the size of migrating herds tens of </w:t>
      </w:r>
      <w:r w:rsidR="00CB17CC">
        <w:t>thousands</w:t>
      </w:r>
      <w:r w:rsidR="008D144B">
        <w:t xml:space="preserve"> of</w:t>
      </w:r>
      <w:r w:rsidR="009A273C">
        <w:t xml:space="preserve"> years ago. Mastering </w:t>
      </w:r>
      <w:r w:rsidR="00C95A1C">
        <w:t xml:space="preserve">the </w:t>
      </w:r>
      <w:r w:rsidR="009A273C">
        <w:t xml:space="preserve">Pleiades calendar </w:t>
      </w:r>
      <w:r w:rsidR="00C95A1C">
        <w:t xml:space="preserve">likely </w:t>
      </w:r>
      <w:r w:rsidR="009A273C">
        <w:t xml:space="preserve">would allow </w:t>
      </w:r>
      <w:r w:rsidR="00C95A1C">
        <w:t xml:space="preserve">the </w:t>
      </w:r>
      <w:r w:rsidR="009A273C">
        <w:t>early humans to reach to the endless food supply – millions passing by animals.</w:t>
      </w:r>
    </w:p>
    <w:p w14:paraId="3334E465" w14:textId="5883E27F" w:rsidR="00186DF3" w:rsidRDefault="00C95A1C" w:rsidP="00AA36E6">
      <w:pPr>
        <w:pStyle w:val="Body"/>
      </w:pPr>
      <w:r>
        <w:rPr>
          <w:rStyle w:val="Publication"/>
        </w:rPr>
        <w:t xml:space="preserve">The </w:t>
      </w:r>
      <w:r w:rsidR="009A273C" w:rsidRPr="00170281">
        <w:rPr>
          <w:rStyle w:val="Publication"/>
        </w:rPr>
        <w:t>Lascaux cave</w:t>
      </w:r>
      <w:r w:rsidR="009A273C">
        <w:t xml:space="preserve"> contain</w:t>
      </w:r>
      <w:r>
        <w:t>s</w:t>
      </w:r>
      <w:r w:rsidR="009A273C">
        <w:t xml:space="preserve"> over 2,000 prehistoric images. One of the hypotheses claims that ‘the group of spots floating above the back of the largest </w:t>
      </w:r>
      <w:proofErr w:type="spellStart"/>
      <w:r w:rsidR="009A273C">
        <w:t>Auroch</w:t>
      </w:r>
      <w:proofErr w:type="spellEnd"/>
      <w:r w:rsidR="009A273C">
        <w:t xml:space="preserve"> painted on the ceiling of the cave, might represent the open cluster of the stars – the Pleiades’.</w:t>
      </w:r>
      <w:r w:rsidR="009A273C">
        <w:rPr>
          <w:rStyle w:val="FootnoteReference"/>
        </w:rPr>
        <w:footnoteReference w:id="20"/>
      </w:r>
      <w:r w:rsidR="009A273C">
        <w:t xml:space="preserve"> </w:t>
      </w:r>
      <w:r>
        <w:t xml:space="preserve">The </w:t>
      </w:r>
      <w:r w:rsidR="009A273C" w:rsidRPr="00170281">
        <w:rPr>
          <w:rStyle w:val="Publication"/>
        </w:rPr>
        <w:t>Lascaux cave</w:t>
      </w:r>
      <w:r w:rsidR="009A273C">
        <w:t xml:space="preserve"> art was created </w:t>
      </w:r>
      <w:r>
        <w:t>‘</w:t>
      </w:r>
      <w:r w:rsidR="009A273C">
        <w:t>in at least two phases, ~17,000–21,000 cal. BP and 21,500–22,500 cal. BP’.</w:t>
      </w:r>
      <w:r w:rsidR="009A273C">
        <w:rPr>
          <w:rStyle w:val="FootnoteReference"/>
        </w:rPr>
        <w:footnoteReference w:id="21"/>
      </w:r>
      <w:r w:rsidR="00186DF3">
        <w:t xml:space="preserve"> T</w:t>
      </w:r>
      <w:r w:rsidR="009A273C">
        <w:t>he images in</w:t>
      </w:r>
      <w:r>
        <w:t>side the</w:t>
      </w:r>
      <w:r w:rsidR="009A273C">
        <w:t xml:space="preserve"> </w:t>
      </w:r>
      <w:r w:rsidR="009A273C" w:rsidRPr="00170281">
        <w:rPr>
          <w:rStyle w:val="Publication"/>
        </w:rPr>
        <w:t>Lascaux cave</w:t>
      </w:r>
      <w:r w:rsidR="009A273C">
        <w:t xml:space="preserve"> were created over period of 5,500 years. The length of the creation period implies that the artists had an uninterrupted food supply for thousands of years. </w:t>
      </w:r>
      <w:r w:rsidR="00186DF3">
        <w:t xml:space="preserve">Although hunter-gathering implies hunt, apparently humans were </w:t>
      </w:r>
      <w:r w:rsidR="00604DB9">
        <w:t xml:space="preserve">also </w:t>
      </w:r>
      <w:r w:rsidR="00186DF3">
        <w:t>harvesting wild grains for very long time before the agriculture was invented:</w:t>
      </w:r>
    </w:p>
    <w:p w14:paraId="76AEB8AC" w14:textId="203E8662" w:rsidR="00186DF3" w:rsidRDefault="00186DF3" w:rsidP="00186DF3">
      <w:pPr>
        <w:pStyle w:val="LongQuote"/>
      </w:pPr>
      <w:r w:rsidRPr="00186DF3">
        <w:t>new evidence suggests that at least some humans of that time period were eating starchy, cereal-based snacks as early as 105,000 years ago.</w:t>
      </w:r>
      <w:r>
        <w:rPr>
          <w:rStyle w:val="FootnoteReference"/>
        </w:rPr>
        <w:footnoteReference w:id="22"/>
      </w:r>
    </w:p>
    <w:p w14:paraId="76468956" w14:textId="6719AD4A" w:rsidR="00C24DC1" w:rsidRDefault="006147D8" w:rsidP="00A55581">
      <w:pPr>
        <w:pStyle w:val="BodyNoIndent"/>
      </w:pPr>
      <w:r>
        <w:t xml:space="preserve">A hunt with guaranteed outcome and harvesting wild grains most likely required use of </w:t>
      </w:r>
      <w:r w:rsidR="00C95A1C">
        <w:t xml:space="preserve">the </w:t>
      </w:r>
      <w:r>
        <w:t xml:space="preserve">Pleiades calendar and </w:t>
      </w:r>
      <w:r w:rsidR="00C95A1C">
        <w:t xml:space="preserve">the </w:t>
      </w:r>
      <w:r>
        <w:t xml:space="preserve">Pleiades myth could be dated to the </w:t>
      </w:r>
      <w:r w:rsidR="00C95A1C">
        <w:t>dawn</w:t>
      </w:r>
      <w:r>
        <w:t xml:space="preserve"> of man.</w:t>
      </w:r>
    </w:p>
    <w:p w14:paraId="728FF13A" w14:textId="14C86DF2" w:rsidR="00C24DC1" w:rsidRDefault="005567E7" w:rsidP="005567E7">
      <w:pPr>
        <w:pStyle w:val="Subhead"/>
      </w:pPr>
      <w:r>
        <w:t>Homer</w:t>
      </w:r>
    </w:p>
    <w:p w14:paraId="6EDB56E8" w14:textId="08AAE621" w:rsidR="005567E7" w:rsidRDefault="005567E7" w:rsidP="00A55581">
      <w:pPr>
        <w:pStyle w:val="BodyNoIndent"/>
      </w:pPr>
      <w:r>
        <w:t xml:space="preserve">Another ancient Greek poet who mentioned </w:t>
      </w:r>
      <w:r w:rsidR="0066657B">
        <w:t xml:space="preserve">the </w:t>
      </w:r>
      <w:r w:rsidRPr="005567E7">
        <w:rPr>
          <w:rStyle w:val="Publication"/>
        </w:rPr>
        <w:t>Orion and Pleiades</w:t>
      </w:r>
      <w:r>
        <w:t xml:space="preserve"> was Homer. He in great detail described the </w:t>
      </w:r>
      <w:r w:rsidR="00E73040">
        <w:t xml:space="preserve">Shield of </w:t>
      </w:r>
      <w:r>
        <w:t>Achilles</w:t>
      </w:r>
      <w:r w:rsidR="0001576A">
        <w:t xml:space="preserve">, which featured </w:t>
      </w:r>
      <w:r w:rsidR="0066657B">
        <w:t xml:space="preserve">the </w:t>
      </w:r>
      <w:r w:rsidR="0001576A" w:rsidRPr="0001576A">
        <w:rPr>
          <w:rStyle w:val="Publication"/>
        </w:rPr>
        <w:t>Orion and Pleiades</w:t>
      </w:r>
      <w:r>
        <w:t>:</w:t>
      </w:r>
    </w:p>
    <w:p w14:paraId="6FA1FAC3" w14:textId="77777777" w:rsidR="005567E7" w:rsidRDefault="005567E7" w:rsidP="005567E7">
      <w:pPr>
        <w:pStyle w:val="LongQuote"/>
      </w:pPr>
      <w:r>
        <w:t>There he made the earth and there the sky and the sea</w:t>
      </w:r>
    </w:p>
    <w:p w14:paraId="341E0E0A" w14:textId="77777777" w:rsidR="005567E7" w:rsidRDefault="005567E7" w:rsidP="005567E7">
      <w:pPr>
        <w:pStyle w:val="LongQuote"/>
      </w:pPr>
      <w:r>
        <w:t>and the inexhaustible blazing sun and the moon rounding full</w:t>
      </w:r>
    </w:p>
    <w:p w14:paraId="000D7193" w14:textId="77777777" w:rsidR="005567E7" w:rsidRDefault="005567E7" w:rsidP="005567E7">
      <w:pPr>
        <w:pStyle w:val="LongQuote"/>
      </w:pPr>
      <w:r>
        <w:t>and there. the constellations, all that crown the heavens,</w:t>
      </w:r>
    </w:p>
    <w:p w14:paraId="1ECAC303" w14:textId="77777777" w:rsidR="005567E7" w:rsidRDefault="005567E7" w:rsidP="005567E7">
      <w:pPr>
        <w:pStyle w:val="LongQuote"/>
      </w:pPr>
      <w:r>
        <w:t>the Pleiades and the Hyades. Orion in all his power too</w:t>
      </w:r>
    </w:p>
    <w:p w14:paraId="63A7FCD1" w14:textId="77777777" w:rsidR="005567E7" w:rsidRDefault="005567E7" w:rsidP="005567E7">
      <w:pPr>
        <w:pStyle w:val="LongQuote"/>
      </w:pPr>
      <w:r>
        <w:t>and the Great Bear that mankind also calls the Wagon:</w:t>
      </w:r>
    </w:p>
    <w:p w14:paraId="3E9AC447" w14:textId="77777777" w:rsidR="005567E7" w:rsidRDefault="005567E7" w:rsidP="005567E7">
      <w:pPr>
        <w:pStyle w:val="LongQuote"/>
      </w:pPr>
      <w:r>
        <w:lastRenderedPageBreak/>
        <w:t>she wheels on her axis always fixed, watching the Hunter,</w:t>
      </w:r>
    </w:p>
    <w:p w14:paraId="5268B647" w14:textId="77777777" w:rsidR="005567E7" w:rsidRDefault="005567E7" w:rsidP="005567E7">
      <w:pPr>
        <w:pStyle w:val="LongQuote"/>
      </w:pPr>
      <w:r>
        <w:t>and she alone is denied a plunge in the Ocean's baths.</w:t>
      </w:r>
      <w:r>
        <w:rPr>
          <w:rStyle w:val="FootnoteReference"/>
        </w:rPr>
        <w:footnoteReference w:id="23"/>
      </w:r>
    </w:p>
    <w:p w14:paraId="16259D82" w14:textId="734FFA9A" w:rsidR="005567E7" w:rsidRDefault="00E77F03" w:rsidP="00A55581">
      <w:pPr>
        <w:pStyle w:val="BodyNoIndent"/>
      </w:pPr>
      <w:r w:rsidRPr="0066657B">
        <w:rPr>
          <w:rStyle w:val="Publication"/>
        </w:rPr>
        <w:t>The Iliad</w:t>
      </w:r>
      <w:r>
        <w:t xml:space="preserve"> is one of the oldest books</w:t>
      </w:r>
      <w:r w:rsidR="00DF3CE8">
        <w:t>,</w:t>
      </w:r>
      <w:r>
        <w:t xml:space="preserve"> </w:t>
      </w:r>
      <w:r w:rsidR="0066657B">
        <w:t xml:space="preserve">the </w:t>
      </w:r>
      <w:r>
        <w:t xml:space="preserve">scholars over the centuries </w:t>
      </w:r>
      <w:r w:rsidR="00DF3CE8">
        <w:t>analysed it</w:t>
      </w:r>
      <w:r w:rsidR="0066657B">
        <w:t xml:space="preserve">’s every line </w:t>
      </w:r>
      <w:r w:rsidR="00DF3CE8">
        <w:t xml:space="preserve">from </w:t>
      </w:r>
      <w:r w:rsidR="0066657B">
        <w:t>all</w:t>
      </w:r>
      <w:r w:rsidR="00DF3CE8">
        <w:t xml:space="preserve"> possible angle</w:t>
      </w:r>
      <w:r w:rsidR="0066657B">
        <w:t>s</w:t>
      </w:r>
      <w:r w:rsidR="00DF3CE8">
        <w:t xml:space="preserve">, and generally </w:t>
      </w:r>
      <w:r>
        <w:t xml:space="preserve">viewed the </w:t>
      </w:r>
      <w:r w:rsidR="00E73040">
        <w:t xml:space="preserve">Shield of </w:t>
      </w:r>
      <w:r>
        <w:t>Achilles</w:t>
      </w:r>
      <w:r w:rsidR="005567E7">
        <w:t xml:space="preserve"> to be a product of Homer’s fantasy</w:t>
      </w:r>
      <w:r w:rsidR="00DF3CE8">
        <w:t>.</w:t>
      </w:r>
      <w:r w:rsidR="00DF3CE8">
        <w:rPr>
          <w:rStyle w:val="FootnoteReference"/>
        </w:rPr>
        <w:footnoteReference w:id="24"/>
      </w:r>
      <w:r w:rsidR="005567E7">
        <w:t xml:space="preserve"> </w:t>
      </w:r>
    </w:p>
    <w:p w14:paraId="3C18444A" w14:textId="77777777" w:rsidR="005567E7" w:rsidRDefault="005567E7" w:rsidP="005567E7">
      <w:pPr>
        <w:pStyle w:val="LongQuote"/>
      </w:pPr>
      <w:r w:rsidRPr="009E5A3F">
        <w:t xml:space="preserve">Nothing really like this shield has ever been found nor ever </w:t>
      </w:r>
      <w:r>
        <w:t>will be. […] The decoration of the shield is derived from poetic invention not from history.</w:t>
      </w:r>
      <w:r>
        <w:rPr>
          <w:rStyle w:val="FootnoteReference"/>
        </w:rPr>
        <w:footnoteReference w:id="25"/>
      </w:r>
      <w:r>
        <w:t xml:space="preserve"> </w:t>
      </w:r>
    </w:p>
    <w:p w14:paraId="149AE20B" w14:textId="77777777" w:rsidR="002B0054" w:rsidRDefault="002B0054" w:rsidP="002B0054">
      <w:pPr>
        <w:pStyle w:val="LongQuote"/>
      </w:pPr>
    </w:p>
    <w:p w14:paraId="7F0FE400" w14:textId="09E6F048" w:rsidR="002B0054" w:rsidRDefault="002B0054" w:rsidP="002B0054">
      <w:pPr>
        <w:pStyle w:val="LongQuote"/>
      </w:pPr>
      <w:r w:rsidRPr="002B0054">
        <w:t>It is now generally acknowledged that the shield is a more or less free invention on the part of the poet. I will not be concerned with the question of the relationship between the Shield and actual works of</w:t>
      </w:r>
      <w:r>
        <w:t xml:space="preserve"> art.</w:t>
      </w:r>
      <w:r>
        <w:rPr>
          <w:rStyle w:val="FootnoteReference"/>
        </w:rPr>
        <w:footnoteReference w:id="26"/>
      </w:r>
    </w:p>
    <w:p w14:paraId="3755BBD2" w14:textId="7E95A58A" w:rsidR="009B6FBF" w:rsidRDefault="00E77F03" w:rsidP="00A55581">
      <w:pPr>
        <w:pStyle w:val="BodyNoIndent"/>
      </w:pPr>
      <w:r>
        <w:t xml:space="preserve">But Troy for centuries </w:t>
      </w:r>
      <w:r w:rsidR="00A053E3">
        <w:t xml:space="preserve">also </w:t>
      </w:r>
      <w:r>
        <w:t xml:space="preserve">thought to be a </w:t>
      </w:r>
      <w:r w:rsidR="00891379">
        <w:t>p</w:t>
      </w:r>
      <w:r>
        <w:t xml:space="preserve">roduct of </w:t>
      </w:r>
      <w:r w:rsidR="00891379">
        <w:t>Homer</w:t>
      </w:r>
      <w:r w:rsidR="0066657B">
        <w:t>’s</w:t>
      </w:r>
      <w:r w:rsidR="00891379">
        <w:t xml:space="preserve"> fantasy, until </w:t>
      </w:r>
      <w:r w:rsidR="00A053E3">
        <w:t xml:space="preserve">in </w:t>
      </w:r>
      <w:r w:rsidR="00891379">
        <w:t xml:space="preserve">1871, </w:t>
      </w:r>
      <w:r w:rsidR="00891379" w:rsidRPr="00850B79">
        <w:t>Heinrich Schliemann</w:t>
      </w:r>
      <w:r w:rsidR="00891379">
        <w:t xml:space="preserve"> excavated the city.</w:t>
      </w:r>
      <w:r w:rsidR="00AA106F">
        <w:t xml:space="preserve"> </w:t>
      </w:r>
      <w:r w:rsidR="00A053E3">
        <w:t>Twenty-two</w:t>
      </w:r>
      <w:r w:rsidR="003700C4">
        <w:t xml:space="preserve"> </w:t>
      </w:r>
      <w:r w:rsidR="009B6FBF">
        <w:t>years</w:t>
      </w:r>
      <w:r w:rsidR="0066657B">
        <w:t xml:space="preserve"> ago</w:t>
      </w:r>
      <w:r w:rsidR="009B6FBF">
        <w:t xml:space="preserve">, </w:t>
      </w:r>
      <w:r w:rsidR="003700C4">
        <w:t>a</w:t>
      </w:r>
      <w:r w:rsidR="00AA106F">
        <w:t xml:space="preserve"> discover</w:t>
      </w:r>
      <w:r w:rsidR="003700C4">
        <w:t>y</w:t>
      </w:r>
      <w:r w:rsidR="00AA106F">
        <w:t xml:space="preserve"> happened, which might change </w:t>
      </w:r>
      <w:r w:rsidR="0066657B">
        <w:t xml:space="preserve">the </w:t>
      </w:r>
      <w:r w:rsidR="00AA106F">
        <w:t>scholars</w:t>
      </w:r>
      <w:r w:rsidR="0066657B">
        <w:t>’</w:t>
      </w:r>
      <w:r w:rsidR="00AA106F">
        <w:t xml:space="preserve"> view on the Shield of Achilles. In 1999, </w:t>
      </w:r>
      <w:r w:rsidR="009B6FBF">
        <w:t>in Germany,</w:t>
      </w:r>
      <w:r w:rsidR="009B6FBF" w:rsidRPr="009B6FBF">
        <w:t xml:space="preserve"> </w:t>
      </w:r>
      <w:r w:rsidR="009B6FBF">
        <w:t xml:space="preserve">near a small town </w:t>
      </w:r>
      <w:r w:rsidR="0066657B">
        <w:t xml:space="preserve">of </w:t>
      </w:r>
      <w:r w:rsidR="009B6FBF">
        <w:t>Nebra</w:t>
      </w:r>
      <w:r w:rsidR="0066657B">
        <w:t>,</w:t>
      </w:r>
      <w:r w:rsidR="009B6FBF">
        <w:t xml:space="preserve"> </w:t>
      </w:r>
      <w:r w:rsidR="00AA106F">
        <w:t xml:space="preserve">the </w:t>
      </w:r>
      <w:r w:rsidR="00AA106F" w:rsidRPr="009B6FBF">
        <w:rPr>
          <w:rStyle w:val="Publication"/>
        </w:rPr>
        <w:t xml:space="preserve">Nebra Sky </w:t>
      </w:r>
      <w:r w:rsidR="00D10096">
        <w:rPr>
          <w:rStyle w:val="Publication"/>
        </w:rPr>
        <w:t>D</w:t>
      </w:r>
      <w:r w:rsidR="00AA106F" w:rsidRPr="009B6FBF">
        <w:rPr>
          <w:rStyle w:val="Publication"/>
        </w:rPr>
        <w:t>is</w:t>
      </w:r>
      <w:r w:rsidR="00D10096">
        <w:rPr>
          <w:rStyle w:val="Publication"/>
        </w:rPr>
        <w:t>c</w:t>
      </w:r>
      <w:r w:rsidR="00AA106F">
        <w:t xml:space="preserve"> </w:t>
      </w:r>
      <w:r w:rsidR="00A053E3">
        <w:t xml:space="preserve">(see </w:t>
      </w:r>
      <w:r w:rsidR="00A053E3" w:rsidRPr="00A053E3">
        <w:rPr>
          <w:rStyle w:val="Publication"/>
        </w:rPr>
        <w:t>Appendix 3</w:t>
      </w:r>
      <w:r w:rsidR="00A053E3">
        <w:t xml:space="preserve">) </w:t>
      </w:r>
      <w:r w:rsidR="00AA106F">
        <w:t>was found</w:t>
      </w:r>
      <w:r w:rsidR="009B6FBF">
        <w:t xml:space="preserve"> by </w:t>
      </w:r>
      <w:r w:rsidR="00D10096">
        <w:t>two metal detectorists</w:t>
      </w:r>
      <w:r w:rsidR="009B6FBF">
        <w:t xml:space="preserve"> and </w:t>
      </w:r>
      <w:r w:rsidR="00D10096">
        <w:t>shortly afterwards</w:t>
      </w:r>
      <w:r w:rsidR="009B6FBF">
        <w:t xml:space="preserve"> </w:t>
      </w:r>
      <w:r w:rsidR="00461508">
        <w:t>the police confiscated it</w:t>
      </w:r>
      <w:r w:rsidR="00AA106F">
        <w:t>. ‘</w:t>
      </w:r>
      <w:r w:rsidR="00AA106F" w:rsidRPr="00971D50">
        <w:t>The dis</w:t>
      </w:r>
      <w:r w:rsidR="00D10096">
        <w:t>c</w:t>
      </w:r>
      <w:r w:rsidR="00AA106F" w:rsidRPr="00971D50">
        <w:t xml:space="preserve"> is currently judged to be about 3,600 years old, dating it to the Bronze Age</w:t>
      </w:r>
      <w:r w:rsidR="00AA106F">
        <w:t>’</w:t>
      </w:r>
      <w:r w:rsidR="00AA106F" w:rsidRPr="00971D50">
        <w:t>.</w:t>
      </w:r>
      <w:r w:rsidR="00AA106F">
        <w:rPr>
          <w:rStyle w:val="FootnoteReference"/>
        </w:rPr>
        <w:footnoteReference w:id="27"/>
      </w:r>
      <w:r w:rsidR="00C579F6">
        <w:t xml:space="preserve"> The </w:t>
      </w:r>
      <w:r w:rsidR="00C579F6" w:rsidRPr="000720AD">
        <w:rPr>
          <w:rStyle w:val="Publication"/>
        </w:rPr>
        <w:t xml:space="preserve">Nebra Sky </w:t>
      </w:r>
      <w:r w:rsidR="00D10096">
        <w:rPr>
          <w:rStyle w:val="Publication"/>
        </w:rPr>
        <w:t>D</w:t>
      </w:r>
      <w:r w:rsidR="00C579F6" w:rsidRPr="000720AD">
        <w:rPr>
          <w:rStyle w:val="Publication"/>
        </w:rPr>
        <w:t>is</w:t>
      </w:r>
      <w:r w:rsidR="00D10096">
        <w:rPr>
          <w:rStyle w:val="Publication"/>
        </w:rPr>
        <w:t>c</w:t>
      </w:r>
      <w:r w:rsidR="009B6FBF">
        <w:t xml:space="preserve"> </w:t>
      </w:r>
      <w:r w:rsidR="00C579F6">
        <w:t xml:space="preserve">features </w:t>
      </w:r>
      <w:r w:rsidR="0066657B">
        <w:t xml:space="preserve">the </w:t>
      </w:r>
      <w:r w:rsidR="00C579F6">
        <w:t>Pleiades constellation</w:t>
      </w:r>
      <w:r w:rsidR="009B6FBF">
        <w:t xml:space="preserve"> and</w:t>
      </w:r>
      <w:r w:rsidR="000D6F68">
        <w:t xml:space="preserve"> initially was used as a calendar tool, likely in the manner as described by Hesiod. </w:t>
      </w:r>
      <w:r w:rsidR="000D6F68" w:rsidRPr="00461508">
        <w:rPr>
          <w:rStyle w:val="Publication"/>
        </w:rPr>
        <w:t>The Disc</w:t>
      </w:r>
      <w:r w:rsidR="000D6F68">
        <w:t>:</w:t>
      </w:r>
    </w:p>
    <w:p w14:paraId="6E90C49D" w14:textId="25434147" w:rsidR="00C579F6" w:rsidRDefault="003700C4" w:rsidP="00C579F6">
      <w:pPr>
        <w:pStyle w:val="LongQuote"/>
      </w:pPr>
      <w:r>
        <w:t xml:space="preserve">[…] </w:t>
      </w:r>
      <w:r w:rsidR="00C579F6">
        <w:t>is considered both the first-known portable astronomical instrument and the oldest-known graphic depiction of celestial objects in human history.</w:t>
      </w:r>
      <w:r w:rsidR="00C579F6">
        <w:rPr>
          <w:rStyle w:val="FootnoteReference"/>
        </w:rPr>
        <w:footnoteReference w:id="28"/>
      </w:r>
    </w:p>
    <w:p w14:paraId="44772C02" w14:textId="63EC8B80" w:rsidR="002E1D12" w:rsidRPr="002E1D12" w:rsidRDefault="000D6F68" w:rsidP="00A55581">
      <w:pPr>
        <w:pStyle w:val="BodyNoIndent"/>
      </w:pPr>
      <w:r w:rsidRPr="000D6F68">
        <w:rPr>
          <w:rStyle w:val="Publication"/>
        </w:rPr>
        <w:t>The Disc</w:t>
      </w:r>
      <w:r>
        <w:t xml:space="preserve"> have had several transformations and</w:t>
      </w:r>
      <w:r w:rsidR="002E1D12">
        <w:t xml:space="preserve"> ‘</w:t>
      </w:r>
      <w:r w:rsidR="00D10096">
        <w:t>was reworked several times during its history, suggesting its cosmological significance was not static</w:t>
      </w:r>
      <w:r w:rsidR="002E1D12">
        <w:t>’</w:t>
      </w:r>
      <w:r w:rsidR="00D10096">
        <w:t>.</w:t>
      </w:r>
      <w:r w:rsidR="00D10096">
        <w:rPr>
          <w:rStyle w:val="FootnoteReference"/>
        </w:rPr>
        <w:footnoteReference w:id="29"/>
      </w:r>
      <w:r w:rsidR="00372C48">
        <w:t xml:space="preserve"> </w:t>
      </w:r>
      <w:r>
        <w:t xml:space="preserve">In the </w:t>
      </w:r>
      <w:r w:rsidR="002E1D12">
        <w:t>final</w:t>
      </w:r>
      <w:r>
        <w:t xml:space="preserve"> </w:t>
      </w:r>
      <w:r w:rsidR="002E1D12">
        <w:t>modification ‘thirty-eight […] perforations were made along its rim’.</w:t>
      </w:r>
      <w:r w:rsidR="002E1D12">
        <w:rPr>
          <w:rStyle w:val="FootnoteReference"/>
        </w:rPr>
        <w:footnoteReference w:id="30"/>
      </w:r>
      <w:r w:rsidR="00372C48">
        <w:t xml:space="preserve"> </w:t>
      </w:r>
      <w:r w:rsidR="00372C48" w:rsidRPr="00337075">
        <w:rPr>
          <w:rStyle w:val="Publication"/>
        </w:rPr>
        <w:t>The Disc</w:t>
      </w:r>
      <w:r w:rsidR="00372C48">
        <w:t xml:space="preserve"> was found with two Bronze Age swords and it suggests that its last purpose was a military one:</w:t>
      </w:r>
    </w:p>
    <w:p w14:paraId="0AA1EE3C" w14:textId="18BFDA8E" w:rsidR="00AA106F" w:rsidRDefault="003700C4" w:rsidP="003700C4">
      <w:pPr>
        <w:pStyle w:val="LongQuote"/>
      </w:pPr>
      <w:r>
        <w:t>It is possible that The Sky Disc was fixed to a shield, carried in ceremonies or into battle.</w:t>
      </w:r>
      <w:r>
        <w:rPr>
          <w:rStyle w:val="FootnoteReference"/>
        </w:rPr>
        <w:footnoteReference w:id="31"/>
      </w:r>
    </w:p>
    <w:p w14:paraId="080A8C9A" w14:textId="4DDDB01A" w:rsidR="0066657B" w:rsidRDefault="003C4F6E" w:rsidP="00A55581">
      <w:pPr>
        <w:pStyle w:val="BodyNoIndent"/>
      </w:pPr>
      <w:r w:rsidRPr="00EB15D2">
        <w:rPr>
          <w:rStyle w:val="Publication"/>
        </w:rPr>
        <w:t>The Nebra Sky Disc</w:t>
      </w:r>
      <w:r>
        <w:t xml:space="preserve"> likely was a part of composition on the shield, as it is 30cm in diameter, but </w:t>
      </w:r>
      <w:r w:rsidR="0066657B">
        <w:t xml:space="preserve">the </w:t>
      </w:r>
      <w:r>
        <w:t xml:space="preserve">Bronze age shields were </w:t>
      </w:r>
      <w:r w:rsidR="00831C4E">
        <w:t>over</w:t>
      </w:r>
      <w:r>
        <w:t xml:space="preserve"> </w:t>
      </w:r>
      <w:r w:rsidR="00831C4E">
        <w:t>one</w:t>
      </w:r>
      <w:r>
        <w:t xml:space="preserve"> metre in diameter, weighing about </w:t>
      </w:r>
      <w:r w:rsidR="00831C4E">
        <w:t>eight</w:t>
      </w:r>
      <w:r>
        <w:t xml:space="preserve"> kilograms and </w:t>
      </w:r>
      <w:r w:rsidR="00831C4E">
        <w:t>were large enough</w:t>
      </w:r>
      <w:r>
        <w:t xml:space="preserve"> for carrying bodies and crossing rivers. This finally brings us to the Shield of Achilles. Both shields feature </w:t>
      </w:r>
      <w:r w:rsidR="0066657B">
        <w:t xml:space="preserve">the </w:t>
      </w:r>
      <w:r>
        <w:t>Pleiades for a reason</w:t>
      </w:r>
      <w:r w:rsidR="0066657B">
        <w:t>:</w:t>
      </w:r>
      <w:r>
        <w:t xml:space="preserve"> </w:t>
      </w:r>
    </w:p>
    <w:p w14:paraId="16DACF7B" w14:textId="12BAA023" w:rsidR="0066657B" w:rsidRDefault="0066657B" w:rsidP="00A55581">
      <w:pPr>
        <w:pStyle w:val="BodyNoIndent"/>
        <w:numPr>
          <w:ilvl w:val="0"/>
          <w:numId w:val="17"/>
        </w:numPr>
      </w:pPr>
      <w:r>
        <w:t xml:space="preserve">The </w:t>
      </w:r>
      <w:r w:rsidR="003C4F6E">
        <w:t>Pleiades were likely used for predicting dates of animal migrations</w:t>
      </w:r>
      <w:r w:rsidR="00461508">
        <w:t xml:space="preserve"> </w:t>
      </w:r>
      <w:r>
        <w:t>by Palaeolithic</w:t>
      </w:r>
      <w:r w:rsidR="00461508">
        <w:t xml:space="preserve"> hunter-gatherers</w:t>
      </w:r>
      <w:r>
        <w:t>.</w:t>
      </w:r>
    </w:p>
    <w:p w14:paraId="1E1E99F5" w14:textId="7737495B" w:rsidR="0066657B" w:rsidRPr="0066657B" w:rsidRDefault="0066657B" w:rsidP="00A55581">
      <w:pPr>
        <w:pStyle w:val="BodyNoIndent"/>
        <w:numPr>
          <w:ilvl w:val="0"/>
          <w:numId w:val="17"/>
        </w:numPr>
      </w:pPr>
      <w:r>
        <w:t xml:space="preserve">The Pleiades were likely used for predicting dates of </w:t>
      </w:r>
      <w:r>
        <w:t>harvesting wild grains</w:t>
      </w:r>
      <w:r>
        <w:t xml:space="preserve"> by </w:t>
      </w:r>
      <w:r>
        <w:t>Palaeolithic</w:t>
      </w:r>
      <w:r>
        <w:t xml:space="preserve"> hunter-gatherers.</w:t>
      </w:r>
    </w:p>
    <w:p w14:paraId="5BEB2E0B" w14:textId="77777777" w:rsidR="0066657B" w:rsidRDefault="0066657B" w:rsidP="00A55581">
      <w:pPr>
        <w:pStyle w:val="BodyNoIndent"/>
        <w:numPr>
          <w:ilvl w:val="0"/>
          <w:numId w:val="17"/>
        </w:numPr>
      </w:pPr>
      <w:r>
        <w:t xml:space="preserve">The </w:t>
      </w:r>
      <w:r w:rsidR="003C4F6E">
        <w:t>Pleiades were used for prediction of harvest and ploughing time</w:t>
      </w:r>
      <w:r w:rsidR="00461508">
        <w:t xml:space="preserve"> </w:t>
      </w:r>
      <w:r>
        <w:t>by the ancient Greek</w:t>
      </w:r>
      <w:r w:rsidR="00461508">
        <w:t xml:space="preserve"> farmers</w:t>
      </w:r>
      <w:r>
        <w:t>.</w:t>
      </w:r>
    </w:p>
    <w:p w14:paraId="743B0BA9" w14:textId="77777777" w:rsidR="0066657B" w:rsidRDefault="0066657B" w:rsidP="00A55581">
      <w:pPr>
        <w:pStyle w:val="BodyNoIndent"/>
        <w:numPr>
          <w:ilvl w:val="0"/>
          <w:numId w:val="17"/>
        </w:numPr>
      </w:pPr>
      <w:r>
        <w:t xml:space="preserve">The Pleiades were used for predicting </w:t>
      </w:r>
      <w:r w:rsidR="003C4F6E">
        <w:t>good and bad weather</w:t>
      </w:r>
      <w:r w:rsidR="00461508">
        <w:t xml:space="preserve"> </w:t>
      </w:r>
      <w:r>
        <w:t xml:space="preserve">by the ancient Greek </w:t>
      </w:r>
      <w:r w:rsidR="00461508">
        <w:t>seafarers</w:t>
      </w:r>
      <w:r w:rsidR="003C4F6E">
        <w:t xml:space="preserve">. </w:t>
      </w:r>
    </w:p>
    <w:p w14:paraId="3DA4D0B4" w14:textId="2840D58B" w:rsidR="00EB15D2" w:rsidRDefault="003C4F6E" w:rsidP="00A55581">
      <w:pPr>
        <w:pStyle w:val="BodyNoIndent"/>
      </w:pPr>
      <w:r>
        <w:t>It seems that the purpose of putting the constellation on a shield wasn’t to make the shield stronger, and wasn’t to terrify the enemy</w:t>
      </w:r>
      <w:r w:rsidR="00A55581">
        <w:t xml:space="preserve"> with a scary image</w:t>
      </w:r>
      <w:r>
        <w:t>, as only Achilles had such a shield</w:t>
      </w:r>
      <w:r w:rsidR="00A55581">
        <w:t>. The Shield</w:t>
      </w:r>
      <w:r>
        <w:t xml:space="preserve"> was made by gods</w:t>
      </w:r>
      <w:r w:rsidR="00A55581">
        <w:t xml:space="preserve"> and </w:t>
      </w:r>
      <w:r>
        <w:t>clearly w</w:t>
      </w:r>
      <w:r w:rsidR="00A55581">
        <w:t>as</w:t>
      </w:r>
      <w:r>
        <w:t xml:space="preserve"> </w:t>
      </w:r>
      <w:r w:rsidR="00A55581">
        <w:t xml:space="preserve">a </w:t>
      </w:r>
      <w:r>
        <w:t>sacred item</w:t>
      </w:r>
      <w:r w:rsidR="00A55581">
        <w:t>. I</w:t>
      </w:r>
      <w:r>
        <w:t xml:space="preserve">f we continue the line of what </w:t>
      </w:r>
      <w:r w:rsidR="00A55581">
        <w:t xml:space="preserve">the </w:t>
      </w:r>
      <w:r>
        <w:t xml:space="preserve">Pleiades were used </w:t>
      </w:r>
      <w:r w:rsidR="00461508">
        <w:lastRenderedPageBreak/>
        <w:t xml:space="preserve">for </w:t>
      </w:r>
      <w:r>
        <w:t>previously, then the</w:t>
      </w:r>
      <w:r w:rsidR="00A55581">
        <w:t xml:space="preserve"> constellation</w:t>
      </w:r>
      <w:r>
        <w:t xml:space="preserve"> purpose </w:t>
      </w:r>
      <w:r w:rsidR="00EB15D2">
        <w:t xml:space="preserve">on a shield </w:t>
      </w:r>
      <w:r w:rsidR="00A55581">
        <w:t>during</w:t>
      </w:r>
      <w:r>
        <w:t xml:space="preserve"> </w:t>
      </w:r>
      <w:r w:rsidR="00EB15D2">
        <w:t xml:space="preserve">a </w:t>
      </w:r>
      <w:r>
        <w:t xml:space="preserve">war would be predicting the </w:t>
      </w:r>
      <w:r w:rsidR="00A55581">
        <w:t>outcome</w:t>
      </w:r>
      <w:r>
        <w:t xml:space="preserve">. </w:t>
      </w:r>
    </w:p>
    <w:p w14:paraId="285516EB" w14:textId="6FAB6DA1" w:rsidR="00A95295" w:rsidRDefault="003C4F6E" w:rsidP="00A95295">
      <w:pPr>
        <w:pStyle w:val="Body"/>
      </w:pPr>
      <w:r>
        <w:t xml:space="preserve">In my opinion </w:t>
      </w:r>
      <w:r w:rsidR="005A5D65">
        <w:t xml:space="preserve">the Shield of Achilles </w:t>
      </w:r>
      <w:r w:rsidR="00EB15D2">
        <w:t xml:space="preserve">reminds a Zodiac wheel. An artistic interpretation of the Shield of Achilles is listed in </w:t>
      </w:r>
      <w:r w:rsidR="00EB15D2" w:rsidRPr="00EB15D2">
        <w:rPr>
          <w:rStyle w:val="Publication"/>
        </w:rPr>
        <w:t>Appendix</w:t>
      </w:r>
      <w:r w:rsidRPr="00EB15D2">
        <w:rPr>
          <w:rStyle w:val="Publication"/>
        </w:rPr>
        <w:t xml:space="preserve"> </w:t>
      </w:r>
      <w:r w:rsidR="00EB15D2" w:rsidRPr="00EB15D2">
        <w:rPr>
          <w:rStyle w:val="Publication"/>
        </w:rPr>
        <w:t>4</w:t>
      </w:r>
      <w:r w:rsidR="00461508">
        <w:t>.</w:t>
      </w:r>
      <w:r w:rsidR="00EB15D2">
        <w:t xml:space="preserve"> The artist actually replaced</w:t>
      </w:r>
      <w:r w:rsidR="00DA4681">
        <w:t xml:space="preserve"> described by</w:t>
      </w:r>
      <w:r w:rsidR="00EB15D2">
        <w:t xml:space="preserve"> Homer Elements and Constellations, with a zodiac wheel, </w:t>
      </w:r>
      <w:r w:rsidR="000C79DE">
        <w:t xml:space="preserve">as he </w:t>
      </w:r>
      <w:r w:rsidR="00EB15D2">
        <w:t xml:space="preserve">probably </w:t>
      </w:r>
      <w:r w:rsidR="00DA4681">
        <w:t>felt</w:t>
      </w:r>
      <w:r w:rsidR="00EB15D2">
        <w:t xml:space="preserve"> that the shield was used for astrological purposes. </w:t>
      </w:r>
      <w:r w:rsidR="002F49A1">
        <w:t xml:space="preserve">With </w:t>
      </w:r>
      <w:r w:rsidR="00A95295">
        <w:t>t</w:t>
      </w:r>
      <w:r w:rsidR="002F49A1">
        <w:t>he</w:t>
      </w:r>
      <w:r w:rsidR="00A95295">
        <w:t xml:space="preserve"> discovery of the</w:t>
      </w:r>
      <w:r w:rsidR="002F49A1">
        <w:t xml:space="preserve"> </w:t>
      </w:r>
      <w:r w:rsidR="002F49A1" w:rsidRPr="00A95295">
        <w:rPr>
          <w:rStyle w:val="Publication"/>
        </w:rPr>
        <w:t>Nebra Sky Disk</w:t>
      </w:r>
      <w:r w:rsidR="002F49A1">
        <w:t>, a new point of view on the Shield of Achilles has eme</w:t>
      </w:r>
      <w:r>
        <w:t>rged</w:t>
      </w:r>
      <w:r w:rsidR="002F49A1">
        <w:t xml:space="preserve">. </w:t>
      </w:r>
      <w:r w:rsidR="00A95295">
        <w:t>The shield</w:t>
      </w:r>
      <w:r w:rsidR="002F49A1">
        <w:t xml:space="preserve"> </w:t>
      </w:r>
      <w:r w:rsidR="005943D6">
        <w:t xml:space="preserve">could have been real after all, and </w:t>
      </w:r>
      <w:r w:rsidR="002F49A1">
        <w:t>might have a</w:t>
      </w:r>
      <w:r>
        <w:t>stronomical, astrological and calendar significance.</w:t>
      </w:r>
      <w:r w:rsidR="00A95295">
        <w:t xml:space="preserve"> </w:t>
      </w:r>
    </w:p>
    <w:p w14:paraId="5C239F00" w14:textId="185C1F20" w:rsidR="005567E7" w:rsidRDefault="00A95295" w:rsidP="00ED6B33">
      <w:pPr>
        <w:pStyle w:val="Body"/>
      </w:pPr>
      <w:r>
        <w:t xml:space="preserve">One of the main cultural achievements of the ancient Greece is </w:t>
      </w:r>
      <w:r w:rsidR="005943D6" w:rsidRPr="005943D6">
        <w:rPr>
          <w:rStyle w:val="Publication"/>
        </w:rPr>
        <w:t xml:space="preserve">The </w:t>
      </w:r>
      <w:r w:rsidRPr="005943D6">
        <w:rPr>
          <w:rStyle w:val="Publication"/>
        </w:rPr>
        <w:t>Iliad</w:t>
      </w:r>
      <w:r>
        <w:t xml:space="preserve">. With </w:t>
      </w:r>
      <w:r w:rsidR="00DA4681">
        <w:t xml:space="preserve">the </w:t>
      </w:r>
      <w:r>
        <w:t>Pleiades located on the main artefact of the poem, we might speculate about the artefact</w:t>
      </w:r>
      <w:r w:rsidR="005943D6">
        <w:t>’s</w:t>
      </w:r>
      <w:r>
        <w:t xml:space="preserve"> astrological significance. With </w:t>
      </w:r>
      <w:r w:rsidR="00DA4681">
        <w:t xml:space="preserve">the </w:t>
      </w:r>
      <w:r w:rsidR="005943D6">
        <w:t xml:space="preserve">Pleiades being used for predictions and </w:t>
      </w:r>
      <w:r w:rsidR="00DA4681">
        <w:t xml:space="preserve">the </w:t>
      </w:r>
      <w:r>
        <w:t>ancient Greeks’ main gods being actual planets, there might be a new viewpoint at the poem through the prism of astrology</w:t>
      </w:r>
      <w:r w:rsidR="005943D6">
        <w:t>.</w:t>
      </w:r>
      <w:r>
        <w:t xml:space="preserve"> </w:t>
      </w:r>
      <w:r w:rsidR="005943D6" w:rsidRPr="005943D6">
        <w:rPr>
          <w:rStyle w:val="Publication"/>
        </w:rPr>
        <w:t>The Iliad</w:t>
      </w:r>
      <w:r w:rsidR="005943D6">
        <w:t xml:space="preserve"> m</w:t>
      </w:r>
      <w:r>
        <w:t>ain players are the gods</w:t>
      </w:r>
      <w:r w:rsidR="005943D6">
        <w:t xml:space="preserve"> (some of them actually </w:t>
      </w:r>
      <w:r>
        <w:t>planets</w:t>
      </w:r>
      <w:r w:rsidR="005943D6">
        <w:t>), who decide and influence destinies.</w:t>
      </w:r>
      <w:r>
        <w:t xml:space="preserve"> </w:t>
      </w:r>
      <w:r w:rsidR="005943D6">
        <w:t>T</w:t>
      </w:r>
      <w:r>
        <w:t>he poem</w:t>
      </w:r>
      <w:r w:rsidR="005943D6">
        <w:t xml:space="preserve"> has</w:t>
      </w:r>
      <w:r>
        <w:t xml:space="preserve"> many prophecies and predictions</w:t>
      </w:r>
      <w:r w:rsidR="005943D6">
        <w:t xml:space="preserve"> and these </w:t>
      </w:r>
      <w:r>
        <w:t xml:space="preserve">might </w:t>
      </w:r>
      <w:r w:rsidR="005943D6">
        <w:t>have</w:t>
      </w:r>
      <w:r>
        <w:t xml:space="preserve"> </w:t>
      </w:r>
      <w:r w:rsidR="00DA4681">
        <w:t xml:space="preserve">an </w:t>
      </w:r>
      <w:r>
        <w:t>astrological</w:t>
      </w:r>
      <w:r w:rsidR="005943D6">
        <w:t xml:space="preserve"> meaning</w:t>
      </w:r>
      <w:r>
        <w:t>.</w:t>
      </w:r>
      <w:r w:rsidR="005943D6">
        <w:t xml:space="preserve"> </w:t>
      </w:r>
      <w:r w:rsidR="005943D6" w:rsidRPr="00DA4681">
        <w:rPr>
          <w:rStyle w:val="Publication"/>
        </w:rPr>
        <w:t xml:space="preserve">The </w:t>
      </w:r>
      <w:r w:rsidR="00DA4681" w:rsidRPr="00DA4681">
        <w:rPr>
          <w:rStyle w:val="Publication"/>
        </w:rPr>
        <w:t>Nebra Sky disc</w:t>
      </w:r>
      <w:r w:rsidR="005943D6">
        <w:t xml:space="preserve"> discovery, could be the most exciting development for almost three thousand years of </w:t>
      </w:r>
      <w:r w:rsidR="005943D6" w:rsidRPr="00DA4681">
        <w:rPr>
          <w:rStyle w:val="Publication"/>
        </w:rPr>
        <w:t>The Iliad</w:t>
      </w:r>
      <w:r w:rsidR="005943D6">
        <w:t xml:space="preserve"> history.</w:t>
      </w:r>
    </w:p>
    <w:p w14:paraId="2039D4F2" w14:textId="77777777" w:rsidR="00D96453" w:rsidRDefault="00D96453" w:rsidP="00D96453">
      <w:pPr>
        <w:pStyle w:val="Subhead"/>
      </w:pPr>
      <w:r>
        <w:t>Conclusion</w:t>
      </w:r>
    </w:p>
    <w:p w14:paraId="18BB3AFB" w14:textId="36E24F0C" w:rsidR="005D3366" w:rsidRDefault="005D3366" w:rsidP="00A55581">
      <w:pPr>
        <w:pStyle w:val="BodyNoIndent"/>
      </w:pPr>
      <w:r>
        <w:t>A man is born, grows and dies. Eagleton links culture to agriculture, colonising and war</w:t>
      </w:r>
      <w:r w:rsidR="00DA4681">
        <w:t>.</w:t>
      </w:r>
      <w:r>
        <w:t xml:space="preserve"> </w:t>
      </w:r>
      <w:r w:rsidR="00DA4681">
        <w:t>T</w:t>
      </w:r>
      <w:r w:rsidR="00ED6B33">
        <w:t xml:space="preserve">his culture cycle reminds of a cycle of life. </w:t>
      </w:r>
      <w:r>
        <w:t>I call it a culture cycle of Eagleton:</w:t>
      </w:r>
    </w:p>
    <w:p w14:paraId="61D262F5" w14:textId="77777777" w:rsidR="005D3366" w:rsidRDefault="005D3366" w:rsidP="00A55581">
      <w:pPr>
        <w:pStyle w:val="BodyNoIndent"/>
        <w:numPr>
          <w:ilvl w:val="0"/>
          <w:numId w:val="16"/>
        </w:numPr>
      </w:pPr>
      <w:r>
        <w:t>creating a culture by agriculture</w:t>
      </w:r>
    </w:p>
    <w:p w14:paraId="5F2B3E8C" w14:textId="434E10CB" w:rsidR="005D3366" w:rsidRDefault="005D3366" w:rsidP="00A55581">
      <w:pPr>
        <w:pStyle w:val="BodyNoIndent"/>
        <w:numPr>
          <w:ilvl w:val="0"/>
          <w:numId w:val="16"/>
        </w:numPr>
      </w:pPr>
      <w:r>
        <w:t xml:space="preserve">expanding </w:t>
      </w:r>
      <w:r w:rsidR="00ED26CD">
        <w:t xml:space="preserve">a </w:t>
      </w:r>
      <w:r>
        <w:t>culture by colonising</w:t>
      </w:r>
    </w:p>
    <w:p w14:paraId="190B7021" w14:textId="796CF8BA" w:rsidR="005D3366" w:rsidRDefault="005D3366" w:rsidP="00A55581">
      <w:pPr>
        <w:pStyle w:val="BodyNoIndent"/>
        <w:numPr>
          <w:ilvl w:val="0"/>
          <w:numId w:val="16"/>
        </w:numPr>
      </w:pPr>
      <w:r>
        <w:t xml:space="preserve">ending </w:t>
      </w:r>
      <w:r w:rsidR="00ED26CD">
        <w:t>a</w:t>
      </w:r>
      <w:r>
        <w:t xml:space="preserve"> culture by a war </w:t>
      </w:r>
    </w:p>
    <w:p w14:paraId="0DCC0870" w14:textId="7BE3B88D" w:rsidR="008E0BE6" w:rsidRDefault="00FE3D4C" w:rsidP="00A55581">
      <w:pPr>
        <w:pStyle w:val="BodyNoIndent"/>
      </w:pPr>
      <w:r w:rsidRPr="00FE3D4C">
        <w:rPr>
          <w:rStyle w:val="Publication"/>
        </w:rPr>
        <w:t xml:space="preserve">Orion and </w:t>
      </w:r>
      <w:r w:rsidR="005D3366" w:rsidRPr="00FE3D4C">
        <w:rPr>
          <w:rStyle w:val="Publication"/>
        </w:rPr>
        <w:t>Pleiades</w:t>
      </w:r>
      <w:r w:rsidR="005D3366">
        <w:t xml:space="preserve"> </w:t>
      </w:r>
      <w:r>
        <w:t xml:space="preserve">myths are widespread throughout the world, especially in places where </w:t>
      </w:r>
      <w:r w:rsidR="00DA4681">
        <w:t xml:space="preserve">the </w:t>
      </w:r>
      <w:r>
        <w:t xml:space="preserve">agriculture </w:t>
      </w:r>
      <w:r w:rsidR="00DA4681">
        <w:t xml:space="preserve">has </w:t>
      </w:r>
      <w:r>
        <w:t xml:space="preserve">originated. In the ancient Greece farming based on </w:t>
      </w:r>
      <w:r w:rsidR="00DA4681">
        <w:t xml:space="preserve">the </w:t>
      </w:r>
      <w:r>
        <w:t>Pleiades calendar enabled birth of cultural centres — pol</w:t>
      </w:r>
      <w:r w:rsidR="00353BB2">
        <w:t>eis</w:t>
      </w:r>
      <w:r>
        <w:t>.</w:t>
      </w:r>
      <w:r w:rsidR="003C2877">
        <w:t xml:space="preserve"> </w:t>
      </w:r>
      <w:r w:rsidR="001F0843">
        <w:t xml:space="preserve">The </w:t>
      </w:r>
      <w:r>
        <w:t xml:space="preserve">Pleiades calendar enabled </w:t>
      </w:r>
      <w:r w:rsidR="00DA4681">
        <w:t xml:space="preserve">the </w:t>
      </w:r>
      <w:r>
        <w:t xml:space="preserve">ancient Greeks to sail safely, and as the result </w:t>
      </w:r>
      <w:r w:rsidR="00DA4681">
        <w:t xml:space="preserve">the </w:t>
      </w:r>
      <w:r>
        <w:t xml:space="preserve">ancient Greeks exported their culture and created many colonies. </w:t>
      </w:r>
      <w:r w:rsidR="00353BB2">
        <w:t>S</w:t>
      </w:r>
      <w:r>
        <w:t xml:space="preserve">eafaring was used </w:t>
      </w:r>
      <w:r w:rsidR="003C2877">
        <w:t>also</w:t>
      </w:r>
      <w:r>
        <w:t xml:space="preserve"> </w:t>
      </w:r>
      <w:r w:rsidR="00DA4681">
        <w:t xml:space="preserve">for </w:t>
      </w:r>
      <w:r>
        <w:t>war</w:t>
      </w:r>
      <w:r w:rsidR="003C2877">
        <w:t xml:space="preserve"> and </w:t>
      </w:r>
      <w:r w:rsidR="001F0843">
        <w:t xml:space="preserve">the </w:t>
      </w:r>
      <w:r w:rsidR="003C2877">
        <w:t xml:space="preserve">Pleiades </w:t>
      </w:r>
      <w:r w:rsidR="001F0843">
        <w:t xml:space="preserve">calendar </w:t>
      </w:r>
      <w:r w:rsidR="003C2877">
        <w:t>was instrumental in culture destruction.</w:t>
      </w:r>
      <w:r w:rsidR="00DA4681">
        <w:t xml:space="preserve"> Predictions based on the Pleiades could have led to wars and annihilation of cultures.</w:t>
      </w:r>
    </w:p>
    <w:p w14:paraId="20E58DC2" w14:textId="1A9B10EF" w:rsidR="000E4131" w:rsidRDefault="000852AA" w:rsidP="000E4131">
      <w:pPr>
        <w:pStyle w:val="Body"/>
      </w:pPr>
      <w:r>
        <w:t xml:space="preserve">Knowledge of </w:t>
      </w:r>
      <w:r w:rsidR="00DA4681">
        <w:t xml:space="preserve">the </w:t>
      </w:r>
      <w:r>
        <w:t xml:space="preserve">Pleiades calendar might have enabled </w:t>
      </w:r>
      <w:r w:rsidR="00DA4681">
        <w:t xml:space="preserve">the </w:t>
      </w:r>
      <w:r>
        <w:t xml:space="preserve">adoption of agriculture 11,500 years ago, harvesting of wild grains 105,000 years ago, and hunting </w:t>
      </w:r>
      <w:r w:rsidR="00DA4681">
        <w:t xml:space="preserve">or scavenging on </w:t>
      </w:r>
      <w:r>
        <w:t xml:space="preserve">migrating animals up to 200,000 yeas ago. </w:t>
      </w:r>
      <w:r w:rsidR="00DA4681">
        <w:t xml:space="preserve">The </w:t>
      </w:r>
      <w:r w:rsidRPr="000852AA">
        <w:rPr>
          <w:rStyle w:val="Publication"/>
        </w:rPr>
        <w:t>Lascaux Cave</w:t>
      </w:r>
      <w:r>
        <w:t xml:space="preserve"> images were created over period of 5,500 years, which is longer than any known civilization lasted. The legend of </w:t>
      </w:r>
      <w:r w:rsidR="00332EC6">
        <w:t xml:space="preserve">the </w:t>
      </w:r>
      <w:r>
        <w:t>Golden Age might have some foundation after all.</w:t>
      </w:r>
    </w:p>
    <w:p w14:paraId="28BB7F93" w14:textId="545CCC13" w:rsidR="000852AA" w:rsidRDefault="000852AA" w:rsidP="000E4131">
      <w:pPr>
        <w:pStyle w:val="Body"/>
      </w:pPr>
      <w:r>
        <w:t xml:space="preserve">Finding of the </w:t>
      </w:r>
      <w:r w:rsidRPr="00714AC1">
        <w:rPr>
          <w:rStyle w:val="Publication"/>
        </w:rPr>
        <w:t>Nebra Sky Disc</w:t>
      </w:r>
      <w:r>
        <w:t xml:space="preserve"> underlined importance of </w:t>
      </w:r>
      <w:r w:rsidR="00DA4681">
        <w:t xml:space="preserve">the </w:t>
      </w:r>
      <w:r>
        <w:t xml:space="preserve">Pleiades for </w:t>
      </w:r>
      <w:r w:rsidR="00DA4681">
        <w:t xml:space="preserve">the </w:t>
      </w:r>
      <w:r>
        <w:t xml:space="preserve">ancient cultures and created </w:t>
      </w:r>
      <w:r w:rsidR="00DA4681">
        <w:t xml:space="preserve">a </w:t>
      </w:r>
      <w:r w:rsidR="00DC257E" w:rsidRPr="00850B79">
        <w:t>Schliemann</w:t>
      </w:r>
      <w:r>
        <w:t xml:space="preserve"> moment for </w:t>
      </w:r>
      <w:r w:rsidRPr="00714AC1">
        <w:rPr>
          <w:rStyle w:val="Publication"/>
        </w:rPr>
        <w:t>The Iliad</w:t>
      </w:r>
      <w:r>
        <w:t xml:space="preserve"> scholars.</w:t>
      </w:r>
      <w:r w:rsidR="00714AC1">
        <w:t xml:space="preserve"> The Shield of Achilles </w:t>
      </w:r>
      <w:r w:rsidR="00DA4681">
        <w:t>ha</w:t>
      </w:r>
      <w:r w:rsidR="00714AC1">
        <w:t xml:space="preserve">s </w:t>
      </w:r>
      <w:r w:rsidR="00332EC6">
        <w:t>moved</w:t>
      </w:r>
      <w:r w:rsidR="00714AC1">
        <w:t xml:space="preserve"> from the realm of fantasy, to the being the key to understanding the </w:t>
      </w:r>
      <w:r w:rsidR="00DA4681">
        <w:t xml:space="preserve">poem’s </w:t>
      </w:r>
      <w:r w:rsidR="00714AC1">
        <w:t>riddle</w:t>
      </w:r>
      <w:r w:rsidR="00332EC6">
        <w:t xml:space="preserve">. The Shield could be a proof that another branch of astrology existed, which </w:t>
      </w:r>
      <w:r w:rsidR="00DA4681">
        <w:t xml:space="preserve">would almost certainly </w:t>
      </w:r>
      <w:r w:rsidR="00332EC6">
        <w:t xml:space="preserve">predate the current </w:t>
      </w:r>
      <w:r w:rsidR="00DA4681">
        <w:t>branch</w:t>
      </w:r>
      <w:r w:rsidR="00332EC6">
        <w:t>.</w:t>
      </w:r>
    </w:p>
    <w:p w14:paraId="06D4DBDF" w14:textId="2167B2C8" w:rsidR="00332EC6" w:rsidRPr="000E4131" w:rsidRDefault="00332EC6" w:rsidP="000E4131">
      <w:pPr>
        <w:pStyle w:val="Body"/>
      </w:pPr>
      <w:r>
        <w:t xml:space="preserve">Overall, </w:t>
      </w:r>
      <w:r w:rsidR="00DA4681">
        <w:t xml:space="preserve">the </w:t>
      </w:r>
      <w:r w:rsidR="00DA4681" w:rsidRPr="00DA4681">
        <w:rPr>
          <w:rStyle w:val="Publication"/>
        </w:rPr>
        <w:t xml:space="preserve">Orion and </w:t>
      </w:r>
      <w:r w:rsidRPr="00DA4681">
        <w:rPr>
          <w:rStyle w:val="Publication"/>
        </w:rPr>
        <w:t>Pleiades</w:t>
      </w:r>
      <w:r>
        <w:t xml:space="preserve"> myth </w:t>
      </w:r>
      <w:proofErr w:type="gramStart"/>
      <w:r>
        <w:t>was</w:t>
      </w:r>
      <w:proofErr w:type="gramEnd"/>
      <w:r>
        <w:t xml:space="preserve"> a key for birth and expansion of cultures around the world for very long time, perhaps since </w:t>
      </w:r>
      <w:r w:rsidR="00DA4681">
        <w:t>dawn</w:t>
      </w:r>
      <w:r>
        <w:t xml:space="preserve"> of man</w:t>
      </w:r>
      <w:r w:rsidR="00DA4681">
        <w:t>.</w:t>
      </w:r>
      <w:r>
        <w:t xml:space="preserve"> </w:t>
      </w:r>
      <w:r w:rsidR="00DA4681">
        <w:t>It was certainly the most significant myth for the ancient Greeks. B</w:t>
      </w:r>
      <w:r>
        <w:t>ut eventually the importance of the myth faded out with the development of the modern calendar.</w:t>
      </w:r>
    </w:p>
    <w:p w14:paraId="425D072D" w14:textId="77777777" w:rsidR="008E0BE6" w:rsidRDefault="008E0BE6" w:rsidP="00D96453">
      <w:pPr>
        <w:pStyle w:val="Body"/>
      </w:pPr>
    </w:p>
    <w:p w14:paraId="720970EB" w14:textId="77777777" w:rsidR="00D96453" w:rsidRDefault="00D96453" w:rsidP="00D96453">
      <w:pPr>
        <w:pStyle w:val="Body"/>
      </w:pPr>
    </w:p>
    <w:p w14:paraId="4B4DD2D3" w14:textId="77777777" w:rsidR="007D6241" w:rsidRDefault="007D6241">
      <w:r>
        <w:br w:type="page"/>
      </w:r>
    </w:p>
    <w:p w14:paraId="7DA196D5" w14:textId="77777777" w:rsidR="007D6241" w:rsidRDefault="007D6241" w:rsidP="00E96795">
      <w:pPr>
        <w:pStyle w:val="Subhead"/>
      </w:pPr>
      <w:r>
        <w:lastRenderedPageBreak/>
        <w:t>Bibliography</w:t>
      </w:r>
    </w:p>
    <w:p w14:paraId="00CD9577" w14:textId="2092E507" w:rsidR="007D6241" w:rsidRDefault="00E96795" w:rsidP="00E96795">
      <w:pPr>
        <w:pStyle w:val="Subhead"/>
      </w:pPr>
      <w:r>
        <w:t>Primary Sources</w:t>
      </w:r>
    </w:p>
    <w:p w14:paraId="04F9123E" w14:textId="77777777" w:rsidR="00434E2E" w:rsidRPr="00A541B8" w:rsidRDefault="00434E2E" w:rsidP="00434E2E">
      <w:pPr>
        <w:pStyle w:val="Bibliography"/>
        <w:rPr>
          <w:rFonts w:ascii="Calibri" w:cs="Calibri"/>
        </w:rPr>
      </w:pPr>
      <w:r w:rsidRPr="00A541B8">
        <w:rPr>
          <w:rFonts w:ascii="Calibri" w:cs="Calibri"/>
        </w:rPr>
        <w:t xml:space="preserve">Hesiod, </w:t>
      </w:r>
      <w:r w:rsidRPr="00A541B8">
        <w:rPr>
          <w:rFonts w:ascii="Calibri" w:cs="Calibri"/>
          <w:i/>
          <w:iCs/>
        </w:rPr>
        <w:t>Works &amp; Days</w:t>
      </w:r>
      <w:r w:rsidRPr="00A541B8">
        <w:rPr>
          <w:rFonts w:ascii="Calibri" w:cs="Calibri"/>
        </w:rPr>
        <w:t xml:space="preserve"> (Clarendon Press, 1978)</w:t>
      </w:r>
    </w:p>
    <w:p w14:paraId="623D79FC" w14:textId="77777777" w:rsidR="00434E2E" w:rsidRPr="00A541B8" w:rsidRDefault="00434E2E" w:rsidP="00434E2E">
      <w:pPr>
        <w:pStyle w:val="Bibliography"/>
        <w:rPr>
          <w:rFonts w:ascii="Calibri" w:cs="Calibri"/>
        </w:rPr>
      </w:pPr>
      <w:r w:rsidRPr="00A541B8">
        <w:rPr>
          <w:rFonts w:ascii="Calibri" w:cs="Calibri"/>
        </w:rPr>
        <w:t xml:space="preserve">Homer, </w:t>
      </w:r>
      <w:r w:rsidRPr="00A541B8">
        <w:rPr>
          <w:rFonts w:ascii="Calibri" w:cs="Calibri"/>
          <w:i/>
          <w:iCs/>
        </w:rPr>
        <w:t>The Iliad</w:t>
      </w:r>
      <w:r w:rsidRPr="00A541B8">
        <w:rPr>
          <w:rFonts w:ascii="Calibri" w:cs="Calibri"/>
        </w:rPr>
        <w:t xml:space="preserve"> (Penguin, 1991)</w:t>
      </w:r>
    </w:p>
    <w:p w14:paraId="3E68F058" w14:textId="2B1DE740" w:rsidR="00E96795" w:rsidRPr="00434E2E" w:rsidRDefault="00434E2E" w:rsidP="00434E2E">
      <w:pPr>
        <w:pStyle w:val="Bibliography"/>
        <w:rPr>
          <w:rFonts w:ascii="Calibri" w:cs="Calibri"/>
        </w:rPr>
      </w:pPr>
      <w:r w:rsidRPr="00A541B8">
        <w:rPr>
          <w:rFonts w:ascii="Calibri" w:cs="Calibri"/>
        </w:rPr>
        <w:t xml:space="preserve">HYGINUS, Caius Julius, </w:t>
      </w:r>
      <w:r w:rsidRPr="00A541B8">
        <w:rPr>
          <w:rFonts w:ascii="Calibri" w:cs="Calibri"/>
          <w:i/>
          <w:iCs/>
        </w:rPr>
        <w:t>The Myths of Hyginus. Translated and Edited by Mary Grant</w:t>
      </w:r>
      <w:r w:rsidRPr="00A541B8">
        <w:rPr>
          <w:rFonts w:ascii="Calibri" w:cs="Calibri"/>
        </w:rPr>
        <w:t>, 1960</w:t>
      </w:r>
    </w:p>
    <w:p w14:paraId="5F713DFE" w14:textId="082DE4AB" w:rsidR="00F24E8C" w:rsidRDefault="00F24E8C" w:rsidP="00F24E8C">
      <w:pPr>
        <w:pStyle w:val="Subhead"/>
      </w:pPr>
      <w:r>
        <w:t>Secondary Sources</w:t>
      </w:r>
    </w:p>
    <w:p w14:paraId="52D7A28C" w14:textId="77777777" w:rsidR="00434E2E" w:rsidRPr="00A541B8" w:rsidRDefault="00434E2E" w:rsidP="00434E2E">
      <w:pPr>
        <w:pStyle w:val="Bibliography"/>
        <w:rPr>
          <w:rFonts w:ascii="Calibri" w:cs="Calibri"/>
        </w:rPr>
      </w:pPr>
      <w:r w:rsidRPr="00A541B8">
        <w:rPr>
          <w:rFonts w:ascii="Calibri" w:cs="Calibri"/>
        </w:rPr>
        <w:t xml:space="preserve">Duncan </w:t>
      </w:r>
      <w:proofErr w:type="spellStart"/>
      <w:r w:rsidRPr="00A541B8">
        <w:rPr>
          <w:rFonts w:ascii="Calibri" w:cs="Calibri"/>
        </w:rPr>
        <w:t>Garrow</w:t>
      </w:r>
      <w:proofErr w:type="spellEnd"/>
      <w:r w:rsidRPr="00A541B8">
        <w:rPr>
          <w:rFonts w:ascii="Calibri" w:cs="Calibri"/>
        </w:rPr>
        <w:t xml:space="preserve"> and Neil Wilkin, </w:t>
      </w:r>
      <w:r w:rsidRPr="00A541B8">
        <w:rPr>
          <w:rFonts w:ascii="Calibri" w:cs="Calibri"/>
          <w:i/>
          <w:iCs/>
        </w:rPr>
        <w:t>The World of Stonehenge</w:t>
      </w:r>
      <w:r w:rsidRPr="00A541B8">
        <w:rPr>
          <w:rFonts w:ascii="Calibri" w:cs="Calibri"/>
        </w:rPr>
        <w:t xml:space="preserve"> (British Museum Press, 2022)</w:t>
      </w:r>
    </w:p>
    <w:p w14:paraId="3583C927" w14:textId="77777777" w:rsidR="00434E2E" w:rsidRPr="00A541B8" w:rsidRDefault="00434E2E" w:rsidP="00434E2E">
      <w:pPr>
        <w:pStyle w:val="Bibliography"/>
        <w:rPr>
          <w:rFonts w:ascii="Calibri" w:cs="Calibri"/>
        </w:rPr>
      </w:pPr>
      <w:proofErr w:type="spellStart"/>
      <w:r w:rsidRPr="00A541B8">
        <w:rPr>
          <w:rFonts w:ascii="Calibri" w:cs="Calibri"/>
        </w:rPr>
        <w:t>Dundes</w:t>
      </w:r>
      <w:proofErr w:type="spellEnd"/>
      <w:r w:rsidRPr="00A541B8">
        <w:rPr>
          <w:rFonts w:ascii="Calibri" w:cs="Calibri"/>
        </w:rPr>
        <w:t xml:space="preserve">, Alan, </w:t>
      </w:r>
      <w:r w:rsidRPr="00A541B8">
        <w:rPr>
          <w:rFonts w:ascii="Calibri" w:cs="Calibri"/>
          <w:i/>
          <w:iCs/>
        </w:rPr>
        <w:t>Sacred Narrative: Readings in the Theory of Myth</w:t>
      </w:r>
      <w:r w:rsidRPr="00A541B8">
        <w:rPr>
          <w:rFonts w:ascii="Calibri" w:cs="Calibri"/>
        </w:rPr>
        <w:t xml:space="preserve"> (University of California Press, 1984)</w:t>
      </w:r>
    </w:p>
    <w:p w14:paraId="1BC89B70" w14:textId="77777777" w:rsidR="00434E2E" w:rsidRPr="00A541B8" w:rsidRDefault="00434E2E" w:rsidP="00434E2E">
      <w:pPr>
        <w:pStyle w:val="Bibliography"/>
        <w:rPr>
          <w:rFonts w:ascii="Calibri" w:cs="Calibri"/>
        </w:rPr>
      </w:pPr>
      <w:r w:rsidRPr="00A541B8">
        <w:rPr>
          <w:rFonts w:ascii="Calibri" w:cs="Calibri"/>
        </w:rPr>
        <w:t xml:space="preserve">Eagleton, Terry, </w:t>
      </w:r>
      <w:r w:rsidRPr="00A541B8">
        <w:rPr>
          <w:rFonts w:ascii="Calibri" w:cs="Calibri"/>
          <w:i/>
          <w:iCs/>
        </w:rPr>
        <w:t>The Idea of Culture</w:t>
      </w:r>
      <w:r w:rsidRPr="00A541B8">
        <w:rPr>
          <w:rFonts w:ascii="Calibri" w:cs="Calibri"/>
        </w:rPr>
        <w:t xml:space="preserve"> (John Wiley &amp; Sons, 2013)</w:t>
      </w:r>
    </w:p>
    <w:p w14:paraId="79FFC8FD" w14:textId="77777777" w:rsidR="00434E2E" w:rsidRPr="00A541B8" w:rsidRDefault="00434E2E" w:rsidP="00434E2E">
      <w:pPr>
        <w:pStyle w:val="Bibliography"/>
        <w:rPr>
          <w:rFonts w:ascii="Calibri" w:cs="Calibri"/>
        </w:rPr>
      </w:pPr>
      <w:r w:rsidRPr="00A541B8">
        <w:rPr>
          <w:rFonts w:ascii="Calibri" w:cs="Calibri"/>
        </w:rPr>
        <w:t xml:space="preserve">Ferreira, Becky, ‘How Old Is This Ancient Vision of the Stars?’, </w:t>
      </w:r>
      <w:r w:rsidRPr="00A541B8">
        <w:rPr>
          <w:rFonts w:ascii="Calibri" w:cs="Calibri"/>
          <w:i/>
          <w:iCs/>
        </w:rPr>
        <w:t>The New York Times</w:t>
      </w:r>
      <w:r w:rsidRPr="00A541B8">
        <w:rPr>
          <w:rFonts w:ascii="Calibri" w:cs="Calibri"/>
        </w:rPr>
        <w:t>, 13 September 2020, section Science &lt;https://www.nytimes.com/2020/09/13/science/nebra-sky-disk.html&gt; [accessed 25 March 2022]</w:t>
      </w:r>
    </w:p>
    <w:p w14:paraId="61051418" w14:textId="77777777" w:rsidR="00434E2E" w:rsidRPr="00A541B8" w:rsidRDefault="00434E2E" w:rsidP="00434E2E">
      <w:pPr>
        <w:pStyle w:val="Bibliography"/>
        <w:rPr>
          <w:rFonts w:ascii="Calibri" w:cs="Calibri"/>
        </w:rPr>
      </w:pPr>
      <w:r w:rsidRPr="00A541B8">
        <w:rPr>
          <w:rFonts w:ascii="Calibri" w:cs="Calibri"/>
        </w:rPr>
        <w:t xml:space="preserve">Harmon, Katherine, ‘Humans Feasting on Grains for at Least 100,000 Years’, </w:t>
      </w:r>
      <w:r w:rsidRPr="00A541B8">
        <w:rPr>
          <w:rFonts w:ascii="Calibri" w:cs="Calibri"/>
          <w:i/>
          <w:iCs/>
        </w:rPr>
        <w:t>Scientific American Blog Network</w:t>
      </w:r>
      <w:r w:rsidRPr="00A541B8">
        <w:rPr>
          <w:rFonts w:ascii="Calibri" w:cs="Calibri"/>
        </w:rPr>
        <w:t xml:space="preserve"> &lt;https://blogs.scientificamerican.com/observations/humans-feasting-on-grains-for-at-least-100000-years/&gt; [accessed 26 March 2022]</w:t>
      </w:r>
    </w:p>
    <w:p w14:paraId="3ED0C470" w14:textId="77777777" w:rsidR="00434E2E" w:rsidRPr="00A541B8" w:rsidRDefault="00434E2E" w:rsidP="00434E2E">
      <w:pPr>
        <w:pStyle w:val="Bibliography"/>
        <w:rPr>
          <w:rFonts w:ascii="Calibri" w:cs="Calibri"/>
        </w:rPr>
      </w:pPr>
      <w:r w:rsidRPr="00A541B8">
        <w:rPr>
          <w:rFonts w:ascii="Calibri" w:cs="Calibri"/>
        </w:rPr>
        <w:t xml:space="preserve">Klein, Christopher, ‘DNA Study Finds Aboriginal Australians World’s Oldest Civilization’, </w:t>
      </w:r>
      <w:r w:rsidRPr="00A541B8">
        <w:rPr>
          <w:rFonts w:ascii="Calibri" w:cs="Calibri"/>
          <w:i/>
          <w:iCs/>
        </w:rPr>
        <w:t>HISTORY</w:t>
      </w:r>
      <w:r w:rsidRPr="00A541B8">
        <w:rPr>
          <w:rFonts w:ascii="Calibri" w:cs="Calibri"/>
        </w:rPr>
        <w:t xml:space="preserve"> &lt;https://www.history.com/news/dna-study-finds-aboriginal-australians-worlds-oldest-civilization&gt; [accessed 24 March 2022]</w:t>
      </w:r>
    </w:p>
    <w:p w14:paraId="6A0CD148" w14:textId="77777777" w:rsidR="00434E2E" w:rsidRPr="00A541B8" w:rsidRDefault="00434E2E" w:rsidP="00434E2E">
      <w:pPr>
        <w:pStyle w:val="Bibliography"/>
        <w:rPr>
          <w:rFonts w:ascii="Calibri" w:cs="Calibri"/>
        </w:rPr>
      </w:pPr>
      <w:r w:rsidRPr="00A541B8">
        <w:rPr>
          <w:rFonts w:ascii="Calibri" w:cs="Calibri"/>
        </w:rPr>
        <w:t xml:space="preserve">Magazines, Caxton, ‘Timing Makes a Big Difference in Farming’, </w:t>
      </w:r>
      <w:r w:rsidRPr="00A541B8">
        <w:rPr>
          <w:rFonts w:ascii="Calibri" w:cs="Calibri"/>
          <w:i/>
          <w:iCs/>
        </w:rPr>
        <w:t>Farmer’s Weekly</w:t>
      </w:r>
      <w:r w:rsidRPr="00A541B8">
        <w:rPr>
          <w:rFonts w:ascii="Calibri" w:cs="Calibri"/>
        </w:rPr>
        <w:t>, 2016 &lt;https://www.farmersweekly.co.za/crops/vegetables/timing-makes-a-big-difference-in-farming/&gt; [accessed 23 March 2022]</w:t>
      </w:r>
    </w:p>
    <w:p w14:paraId="22352BD3" w14:textId="77777777" w:rsidR="00434E2E" w:rsidRPr="00A541B8" w:rsidRDefault="00434E2E" w:rsidP="00434E2E">
      <w:pPr>
        <w:pStyle w:val="Bibliography"/>
        <w:rPr>
          <w:rFonts w:ascii="Calibri" w:cs="Calibri"/>
        </w:rPr>
      </w:pPr>
      <w:r w:rsidRPr="00A541B8">
        <w:rPr>
          <w:rFonts w:ascii="Calibri" w:cs="Calibri"/>
        </w:rPr>
        <w:t xml:space="preserve">Michael Benson, </w:t>
      </w:r>
      <w:proofErr w:type="spellStart"/>
      <w:r w:rsidRPr="00A541B8">
        <w:rPr>
          <w:rFonts w:ascii="Calibri" w:cs="Calibri"/>
          <w:i/>
          <w:iCs/>
        </w:rPr>
        <w:t>Cosmographics</w:t>
      </w:r>
      <w:proofErr w:type="spellEnd"/>
      <w:r w:rsidRPr="00A541B8">
        <w:rPr>
          <w:rFonts w:ascii="Calibri" w:cs="Calibri"/>
          <w:i/>
          <w:iCs/>
        </w:rPr>
        <w:t>: Picturing Space Through Time</w:t>
      </w:r>
      <w:r w:rsidRPr="00A541B8">
        <w:rPr>
          <w:rFonts w:ascii="Calibri" w:cs="Calibri"/>
        </w:rPr>
        <w:t xml:space="preserve"> (Abrams, 2014)</w:t>
      </w:r>
    </w:p>
    <w:p w14:paraId="287A5CE5" w14:textId="77777777" w:rsidR="00434E2E" w:rsidRPr="00A541B8" w:rsidRDefault="00434E2E" w:rsidP="00434E2E">
      <w:pPr>
        <w:pStyle w:val="Bibliography"/>
        <w:rPr>
          <w:rFonts w:ascii="Calibri" w:cs="Calibri"/>
        </w:rPr>
      </w:pPr>
      <w:proofErr w:type="spellStart"/>
      <w:r w:rsidRPr="00A541B8">
        <w:rPr>
          <w:rFonts w:ascii="Calibri" w:cs="Calibri"/>
        </w:rPr>
        <w:t>Rappenglück</w:t>
      </w:r>
      <w:proofErr w:type="spellEnd"/>
      <w:r w:rsidRPr="00A541B8">
        <w:rPr>
          <w:rFonts w:ascii="Calibri" w:cs="Calibri"/>
        </w:rPr>
        <w:t xml:space="preserve">, Michael, ‘The Pleiades in the “Salle Des </w:t>
      </w:r>
      <w:proofErr w:type="spellStart"/>
      <w:r w:rsidRPr="00A541B8">
        <w:rPr>
          <w:rFonts w:ascii="Calibri" w:cs="Calibri"/>
        </w:rPr>
        <w:t>Taureaux</w:t>
      </w:r>
      <w:proofErr w:type="spellEnd"/>
      <w:r w:rsidRPr="00A541B8">
        <w:rPr>
          <w:rFonts w:ascii="Calibri" w:cs="Calibri"/>
        </w:rPr>
        <w:t xml:space="preserve">”, </w:t>
      </w:r>
      <w:proofErr w:type="spellStart"/>
      <w:r w:rsidRPr="00A541B8">
        <w:rPr>
          <w:rFonts w:ascii="Calibri" w:cs="Calibri"/>
        </w:rPr>
        <w:t>Grotte</w:t>
      </w:r>
      <w:proofErr w:type="spellEnd"/>
      <w:r w:rsidRPr="00A541B8">
        <w:rPr>
          <w:rFonts w:ascii="Calibri" w:cs="Calibri"/>
        </w:rPr>
        <w:t xml:space="preserve"> de Lascaux. Does a Rock Picture in the Cave of Lascaux Show the Open Star Cluster of the Pleiades at the </w:t>
      </w:r>
      <w:proofErr w:type="spellStart"/>
      <w:r w:rsidRPr="00A541B8">
        <w:rPr>
          <w:rFonts w:ascii="Calibri" w:cs="Calibri"/>
        </w:rPr>
        <w:t>Magdalénien</w:t>
      </w:r>
      <w:proofErr w:type="spellEnd"/>
      <w:r w:rsidRPr="00A541B8">
        <w:rPr>
          <w:rFonts w:ascii="Calibri" w:cs="Calibri"/>
        </w:rPr>
        <w:t xml:space="preserve"> Era (ca 15.300 BC?"’, in </w:t>
      </w:r>
      <w:proofErr w:type="spellStart"/>
      <w:r w:rsidRPr="00A541B8">
        <w:rPr>
          <w:rFonts w:ascii="Calibri" w:cs="Calibri"/>
          <w:i/>
          <w:iCs/>
        </w:rPr>
        <w:t>Actas</w:t>
      </w:r>
      <w:proofErr w:type="spellEnd"/>
      <w:r w:rsidRPr="00A541B8">
        <w:rPr>
          <w:rFonts w:ascii="Calibri" w:cs="Calibri"/>
          <w:i/>
          <w:iCs/>
        </w:rPr>
        <w:t xml:space="preserve"> Del IV Congress de Las </w:t>
      </w:r>
      <w:proofErr w:type="spellStart"/>
      <w:r w:rsidRPr="00A541B8">
        <w:rPr>
          <w:rFonts w:ascii="Calibri" w:cs="Calibri"/>
          <w:i/>
          <w:iCs/>
        </w:rPr>
        <w:t>Seac</w:t>
      </w:r>
      <w:proofErr w:type="spellEnd"/>
      <w:r w:rsidRPr="00A541B8">
        <w:rPr>
          <w:rFonts w:ascii="Calibri" w:cs="Calibri"/>
          <w:i/>
          <w:iCs/>
        </w:rPr>
        <w:t xml:space="preserve"> ‘</w:t>
      </w:r>
      <w:proofErr w:type="spellStart"/>
      <w:r w:rsidRPr="00A541B8">
        <w:rPr>
          <w:rFonts w:ascii="Calibri" w:cs="Calibri"/>
          <w:i/>
          <w:iCs/>
        </w:rPr>
        <w:t>Astronomia</w:t>
      </w:r>
      <w:proofErr w:type="spellEnd"/>
      <w:r w:rsidRPr="00A541B8">
        <w:rPr>
          <w:rFonts w:ascii="Calibri" w:cs="Calibri"/>
          <w:i/>
          <w:iCs/>
        </w:rPr>
        <w:t xml:space="preserve"> </w:t>
      </w:r>
      <w:proofErr w:type="spellStart"/>
      <w:r w:rsidRPr="00A541B8">
        <w:rPr>
          <w:rFonts w:ascii="Calibri" w:cs="Calibri"/>
          <w:i/>
          <w:iCs/>
        </w:rPr>
        <w:t>En</w:t>
      </w:r>
      <w:proofErr w:type="spellEnd"/>
      <w:r w:rsidRPr="00A541B8">
        <w:rPr>
          <w:rFonts w:ascii="Calibri" w:cs="Calibri"/>
          <w:i/>
          <w:iCs/>
        </w:rPr>
        <w:t xml:space="preserve"> La </w:t>
      </w:r>
      <w:proofErr w:type="spellStart"/>
      <w:r w:rsidRPr="00A541B8">
        <w:rPr>
          <w:rFonts w:ascii="Calibri" w:cs="Calibri"/>
          <w:i/>
          <w:iCs/>
        </w:rPr>
        <w:t>Cultura</w:t>
      </w:r>
      <w:proofErr w:type="spellEnd"/>
      <w:r w:rsidRPr="00A541B8">
        <w:rPr>
          <w:rFonts w:ascii="Calibri" w:cs="Calibri"/>
          <w:i/>
          <w:iCs/>
        </w:rPr>
        <w:t>’</w:t>
      </w:r>
      <w:r w:rsidRPr="00A541B8">
        <w:rPr>
          <w:rFonts w:ascii="Calibri" w:cs="Calibri"/>
        </w:rPr>
        <w:t xml:space="preserve">, ed. by </w:t>
      </w:r>
      <w:proofErr w:type="spellStart"/>
      <w:r w:rsidRPr="00A541B8">
        <w:rPr>
          <w:rFonts w:ascii="Calibri" w:cs="Calibri"/>
        </w:rPr>
        <w:t>Jaschek</w:t>
      </w:r>
      <w:proofErr w:type="spellEnd"/>
      <w:r w:rsidRPr="00A541B8">
        <w:rPr>
          <w:rFonts w:ascii="Calibri" w:cs="Calibri"/>
        </w:rPr>
        <w:t xml:space="preserve"> C. and </w:t>
      </w:r>
      <w:proofErr w:type="spellStart"/>
      <w:r w:rsidRPr="00A541B8">
        <w:rPr>
          <w:rFonts w:ascii="Calibri" w:cs="Calibri"/>
        </w:rPr>
        <w:t>Barandela</w:t>
      </w:r>
      <w:proofErr w:type="spellEnd"/>
      <w:r w:rsidRPr="00A541B8">
        <w:rPr>
          <w:rFonts w:ascii="Calibri" w:cs="Calibri"/>
        </w:rPr>
        <w:t xml:space="preserve"> Atrio, 1997, pp. 217–25</w:t>
      </w:r>
    </w:p>
    <w:p w14:paraId="794A9647" w14:textId="77777777" w:rsidR="00434E2E" w:rsidRPr="00A541B8" w:rsidRDefault="00434E2E" w:rsidP="00434E2E">
      <w:pPr>
        <w:pStyle w:val="Bibliography"/>
        <w:rPr>
          <w:rFonts w:ascii="Calibri" w:cs="Calibri"/>
        </w:rPr>
      </w:pPr>
      <w:proofErr w:type="spellStart"/>
      <w:r w:rsidRPr="00A541B8">
        <w:rPr>
          <w:rFonts w:ascii="Calibri" w:cs="Calibri"/>
        </w:rPr>
        <w:t>Seán</w:t>
      </w:r>
      <w:proofErr w:type="spellEnd"/>
      <w:r w:rsidRPr="00A541B8">
        <w:rPr>
          <w:rFonts w:ascii="Calibri" w:cs="Calibri"/>
        </w:rPr>
        <w:t xml:space="preserve"> Hemingway, ‘Ancient Greek Colonization and Trade and Their Influence on Greek Art’, </w:t>
      </w:r>
      <w:r w:rsidRPr="00A541B8">
        <w:rPr>
          <w:rFonts w:ascii="Calibri" w:cs="Calibri"/>
          <w:i/>
          <w:iCs/>
        </w:rPr>
        <w:t xml:space="preserve">The Met’s </w:t>
      </w:r>
      <w:proofErr w:type="spellStart"/>
      <w:r w:rsidRPr="00A541B8">
        <w:rPr>
          <w:rFonts w:ascii="Calibri" w:cs="Calibri"/>
          <w:i/>
          <w:iCs/>
        </w:rPr>
        <w:t>Heilbrunn</w:t>
      </w:r>
      <w:proofErr w:type="spellEnd"/>
      <w:r w:rsidRPr="00A541B8">
        <w:rPr>
          <w:rFonts w:ascii="Calibri" w:cs="Calibri"/>
          <w:i/>
          <w:iCs/>
        </w:rPr>
        <w:t xml:space="preserve"> Timeline of Art History</w:t>
      </w:r>
      <w:r w:rsidRPr="00A541B8">
        <w:rPr>
          <w:rFonts w:ascii="Calibri" w:cs="Calibri"/>
        </w:rPr>
        <w:t xml:space="preserve"> &lt;https://www.metmuseum.org/toah/hd/angk/hd_angk.htm&gt; [accessed 26 March 2022]</w:t>
      </w:r>
    </w:p>
    <w:p w14:paraId="3D7420DF" w14:textId="77777777" w:rsidR="00434E2E" w:rsidRPr="00A541B8" w:rsidRDefault="00434E2E" w:rsidP="00434E2E">
      <w:pPr>
        <w:pStyle w:val="Bibliography"/>
        <w:rPr>
          <w:rFonts w:ascii="Calibri" w:cs="Calibri"/>
        </w:rPr>
      </w:pPr>
      <w:r w:rsidRPr="00A541B8">
        <w:rPr>
          <w:rFonts w:ascii="Calibri" w:cs="Calibri"/>
          <w:i/>
          <w:iCs/>
        </w:rPr>
        <w:t>Starry Night</w:t>
      </w:r>
      <w:r w:rsidRPr="00A541B8">
        <w:rPr>
          <w:rFonts w:ascii="Calibri" w:cs="Calibri"/>
        </w:rPr>
        <w:t xml:space="preserve"> (Simulation Curriculum Corp., 2020)</w:t>
      </w:r>
    </w:p>
    <w:p w14:paraId="63AA23EC" w14:textId="11311098" w:rsidR="00F24E8C" w:rsidRDefault="00F24E8C"/>
    <w:p w14:paraId="2256545D" w14:textId="789D8AB9" w:rsidR="00F24E8C" w:rsidRDefault="00F24E8C" w:rsidP="00F24E8C">
      <w:pPr>
        <w:pStyle w:val="Subhead"/>
      </w:pPr>
      <w:r>
        <w:lastRenderedPageBreak/>
        <w:t>JSTOR</w:t>
      </w:r>
    </w:p>
    <w:p w14:paraId="5B6BC1C8" w14:textId="77777777" w:rsidR="00E96795" w:rsidRDefault="00E96795"/>
    <w:p w14:paraId="07BF524F" w14:textId="6836DDF0" w:rsidR="00A541B8" w:rsidRPr="00A541B8" w:rsidRDefault="00A541B8" w:rsidP="00A541B8">
      <w:pPr>
        <w:pStyle w:val="Bibliography"/>
        <w:rPr>
          <w:rFonts w:ascii="Calibri" w:cs="Calibri"/>
        </w:rPr>
      </w:pPr>
      <w:proofErr w:type="spellStart"/>
      <w:r w:rsidRPr="00A541B8">
        <w:rPr>
          <w:rFonts w:ascii="Calibri" w:cs="Calibri"/>
        </w:rPr>
        <w:t>Bamforth</w:t>
      </w:r>
      <w:proofErr w:type="spellEnd"/>
      <w:r w:rsidRPr="00A541B8">
        <w:rPr>
          <w:rFonts w:ascii="Calibri" w:cs="Calibri"/>
        </w:rPr>
        <w:t xml:space="preserve">, Douglas B., ‘HISTORICAL DOCUMENTS AND BISON ECOLOGY ON THE GREAT PLAINS’, </w:t>
      </w:r>
      <w:r w:rsidRPr="00A541B8">
        <w:rPr>
          <w:rFonts w:ascii="Calibri" w:cs="Calibri"/>
          <w:i/>
          <w:iCs/>
        </w:rPr>
        <w:t>Plains Anthropologist</w:t>
      </w:r>
      <w:r w:rsidRPr="00A541B8">
        <w:rPr>
          <w:rFonts w:ascii="Calibri" w:cs="Calibri"/>
        </w:rPr>
        <w:t>, 32.115 (1987), 1–16</w:t>
      </w:r>
    </w:p>
    <w:p w14:paraId="51C55260" w14:textId="77777777" w:rsidR="00A541B8" w:rsidRPr="00A541B8" w:rsidRDefault="00A541B8" w:rsidP="00A541B8">
      <w:pPr>
        <w:pStyle w:val="Bibliography"/>
        <w:rPr>
          <w:rFonts w:ascii="Calibri" w:cs="Calibri"/>
        </w:rPr>
      </w:pPr>
      <w:r w:rsidRPr="00A541B8">
        <w:rPr>
          <w:rFonts w:ascii="Calibri" w:cs="Calibri"/>
        </w:rPr>
        <w:t xml:space="preserve">Byre, Calvin S., ‘Narration, Description, and Theme in the Shield of Achilles’, </w:t>
      </w:r>
      <w:r w:rsidRPr="00A541B8">
        <w:rPr>
          <w:rFonts w:ascii="Calibri" w:cs="Calibri"/>
          <w:i/>
          <w:iCs/>
        </w:rPr>
        <w:t>The Classical Journal</w:t>
      </w:r>
      <w:r w:rsidRPr="00A541B8">
        <w:rPr>
          <w:rFonts w:ascii="Calibri" w:cs="Calibri"/>
        </w:rPr>
        <w:t>, 88.1 (1992), 33–42</w:t>
      </w:r>
    </w:p>
    <w:p w14:paraId="54DBA8E9" w14:textId="77777777" w:rsidR="00A541B8" w:rsidRPr="00A541B8" w:rsidRDefault="00A541B8" w:rsidP="00A541B8">
      <w:pPr>
        <w:pStyle w:val="Bibliography"/>
        <w:rPr>
          <w:rFonts w:ascii="Calibri" w:cs="Calibri"/>
        </w:rPr>
      </w:pPr>
      <w:r w:rsidRPr="00A541B8">
        <w:rPr>
          <w:rFonts w:ascii="Calibri" w:cs="Calibri"/>
        </w:rPr>
        <w:t xml:space="preserve">Gittins, Rhiannon, and Paul Pettitt, ‘Is Palaeolithic Cave Art Consistent with Costly Signalling Theory? Lascaux as a Test Case’, </w:t>
      </w:r>
      <w:r w:rsidRPr="00A541B8">
        <w:rPr>
          <w:rFonts w:ascii="Calibri" w:cs="Calibri"/>
          <w:i/>
          <w:iCs/>
        </w:rPr>
        <w:t>World Archaeology</w:t>
      </w:r>
      <w:r w:rsidRPr="00A541B8">
        <w:rPr>
          <w:rFonts w:ascii="Calibri" w:cs="Calibri"/>
        </w:rPr>
        <w:t>, 49.4 (2017), 466–90</w:t>
      </w:r>
    </w:p>
    <w:p w14:paraId="60DF9F09" w14:textId="77777777" w:rsidR="00A541B8" w:rsidRPr="00A541B8" w:rsidRDefault="00A541B8" w:rsidP="00A541B8">
      <w:pPr>
        <w:pStyle w:val="Bibliography"/>
        <w:rPr>
          <w:rFonts w:ascii="Calibri" w:cs="Calibri"/>
        </w:rPr>
      </w:pPr>
      <w:r w:rsidRPr="00A541B8">
        <w:rPr>
          <w:rFonts w:ascii="Calibri" w:cs="Calibri"/>
        </w:rPr>
        <w:t xml:space="preserve">Price, T. Douglas, and </w:t>
      </w:r>
      <w:proofErr w:type="spellStart"/>
      <w:r w:rsidRPr="00A541B8">
        <w:rPr>
          <w:rFonts w:ascii="Calibri" w:cs="Calibri"/>
        </w:rPr>
        <w:t>Ofer</w:t>
      </w:r>
      <w:proofErr w:type="spellEnd"/>
      <w:r w:rsidRPr="00A541B8">
        <w:rPr>
          <w:rFonts w:ascii="Calibri" w:cs="Calibri"/>
        </w:rPr>
        <w:t xml:space="preserve"> Bar-Yosef, ‘The Origins of Agriculture: New Data, New Ideas: An Introduction to Supplement 4’, </w:t>
      </w:r>
      <w:r w:rsidRPr="00A541B8">
        <w:rPr>
          <w:rFonts w:ascii="Calibri" w:cs="Calibri"/>
          <w:i/>
          <w:iCs/>
        </w:rPr>
        <w:t>Current Anthropology</w:t>
      </w:r>
      <w:r w:rsidRPr="00A541B8">
        <w:rPr>
          <w:rFonts w:ascii="Calibri" w:cs="Calibri"/>
        </w:rPr>
        <w:t>, 52.S4 (2011), S163–74</w:t>
      </w:r>
    </w:p>
    <w:p w14:paraId="35BD170D" w14:textId="77777777" w:rsidR="00A541B8" w:rsidRPr="00A541B8" w:rsidRDefault="00A541B8" w:rsidP="00A541B8">
      <w:pPr>
        <w:pStyle w:val="Bibliography"/>
        <w:rPr>
          <w:rFonts w:ascii="Calibri" w:cs="Calibri"/>
        </w:rPr>
      </w:pPr>
      <w:r w:rsidRPr="00A541B8">
        <w:rPr>
          <w:rFonts w:ascii="Calibri" w:cs="Calibri"/>
        </w:rPr>
        <w:t xml:space="preserve">Taplin, Oliver, ‘The Shield of Achilles within the “Iliad”’, </w:t>
      </w:r>
      <w:r w:rsidRPr="00A541B8">
        <w:rPr>
          <w:rFonts w:ascii="Calibri" w:cs="Calibri"/>
          <w:i/>
          <w:iCs/>
        </w:rPr>
        <w:t>Greece &amp; Rome</w:t>
      </w:r>
      <w:r w:rsidRPr="00A541B8">
        <w:rPr>
          <w:rFonts w:ascii="Calibri" w:cs="Calibri"/>
        </w:rPr>
        <w:t>, 27.1 (1980), 1–21</w:t>
      </w:r>
    </w:p>
    <w:p w14:paraId="0BFA93E6" w14:textId="2BDA13D0" w:rsidR="008A4BE2" w:rsidRDefault="008A4BE2">
      <w:pPr>
        <w:rPr>
          <w:rFonts w:ascii="Times New Roman" w:hAnsi="Times New Roman"/>
          <w:sz w:val="22"/>
        </w:rPr>
      </w:pPr>
      <w:r>
        <w:br w:type="page"/>
      </w:r>
    </w:p>
    <w:p w14:paraId="1243C723" w14:textId="09E955A7" w:rsidR="008A4BE2" w:rsidRDefault="008A4BE2" w:rsidP="008A4BE2">
      <w:pPr>
        <w:pStyle w:val="Subhead"/>
      </w:pPr>
      <w:r>
        <w:lastRenderedPageBreak/>
        <w:t xml:space="preserve">Appendix 1 Map of Orion and Pleiades myths </w:t>
      </w:r>
    </w:p>
    <w:p w14:paraId="63FD528A" w14:textId="085459FE" w:rsidR="008A4BE2" w:rsidRDefault="008A4BE2" w:rsidP="00AA36E6">
      <w:pPr>
        <w:pStyle w:val="Body"/>
      </w:pPr>
    </w:p>
    <w:p w14:paraId="270D214B" w14:textId="3DC300AE" w:rsidR="008A4BE2" w:rsidRDefault="008A4BE2" w:rsidP="00AA36E6">
      <w:pPr>
        <w:pStyle w:val="Body"/>
      </w:pPr>
    </w:p>
    <w:p w14:paraId="6086F5E6" w14:textId="77777777" w:rsidR="008A4BE2" w:rsidRDefault="008A4BE2" w:rsidP="00A55581">
      <w:pPr>
        <w:pStyle w:val="BodyNoIndent"/>
      </w:pPr>
      <w:r>
        <w:rPr>
          <w:noProof/>
        </w:rPr>
        <w:drawing>
          <wp:inline distT="0" distB="0" distL="0" distR="0" wp14:anchorId="72B869D4" wp14:editId="4BFECCD0">
            <wp:extent cx="5731510" cy="33013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301365"/>
                    </a:xfrm>
                    <a:prstGeom prst="rect">
                      <a:avLst/>
                    </a:prstGeom>
                  </pic:spPr>
                </pic:pic>
              </a:graphicData>
            </a:graphic>
          </wp:inline>
        </w:drawing>
      </w:r>
    </w:p>
    <w:p w14:paraId="7CFDE328" w14:textId="4AA68099" w:rsidR="008A4BE2" w:rsidRDefault="008A4BE2" w:rsidP="008A4BE2">
      <w:pPr>
        <w:pStyle w:val="Caption"/>
      </w:pPr>
      <w:r>
        <w:t xml:space="preserve">Figure </w:t>
      </w:r>
      <w:r>
        <w:fldChar w:fldCharType="begin"/>
      </w:r>
      <w:r>
        <w:instrText xml:space="preserve"> SEQ Figure \* ARABIC </w:instrText>
      </w:r>
      <w:r>
        <w:fldChar w:fldCharType="separate"/>
      </w:r>
      <w:r w:rsidR="00FB4160">
        <w:rPr>
          <w:noProof/>
        </w:rPr>
        <w:t>1</w:t>
      </w:r>
      <w:r>
        <w:fldChar w:fldCharType="end"/>
      </w:r>
      <w:r>
        <w:t xml:space="preserve"> Map of Orion and Pleiades myths around the world, produced by Vadim Zaver</w:t>
      </w:r>
    </w:p>
    <w:p w14:paraId="27A8D620" w14:textId="132B3F80" w:rsidR="008A4BE2" w:rsidRDefault="008A4BE2" w:rsidP="00AA36E6">
      <w:pPr>
        <w:pStyle w:val="Body"/>
      </w:pPr>
    </w:p>
    <w:p w14:paraId="7D2FDBFA" w14:textId="3016F4CA" w:rsidR="008A4BE2" w:rsidRDefault="008A4BE2" w:rsidP="00AA36E6">
      <w:pPr>
        <w:pStyle w:val="Body"/>
      </w:pPr>
    </w:p>
    <w:p w14:paraId="7BB9C3AB" w14:textId="2094729B" w:rsidR="008A4BE2" w:rsidRDefault="008A4BE2" w:rsidP="00AA36E6">
      <w:pPr>
        <w:pStyle w:val="Body"/>
      </w:pPr>
    </w:p>
    <w:p w14:paraId="79FD64F8" w14:textId="091774EF" w:rsidR="008A4BE2" w:rsidRDefault="008A4BE2">
      <w:pPr>
        <w:rPr>
          <w:rFonts w:ascii="Times New Roman" w:hAnsi="Times New Roman"/>
          <w:sz w:val="22"/>
        </w:rPr>
      </w:pPr>
      <w:r>
        <w:br w:type="page"/>
      </w:r>
    </w:p>
    <w:p w14:paraId="63EDAB98" w14:textId="1ED0F3C0" w:rsidR="008A4BE2" w:rsidRDefault="008A4BE2" w:rsidP="008A4BE2">
      <w:pPr>
        <w:pStyle w:val="Subhead"/>
      </w:pPr>
      <w:r>
        <w:lastRenderedPageBreak/>
        <w:t xml:space="preserve">Appendix 2 Map of </w:t>
      </w:r>
      <w:proofErr w:type="spellStart"/>
      <w:r>
        <w:t>centers</w:t>
      </w:r>
      <w:proofErr w:type="spellEnd"/>
      <w:r>
        <w:t xml:space="preserve"> of origin of domesticated plants</w:t>
      </w:r>
    </w:p>
    <w:p w14:paraId="1858E8D9" w14:textId="25E98EC5" w:rsidR="008A4BE2" w:rsidRDefault="008A4BE2" w:rsidP="00AA36E6">
      <w:pPr>
        <w:pStyle w:val="Body"/>
      </w:pPr>
    </w:p>
    <w:p w14:paraId="463D08AA" w14:textId="77777777" w:rsidR="008A4BE2" w:rsidRDefault="008A4BE2" w:rsidP="00A55581">
      <w:pPr>
        <w:pStyle w:val="BodyNoIndent"/>
      </w:pPr>
      <w:r>
        <w:rPr>
          <w:noProof/>
        </w:rPr>
        <w:drawing>
          <wp:inline distT="0" distB="0" distL="0" distR="0" wp14:anchorId="32186C51" wp14:editId="3AB14A01">
            <wp:extent cx="5207000" cy="3212830"/>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227447" cy="3225446"/>
                    </a:xfrm>
                    <a:prstGeom prst="rect">
                      <a:avLst/>
                    </a:prstGeom>
                  </pic:spPr>
                </pic:pic>
              </a:graphicData>
            </a:graphic>
          </wp:inline>
        </w:drawing>
      </w:r>
    </w:p>
    <w:p w14:paraId="0C16EF6A" w14:textId="7E4C4550" w:rsidR="008A4BE2" w:rsidRDefault="008A4BE2" w:rsidP="008A4BE2">
      <w:pPr>
        <w:pStyle w:val="Caption"/>
      </w:pPr>
      <w:r>
        <w:t xml:space="preserve">Figure </w:t>
      </w:r>
      <w:r>
        <w:fldChar w:fldCharType="begin"/>
      </w:r>
      <w:r>
        <w:instrText xml:space="preserve"> SEQ Figure \* ARABIC </w:instrText>
      </w:r>
      <w:r>
        <w:fldChar w:fldCharType="separate"/>
      </w:r>
      <w:r w:rsidR="00FB4160">
        <w:rPr>
          <w:noProof/>
        </w:rPr>
        <w:t>2</w:t>
      </w:r>
      <w:r>
        <w:fldChar w:fldCharType="end"/>
      </w:r>
      <w:r>
        <w:t xml:space="preserve"> </w:t>
      </w:r>
      <w:proofErr w:type="spellStart"/>
      <w:r w:rsidRPr="00700CFE">
        <w:t>Centers</w:t>
      </w:r>
      <w:proofErr w:type="spellEnd"/>
      <w:r w:rsidRPr="00700CFE">
        <w:t xml:space="preserve"> of origin of domesticated plants identified by Nikolai Vavilov during the 1930s, updated to show area 3 no longer regarded as a </w:t>
      </w:r>
      <w:proofErr w:type="spellStart"/>
      <w:r w:rsidRPr="00700CFE">
        <w:t>center</w:t>
      </w:r>
      <w:proofErr w:type="spellEnd"/>
      <w:r w:rsidRPr="00700CFE">
        <w:t>, and Papua New Guinea (P) added.</w:t>
      </w:r>
      <w:r>
        <w:t xml:space="preserve"> </w:t>
      </w:r>
      <w:r w:rsidRPr="00700CFE">
        <w:t xml:space="preserve">This </w:t>
      </w:r>
      <w:r>
        <w:t xml:space="preserve">image was created by </w:t>
      </w:r>
      <w:proofErr w:type="spellStart"/>
      <w:r>
        <w:t>Chiswick_Chap</w:t>
      </w:r>
      <w:proofErr w:type="spellEnd"/>
      <w:r>
        <w:t xml:space="preserve"> and</w:t>
      </w:r>
      <w:r w:rsidRPr="00700CFE">
        <w:t xml:space="preserve"> is licensed under the Creative Commons Attribution-Share Alike 4.0</w:t>
      </w:r>
    </w:p>
    <w:p w14:paraId="719FEC46" w14:textId="1F38366A" w:rsidR="008A4BE2" w:rsidRDefault="008A4BE2" w:rsidP="00AA36E6">
      <w:pPr>
        <w:pStyle w:val="Body"/>
      </w:pPr>
    </w:p>
    <w:p w14:paraId="4A8C3316" w14:textId="7F909DC4" w:rsidR="008A4BE2" w:rsidRDefault="008A4BE2" w:rsidP="00AA36E6">
      <w:pPr>
        <w:pStyle w:val="Body"/>
      </w:pPr>
    </w:p>
    <w:p w14:paraId="6A01730B" w14:textId="03003BA5" w:rsidR="008A4BE2" w:rsidRDefault="008A4BE2" w:rsidP="00AA36E6">
      <w:pPr>
        <w:pStyle w:val="Body"/>
      </w:pPr>
    </w:p>
    <w:p w14:paraId="3AFCE509" w14:textId="12EB57AD" w:rsidR="00A84839" w:rsidRDefault="00A84839">
      <w:pPr>
        <w:rPr>
          <w:rFonts w:ascii="Times New Roman" w:hAnsi="Times New Roman"/>
          <w:sz w:val="22"/>
        </w:rPr>
      </w:pPr>
      <w:r>
        <w:br w:type="page"/>
      </w:r>
    </w:p>
    <w:p w14:paraId="698F4450" w14:textId="7987E78F" w:rsidR="00A84839" w:rsidRDefault="00A84839" w:rsidP="00A84839">
      <w:pPr>
        <w:pStyle w:val="Subhead"/>
      </w:pPr>
      <w:r>
        <w:lastRenderedPageBreak/>
        <w:t>Appendix 3 The Nebra Sky Disk</w:t>
      </w:r>
    </w:p>
    <w:p w14:paraId="6DCB5D92" w14:textId="2DD1975C" w:rsidR="00A84839" w:rsidRDefault="00A84839" w:rsidP="00AA36E6">
      <w:pPr>
        <w:pStyle w:val="Body"/>
      </w:pPr>
    </w:p>
    <w:p w14:paraId="5CA87EDC" w14:textId="4717A0FA" w:rsidR="00A84839" w:rsidRDefault="00A84839" w:rsidP="00AA36E6">
      <w:pPr>
        <w:pStyle w:val="Body"/>
      </w:pPr>
    </w:p>
    <w:p w14:paraId="540075F1" w14:textId="77777777" w:rsidR="00FB4160" w:rsidRDefault="00FB4160" w:rsidP="00A55581">
      <w:pPr>
        <w:pStyle w:val="BodyNoIndent"/>
      </w:pPr>
      <w:r>
        <w:rPr>
          <w:noProof/>
        </w:rPr>
        <w:drawing>
          <wp:inline distT="0" distB="0" distL="0" distR="0" wp14:anchorId="58151730" wp14:editId="4DAFE129">
            <wp:extent cx="5731510" cy="38061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731510" cy="3806190"/>
                    </a:xfrm>
                    <a:prstGeom prst="rect">
                      <a:avLst/>
                    </a:prstGeom>
                  </pic:spPr>
                </pic:pic>
              </a:graphicData>
            </a:graphic>
          </wp:inline>
        </w:drawing>
      </w:r>
    </w:p>
    <w:p w14:paraId="7087759A" w14:textId="17AB8320" w:rsidR="00A84839" w:rsidRPr="00FB4160" w:rsidRDefault="00FB4160" w:rsidP="00FB4160">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The Nebra Sky Disk, photograph by Vadim Zaver</w:t>
      </w:r>
    </w:p>
    <w:p w14:paraId="77971359" w14:textId="79CE2448" w:rsidR="00A84839" w:rsidRDefault="00A84839" w:rsidP="00AA36E6">
      <w:pPr>
        <w:pStyle w:val="Body"/>
      </w:pPr>
    </w:p>
    <w:p w14:paraId="7452CE2C" w14:textId="27BC5D1B" w:rsidR="00A84839" w:rsidRDefault="00A84839" w:rsidP="00AA36E6">
      <w:pPr>
        <w:pStyle w:val="Body"/>
      </w:pPr>
    </w:p>
    <w:p w14:paraId="004C96AD" w14:textId="153D115D" w:rsidR="00A84839" w:rsidRDefault="00A84839" w:rsidP="00AA36E6">
      <w:pPr>
        <w:pStyle w:val="Body"/>
      </w:pPr>
    </w:p>
    <w:p w14:paraId="62CFDE32" w14:textId="5B8C2253" w:rsidR="00A84839" w:rsidRDefault="00A84839" w:rsidP="00AA36E6">
      <w:pPr>
        <w:pStyle w:val="Body"/>
      </w:pPr>
    </w:p>
    <w:p w14:paraId="2A0DA75D" w14:textId="68DA7320" w:rsidR="00A84839" w:rsidRDefault="00A84839" w:rsidP="00AA36E6">
      <w:pPr>
        <w:pStyle w:val="Body"/>
      </w:pPr>
    </w:p>
    <w:p w14:paraId="1F7F7263" w14:textId="77777777" w:rsidR="00A84839" w:rsidRDefault="00A84839" w:rsidP="00AA36E6">
      <w:pPr>
        <w:pStyle w:val="Body"/>
      </w:pPr>
    </w:p>
    <w:p w14:paraId="569A8BC1" w14:textId="01F04987" w:rsidR="008A4BE2" w:rsidRDefault="008A4BE2" w:rsidP="00AA36E6">
      <w:pPr>
        <w:pStyle w:val="Body"/>
      </w:pPr>
    </w:p>
    <w:p w14:paraId="7A416E6C" w14:textId="3B360FC9" w:rsidR="008A4BE2" w:rsidRDefault="008A4BE2" w:rsidP="00AA36E6">
      <w:pPr>
        <w:pStyle w:val="Body"/>
      </w:pPr>
    </w:p>
    <w:p w14:paraId="240867D1" w14:textId="71836F93" w:rsidR="008A4BE2" w:rsidRDefault="008A4BE2" w:rsidP="00AA36E6">
      <w:pPr>
        <w:pStyle w:val="Body"/>
      </w:pPr>
    </w:p>
    <w:p w14:paraId="5A5C5283" w14:textId="22D64C06" w:rsidR="008A4BE2" w:rsidRDefault="008A4BE2">
      <w:pPr>
        <w:rPr>
          <w:rFonts w:ascii="Times New Roman" w:hAnsi="Times New Roman"/>
          <w:sz w:val="22"/>
        </w:rPr>
      </w:pPr>
      <w:r>
        <w:br w:type="page"/>
      </w:r>
    </w:p>
    <w:p w14:paraId="122F5341" w14:textId="11591087" w:rsidR="008A4BE2" w:rsidRDefault="008A4BE2" w:rsidP="008A4BE2">
      <w:pPr>
        <w:pStyle w:val="Subhead"/>
      </w:pPr>
      <w:r>
        <w:lastRenderedPageBreak/>
        <w:t xml:space="preserve">Appendix 4 </w:t>
      </w:r>
      <w:r w:rsidR="004B53D6">
        <w:t xml:space="preserve">Artist interpretation of the </w:t>
      </w:r>
      <w:r>
        <w:t>Shield of Achilles</w:t>
      </w:r>
    </w:p>
    <w:p w14:paraId="6F6C52EA" w14:textId="29B5C748" w:rsidR="008A4BE2" w:rsidRDefault="008A4BE2" w:rsidP="00AA36E6">
      <w:pPr>
        <w:pStyle w:val="Body"/>
      </w:pPr>
    </w:p>
    <w:p w14:paraId="3DAAE64E" w14:textId="60520D4F" w:rsidR="008A4BE2" w:rsidRDefault="008A4BE2" w:rsidP="00AA36E6">
      <w:pPr>
        <w:pStyle w:val="Body"/>
      </w:pPr>
    </w:p>
    <w:p w14:paraId="082ABD50" w14:textId="77777777" w:rsidR="008A4BE2" w:rsidRDefault="008A4BE2" w:rsidP="00AA36E6">
      <w:pPr>
        <w:pStyle w:val="Body"/>
      </w:pPr>
      <w:r>
        <w:rPr>
          <w:noProof/>
        </w:rPr>
        <w:drawing>
          <wp:inline distT="0" distB="0" distL="0" distR="0" wp14:anchorId="5E1A29EE" wp14:editId="602563D1">
            <wp:extent cx="4889456" cy="505841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4912676" cy="5082432"/>
                    </a:xfrm>
                    <a:prstGeom prst="rect">
                      <a:avLst/>
                    </a:prstGeom>
                  </pic:spPr>
                </pic:pic>
              </a:graphicData>
            </a:graphic>
          </wp:inline>
        </w:drawing>
      </w:r>
    </w:p>
    <w:p w14:paraId="46D57AC6" w14:textId="15722909" w:rsidR="008A4BE2" w:rsidRDefault="008A4BE2" w:rsidP="008A4BE2">
      <w:pPr>
        <w:pStyle w:val="Caption"/>
      </w:pPr>
      <w:r>
        <w:t xml:space="preserve">Figure </w:t>
      </w:r>
      <w:r>
        <w:fldChar w:fldCharType="begin"/>
      </w:r>
      <w:r>
        <w:instrText xml:space="preserve"> SEQ Figure \* ARABIC </w:instrText>
      </w:r>
      <w:r>
        <w:fldChar w:fldCharType="separate"/>
      </w:r>
      <w:r w:rsidR="00FB4160">
        <w:rPr>
          <w:noProof/>
        </w:rPr>
        <w:t>4</w:t>
      </w:r>
      <w:r>
        <w:fldChar w:fldCharType="end"/>
      </w:r>
      <w:r>
        <w:t xml:space="preserve"> </w:t>
      </w:r>
      <w:r w:rsidRPr="00730245">
        <w:t xml:space="preserve">An interpretation of the Shield of Achilles design described in Book 18 of the Iliad, by Angelo </w:t>
      </w:r>
      <w:proofErr w:type="spellStart"/>
      <w:r w:rsidRPr="00730245">
        <w:t>Monticelli</w:t>
      </w:r>
      <w:proofErr w:type="spellEnd"/>
      <w:r w:rsidRPr="00730245">
        <w:t xml:space="preserve"> (1778-1837)</w:t>
      </w:r>
      <w:r w:rsidR="00E96795">
        <w:t xml:space="preserve"> Copyright expired in 1907.</w:t>
      </w:r>
    </w:p>
    <w:p w14:paraId="67FE6450" w14:textId="77777777" w:rsidR="008A4BE2" w:rsidRPr="008A4BE2" w:rsidRDefault="008A4BE2" w:rsidP="008A4BE2"/>
    <w:p w14:paraId="11815CD6" w14:textId="7015488B" w:rsidR="009B3E98" w:rsidRPr="001F5F75" w:rsidRDefault="009B3E98" w:rsidP="001F5F75">
      <w:pPr>
        <w:rPr>
          <w:i/>
          <w:iCs/>
          <w:color w:val="44546A" w:themeColor="text2"/>
          <w:sz w:val="18"/>
          <w:szCs w:val="18"/>
        </w:rPr>
      </w:pPr>
    </w:p>
    <w:sectPr w:rsidR="009B3E98" w:rsidRPr="001F5F7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C196EC" w14:textId="77777777" w:rsidR="00B84097" w:rsidRDefault="00B84097" w:rsidP="002D03D6">
      <w:r>
        <w:separator/>
      </w:r>
    </w:p>
  </w:endnote>
  <w:endnote w:type="continuationSeparator" w:id="0">
    <w:p w14:paraId="626BC9AA" w14:textId="77777777" w:rsidR="00B84097" w:rsidRDefault="00B84097" w:rsidP="002D03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notTrueType/>
    <w:pitch w:val="default"/>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altName w:val="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CED0AB" w14:textId="2BA685A5" w:rsidR="00CA5674" w:rsidRDefault="00CA5674" w:rsidP="00CA5674">
    <w:pPr>
      <w:pStyle w:val="Footer"/>
      <w:ind w:right="360"/>
    </w:pPr>
    <w:r>
      <w:t xml:space="preserve">Vadim Zaver 2111154                                                                                             page </w:t>
    </w:r>
    <w:r>
      <w:fldChar w:fldCharType="begin"/>
    </w:r>
    <w:r>
      <w:instrText xml:space="preserve"> PAGE  \* MERGEFORMAT </w:instrText>
    </w:r>
    <w:r>
      <w:fldChar w:fldCharType="separate"/>
    </w:r>
    <w:r>
      <w:t>3</w:t>
    </w:r>
    <w:r>
      <w:fldChar w:fldCharType="end"/>
    </w:r>
    <w:r>
      <w:t xml:space="preserve"> of </w:t>
    </w:r>
    <w:r>
      <w:fldChar w:fldCharType="begin"/>
    </w:r>
    <w:r>
      <w:instrText xml:space="preserve"> NUMPAGES  \* MERGEFORMAT </w:instrText>
    </w:r>
    <w:r>
      <w:fldChar w:fldCharType="separate"/>
    </w:r>
    <w: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932C64" w14:textId="77777777" w:rsidR="00B84097" w:rsidRDefault="00B84097" w:rsidP="002D03D6">
      <w:r>
        <w:separator/>
      </w:r>
    </w:p>
  </w:footnote>
  <w:footnote w:type="continuationSeparator" w:id="0">
    <w:p w14:paraId="22B01C4C" w14:textId="77777777" w:rsidR="00B84097" w:rsidRDefault="00B84097" w:rsidP="002D03D6">
      <w:r>
        <w:continuationSeparator/>
      </w:r>
    </w:p>
  </w:footnote>
  <w:footnote w:id="1">
    <w:p w14:paraId="58A4EFD8" w14:textId="66ACAE79" w:rsidR="00731B07" w:rsidRDefault="00731B07">
      <w:pPr>
        <w:pStyle w:val="FootnoteText"/>
      </w:pPr>
      <w:r>
        <w:rPr>
          <w:rStyle w:val="FootnoteReference"/>
        </w:rPr>
        <w:footnoteRef/>
      </w:r>
      <w:r>
        <w:t xml:space="preserve"> </w:t>
      </w:r>
      <w:r w:rsidRPr="00731B07">
        <w:rPr>
          <w:rFonts w:ascii="Calibri" w:cs="Calibri"/>
        </w:rPr>
        <w:t xml:space="preserve">Caius Julius HYGINUS, </w:t>
      </w:r>
      <w:r w:rsidRPr="00731B07">
        <w:rPr>
          <w:rFonts w:ascii="Calibri" w:cs="Calibri"/>
          <w:i/>
          <w:iCs/>
        </w:rPr>
        <w:t>The Myths of Hyginus. Translated and Edited by Mary Grant</w:t>
      </w:r>
      <w:r w:rsidRPr="00731B07">
        <w:rPr>
          <w:rFonts w:ascii="Calibri" w:cs="Calibri"/>
        </w:rPr>
        <w:t>, 1960, sec. 2.21.</w:t>
      </w:r>
    </w:p>
  </w:footnote>
  <w:footnote w:id="2">
    <w:p w14:paraId="6B3E7B1D" w14:textId="33D4FF27" w:rsidR="002D03D6" w:rsidRDefault="002D03D6" w:rsidP="002D03D6">
      <w:pPr>
        <w:pStyle w:val="FootnoteText"/>
      </w:pPr>
      <w:r>
        <w:rPr>
          <w:rStyle w:val="FootnoteReference"/>
        </w:rPr>
        <w:footnoteRef/>
      </w:r>
      <w:r>
        <w:t xml:space="preserve"> </w:t>
      </w:r>
      <w:r w:rsidR="00731B07">
        <w:rPr>
          <w:rFonts w:ascii="Calibri" w:cs="Calibri"/>
        </w:rPr>
        <w:t>HYGINUS, sec. 2.21.</w:t>
      </w:r>
    </w:p>
  </w:footnote>
  <w:footnote w:id="3">
    <w:p w14:paraId="5705F11C" w14:textId="3A7EFA08" w:rsidR="002D03D6" w:rsidRDefault="002D03D6" w:rsidP="002D03D6">
      <w:pPr>
        <w:pStyle w:val="FootnoteText"/>
      </w:pPr>
      <w:r>
        <w:rPr>
          <w:rStyle w:val="FootnoteReference"/>
        </w:rPr>
        <w:footnoteRef/>
      </w:r>
      <w:r>
        <w:t xml:space="preserve"> </w:t>
      </w:r>
      <w:r>
        <w:rPr>
          <w:noProof/>
        </w:rPr>
        <w:t>HYGINUS, sec. 2.21.</w:t>
      </w:r>
    </w:p>
  </w:footnote>
  <w:footnote w:id="4">
    <w:p w14:paraId="3AD3B8A6" w14:textId="1AF7D152" w:rsidR="00351D8E" w:rsidRDefault="00351D8E" w:rsidP="00351D8E">
      <w:pPr>
        <w:pStyle w:val="FootnoteText"/>
      </w:pPr>
      <w:r w:rsidRPr="005F40A1">
        <w:rPr>
          <w:rStyle w:val="FootnoteReference"/>
        </w:rPr>
        <w:footnoteRef/>
      </w:r>
      <w:r>
        <w:t xml:space="preserve"> </w:t>
      </w:r>
      <w:r w:rsidRPr="00A30120">
        <w:rPr>
          <w:rFonts w:ascii="Calibri" w:cs="Calibri"/>
        </w:rPr>
        <w:t xml:space="preserve">Alan </w:t>
      </w:r>
      <w:proofErr w:type="spellStart"/>
      <w:r w:rsidRPr="00A30120">
        <w:rPr>
          <w:rFonts w:ascii="Calibri" w:cs="Calibri"/>
        </w:rPr>
        <w:t>Dundes</w:t>
      </w:r>
      <w:proofErr w:type="spellEnd"/>
      <w:r w:rsidRPr="00A30120">
        <w:rPr>
          <w:rFonts w:ascii="Calibri" w:cs="Calibri"/>
        </w:rPr>
        <w:t xml:space="preserve">, </w:t>
      </w:r>
      <w:r w:rsidRPr="00A30120">
        <w:rPr>
          <w:rFonts w:ascii="Calibri" w:cs="Calibri"/>
          <w:i/>
          <w:iCs/>
        </w:rPr>
        <w:t>Sacred Narrative: Readings in the Theory of Myth</w:t>
      </w:r>
      <w:r w:rsidRPr="00A30120">
        <w:rPr>
          <w:rFonts w:ascii="Calibri" w:cs="Calibri"/>
        </w:rPr>
        <w:t xml:space="preserve"> (University of California Press, 1984), p. 9.</w:t>
      </w:r>
    </w:p>
  </w:footnote>
  <w:footnote w:id="5">
    <w:p w14:paraId="3DF2FE8F" w14:textId="5EA060F2" w:rsidR="002325F4" w:rsidRDefault="002325F4" w:rsidP="002325F4">
      <w:pPr>
        <w:pStyle w:val="FootnoteText"/>
      </w:pPr>
      <w:r>
        <w:rPr>
          <w:rStyle w:val="FootnoteReference"/>
        </w:rPr>
        <w:footnoteRef/>
      </w:r>
      <w:r>
        <w:t xml:space="preserve"> </w:t>
      </w:r>
      <w:r w:rsidRPr="000720AD">
        <w:rPr>
          <w:rFonts w:ascii="Calibri" w:cs="Calibri"/>
        </w:rPr>
        <w:t xml:space="preserve">Terry Eagleton, </w:t>
      </w:r>
      <w:r w:rsidRPr="000720AD">
        <w:rPr>
          <w:rFonts w:ascii="Calibri" w:cs="Calibri"/>
          <w:i/>
          <w:iCs/>
        </w:rPr>
        <w:t>The Idea of Culture</w:t>
      </w:r>
      <w:r w:rsidRPr="000720AD">
        <w:rPr>
          <w:rFonts w:ascii="Calibri" w:cs="Calibri"/>
        </w:rPr>
        <w:t xml:space="preserve"> (John Wiley &amp; Sons, 2013), p. 8.</w:t>
      </w:r>
    </w:p>
  </w:footnote>
  <w:footnote w:id="6">
    <w:p w14:paraId="15918327" w14:textId="2C8035C4" w:rsidR="00974D88" w:rsidRDefault="00974D88" w:rsidP="00974D88">
      <w:pPr>
        <w:pStyle w:val="FootnoteText"/>
      </w:pPr>
      <w:r>
        <w:rPr>
          <w:rStyle w:val="FootnoteReference"/>
        </w:rPr>
        <w:footnoteRef/>
      </w:r>
      <w:r>
        <w:t xml:space="preserve"> </w:t>
      </w:r>
      <w:r w:rsidRPr="00CC43A7">
        <w:rPr>
          <w:rFonts w:ascii="Calibri" w:cs="Calibri"/>
        </w:rPr>
        <w:t xml:space="preserve">Hesiod, </w:t>
      </w:r>
      <w:r w:rsidRPr="00CC43A7">
        <w:rPr>
          <w:rFonts w:ascii="Calibri" w:cs="Calibri"/>
          <w:i/>
          <w:iCs/>
        </w:rPr>
        <w:t>Works &amp; Days</w:t>
      </w:r>
      <w:r w:rsidRPr="00CC43A7">
        <w:rPr>
          <w:rFonts w:ascii="Calibri" w:cs="Calibri"/>
        </w:rPr>
        <w:t xml:space="preserve"> (Clarendon Press, 1978), pp. 383–97.</w:t>
      </w:r>
    </w:p>
  </w:footnote>
  <w:footnote w:id="7">
    <w:p w14:paraId="43CBA15F" w14:textId="38443338" w:rsidR="00354367" w:rsidRDefault="00354367" w:rsidP="00354367">
      <w:pPr>
        <w:pStyle w:val="FootnoteText"/>
      </w:pPr>
      <w:r>
        <w:rPr>
          <w:rStyle w:val="FootnoteReference"/>
        </w:rPr>
        <w:footnoteRef/>
      </w:r>
      <w:r>
        <w:t xml:space="preserve"> </w:t>
      </w:r>
      <w:r w:rsidRPr="00AE718D">
        <w:rPr>
          <w:rFonts w:ascii="Calibri" w:cs="Calibri"/>
        </w:rPr>
        <w:t xml:space="preserve">Caxton Magazines, ‘Timing Makes a Big Difference in Farming’, </w:t>
      </w:r>
      <w:r w:rsidRPr="00AE718D">
        <w:rPr>
          <w:rFonts w:ascii="Calibri" w:cs="Calibri"/>
          <w:i/>
          <w:iCs/>
        </w:rPr>
        <w:t>Farmer’s Weekly</w:t>
      </w:r>
      <w:r w:rsidRPr="00AE718D">
        <w:rPr>
          <w:rFonts w:ascii="Calibri" w:cs="Calibri"/>
        </w:rPr>
        <w:t>, 2016 &lt;https://www.farmersweekly.co.za/crops/vegetables/timing-makes-a-big-difference-in-farming/&gt; [accessed 23 March 2022].</w:t>
      </w:r>
    </w:p>
  </w:footnote>
  <w:footnote w:id="8">
    <w:p w14:paraId="48495229" w14:textId="1D39238C" w:rsidR="00731B07" w:rsidRDefault="00731B07">
      <w:pPr>
        <w:pStyle w:val="FootnoteText"/>
      </w:pPr>
      <w:r>
        <w:rPr>
          <w:rStyle w:val="FootnoteReference"/>
        </w:rPr>
        <w:footnoteRef/>
      </w:r>
      <w:r>
        <w:t xml:space="preserve"> </w:t>
      </w:r>
      <w:r w:rsidR="00A541B8" w:rsidRPr="00A541B8">
        <w:rPr>
          <w:rFonts w:ascii="Calibri" w:cs="Calibri"/>
          <w:i/>
          <w:iCs/>
        </w:rPr>
        <w:t>Starry Night</w:t>
      </w:r>
      <w:r w:rsidR="00A541B8" w:rsidRPr="00A541B8">
        <w:rPr>
          <w:rFonts w:ascii="Calibri" w:cs="Calibri"/>
        </w:rPr>
        <w:t xml:space="preserve"> (Simulation Curriculum Corp., 2020).</w:t>
      </w:r>
    </w:p>
  </w:footnote>
  <w:footnote w:id="9">
    <w:p w14:paraId="14ADCE33" w14:textId="07C31F50" w:rsidR="00C85334" w:rsidRDefault="00C85334">
      <w:pPr>
        <w:pStyle w:val="FootnoteText"/>
      </w:pPr>
      <w:r>
        <w:rPr>
          <w:rStyle w:val="FootnoteReference"/>
        </w:rPr>
        <w:footnoteRef/>
      </w:r>
      <w:r>
        <w:t xml:space="preserve"> </w:t>
      </w:r>
      <w:r w:rsidR="008C3D56">
        <w:t xml:space="preserve">In Greece, Vadim </w:t>
      </w:r>
      <w:proofErr w:type="spellStart"/>
      <w:r w:rsidR="008C3D56">
        <w:t>Zaver’s</w:t>
      </w:r>
      <w:proofErr w:type="spellEnd"/>
      <w:r w:rsidR="007661EE">
        <w:t xml:space="preserve"> </w:t>
      </w:r>
      <w:r w:rsidR="008C3D56">
        <w:t>c</w:t>
      </w:r>
      <w:r>
        <w:t xml:space="preserve">alculation </w:t>
      </w:r>
      <w:r w:rsidR="008C3D56">
        <w:t>using Starry Night Software</w:t>
      </w:r>
      <w:r>
        <w:t>.</w:t>
      </w:r>
    </w:p>
  </w:footnote>
  <w:footnote w:id="10">
    <w:p w14:paraId="60B7CB58" w14:textId="50397000" w:rsidR="00C85334" w:rsidRDefault="00C85334">
      <w:pPr>
        <w:pStyle w:val="FootnoteText"/>
      </w:pPr>
      <w:r>
        <w:rPr>
          <w:rStyle w:val="FootnoteReference"/>
        </w:rPr>
        <w:footnoteRef/>
      </w:r>
      <w:r>
        <w:t xml:space="preserve"> </w:t>
      </w:r>
      <w:r w:rsidR="008C3D56">
        <w:t xml:space="preserve">In Greece, Vadim </w:t>
      </w:r>
      <w:proofErr w:type="spellStart"/>
      <w:r w:rsidR="008C3D56">
        <w:t>Zaver’s</w:t>
      </w:r>
      <w:proofErr w:type="spellEnd"/>
      <w:r w:rsidR="007661EE">
        <w:t xml:space="preserve"> </w:t>
      </w:r>
      <w:r w:rsidR="008C3D56">
        <w:t>c</w:t>
      </w:r>
      <w:r>
        <w:t xml:space="preserve">alculation </w:t>
      </w:r>
      <w:r w:rsidR="008C3D56">
        <w:t>using Starry Night Software</w:t>
      </w:r>
      <w:r>
        <w:t>.</w:t>
      </w:r>
    </w:p>
  </w:footnote>
  <w:footnote w:id="11">
    <w:p w14:paraId="51773F18" w14:textId="1C58E048" w:rsidR="00C85334" w:rsidRDefault="00C85334">
      <w:pPr>
        <w:pStyle w:val="FootnoteText"/>
      </w:pPr>
      <w:r>
        <w:rPr>
          <w:rStyle w:val="FootnoteReference"/>
        </w:rPr>
        <w:footnoteRef/>
      </w:r>
      <w:r>
        <w:t xml:space="preserve"> </w:t>
      </w:r>
      <w:r w:rsidR="008C3D56">
        <w:t xml:space="preserve">In Greece, Vadim </w:t>
      </w:r>
      <w:proofErr w:type="spellStart"/>
      <w:r w:rsidR="008C3D56">
        <w:t>Zaver’s</w:t>
      </w:r>
      <w:proofErr w:type="spellEnd"/>
      <w:r w:rsidR="007661EE">
        <w:t xml:space="preserve"> </w:t>
      </w:r>
      <w:r w:rsidR="008C3D56">
        <w:t>c</w:t>
      </w:r>
      <w:r>
        <w:t xml:space="preserve">alculation </w:t>
      </w:r>
      <w:r w:rsidR="008C3D56">
        <w:t>using Starry Night Software</w:t>
      </w:r>
      <w:r>
        <w:t>.</w:t>
      </w:r>
    </w:p>
  </w:footnote>
  <w:footnote w:id="12">
    <w:p w14:paraId="66A5DAB4" w14:textId="5AEBF0C9" w:rsidR="007661EE" w:rsidRDefault="007661EE">
      <w:pPr>
        <w:pStyle w:val="FootnoteText"/>
      </w:pPr>
      <w:r>
        <w:rPr>
          <w:rStyle w:val="FootnoteReference"/>
        </w:rPr>
        <w:footnoteRef/>
      </w:r>
      <w:r>
        <w:t xml:space="preserve"> In Greece, Vadim </w:t>
      </w:r>
      <w:proofErr w:type="spellStart"/>
      <w:r>
        <w:t>Zaver’s</w:t>
      </w:r>
      <w:proofErr w:type="spellEnd"/>
      <w:r>
        <w:t xml:space="preserve"> calculation using Starry Night Software.</w:t>
      </w:r>
    </w:p>
  </w:footnote>
  <w:footnote w:id="13">
    <w:p w14:paraId="3A01FF9E" w14:textId="1FBF038A" w:rsidR="00B57C7E" w:rsidRDefault="00B57C7E" w:rsidP="00B57C7E">
      <w:pPr>
        <w:pStyle w:val="FootnoteText"/>
      </w:pPr>
      <w:r>
        <w:rPr>
          <w:rStyle w:val="FootnoteReference"/>
        </w:rPr>
        <w:footnoteRef/>
      </w:r>
      <w:r>
        <w:t xml:space="preserve"> </w:t>
      </w:r>
      <w:r w:rsidR="00DF0380" w:rsidRPr="00DF0380">
        <w:rPr>
          <w:rFonts w:ascii="Calibri" w:cs="Calibri"/>
        </w:rPr>
        <w:t xml:space="preserve">T. Douglas Price and Ofer Bar-Yosef, ‘The Origins of Agriculture: New Data, New Ideas: An Introduction to Supplement 4’, </w:t>
      </w:r>
      <w:r w:rsidR="00DF0380" w:rsidRPr="00DF0380">
        <w:rPr>
          <w:rFonts w:ascii="Calibri" w:cs="Calibri"/>
          <w:i/>
          <w:iCs/>
        </w:rPr>
        <w:t>Current Anthropology</w:t>
      </w:r>
      <w:r w:rsidR="00DF0380" w:rsidRPr="00DF0380">
        <w:rPr>
          <w:rFonts w:ascii="Calibri" w:cs="Calibri"/>
        </w:rPr>
        <w:t>, 52.S4 (2011), S163–74 (p. S171).</w:t>
      </w:r>
    </w:p>
  </w:footnote>
  <w:footnote w:id="14">
    <w:p w14:paraId="4D919E2E" w14:textId="7BA5B6F8" w:rsidR="00EB4C58" w:rsidRDefault="00EB4C58">
      <w:pPr>
        <w:pStyle w:val="FootnoteText"/>
      </w:pPr>
      <w:r>
        <w:rPr>
          <w:rStyle w:val="FootnoteReference"/>
        </w:rPr>
        <w:footnoteRef/>
      </w:r>
      <w:r>
        <w:t xml:space="preserve"> With</w:t>
      </w:r>
      <w:r w:rsidR="00DF0380">
        <w:t xml:space="preserve"> </w:t>
      </w:r>
      <w:r>
        <w:t>some exceptions, but further research is needed. Note by Vadim Zaver</w:t>
      </w:r>
    </w:p>
  </w:footnote>
  <w:footnote w:id="15">
    <w:p w14:paraId="7B01321F" w14:textId="0071A9EA" w:rsidR="00B749A3" w:rsidRDefault="00B749A3">
      <w:pPr>
        <w:pStyle w:val="FootnoteText"/>
      </w:pPr>
      <w:r>
        <w:rPr>
          <w:rStyle w:val="FootnoteReference"/>
        </w:rPr>
        <w:footnoteRef/>
      </w:r>
      <w:r>
        <w:t xml:space="preserve"> The maps need to be compared more accurately</w:t>
      </w:r>
      <w:r w:rsidR="00115888">
        <w:t xml:space="preserve"> and the areas further researched</w:t>
      </w:r>
      <w:r>
        <w:t xml:space="preserve">, but this is a task for a separate research. </w:t>
      </w:r>
      <w:r w:rsidR="00EB4C58">
        <w:t xml:space="preserve">Note by </w:t>
      </w:r>
      <w:r>
        <w:t>Vadim Zaver</w:t>
      </w:r>
    </w:p>
  </w:footnote>
  <w:footnote w:id="16">
    <w:p w14:paraId="74F9D5E5" w14:textId="5A504F06" w:rsidR="00115888" w:rsidRDefault="00115888">
      <w:pPr>
        <w:pStyle w:val="FootnoteText"/>
      </w:pPr>
      <w:r>
        <w:rPr>
          <w:rStyle w:val="FootnoteReference"/>
        </w:rPr>
        <w:footnoteRef/>
      </w:r>
      <w:r>
        <w:t xml:space="preserve"> </w:t>
      </w:r>
      <w:proofErr w:type="spellStart"/>
      <w:r w:rsidRPr="00115888">
        <w:rPr>
          <w:rFonts w:ascii="Calibri" w:cs="Calibri"/>
        </w:rPr>
        <w:t>Seán</w:t>
      </w:r>
      <w:proofErr w:type="spellEnd"/>
      <w:r w:rsidRPr="00115888">
        <w:rPr>
          <w:rFonts w:ascii="Calibri" w:cs="Calibri"/>
        </w:rPr>
        <w:t xml:space="preserve"> Hemingway, ‘Ancient Greek Colonization and Trade and Their Influence on Greek Art’, </w:t>
      </w:r>
      <w:r w:rsidRPr="00115888">
        <w:rPr>
          <w:rFonts w:ascii="Calibri" w:cs="Calibri"/>
          <w:i/>
          <w:iCs/>
        </w:rPr>
        <w:t>The Met’s Heilbrunn Timeline of Art History</w:t>
      </w:r>
      <w:r w:rsidRPr="00115888">
        <w:rPr>
          <w:rFonts w:ascii="Calibri" w:cs="Calibri"/>
        </w:rPr>
        <w:t xml:space="preserve"> &lt;https://www.metmuseum.org/toah/hd/angk/hd_angk.htm&gt; [accessed 26 March 2022].</w:t>
      </w:r>
    </w:p>
  </w:footnote>
  <w:footnote w:id="17">
    <w:p w14:paraId="4C3CAB7F" w14:textId="2A9BF75F" w:rsidR="00115888" w:rsidRDefault="00115888" w:rsidP="00115888">
      <w:pPr>
        <w:pStyle w:val="FootnoteText"/>
      </w:pPr>
      <w:r>
        <w:rPr>
          <w:rStyle w:val="FootnoteReference"/>
        </w:rPr>
        <w:footnoteRef/>
      </w:r>
      <w:r>
        <w:t xml:space="preserve"> </w:t>
      </w:r>
      <w:r w:rsidR="00E73040" w:rsidRPr="00E73040">
        <w:rPr>
          <w:rFonts w:ascii="Calibri" w:cs="Calibri"/>
        </w:rPr>
        <w:t>Hesiod, ll. 620–24.</w:t>
      </w:r>
    </w:p>
  </w:footnote>
  <w:footnote w:id="18">
    <w:p w14:paraId="119B009D" w14:textId="3B7F126A" w:rsidR="00951637" w:rsidRDefault="00951637" w:rsidP="00951637">
      <w:pPr>
        <w:pStyle w:val="FootnoteText"/>
      </w:pPr>
      <w:r>
        <w:rPr>
          <w:rStyle w:val="FootnoteReference"/>
        </w:rPr>
        <w:footnoteRef/>
      </w:r>
      <w:r>
        <w:t xml:space="preserve"> </w:t>
      </w:r>
      <w:r w:rsidR="00AA106F" w:rsidRPr="00AA106F">
        <w:rPr>
          <w:rFonts w:ascii="Calibri" w:cs="Calibri"/>
        </w:rPr>
        <w:t xml:space="preserve">Christopher Klein, ‘DNA Study Finds Aboriginal Australians World’s Oldest Civilization’, </w:t>
      </w:r>
      <w:r w:rsidR="00AA106F" w:rsidRPr="00AA106F">
        <w:rPr>
          <w:rFonts w:ascii="Calibri" w:cs="Calibri"/>
          <w:i/>
          <w:iCs/>
        </w:rPr>
        <w:t>HISTORY</w:t>
      </w:r>
      <w:r w:rsidR="00AA106F" w:rsidRPr="00AA106F">
        <w:rPr>
          <w:rFonts w:ascii="Calibri" w:cs="Calibri"/>
        </w:rPr>
        <w:t xml:space="preserve"> &lt;https://www.history.com/news/dna-study-finds-aboriginal-australians-worlds-oldest-civilization&gt; [accessed 24 March 2022].</w:t>
      </w:r>
    </w:p>
  </w:footnote>
  <w:footnote w:id="19">
    <w:p w14:paraId="1D05F751" w14:textId="2E46DE32" w:rsidR="00CB17CC" w:rsidRDefault="00CB17CC">
      <w:pPr>
        <w:pStyle w:val="FootnoteText"/>
      </w:pPr>
      <w:r>
        <w:rPr>
          <w:rStyle w:val="FootnoteReference"/>
        </w:rPr>
        <w:footnoteRef/>
      </w:r>
      <w:r>
        <w:t xml:space="preserve"> </w:t>
      </w:r>
      <w:r w:rsidRPr="00CB17CC">
        <w:rPr>
          <w:rFonts w:ascii="Calibri" w:cs="Calibri"/>
        </w:rPr>
        <w:t xml:space="preserve">Douglas B. Bamforth, ‘HISTORICAL DOCUMENTS AND BISON ECOLOGY ON THE GREAT PLAINS’, </w:t>
      </w:r>
      <w:r w:rsidRPr="00CB17CC">
        <w:rPr>
          <w:rFonts w:ascii="Calibri" w:cs="Calibri"/>
          <w:i/>
          <w:iCs/>
        </w:rPr>
        <w:t>Plains Anthropologist</w:t>
      </w:r>
      <w:r w:rsidRPr="00CB17CC">
        <w:rPr>
          <w:rFonts w:ascii="Calibri" w:cs="Calibri"/>
        </w:rPr>
        <w:t>, 32.115 (1987), 1–16 (p. 10).</w:t>
      </w:r>
    </w:p>
  </w:footnote>
  <w:footnote w:id="20">
    <w:p w14:paraId="5877512D" w14:textId="601BE24A" w:rsidR="009A273C" w:rsidRDefault="009A273C" w:rsidP="009A273C">
      <w:pPr>
        <w:pStyle w:val="FootnoteText"/>
      </w:pPr>
      <w:r>
        <w:rPr>
          <w:rStyle w:val="FootnoteReference"/>
        </w:rPr>
        <w:footnoteRef/>
      </w:r>
      <w:r>
        <w:t xml:space="preserve"> </w:t>
      </w:r>
      <w:r w:rsidRPr="0091015E">
        <w:rPr>
          <w:rFonts w:ascii="Calibri" w:cs="Calibri"/>
        </w:rPr>
        <w:t xml:space="preserve">Michael </w:t>
      </w:r>
      <w:proofErr w:type="spellStart"/>
      <w:r w:rsidRPr="0091015E">
        <w:rPr>
          <w:rFonts w:ascii="Calibri" w:cs="Calibri"/>
        </w:rPr>
        <w:t>Rappenglück</w:t>
      </w:r>
      <w:proofErr w:type="spellEnd"/>
      <w:r w:rsidRPr="0091015E">
        <w:rPr>
          <w:rFonts w:ascii="Calibri" w:cs="Calibri"/>
        </w:rPr>
        <w:t xml:space="preserve">, ‘The Pleiades in the “Salle Des Taureaux”, Grotte de Lascaux. Does a Rock Picture in the Cave of Lascaux Show the Open Star Cluster of the Pleiades at the Magdalénien Era (ca 15.300 BC?"’, in </w:t>
      </w:r>
      <w:r w:rsidRPr="0091015E">
        <w:rPr>
          <w:rFonts w:ascii="Calibri" w:cs="Calibri"/>
          <w:i/>
          <w:iCs/>
        </w:rPr>
        <w:t>Actas Del IV Congress de Las Seac ‘Astronomia En La Cultura’</w:t>
      </w:r>
      <w:r w:rsidRPr="0091015E">
        <w:rPr>
          <w:rFonts w:ascii="Calibri" w:cs="Calibri"/>
        </w:rPr>
        <w:t>, ed. by Jaschek C. and Barandela Atrio, 1997, pp. 217–25 (p. 217).</w:t>
      </w:r>
    </w:p>
  </w:footnote>
  <w:footnote w:id="21">
    <w:p w14:paraId="747210DF" w14:textId="59E2396B" w:rsidR="009A273C" w:rsidRDefault="009A273C" w:rsidP="009A273C">
      <w:pPr>
        <w:pStyle w:val="FootnoteText"/>
      </w:pPr>
      <w:r>
        <w:rPr>
          <w:rStyle w:val="FootnoteReference"/>
        </w:rPr>
        <w:footnoteRef/>
      </w:r>
      <w:r>
        <w:t xml:space="preserve"> </w:t>
      </w:r>
      <w:r w:rsidRPr="009A273C">
        <w:rPr>
          <w:rFonts w:ascii="Calibri" w:cs="Calibri"/>
        </w:rPr>
        <w:t xml:space="preserve">Rhiannon Gittins and Paul Pettitt, ‘Is Palaeolithic Cave Art Consistent with Costly Signalling Theory? Lascaux as a Test Case’, </w:t>
      </w:r>
      <w:r w:rsidRPr="009A273C">
        <w:rPr>
          <w:rFonts w:ascii="Calibri" w:cs="Calibri"/>
          <w:i/>
          <w:iCs/>
        </w:rPr>
        <w:t>World Archaeology</w:t>
      </w:r>
      <w:r w:rsidRPr="009A273C">
        <w:rPr>
          <w:rFonts w:ascii="Calibri" w:cs="Calibri"/>
        </w:rPr>
        <w:t>, 49.4 (2017), 466–90 (p. 466).</w:t>
      </w:r>
    </w:p>
  </w:footnote>
  <w:footnote w:id="22">
    <w:p w14:paraId="19B62756" w14:textId="16BF907D" w:rsidR="00186DF3" w:rsidRDefault="00186DF3">
      <w:pPr>
        <w:pStyle w:val="FootnoteText"/>
      </w:pPr>
      <w:r>
        <w:rPr>
          <w:rStyle w:val="FootnoteReference"/>
        </w:rPr>
        <w:footnoteRef/>
      </w:r>
      <w:r>
        <w:t xml:space="preserve"> </w:t>
      </w:r>
      <w:r w:rsidRPr="00186DF3">
        <w:rPr>
          <w:rFonts w:ascii="Calibri" w:cs="Calibri"/>
        </w:rPr>
        <w:t xml:space="preserve">Katherine Harmon, ‘Humans Feasting on Grains for at Least 100,000 Years’, </w:t>
      </w:r>
      <w:r w:rsidRPr="00186DF3">
        <w:rPr>
          <w:rFonts w:ascii="Calibri" w:cs="Calibri"/>
          <w:i/>
          <w:iCs/>
        </w:rPr>
        <w:t>Scientific American Blog Network</w:t>
      </w:r>
      <w:r w:rsidRPr="00186DF3">
        <w:rPr>
          <w:rFonts w:ascii="Calibri" w:cs="Calibri"/>
        </w:rPr>
        <w:t xml:space="preserve"> &lt;https://blogs.scientificamerican.com/observations/humans-feasting-on-grains-for-at-least-100000-years/&gt; [accessed 26 March 2022].</w:t>
      </w:r>
    </w:p>
  </w:footnote>
  <w:footnote w:id="23">
    <w:p w14:paraId="38EBBF02" w14:textId="3CB1C606" w:rsidR="005567E7" w:rsidRDefault="005567E7" w:rsidP="005567E7">
      <w:pPr>
        <w:pStyle w:val="FootnoteText"/>
      </w:pPr>
      <w:r>
        <w:rPr>
          <w:rStyle w:val="FootnoteReference"/>
        </w:rPr>
        <w:footnoteRef/>
      </w:r>
      <w:r>
        <w:t xml:space="preserve"> </w:t>
      </w:r>
      <w:r w:rsidR="00E96795" w:rsidRPr="00E96795">
        <w:rPr>
          <w:rFonts w:ascii="Calibri" w:cs="Calibri"/>
        </w:rPr>
        <w:t xml:space="preserve">Homer, </w:t>
      </w:r>
      <w:r w:rsidR="00E96795" w:rsidRPr="00E96795">
        <w:rPr>
          <w:rFonts w:ascii="Calibri" w:cs="Calibri"/>
          <w:i/>
          <w:iCs/>
        </w:rPr>
        <w:t>The Iliad</w:t>
      </w:r>
      <w:r w:rsidR="00E96795" w:rsidRPr="00E96795">
        <w:rPr>
          <w:rFonts w:ascii="Calibri" w:cs="Calibri"/>
        </w:rPr>
        <w:t xml:space="preserve"> (Penguin, 1991), bk. 18.565-71.</w:t>
      </w:r>
    </w:p>
  </w:footnote>
  <w:footnote w:id="24">
    <w:p w14:paraId="394948BD" w14:textId="1E9FB8D1" w:rsidR="00DF3CE8" w:rsidRDefault="00DF3CE8">
      <w:pPr>
        <w:pStyle w:val="FootnoteText"/>
      </w:pPr>
      <w:r>
        <w:rPr>
          <w:rStyle w:val="FootnoteReference"/>
        </w:rPr>
        <w:footnoteRef/>
      </w:r>
      <w:r>
        <w:t xml:space="preserve"> I couldn’t find a single reference, where the shield is considered real. Note by Vadim Zaver</w:t>
      </w:r>
    </w:p>
  </w:footnote>
  <w:footnote w:id="25">
    <w:p w14:paraId="1FAC5CBB" w14:textId="781B8623" w:rsidR="005567E7" w:rsidRDefault="005567E7" w:rsidP="005567E7">
      <w:pPr>
        <w:pStyle w:val="FootnoteText"/>
      </w:pPr>
      <w:r>
        <w:rPr>
          <w:rStyle w:val="FootnoteReference"/>
        </w:rPr>
        <w:footnoteRef/>
      </w:r>
      <w:r>
        <w:t xml:space="preserve"> </w:t>
      </w:r>
      <w:r w:rsidRPr="009E5A3F">
        <w:rPr>
          <w:rFonts w:ascii="Calibri" w:cs="Calibri"/>
        </w:rPr>
        <w:t xml:space="preserve">Oliver Taplin, ‘The Shield of Achilles within the “Iliad”’, </w:t>
      </w:r>
      <w:r w:rsidRPr="009E5A3F">
        <w:rPr>
          <w:rFonts w:ascii="Calibri" w:cs="Calibri"/>
          <w:i/>
          <w:iCs/>
        </w:rPr>
        <w:t>Greece &amp; Rome</w:t>
      </w:r>
      <w:r w:rsidRPr="009E5A3F">
        <w:rPr>
          <w:rFonts w:ascii="Calibri" w:cs="Calibri"/>
        </w:rPr>
        <w:t>, 27.1 (1980), 1–21 (p. 3).</w:t>
      </w:r>
    </w:p>
  </w:footnote>
  <w:footnote w:id="26">
    <w:p w14:paraId="7B9CA4A3" w14:textId="475B3EF4" w:rsidR="002B0054" w:rsidRDefault="002B0054">
      <w:pPr>
        <w:pStyle w:val="FootnoteText"/>
      </w:pPr>
      <w:r>
        <w:rPr>
          <w:rStyle w:val="FootnoteReference"/>
        </w:rPr>
        <w:footnoteRef/>
      </w:r>
      <w:r>
        <w:t xml:space="preserve"> </w:t>
      </w:r>
      <w:r w:rsidRPr="002B0054">
        <w:rPr>
          <w:rFonts w:ascii="Calibri" w:cs="Calibri"/>
        </w:rPr>
        <w:t xml:space="preserve">Calvin S. Byre, ‘Narration, Description, and Theme in the Shield of Achilles’, </w:t>
      </w:r>
      <w:r w:rsidRPr="002B0054">
        <w:rPr>
          <w:rFonts w:ascii="Calibri" w:cs="Calibri"/>
          <w:i/>
          <w:iCs/>
        </w:rPr>
        <w:t>The Classical Journal</w:t>
      </w:r>
      <w:r w:rsidRPr="002B0054">
        <w:rPr>
          <w:rFonts w:ascii="Calibri" w:cs="Calibri"/>
        </w:rPr>
        <w:t>, 88.1 (1992), 33–42 (p. 33).</w:t>
      </w:r>
    </w:p>
  </w:footnote>
  <w:footnote w:id="27">
    <w:p w14:paraId="0F240907" w14:textId="7B8807A8" w:rsidR="00AA106F" w:rsidRDefault="00AA106F" w:rsidP="00AA106F">
      <w:pPr>
        <w:pStyle w:val="FootnoteText"/>
      </w:pPr>
      <w:r>
        <w:rPr>
          <w:rStyle w:val="FootnoteReference"/>
        </w:rPr>
        <w:footnoteRef/>
      </w:r>
      <w:r>
        <w:t xml:space="preserve"> </w:t>
      </w:r>
      <w:r w:rsidRPr="00AA106F">
        <w:rPr>
          <w:rFonts w:ascii="Calibri" w:cs="Calibri"/>
        </w:rPr>
        <w:t xml:space="preserve">Becky Ferreira, ‘How Old Is This Ancient Vision of the Stars?’, </w:t>
      </w:r>
      <w:r w:rsidRPr="00AA106F">
        <w:rPr>
          <w:rFonts w:ascii="Calibri" w:cs="Calibri"/>
          <w:i/>
          <w:iCs/>
        </w:rPr>
        <w:t>The New York Times</w:t>
      </w:r>
      <w:r w:rsidRPr="00AA106F">
        <w:rPr>
          <w:rFonts w:ascii="Calibri" w:cs="Calibri"/>
        </w:rPr>
        <w:t>, 13 September 2020, section Science &lt;https://www.nytimes.com/2020/09/13/science/nebra-sky-disk.html&gt; [accessed 25 March 2022].</w:t>
      </w:r>
    </w:p>
  </w:footnote>
  <w:footnote w:id="28">
    <w:p w14:paraId="64D21651" w14:textId="24C5018A" w:rsidR="00C579F6" w:rsidRDefault="00C579F6" w:rsidP="00C579F6">
      <w:pPr>
        <w:pStyle w:val="FootnoteText"/>
      </w:pPr>
      <w:r>
        <w:rPr>
          <w:rStyle w:val="FootnoteReference"/>
        </w:rPr>
        <w:footnoteRef/>
      </w:r>
      <w:r>
        <w:t xml:space="preserve"> </w:t>
      </w:r>
      <w:r w:rsidRPr="00DF0380">
        <w:rPr>
          <w:rFonts w:ascii="Calibri" w:cs="Calibri"/>
        </w:rPr>
        <w:t xml:space="preserve">Michael Benson, </w:t>
      </w:r>
      <w:proofErr w:type="spellStart"/>
      <w:r w:rsidRPr="00DF0380">
        <w:rPr>
          <w:rFonts w:ascii="Calibri" w:cs="Calibri"/>
          <w:i/>
          <w:iCs/>
        </w:rPr>
        <w:t>Cosmographics</w:t>
      </w:r>
      <w:proofErr w:type="spellEnd"/>
      <w:r w:rsidRPr="00DF0380">
        <w:rPr>
          <w:rFonts w:ascii="Calibri" w:cs="Calibri"/>
          <w:i/>
          <w:iCs/>
        </w:rPr>
        <w:t>: Picturing Space Through Time</w:t>
      </w:r>
      <w:r w:rsidRPr="00DF0380">
        <w:rPr>
          <w:rFonts w:ascii="Calibri" w:cs="Calibri"/>
        </w:rPr>
        <w:t xml:space="preserve"> (Abrams, 2014), p. 73.</w:t>
      </w:r>
    </w:p>
  </w:footnote>
  <w:footnote w:id="29">
    <w:p w14:paraId="63FF07F7" w14:textId="026B3A42" w:rsidR="00D10096" w:rsidRDefault="00D10096">
      <w:pPr>
        <w:pStyle w:val="FootnoteText"/>
      </w:pPr>
      <w:r>
        <w:rPr>
          <w:rStyle w:val="FootnoteReference"/>
        </w:rPr>
        <w:footnoteRef/>
      </w:r>
      <w:r>
        <w:t xml:space="preserve"> </w:t>
      </w:r>
      <w:r w:rsidR="00337075" w:rsidRPr="00337075">
        <w:rPr>
          <w:rFonts w:ascii="Calibri" w:cs="Calibri"/>
        </w:rPr>
        <w:t xml:space="preserve">Duncan </w:t>
      </w:r>
      <w:proofErr w:type="spellStart"/>
      <w:r w:rsidR="00337075" w:rsidRPr="00337075">
        <w:rPr>
          <w:rFonts w:ascii="Calibri" w:cs="Calibri"/>
        </w:rPr>
        <w:t>Garrow</w:t>
      </w:r>
      <w:proofErr w:type="spellEnd"/>
      <w:r w:rsidR="00337075" w:rsidRPr="00337075">
        <w:rPr>
          <w:rFonts w:ascii="Calibri" w:cs="Calibri"/>
        </w:rPr>
        <w:t xml:space="preserve"> and Neil Wilkin, </w:t>
      </w:r>
      <w:r w:rsidR="00337075" w:rsidRPr="00337075">
        <w:rPr>
          <w:rFonts w:ascii="Calibri" w:cs="Calibri"/>
          <w:i/>
          <w:iCs/>
        </w:rPr>
        <w:t>The World of Stonehenge</w:t>
      </w:r>
      <w:r w:rsidR="00337075" w:rsidRPr="00337075">
        <w:rPr>
          <w:rFonts w:ascii="Calibri" w:cs="Calibri"/>
        </w:rPr>
        <w:t xml:space="preserve"> (British Museum Press, 2022), p. 175.</w:t>
      </w:r>
    </w:p>
  </w:footnote>
  <w:footnote w:id="30">
    <w:p w14:paraId="40F4637F" w14:textId="376661A6" w:rsidR="002E1D12" w:rsidRDefault="002E1D12">
      <w:pPr>
        <w:pStyle w:val="FootnoteText"/>
      </w:pPr>
      <w:r>
        <w:rPr>
          <w:rStyle w:val="FootnoteReference"/>
        </w:rPr>
        <w:footnoteRef/>
      </w:r>
      <w:r>
        <w:t xml:space="preserve"> </w:t>
      </w:r>
      <w:r w:rsidR="00337075">
        <w:rPr>
          <w:noProof/>
        </w:rPr>
        <w:t>Duncan Garrow and Neil Wilkin, p. 176.</w:t>
      </w:r>
    </w:p>
  </w:footnote>
  <w:footnote w:id="31">
    <w:p w14:paraId="133029EB" w14:textId="763F5FD8" w:rsidR="003700C4" w:rsidRDefault="003700C4">
      <w:pPr>
        <w:pStyle w:val="FootnoteText"/>
      </w:pPr>
      <w:r>
        <w:rPr>
          <w:rStyle w:val="FootnoteReference"/>
        </w:rPr>
        <w:footnoteRef/>
      </w:r>
      <w:r>
        <w:t xml:space="preserve"> </w:t>
      </w:r>
      <w:r w:rsidR="00337075">
        <w:rPr>
          <w:noProof/>
        </w:rPr>
        <w:t>Duncan Garrow and Neil Wilkin, p. 177.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E1FABBE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544AF7A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E90D90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F260E6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26890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576492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AEC5E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AC2818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DE40DC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AE62D1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7C0539D"/>
    <w:multiLevelType w:val="hybridMultilevel"/>
    <w:tmpl w:val="CB9A9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8E1808"/>
    <w:multiLevelType w:val="hybridMultilevel"/>
    <w:tmpl w:val="52A85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5051D6"/>
    <w:multiLevelType w:val="hybridMultilevel"/>
    <w:tmpl w:val="86DAF7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9004D6"/>
    <w:multiLevelType w:val="hybridMultilevel"/>
    <w:tmpl w:val="80106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6E2449"/>
    <w:multiLevelType w:val="hybridMultilevel"/>
    <w:tmpl w:val="565C8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202B13"/>
    <w:multiLevelType w:val="hybridMultilevel"/>
    <w:tmpl w:val="86DADAC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CC6920"/>
    <w:multiLevelType w:val="hybridMultilevel"/>
    <w:tmpl w:val="83840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13"/>
  </w:num>
  <w:num w:numId="12">
    <w:abstractNumId w:val="15"/>
  </w:num>
  <w:num w:numId="13">
    <w:abstractNumId w:val="14"/>
  </w:num>
  <w:num w:numId="14">
    <w:abstractNumId w:val="12"/>
  </w:num>
  <w:num w:numId="15">
    <w:abstractNumId w:val="11"/>
  </w:num>
  <w:num w:numId="16">
    <w:abstractNumId w:val="16"/>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attachedTemplate r:id="rId1"/>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5BF"/>
    <w:rsid w:val="0001576A"/>
    <w:rsid w:val="00026C37"/>
    <w:rsid w:val="000720AD"/>
    <w:rsid w:val="000852AA"/>
    <w:rsid w:val="000922FE"/>
    <w:rsid w:val="000C2996"/>
    <w:rsid w:val="000C79DE"/>
    <w:rsid w:val="000D6F68"/>
    <w:rsid w:val="000E4131"/>
    <w:rsid w:val="00101013"/>
    <w:rsid w:val="00115888"/>
    <w:rsid w:val="001225D2"/>
    <w:rsid w:val="00140141"/>
    <w:rsid w:val="001613DF"/>
    <w:rsid w:val="00175FE4"/>
    <w:rsid w:val="00186DF3"/>
    <w:rsid w:val="001A2224"/>
    <w:rsid w:val="001C0A0C"/>
    <w:rsid w:val="001F078C"/>
    <w:rsid w:val="001F0843"/>
    <w:rsid w:val="001F5F75"/>
    <w:rsid w:val="00202ABC"/>
    <w:rsid w:val="00203F6F"/>
    <w:rsid w:val="00212A4C"/>
    <w:rsid w:val="002325F4"/>
    <w:rsid w:val="002363A9"/>
    <w:rsid w:val="002A4B28"/>
    <w:rsid w:val="002B0054"/>
    <w:rsid w:val="002C5D42"/>
    <w:rsid w:val="002D03D6"/>
    <w:rsid w:val="002E1D12"/>
    <w:rsid w:val="002E526D"/>
    <w:rsid w:val="002F49A1"/>
    <w:rsid w:val="00331054"/>
    <w:rsid w:val="00332EC6"/>
    <w:rsid w:val="00337075"/>
    <w:rsid w:val="00337D92"/>
    <w:rsid w:val="00343824"/>
    <w:rsid w:val="00351D8E"/>
    <w:rsid w:val="00353BB2"/>
    <w:rsid w:val="00354367"/>
    <w:rsid w:val="00360068"/>
    <w:rsid w:val="003700C4"/>
    <w:rsid w:val="00372C48"/>
    <w:rsid w:val="0039219B"/>
    <w:rsid w:val="00393A8A"/>
    <w:rsid w:val="003C19B7"/>
    <w:rsid w:val="003C2877"/>
    <w:rsid w:val="003C4F6E"/>
    <w:rsid w:val="003F1478"/>
    <w:rsid w:val="00434D8F"/>
    <w:rsid w:val="00434E2E"/>
    <w:rsid w:val="00436462"/>
    <w:rsid w:val="00461508"/>
    <w:rsid w:val="00466EDA"/>
    <w:rsid w:val="00471511"/>
    <w:rsid w:val="004A1B82"/>
    <w:rsid w:val="004B5397"/>
    <w:rsid w:val="004B53D6"/>
    <w:rsid w:val="00500E4A"/>
    <w:rsid w:val="0050300D"/>
    <w:rsid w:val="005227D0"/>
    <w:rsid w:val="00530CC5"/>
    <w:rsid w:val="005414B3"/>
    <w:rsid w:val="00544AE1"/>
    <w:rsid w:val="00544B5F"/>
    <w:rsid w:val="00555586"/>
    <w:rsid w:val="005567E7"/>
    <w:rsid w:val="0056797A"/>
    <w:rsid w:val="00587E1C"/>
    <w:rsid w:val="005943D6"/>
    <w:rsid w:val="005A1F33"/>
    <w:rsid w:val="005A5D65"/>
    <w:rsid w:val="005B0B28"/>
    <w:rsid w:val="005C5186"/>
    <w:rsid w:val="005D3366"/>
    <w:rsid w:val="005F3A65"/>
    <w:rsid w:val="00601149"/>
    <w:rsid w:val="00602AC4"/>
    <w:rsid w:val="00604DB9"/>
    <w:rsid w:val="00612FEC"/>
    <w:rsid w:val="006147D8"/>
    <w:rsid w:val="00622FDD"/>
    <w:rsid w:val="00625254"/>
    <w:rsid w:val="0066657B"/>
    <w:rsid w:val="00694CEA"/>
    <w:rsid w:val="006D1E97"/>
    <w:rsid w:val="006D37E7"/>
    <w:rsid w:val="006F12D7"/>
    <w:rsid w:val="006F4489"/>
    <w:rsid w:val="00714AC1"/>
    <w:rsid w:val="00715EBC"/>
    <w:rsid w:val="00717A0A"/>
    <w:rsid w:val="00730A9C"/>
    <w:rsid w:val="00731B07"/>
    <w:rsid w:val="007544C0"/>
    <w:rsid w:val="007661EE"/>
    <w:rsid w:val="00781CCB"/>
    <w:rsid w:val="00785609"/>
    <w:rsid w:val="00790587"/>
    <w:rsid w:val="00793851"/>
    <w:rsid w:val="007B7721"/>
    <w:rsid w:val="007D6241"/>
    <w:rsid w:val="007E4129"/>
    <w:rsid w:val="007F1DF2"/>
    <w:rsid w:val="007F3E8A"/>
    <w:rsid w:val="00831C4E"/>
    <w:rsid w:val="00861E8C"/>
    <w:rsid w:val="00866F7C"/>
    <w:rsid w:val="008811AA"/>
    <w:rsid w:val="00891379"/>
    <w:rsid w:val="008A0984"/>
    <w:rsid w:val="008A4BE2"/>
    <w:rsid w:val="008A55D8"/>
    <w:rsid w:val="008B0B1E"/>
    <w:rsid w:val="008B7DCB"/>
    <w:rsid w:val="008C3D56"/>
    <w:rsid w:val="008C73E5"/>
    <w:rsid w:val="008D144B"/>
    <w:rsid w:val="008E0BE6"/>
    <w:rsid w:val="00951637"/>
    <w:rsid w:val="00974D88"/>
    <w:rsid w:val="00990EF9"/>
    <w:rsid w:val="00993C09"/>
    <w:rsid w:val="009A273C"/>
    <w:rsid w:val="009A6489"/>
    <w:rsid w:val="009B3E98"/>
    <w:rsid w:val="009B649E"/>
    <w:rsid w:val="009B6FBF"/>
    <w:rsid w:val="009E5A3F"/>
    <w:rsid w:val="00A053E3"/>
    <w:rsid w:val="00A23A9E"/>
    <w:rsid w:val="00A51C0C"/>
    <w:rsid w:val="00A541B8"/>
    <w:rsid w:val="00A55581"/>
    <w:rsid w:val="00A66E78"/>
    <w:rsid w:val="00A673FC"/>
    <w:rsid w:val="00A8288D"/>
    <w:rsid w:val="00A84839"/>
    <w:rsid w:val="00A95295"/>
    <w:rsid w:val="00A95D88"/>
    <w:rsid w:val="00AA106F"/>
    <w:rsid w:val="00AA2ED4"/>
    <w:rsid w:val="00AA36E6"/>
    <w:rsid w:val="00AA50F0"/>
    <w:rsid w:val="00AB5628"/>
    <w:rsid w:val="00AE718D"/>
    <w:rsid w:val="00B17A04"/>
    <w:rsid w:val="00B57C7E"/>
    <w:rsid w:val="00B645BF"/>
    <w:rsid w:val="00B66256"/>
    <w:rsid w:val="00B749A3"/>
    <w:rsid w:val="00B84097"/>
    <w:rsid w:val="00B84583"/>
    <w:rsid w:val="00B86D32"/>
    <w:rsid w:val="00BA6AA2"/>
    <w:rsid w:val="00BB0A9E"/>
    <w:rsid w:val="00BE15E5"/>
    <w:rsid w:val="00C00942"/>
    <w:rsid w:val="00C24DC1"/>
    <w:rsid w:val="00C579F6"/>
    <w:rsid w:val="00C6137D"/>
    <w:rsid w:val="00C7184A"/>
    <w:rsid w:val="00C85334"/>
    <w:rsid w:val="00C95A1C"/>
    <w:rsid w:val="00CA5674"/>
    <w:rsid w:val="00CB17CC"/>
    <w:rsid w:val="00CC22D6"/>
    <w:rsid w:val="00CC43A7"/>
    <w:rsid w:val="00D02750"/>
    <w:rsid w:val="00D10096"/>
    <w:rsid w:val="00D55B2B"/>
    <w:rsid w:val="00D62464"/>
    <w:rsid w:val="00D8699F"/>
    <w:rsid w:val="00D96453"/>
    <w:rsid w:val="00DA4681"/>
    <w:rsid w:val="00DA528E"/>
    <w:rsid w:val="00DC257E"/>
    <w:rsid w:val="00DE680D"/>
    <w:rsid w:val="00DF0380"/>
    <w:rsid w:val="00DF3CE8"/>
    <w:rsid w:val="00E17A02"/>
    <w:rsid w:val="00E33603"/>
    <w:rsid w:val="00E47385"/>
    <w:rsid w:val="00E73040"/>
    <w:rsid w:val="00E76372"/>
    <w:rsid w:val="00E77F03"/>
    <w:rsid w:val="00E96795"/>
    <w:rsid w:val="00EB15D2"/>
    <w:rsid w:val="00EB4A25"/>
    <w:rsid w:val="00EB4C58"/>
    <w:rsid w:val="00ED073F"/>
    <w:rsid w:val="00ED10CF"/>
    <w:rsid w:val="00ED26CD"/>
    <w:rsid w:val="00ED501A"/>
    <w:rsid w:val="00ED6B33"/>
    <w:rsid w:val="00EE6326"/>
    <w:rsid w:val="00EE79AF"/>
    <w:rsid w:val="00EF2FFB"/>
    <w:rsid w:val="00F03796"/>
    <w:rsid w:val="00F160E0"/>
    <w:rsid w:val="00F24E8C"/>
    <w:rsid w:val="00F33CE9"/>
    <w:rsid w:val="00F508E0"/>
    <w:rsid w:val="00F73550"/>
    <w:rsid w:val="00FA7D3A"/>
    <w:rsid w:val="00FB4160"/>
    <w:rsid w:val="00FE3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34747A"/>
  <w15:chartTrackingRefBased/>
  <w15:docId w15:val="{6D0BA0CF-D04B-9441-B7BB-4E5D1DA74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5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355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3E8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3550"/>
    <w:rPr>
      <w:rFonts w:asciiTheme="majorHAnsi" w:eastAsiaTheme="majorEastAsia" w:hAnsiTheme="majorHAnsi" w:cstheme="majorBidi"/>
      <w:color w:val="2F5496" w:themeColor="accent1" w:themeShade="BF"/>
      <w:sz w:val="26"/>
      <w:szCs w:val="26"/>
    </w:rPr>
  </w:style>
  <w:style w:type="paragraph" w:customStyle="1" w:styleId="Normal0">
    <w:name w:val="_Normal"/>
    <w:basedOn w:val="Normal"/>
    <w:autoRedefine/>
    <w:qFormat/>
    <w:rsid w:val="00601149"/>
    <w:rPr>
      <w:rFonts w:ascii="Times New Roman" w:hAnsi="Times New Roman"/>
      <w:sz w:val="22"/>
    </w:rPr>
  </w:style>
  <w:style w:type="paragraph" w:customStyle="1" w:styleId="Body">
    <w:name w:val="_Body"/>
    <w:basedOn w:val="Normal0"/>
    <w:autoRedefine/>
    <w:qFormat/>
    <w:rsid w:val="00AA36E6"/>
    <w:pPr>
      <w:ind w:firstLine="720"/>
    </w:pPr>
  </w:style>
  <w:style w:type="paragraph" w:customStyle="1" w:styleId="BodyNoIndent">
    <w:name w:val="_Body_No_Indent"/>
    <w:basedOn w:val="Body"/>
    <w:next w:val="Body"/>
    <w:autoRedefine/>
    <w:qFormat/>
    <w:rsid w:val="00A55581"/>
    <w:pPr>
      <w:ind w:firstLine="0"/>
    </w:pPr>
  </w:style>
  <w:style w:type="paragraph" w:customStyle="1" w:styleId="Subhead">
    <w:name w:val="_Subhead"/>
    <w:basedOn w:val="Normal0"/>
    <w:next w:val="BodyNoIndent"/>
    <w:autoRedefine/>
    <w:qFormat/>
    <w:rsid w:val="004A1B82"/>
    <w:pPr>
      <w:keepNext/>
      <w:spacing w:before="240"/>
    </w:pPr>
    <w:rPr>
      <w:rFonts w:cs="Times New Roman (Body CS)"/>
      <w:color w:val="000000" w:themeColor="text1"/>
      <w:sz w:val="24"/>
    </w:rPr>
  </w:style>
  <w:style w:type="paragraph" w:customStyle="1" w:styleId="Ideas">
    <w:name w:val="_Ideas"/>
    <w:basedOn w:val="BodyNoIndent"/>
    <w:autoRedefine/>
    <w:qFormat/>
    <w:rsid w:val="00500E4A"/>
    <w:rPr>
      <w:rFonts w:cs="Times New Roman (Body CS)"/>
      <w:color w:val="C00000"/>
    </w:rPr>
  </w:style>
  <w:style w:type="character" w:customStyle="1" w:styleId="Publication">
    <w:name w:val="_Publication"/>
    <w:uiPriority w:val="1"/>
    <w:qFormat/>
    <w:rsid w:val="00F03796"/>
    <w:rPr>
      <w:i/>
    </w:rPr>
  </w:style>
  <w:style w:type="paragraph" w:customStyle="1" w:styleId="LongQuote">
    <w:name w:val="_Long_Quote"/>
    <w:basedOn w:val="Body"/>
    <w:next w:val="BodyNoIndent"/>
    <w:autoRedefine/>
    <w:qFormat/>
    <w:rsid w:val="002325F4"/>
    <w:pPr>
      <w:spacing w:before="120" w:after="120"/>
      <w:ind w:left="737" w:firstLine="0"/>
      <w:contextualSpacing/>
    </w:pPr>
  </w:style>
  <w:style w:type="paragraph" w:customStyle="1" w:styleId="ToRemove">
    <w:name w:val="_To_Remove"/>
    <w:basedOn w:val="Body"/>
    <w:next w:val="Body"/>
    <w:autoRedefine/>
    <w:qFormat/>
    <w:rsid w:val="005C5186"/>
    <w:pPr>
      <w:spacing w:before="120" w:after="120"/>
    </w:pPr>
    <w:rPr>
      <w:color w:val="FFFF00"/>
    </w:rPr>
  </w:style>
  <w:style w:type="character" w:customStyle="1" w:styleId="Superscript">
    <w:name w:val="_Superscript"/>
    <w:basedOn w:val="DefaultParagraphFont"/>
    <w:uiPriority w:val="1"/>
    <w:qFormat/>
    <w:rsid w:val="00544B5F"/>
    <w:rPr>
      <w:vertAlign w:val="superscript"/>
    </w:rPr>
  </w:style>
  <w:style w:type="paragraph" w:styleId="FootnoteText">
    <w:name w:val="footnote text"/>
    <w:basedOn w:val="Normal"/>
    <w:link w:val="FootnoteTextChar"/>
    <w:uiPriority w:val="99"/>
    <w:semiHidden/>
    <w:unhideWhenUsed/>
    <w:rsid w:val="002D03D6"/>
    <w:rPr>
      <w:sz w:val="20"/>
      <w:szCs w:val="20"/>
    </w:rPr>
  </w:style>
  <w:style w:type="character" w:customStyle="1" w:styleId="FootnoteTextChar">
    <w:name w:val="Footnote Text Char"/>
    <w:basedOn w:val="DefaultParagraphFont"/>
    <w:link w:val="FootnoteText"/>
    <w:uiPriority w:val="99"/>
    <w:semiHidden/>
    <w:rsid w:val="002D03D6"/>
    <w:rPr>
      <w:sz w:val="20"/>
      <w:szCs w:val="20"/>
    </w:rPr>
  </w:style>
  <w:style w:type="character" w:styleId="FootnoteReference">
    <w:name w:val="footnote reference"/>
    <w:basedOn w:val="DefaultParagraphFont"/>
    <w:uiPriority w:val="99"/>
    <w:semiHidden/>
    <w:unhideWhenUsed/>
    <w:rsid w:val="002D03D6"/>
    <w:rPr>
      <w:vertAlign w:val="superscript"/>
    </w:rPr>
  </w:style>
  <w:style w:type="paragraph" w:customStyle="1" w:styleId="Reject">
    <w:name w:val="_Reject"/>
    <w:basedOn w:val="Body"/>
    <w:next w:val="Body"/>
    <w:autoRedefine/>
    <w:qFormat/>
    <w:rsid w:val="00793851"/>
    <w:rPr>
      <w:rFonts w:cs="Times New Roman (Body CS)"/>
      <w:strike/>
      <w:color w:val="C00000"/>
    </w:rPr>
  </w:style>
  <w:style w:type="paragraph" w:styleId="Caption">
    <w:name w:val="caption"/>
    <w:basedOn w:val="Normal"/>
    <w:next w:val="Normal"/>
    <w:uiPriority w:val="35"/>
    <w:unhideWhenUsed/>
    <w:qFormat/>
    <w:rsid w:val="008A4BE2"/>
    <w:pPr>
      <w:spacing w:after="200"/>
    </w:pPr>
    <w:rPr>
      <w:i/>
      <w:iCs/>
      <w:color w:val="44546A" w:themeColor="text2"/>
      <w:sz w:val="18"/>
      <w:szCs w:val="18"/>
    </w:rPr>
  </w:style>
  <w:style w:type="paragraph" w:styleId="Bibliography">
    <w:name w:val="Bibliography"/>
    <w:basedOn w:val="Normal"/>
    <w:next w:val="Normal"/>
    <w:uiPriority w:val="37"/>
    <w:unhideWhenUsed/>
    <w:rsid w:val="00E96795"/>
    <w:pPr>
      <w:spacing w:after="240"/>
      <w:ind w:left="720" w:hanging="720"/>
    </w:pPr>
  </w:style>
  <w:style w:type="character" w:customStyle="1" w:styleId="Heading3Char">
    <w:name w:val="Heading 3 Char"/>
    <w:basedOn w:val="DefaultParagraphFont"/>
    <w:link w:val="Heading3"/>
    <w:uiPriority w:val="9"/>
    <w:semiHidden/>
    <w:rsid w:val="007F3E8A"/>
    <w:rPr>
      <w:rFonts w:asciiTheme="majorHAnsi" w:eastAsiaTheme="majorEastAsia" w:hAnsiTheme="majorHAnsi" w:cstheme="majorBidi"/>
      <w:color w:val="1F3763" w:themeColor="accent1" w:themeShade="7F"/>
    </w:rPr>
  </w:style>
  <w:style w:type="paragraph" w:styleId="NormalWeb">
    <w:name w:val="Normal (Web)"/>
    <w:basedOn w:val="Normal"/>
    <w:qFormat/>
    <w:rsid w:val="007F3E8A"/>
    <w:rPr>
      <w:rFonts w:ascii="Georgia" w:eastAsia="Times New Roman" w:hAnsi="Georgia" w:cs="Times New Roman"/>
      <w:color w:val="000000"/>
      <w:sz w:val="21"/>
      <w:szCs w:val="21"/>
      <w:lang w:eastAsia="en-GB"/>
    </w:rPr>
  </w:style>
  <w:style w:type="paragraph" w:styleId="Header">
    <w:name w:val="header"/>
    <w:basedOn w:val="Normal"/>
    <w:link w:val="HeaderChar"/>
    <w:uiPriority w:val="99"/>
    <w:unhideWhenUsed/>
    <w:rsid w:val="00CA5674"/>
    <w:pPr>
      <w:tabs>
        <w:tab w:val="center" w:pos="4513"/>
        <w:tab w:val="right" w:pos="9026"/>
      </w:tabs>
    </w:pPr>
  </w:style>
  <w:style w:type="character" w:customStyle="1" w:styleId="HeaderChar">
    <w:name w:val="Header Char"/>
    <w:basedOn w:val="DefaultParagraphFont"/>
    <w:link w:val="Header"/>
    <w:uiPriority w:val="99"/>
    <w:rsid w:val="00CA5674"/>
  </w:style>
  <w:style w:type="paragraph" w:styleId="Footer">
    <w:name w:val="footer"/>
    <w:basedOn w:val="Normal"/>
    <w:link w:val="FooterChar"/>
    <w:uiPriority w:val="99"/>
    <w:unhideWhenUsed/>
    <w:rsid w:val="00CA5674"/>
    <w:pPr>
      <w:tabs>
        <w:tab w:val="center" w:pos="4513"/>
        <w:tab w:val="right" w:pos="9026"/>
      </w:tabs>
    </w:pPr>
  </w:style>
  <w:style w:type="character" w:customStyle="1" w:styleId="FooterChar">
    <w:name w:val="Footer Char"/>
    <w:basedOn w:val="DefaultParagraphFont"/>
    <w:link w:val="Footer"/>
    <w:uiPriority w:val="99"/>
    <w:rsid w:val="00CA56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3463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vadimzaver/Library/Group%20Containers/UBF8T346G9.Office/User%20Content.localized/Templates.localized/Essay_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Essay_Template.dotx</Template>
  <TotalTime>5</TotalTime>
  <Pages>14</Pages>
  <Words>3595</Words>
  <Characters>20497</Characters>
  <Application>Microsoft Office Word</Application>
  <DocSecurity>0</DocSecurity>
  <Lines>170</Lines>
  <Paragraphs>48</Paragraphs>
  <ScaleCrop>false</ScaleCrop>
  <Company/>
  <LinksUpToDate>false</LinksUpToDate>
  <CharactersWithSpaces>24044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2022-03-31T21:04:00Z</dcterms:created>
  <dcterms:modified xsi:type="dcterms:W3CDTF">2022-03-31T21:09:00Z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id="mK9g5Dvq"/&gt;&lt;style id="http://www.zotero.org/styles/modern-humanities-research-association" hasBibliography="1" bibliographyStyleHasBeenSet="1"/&gt;&lt;prefs&gt;&lt;pref name="fieldType" value="Field"/&gt;&lt;pre</vt:lpwstr>
  </property>
  <property fmtid="{D5CDD505-2E9C-101B-9397-08002B2CF9AE}" pid="3" name="ZOTERO_PREF_2">
    <vt:lpwstr>f name="automaticJournalAbbreviations" value="true"/&gt;&lt;pref name="noteType" value="1"/&gt;&lt;pref name="dontAskDelayCitationUpdates" value="true"/&gt;&lt;/prefs&gt;&lt;/data&gt;</vt:lpwstr>
  </property>
</Properties>
</file>