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99E900" w14:textId="77777777" w:rsidR="003E05B7" w:rsidRPr="00E80619" w:rsidRDefault="003E05B7" w:rsidP="003E05B7">
      <w:pPr>
        <w:spacing w:line="360" w:lineRule="auto"/>
        <w:jc w:val="both"/>
        <w:rPr>
          <w:rFonts w:ascii="Arial" w:hAnsi="Arial" w:cs="Arial"/>
          <w:sz w:val="24"/>
          <w:szCs w:val="24"/>
        </w:rPr>
      </w:pPr>
      <w:r w:rsidRPr="00E80619">
        <w:rPr>
          <w:rFonts w:ascii="Arial" w:hAnsi="Arial" w:cs="Arial"/>
          <w:noProof/>
        </w:rPr>
        <w:drawing>
          <wp:inline distT="0" distB="0" distL="0" distR="0" wp14:anchorId="0E647EC2" wp14:editId="405F880E">
            <wp:extent cx="2419109" cy="949911"/>
            <wp:effectExtent l="0" t="0" r="635" b="3175"/>
            <wp:docPr id="19093121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523477" cy="990893"/>
                    </a:xfrm>
                    <a:prstGeom prst="rect">
                      <a:avLst/>
                    </a:prstGeom>
                    <a:noFill/>
                    <a:ln>
                      <a:noFill/>
                    </a:ln>
                  </pic:spPr>
                </pic:pic>
              </a:graphicData>
            </a:graphic>
          </wp:inline>
        </w:drawing>
      </w:r>
    </w:p>
    <w:p w14:paraId="038C7A59" w14:textId="77777777" w:rsidR="003E05B7" w:rsidRPr="00E80619" w:rsidRDefault="003E05B7" w:rsidP="003E05B7">
      <w:pPr>
        <w:spacing w:line="360" w:lineRule="auto"/>
        <w:jc w:val="both"/>
        <w:rPr>
          <w:rFonts w:ascii="Arial" w:hAnsi="Arial" w:cs="Arial"/>
          <w:b/>
          <w:bCs/>
          <w:sz w:val="24"/>
          <w:szCs w:val="24"/>
        </w:rPr>
      </w:pPr>
      <w:r w:rsidRPr="00E80619">
        <w:rPr>
          <w:rFonts w:ascii="Arial" w:hAnsi="Arial" w:cs="Arial"/>
          <w:b/>
          <w:bCs/>
          <w:sz w:val="24"/>
          <w:szCs w:val="24"/>
        </w:rPr>
        <w:t>Problem Solving and Innovation (BMSW4014)</w:t>
      </w:r>
    </w:p>
    <w:p w14:paraId="3F3E578A" w14:textId="77777777" w:rsidR="003E05B7" w:rsidRPr="00E80619" w:rsidRDefault="003E05B7" w:rsidP="003E05B7">
      <w:pPr>
        <w:spacing w:line="360" w:lineRule="auto"/>
        <w:jc w:val="both"/>
        <w:rPr>
          <w:rFonts w:ascii="Arial" w:hAnsi="Arial" w:cs="Arial"/>
          <w:b/>
          <w:bCs/>
          <w:sz w:val="24"/>
          <w:szCs w:val="24"/>
        </w:rPr>
      </w:pPr>
      <w:r w:rsidRPr="00E80619">
        <w:rPr>
          <w:rFonts w:ascii="Arial" w:hAnsi="Arial" w:cs="Arial"/>
          <w:b/>
          <w:bCs/>
          <w:sz w:val="24"/>
          <w:szCs w:val="24"/>
        </w:rPr>
        <w:t>Basri Basriev</w:t>
      </w:r>
    </w:p>
    <w:p w14:paraId="55B10D3E" w14:textId="77777777" w:rsidR="003E05B7" w:rsidRPr="00E80619" w:rsidRDefault="003E05B7" w:rsidP="003E05B7">
      <w:pPr>
        <w:spacing w:line="360" w:lineRule="auto"/>
        <w:jc w:val="both"/>
        <w:rPr>
          <w:rFonts w:ascii="Arial" w:hAnsi="Arial" w:cs="Arial"/>
          <w:b/>
          <w:bCs/>
          <w:sz w:val="24"/>
          <w:szCs w:val="24"/>
        </w:rPr>
      </w:pPr>
      <w:r w:rsidRPr="00E80619">
        <w:rPr>
          <w:rFonts w:ascii="Arial" w:hAnsi="Arial" w:cs="Arial"/>
          <w:b/>
          <w:bCs/>
          <w:sz w:val="24"/>
          <w:szCs w:val="24"/>
        </w:rPr>
        <w:t>SN:2438361</w:t>
      </w:r>
    </w:p>
    <w:p w14:paraId="0455E1A3" w14:textId="77777777" w:rsidR="003E05B7" w:rsidRPr="00E80619" w:rsidRDefault="003E05B7" w:rsidP="003E05B7">
      <w:pPr>
        <w:spacing w:line="360" w:lineRule="auto"/>
        <w:jc w:val="both"/>
        <w:rPr>
          <w:rFonts w:ascii="Arial" w:hAnsi="Arial" w:cs="Arial"/>
          <w:b/>
          <w:bCs/>
          <w:sz w:val="24"/>
          <w:szCs w:val="24"/>
        </w:rPr>
      </w:pPr>
      <w:r w:rsidRPr="00E80619">
        <w:rPr>
          <w:rFonts w:ascii="Arial" w:hAnsi="Arial" w:cs="Arial"/>
          <w:b/>
          <w:bCs/>
          <w:sz w:val="24"/>
          <w:szCs w:val="24"/>
        </w:rPr>
        <w:t xml:space="preserve">Lecturer: </w:t>
      </w:r>
      <w:proofErr w:type="spellStart"/>
      <w:r w:rsidRPr="00E80619">
        <w:rPr>
          <w:rFonts w:ascii="Arial" w:hAnsi="Arial" w:cs="Arial"/>
          <w:b/>
          <w:bCs/>
          <w:sz w:val="24"/>
          <w:szCs w:val="24"/>
        </w:rPr>
        <w:t>Arpu</w:t>
      </w:r>
      <w:proofErr w:type="spellEnd"/>
      <w:r w:rsidRPr="00E80619">
        <w:rPr>
          <w:rFonts w:ascii="Arial" w:hAnsi="Arial" w:cs="Arial"/>
          <w:b/>
          <w:bCs/>
          <w:sz w:val="24"/>
          <w:szCs w:val="24"/>
        </w:rPr>
        <w:t xml:space="preserve"> Kumar</w:t>
      </w:r>
    </w:p>
    <w:p w14:paraId="6DBDE315" w14:textId="77777777" w:rsidR="003E05B7" w:rsidRPr="00E80619" w:rsidRDefault="003E05B7" w:rsidP="003E05B7">
      <w:pPr>
        <w:spacing w:line="360" w:lineRule="auto"/>
        <w:jc w:val="both"/>
        <w:rPr>
          <w:rFonts w:ascii="Arial" w:hAnsi="Arial" w:cs="Arial"/>
          <w:b/>
          <w:bCs/>
          <w:sz w:val="24"/>
          <w:szCs w:val="24"/>
        </w:rPr>
      </w:pPr>
    </w:p>
    <w:p w14:paraId="28BD97AA" w14:textId="77777777" w:rsidR="003E05B7" w:rsidRPr="00E80619" w:rsidRDefault="003E05B7" w:rsidP="003E05B7">
      <w:pPr>
        <w:spacing w:line="360" w:lineRule="auto"/>
        <w:jc w:val="both"/>
        <w:rPr>
          <w:rFonts w:ascii="Arial" w:hAnsi="Arial" w:cs="Arial"/>
          <w:b/>
          <w:bCs/>
          <w:sz w:val="24"/>
          <w:szCs w:val="24"/>
        </w:rPr>
      </w:pPr>
      <w:r w:rsidRPr="00E80619">
        <w:rPr>
          <w:rFonts w:ascii="Arial" w:hAnsi="Arial" w:cs="Arial"/>
          <w:b/>
          <w:bCs/>
          <w:sz w:val="24"/>
          <w:szCs w:val="24"/>
        </w:rPr>
        <w:t>Greenwashing in the Automobile Industry – A Root Cause Analysis (RCA)</w:t>
      </w:r>
    </w:p>
    <w:p w14:paraId="0C701221" w14:textId="77777777" w:rsidR="003E05B7" w:rsidRPr="00E80619" w:rsidRDefault="003E05B7" w:rsidP="003E05B7">
      <w:pPr>
        <w:spacing w:line="360" w:lineRule="auto"/>
        <w:jc w:val="both"/>
        <w:rPr>
          <w:rFonts w:ascii="Arial" w:hAnsi="Arial" w:cs="Arial"/>
          <w:sz w:val="24"/>
          <w:szCs w:val="24"/>
          <w:lang w:val="en-US"/>
        </w:rPr>
      </w:pPr>
      <w:r w:rsidRPr="00E80619">
        <w:rPr>
          <w:rFonts w:ascii="Arial" w:hAnsi="Arial" w:cs="Arial"/>
          <w:sz w:val="24"/>
          <w:szCs w:val="24"/>
        </w:rPr>
        <w:t xml:space="preserve">The concept of “greenwashing” (combination of the words ‘green’ and ‘brainwashing’) is directly linked to increased environmental concerns and the </w:t>
      </w:r>
      <w:r w:rsidRPr="00E80619">
        <w:rPr>
          <w:rFonts w:ascii="Arial" w:hAnsi="Arial" w:cs="Arial"/>
          <w:sz w:val="24"/>
          <w:szCs w:val="24"/>
          <w:lang w:val="en-US"/>
        </w:rPr>
        <w:t xml:space="preserve">aspiration of many companies to adopt environmentally friendly strategies, as well as develop and introduce green products on the market (de Freitas Netto et al., 2020). In simpler terms, it could be described as </w:t>
      </w:r>
      <w:r w:rsidRPr="00E80619">
        <w:rPr>
          <w:rFonts w:ascii="Arial" w:hAnsi="Arial" w:cs="Arial"/>
          <w:sz w:val="24"/>
          <w:szCs w:val="24"/>
        </w:rPr>
        <w:t>the act of “misleading consumers regarding the environmental practices of a company or the environmental benefits of a product or service” (Bowen &amp; Aragon-Correa, 2014)</w:t>
      </w:r>
      <w:r w:rsidRPr="00E80619">
        <w:rPr>
          <w:rFonts w:ascii="Arial" w:hAnsi="Arial" w:cs="Arial"/>
          <w:sz w:val="24"/>
          <w:szCs w:val="24"/>
          <w:lang w:val="en-US"/>
        </w:rPr>
        <w:t xml:space="preserve">. One company, whose misleading green image came under mass public scrutiny, is Volkswagen, which suffered major financial, legal and reputational consequences </w:t>
      </w:r>
      <w:proofErr w:type="gramStart"/>
      <w:r w:rsidRPr="00E80619">
        <w:rPr>
          <w:rFonts w:ascii="Arial" w:hAnsi="Arial" w:cs="Arial"/>
          <w:sz w:val="24"/>
          <w:szCs w:val="24"/>
          <w:lang w:val="en-US"/>
        </w:rPr>
        <w:t>in light of</w:t>
      </w:r>
      <w:proofErr w:type="gramEnd"/>
      <w:r w:rsidRPr="00E80619">
        <w:rPr>
          <w:rFonts w:ascii="Arial" w:hAnsi="Arial" w:cs="Arial"/>
          <w:sz w:val="24"/>
          <w:szCs w:val="24"/>
          <w:lang w:val="en-US"/>
        </w:rPr>
        <w:t xml:space="preserve"> the 2015 </w:t>
      </w:r>
      <w:proofErr w:type="spellStart"/>
      <w:r w:rsidRPr="00E80619">
        <w:rPr>
          <w:rFonts w:ascii="Arial" w:hAnsi="Arial" w:cs="Arial"/>
          <w:sz w:val="24"/>
          <w:szCs w:val="24"/>
          <w:lang w:val="en-US"/>
        </w:rPr>
        <w:t>Dieselgate</w:t>
      </w:r>
      <w:proofErr w:type="spellEnd"/>
      <w:r w:rsidRPr="00E80619">
        <w:rPr>
          <w:rFonts w:ascii="Arial" w:hAnsi="Arial" w:cs="Arial"/>
          <w:sz w:val="24"/>
          <w:szCs w:val="24"/>
          <w:lang w:val="en-US"/>
        </w:rPr>
        <w:t xml:space="preserve"> scandal. The German vehicle manufacturer admitted that between 2009 and 2015, they had installed specially engineered defeat devices in their 2.0L diesel cars, with the sole intention to bypass regulatory emission tests. Furthermore, the release of data suggesting that </w:t>
      </w:r>
      <w:r w:rsidRPr="00E80619">
        <w:rPr>
          <w:rFonts w:ascii="Arial" w:hAnsi="Arial" w:cs="Arial"/>
          <w:sz w:val="24"/>
          <w:szCs w:val="24"/>
        </w:rPr>
        <w:t xml:space="preserve">senior managers were aware about the device all along created further implications for the company (Kieler, 2016; Tabuchi, Ewing &amp; Apuzzo, 2017). </w:t>
      </w:r>
      <w:r w:rsidRPr="00E80619">
        <w:rPr>
          <w:rFonts w:ascii="Arial" w:hAnsi="Arial" w:cs="Arial"/>
          <w:sz w:val="24"/>
          <w:szCs w:val="24"/>
          <w:lang w:val="en-US"/>
        </w:rPr>
        <w:t>The following report will seek to examine two of the external threats in relation to the scandal: the regulatory crackdown and loss of consumer trust and market share.</w:t>
      </w:r>
    </w:p>
    <w:p w14:paraId="42742666" w14:textId="77777777" w:rsidR="003E05B7" w:rsidRPr="00E80619" w:rsidRDefault="003E05B7" w:rsidP="003E05B7">
      <w:pPr>
        <w:spacing w:line="360" w:lineRule="auto"/>
        <w:jc w:val="both"/>
        <w:rPr>
          <w:rFonts w:ascii="Arial" w:hAnsi="Arial" w:cs="Arial"/>
          <w:sz w:val="24"/>
          <w:szCs w:val="24"/>
          <w:lang w:val="en-US"/>
        </w:rPr>
      </w:pPr>
      <w:r w:rsidRPr="00E80619">
        <w:rPr>
          <w:rFonts w:ascii="Arial" w:hAnsi="Arial" w:cs="Arial"/>
          <w:sz w:val="24"/>
          <w:szCs w:val="24"/>
          <w:lang w:val="en-US"/>
        </w:rPr>
        <w:t xml:space="preserve">The regulatory response presents a complex challenge for Volkswagen, as strengthened oversight and stricter enforcement have significantly increased the company’s exposure to risk in a highly regulated industry. Following intense global criticism against the deceptive practices, industry regulators were forced to reevaluate the existing standards, which resulted in increased focus and advancement of the </w:t>
      </w:r>
      <w:r w:rsidRPr="00E80619">
        <w:rPr>
          <w:rFonts w:ascii="Arial" w:hAnsi="Arial" w:cs="Arial"/>
          <w:sz w:val="24"/>
          <w:szCs w:val="24"/>
        </w:rPr>
        <w:lastRenderedPageBreak/>
        <w:t>emissions testing procedures, strengthening the enforcement powers for regulatory bodies and the introduction of strict penalties for non-compliance. Prior to the Volkswagen manipulation revelations, manufacturers would be prone to engage in predominantly lab-based vehicle testing, which subsequently enabled them to adopt fraudulent technology and alter real-world emission levels (Alé-</w:t>
      </w:r>
      <w:proofErr w:type="spellStart"/>
      <w:r w:rsidRPr="00E80619">
        <w:rPr>
          <w:rFonts w:ascii="Arial" w:hAnsi="Arial" w:cs="Arial"/>
          <w:sz w:val="24"/>
          <w:szCs w:val="24"/>
        </w:rPr>
        <w:t>Chilet</w:t>
      </w:r>
      <w:proofErr w:type="spellEnd"/>
      <w:r w:rsidRPr="00E80619">
        <w:rPr>
          <w:rFonts w:ascii="Arial" w:hAnsi="Arial" w:cs="Arial"/>
          <w:sz w:val="24"/>
          <w:szCs w:val="24"/>
        </w:rPr>
        <w:t xml:space="preserve"> et al., 2025). New methods such as the </w:t>
      </w:r>
      <w:r w:rsidRPr="00E80619">
        <w:rPr>
          <w:rFonts w:ascii="Arial" w:hAnsi="Arial" w:cs="Arial"/>
          <w:sz w:val="24"/>
          <w:szCs w:val="24"/>
          <w:lang w:val="en-US"/>
        </w:rPr>
        <w:t>Worldwide Light Vehicles Test Procedure and the Real Driving Emissions on-road testing were introduced to ensure the provision of realistic and accurate figures for fuel consumption. These changes significantly raised the technical and financial barriers for the company, requiring extensive engine redesign and after-treatment investments.</w:t>
      </w:r>
    </w:p>
    <w:p w14:paraId="7CF1E98C" w14:textId="77777777" w:rsidR="003E05B7" w:rsidRPr="00E80619" w:rsidRDefault="003E05B7" w:rsidP="003E05B7">
      <w:pPr>
        <w:spacing w:line="360" w:lineRule="auto"/>
        <w:jc w:val="both"/>
        <w:rPr>
          <w:rFonts w:ascii="Arial" w:hAnsi="Arial" w:cs="Arial"/>
          <w:sz w:val="24"/>
          <w:szCs w:val="24"/>
        </w:rPr>
      </w:pPr>
      <w:r w:rsidRPr="00E80619">
        <w:rPr>
          <w:rFonts w:ascii="Arial" w:hAnsi="Arial" w:cs="Arial"/>
          <w:sz w:val="24"/>
          <w:szCs w:val="24"/>
          <w:lang w:val="en-US"/>
        </w:rPr>
        <w:t xml:space="preserve">Another significant threat relates to the loss of consumer trust &amp; market share. The company’s failure to uphold its commitment to environmental sustainability and the unprecedented malpractice admitted by management resulted in worldwide customer outcry and undermined the credibility of both the products and corporate governance (Guidara, 2025). </w:t>
      </w:r>
      <w:r w:rsidRPr="00E80619">
        <w:rPr>
          <w:rFonts w:ascii="Arial" w:hAnsi="Arial" w:cs="Arial"/>
          <w:sz w:val="24"/>
          <w:szCs w:val="24"/>
        </w:rPr>
        <w:t>The ongoing media scrutiny and public legal investigations strengthened the negative perception of Volkswagen and directly translated into</w:t>
      </w:r>
      <w:r w:rsidRPr="00E80619">
        <w:rPr>
          <w:rFonts w:ascii="Arial" w:hAnsi="Arial" w:cs="Arial"/>
        </w:rPr>
        <w:t xml:space="preserve"> </w:t>
      </w:r>
      <w:r w:rsidRPr="00E80619">
        <w:rPr>
          <w:rFonts w:ascii="Arial" w:hAnsi="Arial" w:cs="Arial"/>
          <w:sz w:val="24"/>
          <w:szCs w:val="24"/>
        </w:rPr>
        <w:t xml:space="preserve">tangible commercial consequences, including reduced sales, lower market share and challenges in maintaining dealer and investor confidence. The aftermath of the scandal resulted in consumers shifting their loyalty to other electric vehicle competitors such as Toyota and Tesla, which reflected a broader trend toward environmentally responsible alternatives (Andersen, Upham &amp; </w:t>
      </w:r>
      <w:proofErr w:type="spellStart"/>
      <w:r w:rsidRPr="00E80619">
        <w:rPr>
          <w:rFonts w:ascii="Arial" w:hAnsi="Arial" w:cs="Arial"/>
          <w:sz w:val="24"/>
          <w:szCs w:val="24"/>
        </w:rPr>
        <w:t>Aall</w:t>
      </w:r>
      <w:proofErr w:type="spellEnd"/>
      <w:r w:rsidRPr="00E80619">
        <w:rPr>
          <w:rFonts w:ascii="Arial" w:hAnsi="Arial" w:cs="Arial"/>
          <w:sz w:val="24"/>
          <w:szCs w:val="24"/>
        </w:rPr>
        <w:t>, 2018).</w:t>
      </w:r>
    </w:p>
    <w:p w14:paraId="67999F89" w14:textId="507600E7" w:rsidR="003E05B7" w:rsidRPr="00E80619" w:rsidRDefault="003E05B7" w:rsidP="003E05B7">
      <w:pPr>
        <w:spacing w:line="360" w:lineRule="auto"/>
        <w:jc w:val="both"/>
        <w:rPr>
          <w:rFonts w:ascii="Arial" w:hAnsi="Arial" w:cs="Arial"/>
          <w:b/>
          <w:bCs/>
          <w:sz w:val="24"/>
          <w:szCs w:val="24"/>
        </w:rPr>
      </w:pPr>
      <w:r w:rsidRPr="00E80619">
        <w:rPr>
          <w:rFonts w:ascii="Arial" w:hAnsi="Arial" w:cs="Arial"/>
          <w:sz w:val="24"/>
          <w:szCs w:val="24"/>
        </w:rPr>
        <w:t xml:space="preserve">To conclude, the </w:t>
      </w:r>
      <w:proofErr w:type="spellStart"/>
      <w:r w:rsidRPr="00E80619">
        <w:rPr>
          <w:rFonts w:ascii="Arial" w:hAnsi="Arial" w:cs="Arial"/>
          <w:sz w:val="24"/>
          <w:szCs w:val="24"/>
        </w:rPr>
        <w:t>Dieselgate</w:t>
      </w:r>
      <w:proofErr w:type="spellEnd"/>
      <w:r w:rsidRPr="00E80619">
        <w:rPr>
          <w:rFonts w:ascii="Arial" w:hAnsi="Arial" w:cs="Arial"/>
          <w:sz w:val="24"/>
          <w:szCs w:val="24"/>
        </w:rPr>
        <w:t xml:space="preserve"> controversy exposed Volkswagen to multiple external threats, most notably regulatory scrutiny and the erosion of consumer trust. These challenges highlight how corporate misconduct can have lasting financial, operational, and reputational consequences and demonstrate that credibility and governance transparency are key in </w:t>
      </w:r>
      <w:r>
        <w:rPr>
          <w:rFonts w:ascii="Arial" w:hAnsi="Arial" w:cs="Arial"/>
          <w:sz w:val="24"/>
          <w:szCs w:val="24"/>
        </w:rPr>
        <w:t>remaining relevant in the highly competitive</w:t>
      </w:r>
      <w:r w:rsidRPr="00E80619">
        <w:rPr>
          <w:rFonts w:ascii="Arial" w:hAnsi="Arial" w:cs="Arial"/>
          <w:sz w:val="24"/>
          <w:szCs w:val="24"/>
        </w:rPr>
        <w:t xml:space="preserve"> automotive industry.</w:t>
      </w:r>
    </w:p>
    <w:p w14:paraId="0B8A3865" w14:textId="77777777" w:rsidR="003E05B7" w:rsidRPr="00E80619" w:rsidRDefault="003E05B7" w:rsidP="003E05B7">
      <w:pPr>
        <w:spacing w:line="360" w:lineRule="auto"/>
        <w:jc w:val="both"/>
        <w:rPr>
          <w:rFonts w:ascii="Arial" w:hAnsi="Arial" w:cs="Arial"/>
          <w:b/>
          <w:bCs/>
          <w:sz w:val="24"/>
          <w:szCs w:val="24"/>
        </w:rPr>
      </w:pPr>
    </w:p>
    <w:p w14:paraId="50A22433" w14:textId="77777777" w:rsidR="003E05B7" w:rsidRPr="00E80619" w:rsidRDefault="003E05B7" w:rsidP="003E05B7">
      <w:pPr>
        <w:spacing w:line="360" w:lineRule="auto"/>
        <w:jc w:val="both"/>
        <w:rPr>
          <w:rFonts w:ascii="Arial" w:hAnsi="Arial" w:cs="Arial"/>
          <w:b/>
          <w:bCs/>
          <w:sz w:val="24"/>
          <w:szCs w:val="24"/>
        </w:rPr>
      </w:pPr>
    </w:p>
    <w:p w14:paraId="7753AA7D" w14:textId="77777777" w:rsidR="003E05B7" w:rsidRPr="00E80619" w:rsidRDefault="003E05B7" w:rsidP="003E05B7">
      <w:pPr>
        <w:spacing w:line="360" w:lineRule="auto"/>
        <w:jc w:val="both"/>
        <w:rPr>
          <w:rFonts w:ascii="Arial" w:hAnsi="Arial" w:cs="Arial"/>
          <w:b/>
          <w:bCs/>
          <w:sz w:val="24"/>
          <w:szCs w:val="24"/>
        </w:rPr>
      </w:pPr>
    </w:p>
    <w:p w14:paraId="5FC0882D" w14:textId="77777777" w:rsidR="003E05B7" w:rsidRPr="00E80619" w:rsidRDefault="003E05B7" w:rsidP="003E05B7">
      <w:pPr>
        <w:spacing w:line="360" w:lineRule="auto"/>
        <w:jc w:val="both"/>
        <w:rPr>
          <w:rFonts w:ascii="Arial" w:hAnsi="Arial" w:cs="Arial"/>
          <w:b/>
          <w:bCs/>
          <w:sz w:val="24"/>
          <w:szCs w:val="24"/>
        </w:rPr>
      </w:pPr>
    </w:p>
    <w:p w14:paraId="3C6AEB0B" w14:textId="77777777" w:rsidR="003E05B7" w:rsidRDefault="003E05B7" w:rsidP="003E05B7">
      <w:pPr>
        <w:spacing w:line="360" w:lineRule="auto"/>
        <w:jc w:val="both"/>
        <w:rPr>
          <w:rFonts w:ascii="Arial" w:hAnsi="Arial" w:cs="Arial"/>
          <w:b/>
          <w:bCs/>
          <w:sz w:val="24"/>
          <w:szCs w:val="24"/>
        </w:rPr>
      </w:pPr>
    </w:p>
    <w:p w14:paraId="4C818468" w14:textId="7FAA1EC2" w:rsidR="003E05B7" w:rsidRPr="00E80619" w:rsidRDefault="003E05B7" w:rsidP="003E05B7">
      <w:pPr>
        <w:spacing w:line="360" w:lineRule="auto"/>
        <w:jc w:val="both"/>
        <w:rPr>
          <w:rFonts w:ascii="Arial" w:hAnsi="Arial" w:cs="Arial"/>
          <w:b/>
          <w:bCs/>
          <w:sz w:val="24"/>
          <w:szCs w:val="24"/>
        </w:rPr>
      </w:pPr>
      <w:r w:rsidRPr="00E80619">
        <w:rPr>
          <w:rFonts w:ascii="Arial" w:hAnsi="Arial" w:cs="Arial"/>
          <w:b/>
          <w:bCs/>
          <w:sz w:val="24"/>
          <w:szCs w:val="24"/>
        </w:rPr>
        <w:t>References:</w:t>
      </w:r>
    </w:p>
    <w:p w14:paraId="1FC165A5" w14:textId="77777777" w:rsidR="003E05B7" w:rsidRPr="00E80619" w:rsidRDefault="003E05B7" w:rsidP="003E05B7">
      <w:pPr>
        <w:spacing w:line="360" w:lineRule="auto"/>
        <w:jc w:val="both"/>
        <w:rPr>
          <w:rFonts w:ascii="Arial" w:hAnsi="Arial" w:cs="Arial"/>
          <w:sz w:val="24"/>
          <w:szCs w:val="24"/>
        </w:rPr>
      </w:pPr>
      <w:r w:rsidRPr="00E80619">
        <w:rPr>
          <w:rFonts w:ascii="Arial" w:hAnsi="Arial" w:cs="Arial"/>
          <w:sz w:val="24"/>
          <w:szCs w:val="24"/>
        </w:rPr>
        <w:t>Alé-</w:t>
      </w:r>
      <w:proofErr w:type="spellStart"/>
      <w:r w:rsidRPr="00E80619">
        <w:rPr>
          <w:rFonts w:ascii="Arial" w:hAnsi="Arial" w:cs="Arial"/>
          <w:sz w:val="24"/>
          <w:szCs w:val="24"/>
        </w:rPr>
        <w:t>Chilet</w:t>
      </w:r>
      <w:proofErr w:type="spellEnd"/>
      <w:r w:rsidRPr="00E80619">
        <w:rPr>
          <w:rFonts w:ascii="Arial" w:hAnsi="Arial" w:cs="Arial"/>
          <w:sz w:val="24"/>
          <w:szCs w:val="24"/>
        </w:rPr>
        <w:t xml:space="preserve">, J., et al. (2025) ‘Colluding against environmental regulation’, </w:t>
      </w:r>
      <w:r w:rsidRPr="00E80619">
        <w:rPr>
          <w:rFonts w:ascii="Arial" w:hAnsi="Arial" w:cs="Arial"/>
          <w:i/>
          <w:iCs/>
          <w:sz w:val="24"/>
          <w:szCs w:val="24"/>
        </w:rPr>
        <w:t>Review of Economic Studies</w:t>
      </w:r>
      <w:r w:rsidRPr="00E80619">
        <w:rPr>
          <w:rFonts w:ascii="Arial" w:hAnsi="Arial" w:cs="Arial"/>
          <w:sz w:val="24"/>
          <w:szCs w:val="24"/>
        </w:rPr>
        <w:t xml:space="preserve"> [Preprint]. </w:t>
      </w:r>
      <w:proofErr w:type="spellStart"/>
      <w:r w:rsidRPr="00E80619">
        <w:rPr>
          <w:rFonts w:ascii="Arial" w:hAnsi="Arial" w:cs="Arial"/>
          <w:sz w:val="24"/>
          <w:szCs w:val="24"/>
        </w:rPr>
        <w:t>doi</w:t>
      </w:r>
      <w:proofErr w:type="spellEnd"/>
      <w:r w:rsidRPr="00E80619">
        <w:rPr>
          <w:rFonts w:ascii="Arial" w:hAnsi="Arial" w:cs="Arial"/>
          <w:sz w:val="24"/>
          <w:szCs w:val="24"/>
        </w:rPr>
        <w:t>: 10.1093/</w:t>
      </w:r>
      <w:proofErr w:type="spellStart"/>
      <w:r w:rsidRPr="00E80619">
        <w:rPr>
          <w:rFonts w:ascii="Arial" w:hAnsi="Arial" w:cs="Arial"/>
          <w:sz w:val="24"/>
          <w:szCs w:val="24"/>
        </w:rPr>
        <w:t>restud</w:t>
      </w:r>
      <w:proofErr w:type="spellEnd"/>
      <w:r w:rsidRPr="00E80619">
        <w:rPr>
          <w:rFonts w:ascii="Arial" w:hAnsi="Arial" w:cs="Arial"/>
          <w:sz w:val="24"/>
          <w:szCs w:val="24"/>
        </w:rPr>
        <w:t>/rdaf024.</w:t>
      </w:r>
    </w:p>
    <w:p w14:paraId="596538F1" w14:textId="77777777" w:rsidR="003E05B7" w:rsidRPr="00E80619" w:rsidRDefault="003E05B7" w:rsidP="003E05B7">
      <w:pPr>
        <w:spacing w:line="360" w:lineRule="auto"/>
        <w:jc w:val="both"/>
        <w:rPr>
          <w:rFonts w:ascii="Arial" w:hAnsi="Arial" w:cs="Arial"/>
          <w:sz w:val="24"/>
          <w:szCs w:val="24"/>
        </w:rPr>
      </w:pPr>
      <w:r w:rsidRPr="00E80619">
        <w:rPr>
          <w:rFonts w:ascii="Arial" w:hAnsi="Arial" w:cs="Arial"/>
          <w:sz w:val="24"/>
          <w:szCs w:val="24"/>
        </w:rPr>
        <w:t xml:space="preserve">Andersen, O., Upham, P. and </w:t>
      </w:r>
      <w:proofErr w:type="spellStart"/>
      <w:r w:rsidRPr="00E80619">
        <w:rPr>
          <w:rFonts w:ascii="Arial" w:hAnsi="Arial" w:cs="Arial"/>
          <w:sz w:val="24"/>
          <w:szCs w:val="24"/>
        </w:rPr>
        <w:t>Aall</w:t>
      </w:r>
      <w:proofErr w:type="spellEnd"/>
      <w:r w:rsidRPr="00E80619">
        <w:rPr>
          <w:rFonts w:ascii="Arial" w:hAnsi="Arial" w:cs="Arial"/>
          <w:sz w:val="24"/>
          <w:szCs w:val="24"/>
        </w:rPr>
        <w:t xml:space="preserve">, C. (2018) ‘Technological response options after the VW Diesel Scandal’, </w:t>
      </w:r>
      <w:r w:rsidRPr="00E80619">
        <w:rPr>
          <w:rFonts w:ascii="Arial" w:hAnsi="Arial" w:cs="Arial"/>
          <w:i/>
          <w:iCs/>
          <w:sz w:val="24"/>
          <w:szCs w:val="24"/>
        </w:rPr>
        <w:t>Sustainability</w:t>
      </w:r>
      <w:r w:rsidRPr="00E80619">
        <w:rPr>
          <w:rFonts w:ascii="Arial" w:hAnsi="Arial" w:cs="Arial"/>
          <w:sz w:val="24"/>
          <w:szCs w:val="24"/>
        </w:rPr>
        <w:t>, 10(7), p. 2313.</w:t>
      </w:r>
    </w:p>
    <w:p w14:paraId="1B4652C4" w14:textId="77777777" w:rsidR="003E05B7" w:rsidRPr="00E80619" w:rsidRDefault="003E05B7" w:rsidP="003E05B7">
      <w:pPr>
        <w:spacing w:line="360" w:lineRule="auto"/>
        <w:jc w:val="both"/>
        <w:rPr>
          <w:rFonts w:ascii="Arial" w:hAnsi="Arial" w:cs="Arial"/>
          <w:sz w:val="24"/>
          <w:szCs w:val="24"/>
        </w:rPr>
      </w:pPr>
      <w:r w:rsidRPr="00E80619">
        <w:rPr>
          <w:rFonts w:ascii="Arial" w:hAnsi="Arial" w:cs="Arial"/>
          <w:sz w:val="24"/>
          <w:szCs w:val="24"/>
        </w:rPr>
        <w:t xml:space="preserve">Bowen, F. and Aragon-Correa, J.A. (2014) ‘Greenwashing in corporate environmentalism research and practice’, </w:t>
      </w:r>
      <w:r w:rsidRPr="00E80619">
        <w:rPr>
          <w:rFonts w:ascii="Arial" w:hAnsi="Arial" w:cs="Arial"/>
          <w:i/>
          <w:iCs/>
          <w:sz w:val="24"/>
          <w:szCs w:val="24"/>
        </w:rPr>
        <w:t>Organization &amp; Environment</w:t>
      </w:r>
      <w:r w:rsidRPr="00E80619">
        <w:rPr>
          <w:rFonts w:ascii="Arial" w:hAnsi="Arial" w:cs="Arial"/>
          <w:sz w:val="24"/>
          <w:szCs w:val="24"/>
        </w:rPr>
        <w:t xml:space="preserve">, 27(2), pp. 107–112. </w:t>
      </w:r>
      <w:proofErr w:type="spellStart"/>
      <w:r w:rsidRPr="00E80619">
        <w:rPr>
          <w:rFonts w:ascii="Arial" w:hAnsi="Arial" w:cs="Arial"/>
          <w:sz w:val="24"/>
          <w:szCs w:val="24"/>
        </w:rPr>
        <w:t>doi</w:t>
      </w:r>
      <w:proofErr w:type="spellEnd"/>
      <w:r w:rsidRPr="00E80619">
        <w:rPr>
          <w:rFonts w:ascii="Arial" w:hAnsi="Arial" w:cs="Arial"/>
          <w:sz w:val="24"/>
          <w:szCs w:val="24"/>
        </w:rPr>
        <w:t>: 10.1177/1086026614537078.</w:t>
      </w:r>
    </w:p>
    <w:p w14:paraId="73E1DB2D" w14:textId="77777777" w:rsidR="003E05B7" w:rsidRPr="00E80619" w:rsidRDefault="003E05B7" w:rsidP="003E05B7">
      <w:pPr>
        <w:spacing w:line="360" w:lineRule="auto"/>
        <w:jc w:val="both"/>
        <w:rPr>
          <w:rFonts w:ascii="Arial" w:hAnsi="Arial" w:cs="Arial"/>
          <w:sz w:val="24"/>
          <w:szCs w:val="24"/>
        </w:rPr>
      </w:pPr>
      <w:r w:rsidRPr="00E80619">
        <w:rPr>
          <w:rFonts w:ascii="Arial" w:hAnsi="Arial" w:cs="Arial"/>
          <w:sz w:val="24"/>
          <w:szCs w:val="24"/>
        </w:rPr>
        <w:t xml:space="preserve">de Freitas Netto, S.V., et al. (2020) ‘Concepts and forms of greenwashing: A systematic review’, </w:t>
      </w:r>
      <w:r w:rsidRPr="00E80619">
        <w:rPr>
          <w:rFonts w:ascii="Arial" w:hAnsi="Arial" w:cs="Arial"/>
          <w:i/>
          <w:iCs/>
          <w:sz w:val="24"/>
          <w:szCs w:val="24"/>
        </w:rPr>
        <w:t>Environmental Sciences Europe</w:t>
      </w:r>
      <w:r w:rsidRPr="00E80619">
        <w:rPr>
          <w:rFonts w:ascii="Arial" w:hAnsi="Arial" w:cs="Arial"/>
          <w:sz w:val="24"/>
          <w:szCs w:val="24"/>
        </w:rPr>
        <w:t xml:space="preserve">, 32(1). </w:t>
      </w:r>
      <w:proofErr w:type="spellStart"/>
      <w:r w:rsidRPr="00E80619">
        <w:rPr>
          <w:rFonts w:ascii="Arial" w:hAnsi="Arial" w:cs="Arial"/>
          <w:sz w:val="24"/>
          <w:szCs w:val="24"/>
        </w:rPr>
        <w:t>doi</w:t>
      </w:r>
      <w:proofErr w:type="spellEnd"/>
      <w:r w:rsidRPr="00E80619">
        <w:rPr>
          <w:rFonts w:ascii="Arial" w:hAnsi="Arial" w:cs="Arial"/>
          <w:sz w:val="24"/>
          <w:szCs w:val="24"/>
        </w:rPr>
        <w:t>: 10.1186/s12302-020-0300-3.</w:t>
      </w:r>
    </w:p>
    <w:p w14:paraId="3AA25378" w14:textId="77777777" w:rsidR="003E05B7" w:rsidRPr="00E80619" w:rsidRDefault="003E05B7" w:rsidP="003E05B7">
      <w:pPr>
        <w:spacing w:line="360" w:lineRule="auto"/>
        <w:jc w:val="both"/>
        <w:rPr>
          <w:rFonts w:ascii="Arial" w:hAnsi="Arial" w:cs="Arial"/>
          <w:sz w:val="24"/>
          <w:szCs w:val="24"/>
        </w:rPr>
      </w:pPr>
      <w:r w:rsidRPr="00E80619">
        <w:rPr>
          <w:rFonts w:ascii="Arial" w:hAnsi="Arial" w:cs="Arial"/>
          <w:sz w:val="24"/>
          <w:szCs w:val="24"/>
        </w:rPr>
        <w:t xml:space="preserve">Guidara, A. (2025) ‘Lessons from the Volkswagen emissions scandal: A literature review’, </w:t>
      </w:r>
      <w:r w:rsidRPr="00E80619">
        <w:rPr>
          <w:rFonts w:ascii="Arial" w:hAnsi="Arial" w:cs="Arial"/>
          <w:i/>
          <w:iCs/>
          <w:sz w:val="24"/>
          <w:szCs w:val="24"/>
        </w:rPr>
        <w:t>Responsible Business Review</w:t>
      </w:r>
      <w:r w:rsidRPr="00E80619">
        <w:rPr>
          <w:rFonts w:ascii="Arial" w:hAnsi="Arial" w:cs="Arial"/>
          <w:sz w:val="24"/>
          <w:szCs w:val="24"/>
        </w:rPr>
        <w:t xml:space="preserve">, 1(1), pp. 17–22. </w:t>
      </w:r>
      <w:proofErr w:type="spellStart"/>
      <w:r w:rsidRPr="00E80619">
        <w:rPr>
          <w:rFonts w:ascii="Arial" w:hAnsi="Arial" w:cs="Arial"/>
          <w:sz w:val="24"/>
          <w:szCs w:val="24"/>
        </w:rPr>
        <w:t>doi</w:t>
      </w:r>
      <w:proofErr w:type="spellEnd"/>
      <w:r w:rsidRPr="00E80619">
        <w:rPr>
          <w:rFonts w:ascii="Arial" w:hAnsi="Arial" w:cs="Arial"/>
          <w:sz w:val="24"/>
          <w:szCs w:val="24"/>
        </w:rPr>
        <w:t>: 10.22495/rbrv1i1p2.</w:t>
      </w:r>
    </w:p>
    <w:p w14:paraId="006901D5" w14:textId="77777777" w:rsidR="003E05B7" w:rsidRPr="00E80619" w:rsidRDefault="003E05B7" w:rsidP="003E05B7">
      <w:pPr>
        <w:spacing w:line="360" w:lineRule="auto"/>
        <w:jc w:val="both"/>
        <w:rPr>
          <w:rFonts w:ascii="Arial" w:hAnsi="Arial" w:cs="Arial"/>
          <w:sz w:val="24"/>
          <w:szCs w:val="24"/>
        </w:rPr>
      </w:pPr>
      <w:r w:rsidRPr="00E80619">
        <w:rPr>
          <w:rFonts w:ascii="Arial" w:hAnsi="Arial" w:cs="Arial"/>
          <w:sz w:val="24"/>
          <w:szCs w:val="24"/>
        </w:rPr>
        <w:t xml:space="preserve">Kieler, A. (2016, July 19) ‘Three states accuse Volkswagen of committing fraud’, </w:t>
      </w:r>
      <w:r w:rsidRPr="00E80619">
        <w:rPr>
          <w:rFonts w:ascii="Arial" w:hAnsi="Arial" w:cs="Arial"/>
          <w:i/>
          <w:iCs/>
          <w:sz w:val="24"/>
          <w:szCs w:val="24"/>
        </w:rPr>
        <w:t>Consumer Reports</w:t>
      </w:r>
      <w:r w:rsidRPr="00E80619">
        <w:rPr>
          <w:rFonts w:ascii="Arial" w:hAnsi="Arial" w:cs="Arial"/>
          <w:sz w:val="24"/>
          <w:szCs w:val="24"/>
        </w:rPr>
        <w:t>. Available at: https://www.consumerreports.org/cars/three-states-accuse-volkswagen-of-committing-fraud/</w:t>
      </w:r>
    </w:p>
    <w:p w14:paraId="5777F6AF" w14:textId="77777777" w:rsidR="003E05B7" w:rsidRPr="00E80619" w:rsidRDefault="003E05B7" w:rsidP="003E05B7">
      <w:pPr>
        <w:spacing w:line="360" w:lineRule="auto"/>
        <w:jc w:val="both"/>
        <w:rPr>
          <w:rFonts w:ascii="Arial" w:hAnsi="Arial" w:cs="Arial"/>
          <w:sz w:val="24"/>
          <w:szCs w:val="24"/>
        </w:rPr>
      </w:pPr>
      <w:r w:rsidRPr="00E80619">
        <w:rPr>
          <w:rFonts w:ascii="Arial" w:hAnsi="Arial" w:cs="Arial"/>
          <w:sz w:val="24"/>
          <w:szCs w:val="24"/>
        </w:rPr>
        <w:t xml:space="preserve">Tabuchi, H., Ewing, J. and Apuzzo, M. (2017, January 3) ‘Six Volkswagen executives charged as company pleads guilty in emissions case’, </w:t>
      </w:r>
      <w:r w:rsidRPr="00E80619">
        <w:rPr>
          <w:rFonts w:ascii="Arial" w:hAnsi="Arial" w:cs="Arial"/>
          <w:i/>
          <w:iCs/>
          <w:sz w:val="24"/>
          <w:szCs w:val="24"/>
        </w:rPr>
        <w:t>The New York Times</w:t>
      </w:r>
      <w:r w:rsidRPr="00E80619">
        <w:rPr>
          <w:rFonts w:ascii="Arial" w:hAnsi="Arial" w:cs="Arial"/>
          <w:sz w:val="24"/>
          <w:szCs w:val="24"/>
        </w:rPr>
        <w:t>.                Available at: https://www.nytimes.com/2017/01/03/business/volkswagen-emissions-scandal.html</w:t>
      </w:r>
    </w:p>
    <w:p w14:paraId="303F7B28" w14:textId="77777777" w:rsidR="003E05B7" w:rsidRPr="00E80619" w:rsidRDefault="003E05B7" w:rsidP="003E05B7">
      <w:pPr>
        <w:spacing w:line="360" w:lineRule="auto"/>
        <w:jc w:val="both"/>
        <w:rPr>
          <w:rFonts w:ascii="Arial" w:hAnsi="Arial" w:cs="Arial"/>
          <w:sz w:val="24"/>
          <w:szCs w:val="24"/>
        </w:rPr>
      </w:pPr>
    </w:p>
    <w:p w14:paraId="5AD14F9C" w14:textId="77777777" w:rsidR="004E391D" w:rsidRDefault="004E391D"/>
    <w:sectPr w:rsidR="004E39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5B7"/>
    <w:rsid w:val="002A7974"/>
    <w:rsid w:val="003E05B7"/>
    <w:rsid w:val="004873DD"/>
    <w:rsid w:val="004E391D"/>
    <w:rsid w:val="00B44AAA"/>
    <w:rsid w:val="00EA7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B04FC"/>
  <w15:chartTrackingRefBased/>
  <w15:docId w15:val="{FA5E2EF9-4700-4A50-B892-9D21C269D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5B7"/>
  </w:style>
  <w:style w:type="paragraph" w:styleId="Heading1">
    <w:name w:val="heading 1"/>
    <w:basedOn w:val="Normal"/>
    <w:next w:val="Normal"/>
    <w:link w:val="Heading1Char"/>
    <w:uiPriority w:val="9"/>
    <w:qFormat/>
    <w:rsid w:val="003E05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05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05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5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5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5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5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5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5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5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05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05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5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5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5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5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5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5B7"/>
    <w:rPr>
      <w:rFonts w:eastAsiaTheme="majorEastAsia" w:cstheme="majorBidi"/>
      <w:color w:val="272727" w:themeColor="text1" w:themeTint="D8"/>
    </w:rPr>
  </w:style>
  <w:style w:type="paragraph" w:styleId="Title">
    <w:name w:val="Title"/>
    <w:basedOn w:val="Normal"/>
    <w:next w:val="Normal"/>
    <w:link w:val="TitleChar"/>
    <w:uiPriority w:val="10"/>
    <w:qFormat/>
    <w:rsid w:val="003E05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5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5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5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5B7"/>
    <w:pPr>
      <w:spacing w:before="160"/>
      <w:jc w:val="center"/>
    </w:pPr>
    <w:rPr>
      <w:i/>
      <w:iCs/>
      <w:color w:val="404040" w:themeColor="text1" w:themeTint="BF"/>
    </w:rPr>
  </w:style>
  <w:style w:type="character" w:customStyle="1" w:styleId="QuoteChar">
    <w:name w:val="Quote Char"/>
    <w:basedOn w:val="DefaultParagraphFont"/>
    <w:link w:val="Quote"/>
    <w:uiPriority w:val="29"/>
    <w:rsid w:val="003E05B7"/>
    <w:rPr>
      <w:i/>
      <w:iCs/>
      <w:color w:val="404040" w:themeColor="text1" w:themeTint="BF"/>
    </w:rPr>
  </w:style>
  <w:style w:type="paragraph" w:styleId="ListParagraph">
    <w:name w:val="List Paragraph"/>
    <w:basedOn w:val="Normal"/>
    <w:uiPriority w:val="34"/>
    <w:qFormat/>
    <w:rsid w:val="003E05B7"/>
    <w:pPr>
      <w:ind w:left="720"/>
      <w:contextualSpacing/>
    </w:pPr>
  </w:style>
  <w:style w:type="character" w:styleId="IntenseEmphasis">
    <w:name w:val="Intense Emphasis"/>
    <w:basedOn w:val="DefaultParagraphFont"/>
    <w:uiPriority w:val="21"/>
    <w:qFormat/>
    <w:rsid w:val="003E05B7"/>
    <w:rPr>
      <w:i/>
      <w:iCs/>
      <w:color w:val="0F4761" w:themeColor="accent1" w:themeShade="BF"/>
    </w:rPr>
  </w:style>
  <w:style w:type="paragraph" w:styleId="IntenseQuote">
    <w:name w:val="Intense Quote"/>
    <w:basedOn w:val="Normal"/>
    <w:next w:val="Normal"/>
    <w:link w:val="IntenseQuoteChar"/>
    <w:uiPriority w:val="30"/>
    <w:qFormat/>
    <w:rsid w:val="003E05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5B7"/>
    <w:rPr>
      <w:i/>
      <w:iCs/>
      <w:color w:val="0F4761" w:themeColor="accent1" w:themeShade="BF"/>
    </w:rPr>
  </w:style>
  <w:style w:type="character" w:styleId="IntenseReference">
    <w:name w:val="Intense Reference"/>
    <w:basedOn w:val="DefaultParagraphFont"/>
    <w:uiPriority w:val="32"/>
    <w:qFormat/>
    <w:rsid w:val="003E05B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686</Words>
  <Characters>4514</Characters>
  <Application>Microsoft Office Word</Application>
  <DocSecurity>0</DocSecurity>
  <Lines>81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Basri Basriev</dc:creator>
  <cp:keywords/>
  <dc:description/>
  <cp:lastModifiedBy>Basri Basriev</cp:lastModifiedBy>
  <cp:revision>4</cp:revision>
  <dcterms:created xsi:type="dcterms:W3CDTF">2025-11-14T21:08:00Z</dcterms:created>
  <dcterms:modified xsi:type="dcterms:W3CDTF">2025-11-14T21:12:00Z</dcterms:modified>
</cp:coreProperties>
</file>