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618A2" w:rsidRDefault="002618A2" w:rsidP="002618A2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eastAsia="en-GB"/>
        </w:rPr>
        <w:drawing>
          <wp:inline distT="0" distB="0" distL="0" distR="0">
            <wp:extent cx="2061210" cy="860425"/>
            <wp:effectExtent l="19050" t="0" r="0" b="0"/>
            <wp:docPr id="1" name="Picture 1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blettm\AppData\Local\Microsoft\Windows\Temporary Internet Files\Content.Outlook\R41HOZLM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1210" cy="860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618A2" w:rsidRDefault="002618A2" w:rsidP="002618A2">
      <w:pPr>
        <w:pStyle w:val="NormalWeb"/>
        <w:spacing w:before="0" w:beforeAutospacing="0" w:after="0" w:afterAutospacing="0"/>
        <w:ind w:left="-180" w:right="-334"/>
      </w:pPr>
    </w:p>
    <w:p w:rsidR="002618A2" w:rsidRDefault="002618A2" w:rsidP="002618A2">
      <w:pPr>
        <w:pStyle w:val="NormalWeb"/>
        <w:spacing w:before="0" w:beforeAutospacing="0" w:after="0" w:afterAutospacing="0"/>
        <w:ind w:left="-180" w:right="-334"/>
      </w:pPr>
    </w:p>
    <w:p w:rsidR="002618A2" w:rsidRDefault="002618A2" w:rsidP="002618A2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:rsidR="002618A2" w:rsidRPr="00230F35" w:rsidRDefault="002618A2" w:rsidP="002618A2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:rsidR="002618A2" w:rsidRPr="00230F35" w:rsidRDefault="002618A2" w:rsidP="002618A2">
      <w:pPr>
        <w:rPr>
          <w:rFonts w:ascii="Arial" w:hAnsi="Arial" w:cs="Arial"/>
          <w:sz w:val="28"/>
          <w:szCs w:val="28"/>
          <w:lang w:val="cy-GB"/>
        </w:rPr>
      </w:pPr>
    </w:p>
    <w:p w:rsidR="002618A2" w:rsidRDefault="002618A2" w:rsidP="002618A2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2618A2" w:rsidRDefault="002618A2" w:rsidP="002618A2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/>
      </w:tblPr>
      <w:tblGrid>
        <w:gridCol w:w="4694"/>
        <w:gridCol w:w="420"/>
        <w:gridCol w:w="1533"/>
        <w:gridCol w:w="282"/>
        <w:gridCol w:w="1791"/>
      </w:tblGrid>
      <w:tr w:rsidR="002618A2" w:rsidRPr="00230F35" w:rsidTr="00D60672">
        <w:trPr>
          <w:trHeight w:val="614"/>
        </w:trPr>
        <w:tc>
          <w:tcPr>
            <w:tcW w:w="8856" w:type="dxa"/>
            <w:gridSpan w:val="5"/>
          </w:tcPr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2618A2" w:rsidRPr="00230F35" w:rsidTr="00D60672">
        <w:trPr>
          <w:trHeight w:val="718"/>
        </w:trPr>
        <w:tc>
          <w:tcPr>
            <w:tcW w:w="8856" w:type="dxa"/>
            <w:gridSpan w:val="5"/>
          </w:tcPr>
          <w:p w:rsidR="002618A2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A2BBC">
              <w:rPr>
                <w:rFonts w:ascii="Arial" w:hAnsi="Arial" w:cs="Arial"/>
                <w:sz w:val="22"/>
                <w:szCs w:val="22"/>
              </w:rPr>
              <w:t xml:space="preserve"> Susan Axbey</w:t>
            </w: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618A2" w:rsidRPr="00230F35" w:rsidTr="00D60672">
        <w:trPr>
          <w:trHeight w:val="849"/>
        </w:trPr>
        <w:tc>
          <w:tcPr>
            <w:tcW w:w="4788" w:type="dxa"/>
          </w:tcPr>
          <w:p w:rsidR="002618A2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</w:t>
            </w:r>
            <w:r w:rsidR="000A2BBC">
              <w:rPr>
                <w:rFonts w:ascii="Arial" w:hAnsi="Arial" w:cs="Arial"/>
                <w:sz w:val="22"/>
                <w:szCs w:val="22"/>
              </w:rPr>
              <w:t xml:space="preserve">: CLCL 7003 </w:t>
            </w:r>
          </w:p>
          <w:p w:rsidR="002618A2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618A2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0A2BBC">
              <w:rPr>
                <w:rFonts w:ascii="Arial" w:hAnsi="Arial" w:cs="Arial"/>
                <w:sz w:val="22"/>
                <w:szCs w:val="22"/>
              </w:rPr>
              <w:t xml:space="preserve"> Theory and Methodology for the Study of Ancient Religions</w:t>
            </w:r>
          </w:p>
          <w:p w:rsidR="002618A2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2618A2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2618A2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618A2" w:rsidRPr="00230F35" w:rsidRDefault="000A2BBC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1502300</w:t>
            </w:r>
          </w:p>
        </w:tc>
        <w:tc>
          <w:tcPr>
            <w:tcW w:w="1802" w:type="dxa"/>
          </w:tcPr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2618A2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Yes/No</w:t>
            </w:r>
          </w:p>
          <w:p w:rsidR="002618A2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618A2" w:rsidRPr="00230F35" w:rsidRDefault="000A2BBC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2618A2" w:rsidRPr="00230F35" w:rsidTr="00D60672">
        <w:trPr>
          <w:trHeight w:val="1139"/>
        </w:trPr>
        <w:tc>
          <w:tcPr>
            <w:tcW w:w="8856" w:type="dxa"/>
            <w:gridSpan w:val="5"/>
          </w:tcPr>
          <w:p w:rsidR="002618A2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  <w:r w:rsidR="000A2BBC">
              <w:rPr>
                <w:rFonts w:ascii="Arial" w:hAnsi="Arial" w:cs="Arial"/>
                <w:sz w:val="22"/>
                <w:szCs w:val="22"/>
              </w:rPr>
              <w:t xml:space="preserve"> Dr Thomas Jansen      (Task 2 Encyclopaedia Article Unit 7 Louise Steel)</w:t>
            </w:r>
          </w:p>
          <w:p w:rsidR="002618A2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A2BBC">
              <w:rPr>
                <w:rFonts w:ascii="Arial" w:hAnsi="Arial" w:cs="Arial"/>
                <w:sz w:val="22"/>
                <w:szCs w:val="22"/>
              </w:rPr>
              <w:t>24 January 2020</w:t>
            </w:r>
          </w:p>
        </w:tc>
      </w:tr>
      <w:tr w:rsidR="002618A2" w:rsidRPr="00230F35" w:rsidTr="00D60672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2618A2" w:rsidRDefault="002618A2" w:rsidP="00D6067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If your module has multiple submissions please indicate which piece of work this is.</w:t>
            </w:r>
          </w:p>
          <w:p w:rsidR="002618A2" w:rsidRDefault="002618A2" w:rsidP="00D60672">
            <w:pPr>
              <w:rPr>
                <w:rFonts w:ascii="Arial" w:hAnsi="Arial" w:cs="Arial"/>
              </w:rPr>
            </w:pPr>
          </w:p>
          <w:p w:rsidR="002618A2" w:rsidRPr="00230F35" w:rsidRDefault="002618A2" w:rsidP="00D60672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="00D91BD3"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D91BD3">
              <w:rPr>
                <w:rFonts w:ascii="Arial" w:hAnsi="Arial" w:cs="Arial"/>
              </w:rPr>
            </w:r>
            <w:r w:rsidR="00D91BD3">
              <w:rPr>
                <w:rFonts w:ascii="Arial" w:hAnsi="Arial" w:cs="Arial"/>
              </w:rPr>
              <w:fldChar w:fldCharType="separate"/>
            </w:r>
            <w:r w:rsidR="00D91BD3"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="000A2BBC">
              <w:rPr>
                <w:rFonts w:ascii="Arial" w:hAnsi="Arial" w:cs="Arial"/>
              </w:rPr>
              <w:t>√</w:t>
            </w:r>
            <w:r w:rsidR="00D91BD3"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D91BD3">
              <w:rPr>
                <w:rFonts w:ascii="Arial" w:hAnsi="Arial" w:cs="Arial"/>
              </w:rPr>
            </w:r>
            <w:r w:rsidR="00D91BD3">
              <w:rPr>
                <w:rFonts w:ascii="Arial" w:hAnsi="Arial" w:cs="Arial"/>
              </w:rPr>
              <w:fldChar w:fldCharType="separate"/>
            </w:r>
            <w:r w:rsidR="00D91BD3"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="00D91BD3"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D91BD3">
              <w:rPr>
                <w:rFonts w:ascii="Arial" w:hAnsi="Arial" w:cs="Arial"/>
              </w:rPr>
            </w:r>
            <w:r w:rsidR="00D91BD3">
              <w:rPr>
                <w:rFonts w:ascii="Arial" w:hAnsi="Arial" w:cs="Arial"/>
              </w:rPr>
              <w:fldChar w:fldCharType="separate"/>
            </w:r>
            <w:r w:rsidR="00D91BD3"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="00D91BD3"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D91BD3">
              <w:rPr>
                <w:rFonts w:ascii="Arial" w:hAnsi="Arial" w:cs="Arial"/>
              </w:rPr>
            </w:r>
            <w:r w:rsidR="00D91BD3">
              <w:rPr>
                <w:rFonts w:ascii="Arial" w:hAnsi="Arial" w:cs="Arial"/>
              </w:rPr>
              <w:fldChar w:fldCharType="separate"/>
            </w:r>
            <w:r w:rsidR="00D91BD3"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="00D91BD3"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D91BD3">
              <w:rPr>
                <w:rFonts w:ascii="Arial" w:hAnsi="Arial" w:cs="Arial"/>
              </w:rPr>
            </w:r>
            <w:r w:rsidR="00D91BD3">
              <w:rPr>
                <w:rFonts w:ascii="Arial" w:hAnsi="Arial" w:cs="Arial"/>
              </w:rPr>
              <w:fldChar w:fldCharType="separate"/>
            </w:r>
            <w:r w:rsidR="00D91BD3"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="00D91BD3"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D91BD3">
              <w:rPr>
                <w:rFonts w:ascii="Arial" w:hAnsi="Arial" w:cs="Arial"/>
              </w:rPr>
            </w:r>
            <w:r w:rsidR="00D91BD3">
              <w:rPr>
                <w:rFonts w:ascii="Arial" w:hAnsi="Arial" w:cs="Arial"/>
              </w:rPr>
              <w:fldChar w:fldCharType="separate"/>
            </w:r>
            <w:r w:rsidR="00D91BD3" w:rsidRPr="00230F35">
              <w:rPr>
                <w:rFonts w:ascii="Arial" w:hAnsi="Arial" w:cs="Arial"/>
              </w:rPr>
              <w:fldChar w:fldCharType="end"/>
            </w:r>
            <w:bookmarkEnd w:id="5"/>
          </w:p>
        </w:tc>
      </w:tr>
      <w:tr w:rsidR="002618A2" w:rsidRPr="00230F35" w:rsidTr="00D60672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2618A2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</w:t>
            </w:r>
            <w:r w:rsidR="00E11E6D">
              <w:rPr>
                <w:rFonts w:ascii="Arial" w:hAnsi="Arial" w:cs="Arial"/>
                <w:sz w:val="22"/>
                <w:szCs w:val="22"/>
              </w:rPr>
              <w:t>S Axbey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</w:t>
            </w:r>
          </w:p>
          <w:p w:rsidR="002618A2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>
              <w:rPr>
                <w:rFonts w:ascii="Calibri" w:hAnsi="Calibri" w:cs="Calibri"/>
                <w:b/>
                <w:sz w:val="24"/>
                <w:szCs w:val="24"/>
              </w:rPr>
              <w:t>√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  <w:tr w:rsidR="002618A2" w:rsidRPr="00230F35" w:rsidTr="00D60672">
        <w:trPr>
          <w:trHeight w:val="3972"/>
        </w:trPr>
        <w:tc>
          <w:tcPr>
            <w:tcW w:w="8856" w:type="dxa"/>
            <w:gridSpan w:val="5"/>
          </w:tcPr>
          <w:p w:rsidR="002618A2" w:rsidRDefault="002618A2" w:rsidP="00D60672">
            <w:pPr>
              <w:rPr>
                <w:rFonts w:ascii="Arial" w:hAnsi="Arial"/>
                <w:b/>
              </w:rPr>
            </w:pPr>
          </w:p>
          <w:p w:rsidR="002618A2" w:rsidRPr="00116CE6" w:rsidRDefault="002618A2" w:rsidP="00D60672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/>
            </w:tblPr>
            <w:tblGrid>
              <w:gridCol w:w="6865"/>
              <w:gridCol w:w="1629"/>
            </w:tblGrid>
            <w:tr w:rsidR="002618A2" w:rsidRPr="00116CE6" w:rsidTr="00D60672">
              <w:tc>
                <w:tcPr>
                  <w:tcW w:w="6970" w:type="dxa"/>
                </w:tcPr>
                <w:p w:rsidR="002618A2" w:rsidRPr="00116CE6" w:rsidRDefault="002618A2" w:rsidP="00D6067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618A2" w:rsidRPr="00116CE6" w:rsidRDefault="002618A2" w:rsidP="00D6067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2618A2" w:rsidRPr="00116CE6" w:rsidRDefault="002618A2" w:rsidP="00D6067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618A2" w:rsidRPr="00116CE6" w:rsidTr="00D60672">
              <w:tc>
                <w:tcPr>
                  <w:tcW w:w="6970" w:type="dxa"/>
                </w:tcPr>
                <w:p w:rsidR="002618A2" w:rsidRPr="00116CE6" w:rsidRDefault="002618A2" w:rsidP="00D6067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618A2" w:rsidRPr="00116CE6" w:rsidRDefault="002618A2" w:rsidP="00D6067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2618A2" w:rsidRPr="00116CE6" w:rsidRDefault="002618A2" w:rsidP="00D6067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618A2" w:rsidRPr="00116CE6" w:rsidTr="00D60672">
              <w:tc>
                <w:tcPr>
                  <w:tcW w:w="6970" w:type="dxa"/>
                </w:tcPr>
                <w:p w:rsidR="002618A2" w:rsidRPr="00AA70BC" w:rsidRDefault="002618A2" w:rsidP="00D6067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AA70BC">
                    <w:rPr>
                      <w:rFonts w:ascii="Arial" w:hAnsi="Arial"/>
                      <w:sz w:val="20"/>
                      <w:szCs w:val="20"/>
                    </w:rPr>
                    <w:t xml:space="preserve">Agreed Internal Mark: </w:t>
                  </w:r>
                </w:p>
                <w:p w:rsidR="002618A2" w:rsidRPr="00E14D2E" w:rsidRDefault="002618A2" w:rsidP="00D60672">
                  <w:pPr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  <w:tc>
                <w:tcPr>
                  <w:tcW w:w="1660" w:type="dxa"/>
                </w:tcPr>
                <w:p w:rsidR="002618A2" w:rsidRPr="00E14D2E" w:rsidRDefault="002618A2" w:rsidP="00D60672">
                  <w:pPr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</w:tr>
            <w:tr w:rsidR="002618A2" w:rsidRPr="00116CE6" w:rsidTr="00D60672">
              <w:tc>
                <w:tcPr>
                  <w:tcW w:w="6970" w:type="dxa"/>
                </w:tcPr>
                <w:p w:rsidR="002618A2" w:rsidRPr="00116CE6" w:rsidRDefault="002618A2" w:rsidP="00D6067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618A2" w:rsidRPr="00116CE6" w:rsidRDefault="002618A2" w:rsidP="00D6067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2618A2" w:rsidRPr="00116CE6" w:rsidRDefault="002618A2" w:rsidP="00D6067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618A2" w:rsidRPr="00116CE6" w:rsidTr="00D60672">
              <w:tc>
                <w:tcPr>
                  <w:tcW w:w="6970" w:type="dxa"/>
                </w:tcPr>
                <w:p w:rsidR="002618A2" w:rsidRDefault="002618A2" w:rsidP="00D6067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618A2" w:rsidRPr="00022345" w:rsidRDefault="002618A2" w:rsidP="00D60672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2618A2" w:rsidRPr="00116CE6" w:rsidRDefault="002618A2" w:rsidP="00D6067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2618A2" w:rsidRPr="00116CE6" w:rsidRDefault="002618A2" w:rsidP="00D6067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2618A2" w:rsidRDefault="002618A2" w:rsidP="00D60672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2618A2" w:rsidRDefault="002618A2" w:rsidP="00D6067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618A2" w:rsidRDefault="002618A2" w:rsidP="00D6067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618A2" w:rsidRDefault="002618A2" w:rsidP="00D6067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618A2" w:rsidRDefault="002618A2" w:rsidP="00D6067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:rsidR="002618A2" w:rsidRDefault="002618A2" w:rsidP="00D60672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618A2" w:rsidRPr="00001C3B" w:rsidRDefault="002618A2" w:rsidP="00D60672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618A2" w:rsidRPr="00230F35" w:rsidTr="00D60672">
        <w:trPr>
          <w:trHeight w:val="492"/>
        </w:trPr>
        <w:tc>
          <w:tcPr>
            <w:tcW w:w="6768" w:type="dxa"/>
            <w:gridSpan w:val="3"/>
          </w:tcPr>
          <w:p w:rsidR="002618A2" w:rsidRPr="00230F35" w:rsidRDefault="002618A2" w:rsidP="00D60672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2618A2" w:rsidRPr="00230F35" w:rsidRDefault="002618A2" w:rsidP="00D60672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2618A2" w:rsidRPr="002F467C" w:rsidTr="00D60672">
        <w:tc>
          <w:tcPr>
            <w:tcW w:w="8856" w:type="dxa"/>
            <w:gridSpan w:val="5"/>
          </w:tcPr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618A2" w:rsidRPr="002F467C" w:rsidTr="00D60672">
        <w:trPr>
          <w:trHeight w:val="720"/>
        </w:trPr>
        <w:tc>
          <w:tcPr>
            <w:tcW w:w="5211" w:type="dxa"/>
            <w:gridSpan w:val="2"/>
          </w:tcPr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618A2" w:rsidRPr="002F467C" w:rsidTr="00D60672">
        <w:trPr>
          <w:trHeight w:val="720"/>
        </w:trPr>
        <w:tc>
          <w:tcPr>
            <w:tcW w:w="8856" w:type="dxa"/>
            <w:gridSpan w:val="5"/>
          </w:tcPr>
          <w:p w:rsidR="002618A2" w:rsidRPr="00AA70BC" w:rsidRDefault="002618A2" w:rsidP="00D60672">
            <w:pPr>
              <w:rPr>
                <w:rFonts w:ascii="Arial" w:hAnsi="Arial" w:cs="Arial"/>
                <w:b/>
              </w:rPr>
            </w:pPr>
            <w:r w:rsidRPr="00AA70BC">
              <w:rPr>
                <w:rFonts w:ascii="Arial" w:hAnsi="Arial" w:cs="Arial"/>
                <w:b/>
              </w:rPr>
              <w:t>AGREED INTERNAL MARK (where necessary):</w:t>
            </w:r>
          </w:p>
          <w:p w:rsidR="002618A2" w:rsidRPr="00AA70BC" w:rsidRDefault="002618A2" w:rsidP="00D60672">
            <w:pPr>
              <w:rPr>
                <w:rFonts w:ascii="Arial" w:hAnsi="Arial" w:cs="Arial"/>
                <w:b/>
              </w:rPr>
            </w:pPr>
          </w:p>
          <w:p w:rsidR="002618A2" w:rsidRDefault="002618A2" w:rsidP="00D60672">
            <w:pPr>
              <w:rPr>
                <w:rFonts w:ascii="Arial" w:hAnsi="Arial" w:cs="Arial"/>
                <w:b/>
              </w:rPr>
            </w:pPr>
            <w:r w:rsidRPr="00AA70BC">
              <w:rPr>
                <w:rFonts w:ascii="Arial" w:hAnsi="Arial" w:cs="Arial"/>
                <w:b/>
              </w:rPr>
              <w:t>Comment on process on arriving at agreed mark:</w:t>
            </w:r>
          </w:p>
          <w:p w:rsidR="002618A2" w:rsidRDefault="002618A2" w:rsidP="00D60672">
            <w:pPr>
              <w:rPr>
                <w:rFonts w:ascii="Arial" w:hAnsi="Arial" w:cs="Arial"/>
                <w:b/>
              </w:rPr>
            </w:pPr>
          </w:p>
          <w:p w:rsidR="002618A2" w:rsidRPr="00B34964" w:rsidRDefault="002618A2" w:rsidP="00D60672">
            <w:pPr>
              <w:rPr>
                <w:rFonts w:ascii="Arial" w:hAnsi="Arial" w:cs="Arial"/>
                <w:b/>
              </w:rPr>
            </w:pPr>
          </w:p>
        </w:tc>
      </w:tr>
      <w:tr w:rsidR="002618A2" w:rsidRPr="002F467C" w:rsidTr="00D60672">
        <w:trPr>
          <w:trHeight w:val="720"/>
        </w:trPr>
        <w:tc>
          <w:tcPr>
            <w:tcW w:w="8856" w:type="dxa"/>
            <w:gridSpan w:val="5"/>
          </w:tcPr>
          <w:p w:rsidR="002618A2" w:rsidRPr="00B34964" w:rsidRDefault="002618A2" w:rsidP="00D60672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lastRenderedPageBreak/>
              <w:t>External Examiner’s comments (if relevant)</w:t>
            </w: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618A2" w:rsidRPr="00230F35" w:rsidRDefault="002618A2" w:rsidP="00D6067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618A2" w:rsidRPr="002F467C" w:rsidTr="00D60672">
        <w:trPr>
          <w:trHeight w:val="720"/>
        </w:trPr>
        <w:tc>
          <w:tcPr>
            <w:tcW w:w="5211" w:type="dxa"/>
            <w:gridSpan w:val="2"/>
          </w:tcPr>
          <w:p w:rsidR="002618A2" w:rsidRPr="00230F35" w:rsidRDefault="002618A2" w:rsidP="00D60672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2618A2" w:rsidRPr="00230F35" w:rsidRDefault="002618A2" w:rsidP="00D60672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:rsidR="002618A2" w:rsidRDefault="002618A2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D26553" w:rsidRDefault="00D26553" w:rsidP="002618A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AE584C" w:rsidRDefault="00AE584C">
      <w:pPr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  <w:r>
        <w:rPr>
          <w:rFonts w:ascii="Trebuchet MS" w:hAnsi="Trebuchet MS" w:cs="Tahoma"/>
          <w:bCs/>
          <w:sz w:val="24"/>
          <w:szCs w:val="24"/>
        </w:rPr>
        <w:br w:type="page"/>
      </w:r>
    </w:p>
    <w:p w:rsidR="00885677" w:rsidRPr="00556698" w:rsidRDefault="00CD5FD8" w:rsidP="00CD5FD8">
      <w:pPr>
        <w:rPr>
          <w:rFonts w:ascii="Arial" w:hAnsi="Arial" w:cs="Arial"/>
          <w:b/>
          <w:sz w:val="24"/>
          <w:szCs w:val="24"/>
        </w:rPr>
      </w:pPr>
      <w:r w:rsidRPr="00556698">
        <w:rPr>
          <w:rFonts w:ascii="Arial" w:hAnsi="Arial" w:cs="Arial"/>
          <w:b/>
          <w:sz w:val="24"/>
          <w:szCs w:val="24"/>
        </w:rPr>
        <w:lastRenderedPageBreak/>
        <w:t>Task 2 Encyclopaedia article</w:t>
      </w:r>
      <w:r w:rsidR="008C01D6" w:rsidRPr="00556698">
        <w:rPr>
          <w:rFonts w:ascii="Arial" w:hAnsi="Arial" w:cs="Arial"/>
          <w:b/>
          <w:sz w:val="24"/>
          <w:szCs w:val="24"/>
        </w:rPr>
        <w:t xml:space="preserve"> CLCL 7003</w:t>
      </w:r>
    </w:p>
    <w:p w:rsidR="008C01D6" w:rsidRPr="00556698" w:rsidRDefault="008C01D6" w:rsidP="00CD5FD8">
      <w:pPr>
        <w:rPr>
          <w:rFonts w:ascii="Arial" w:hAnsi="Arial" w:cs="Arial"/>
          <w:b/>
          <w:sz w:val="24"/>
          <w:szCs w:val="24"/>
        </w:rPr>
      </w:pPr>
      <w:r w:rsidRPr="00556698">
        <w:rPr>
          <w:rFonts w:ascii="Arial" w:hAnsi="Arial" w:cs="Arial"/>
          <w:b/>
          <w:sz w:val="24"/>
          <w:szCs w:val="24"/>
        </w:rPr>
        <w:t>Unit 7 Van Gennep’s Rites of Passage</w:t>
      </w:r>
    </w:p>
    <w:p w:rsidR="00985266" w:rsidRDefault="005108C3" w:rsidP="00CD5F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Keywords: ritual, rites of passage, transition, flexibility.</w:t>
      </w:r>
    </w:p>
    <w:p w:rsidR="0041745E" w:rsidRPr="00556698" w:rsidRDefault="0041745E" w:rsidP="00CD5FD8">
      <w:pPr>
        <w:rPr>
          <w:rFonts w:ascii="Arial" w:hAnsi="Arial" w:cs="Arial"/>
          <w:b/>
          <w:sz w:val="24"/>
          <w:szCs w:val="24"/>
        </w:rPr>
      </w:pPr>
      <w:r w:rsidRPr="00556698">
        <w:rPr>
          <w:rFonts w:ascii="Arial" w:hAnsi="Arial" w:cs="Arial"/>
          <w:b/>
          <w:sz w:val="24"/>
          <w:szCs w:val="24"/>
        </w:rPr>
        <w:t>Background</w:t>
      </w:r>
    </w:p>
    <w:p w:rsidR="00556698" w:rsidRPr="00B90649" w:rsidRDefault="00B03006" w:rsidP="00A627A5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</w:rPr>
      </w:pPr>
      <w:r w:rsidRPr="00182CBA">
        <w:rPr>
          <w:rFonts w:ascii="Arial" w:hAnsi="Arial" w:cs="Arial"/>
          <w:b/>
          <w:sz w:val="24"/>
          <w:szCs w:val="24"/>
        </w:rPr>
        <w:t>Charles-Arnold Kurr</w:t>
      </w:r>
      <w:r>
        <w:rPr>
          <w:rFonts w:ascii="Arial" w:hAnsi="Arial" w:cs="Arial"/>
          <w:sz w:val="24"/>
          <w:szCs w:val="24"/>
        </w:rPr>
        <w:t xml:space="preserve"> </w:t>
      </w:r>
      <w:r w:rsidRPr="00B60BF3">
        <w:rPr>
          <w:rFonts w:ascii="Arial" w:hAnsi="Arial" w:cs="Arial"/>
          <w:b/>
          <w:sz w:val="24"/>
          <w:szCs w:val="24"/>
        </w:rPr>
        <w:t>v</w:t>
      </w:r>
      <w:r w:rsidR="00556698" w:rsidRPr="00B60BF3">
        <w:rPr>
          <w:rFonts w:ascii="Arial" w:hAnsi="Arial" w:cs="Arial"/>
          <w:b/>
          <w:sz w:val="24"/>
          <w:szCs w:val="24"/>
        </w:rPr>
        <w:t>an G</w:t>
      </w:r>
      <w:r w:rsidRPr="00B60BF3">
        <w:rPr>
          <w:rFonts w:ascii="Arial" w:hAnsi="Arial" w:cs="Arial"/>
          <w:b/>
          <w:sz w:val="24"/>
          <w:szCs w:val="24"/>
        </w:rPr>
        <w:t>ennep</w:t>
      </w:r>
      <w:r>
        <w:rPr>
          <w:rFonts w:ascii="Arial" w:hAnsi="Arial" w:cs="Arial"/>
          <w:sz w:val="24"/>
          <w:szCs w:val="24"/>
        </w:rPr>
        <w:t xml:space="preserve"> (23 April 1873 – 7 May 1957) was born in Ludwigsburg in Germany, but moved to Lyons in France with his mother when he was six years old on the separation of his parents.</w:t>
      </w:r>
      <w:r w:rsidR="00D86DDF">
        <w:rPr>
          <w:rFonts w:ascii="Arial" w:hAnsi="Arial" w:cs="Arial"/>
          <w:sz w:val="24"/>
          <w:szCs w:val="24"/>
        </w:rPr>
        <w:t xml:space="preserve"> He spent most of his life in France as an independent scholar, lecturer and translator, his main interests being ethnology and folklore.</w:t>
      </w:r>
      <w:r w:rsidR="001B0F6F">
        <w:rPr>
          <w:rFonts w:ascii="Arial" w:hAnsi="Arial" w:cs="Arial"/>
          <w:sz w:val="24"/>
          <w:szCs w:val="24"/>
        </w:rPr>
        <w:t xml:space="preserve"> H</w:t>
      </w:r>
      <w:r w:rsidR="00D86DDF">
        <w:rPr>
          <w:rFonts w:ascii="Arial" w:hAnsi="Arial" w:cs="Arial"/>
          <w:sz w:val="24"/>
          <w:szCs w:val="24"/>
        </w:rPr>
        <w:t>e was denied an academic post because of his disagreement with Durkheim and his followers</w:t>
      </w:r>
      <w:r w:rsidR="0055488D">
        <w:rPr>
          <w:rFonts w:ascii="Arial" w:hAnsi="Arial" w:cs="Arial"/>
          <w:sz w:val="24"/>
          <w:szCs w:val="24"/>
        </w:rPr>
        <w:t xml:space="preserve"> over questions of definition of totemism</w:t>
      </w:r>
      <w:r w:rsidR="00C20266">
        <w:rPr>
          <w:rFonts w:ascii="Arial" w:hAnsi="Arial" w:cs="Arial"/>
          <w:sz w:val="24"/>
          <w:szCs w:val="24"/>
        </w:rPr>
        <w:t>,</w:t>
      </w:r>
      <w:r w:rsidR="0055488D">
        <w:rPr>
          <w:rFonts w:ascii="Arial" w:hAnsi="Arial" w:cs="Arial"/>
          <w:sz w:val="24"/>
          <w:szCs w:val="24"/>
        </w:rPr>
        <w:t xml:space="preserve"> taboo</w:t>
      </w:r>
      <w:r w:rsidR="00C20266">
        <w:rPr>
          <w:rFonts w:ascii="Arial" w:hAnsi="Arial" w:cs="Arial"/>
          <w:sz w:val="24"/>
          <w:szCs w:val="24"/>
        </w:rPr>
        <w:t>, the distinction between magic and religion and the individual’s position in society.</w:t>
      </w:r>
      <w:r w:rsidR="00D86DDF">
        <w:rPr>
          <w:rFonts w:ascii="Arial" w:hAnsi="Arial" w:cs="Arial"/>
          <w:sz w:val="24"/>
          <w:szCs w:val="24"/>
        </w:rPr>
        <w:t xml:space="preserve"> </w:t>
      </w:r>
      <w:r w:rsidR="001B0F6F">
        <w:rPr>
          <w:rFonts w:ascii="Arial" w:hAnsi="Arial" w:cs="Arial"/>
          <w:sz w:val="24"/>
          <w:szCs w:val="24"/>
        </w:rPr>
        <w:t>However, this did not deter</w:t>
      </w:r>
      <w:r w:rsidR="00D86DDF">
        <w:rPr>
          <w:rFonts w:ascii="Arial" w:hAnsi="Arial" w:cs="Arial"/>
          <w:sz w:val="24"/>
          <w:szCs w:val="24"/>
        </w:rPr>
        <w:t xml:space="preserve"> </w:t>
      </w:r>
      <w:r w:rsidR="001B0F6F">
        <w:rPr>
          <w:rFonts w:ascii="Arial" w:hAnsi="Arial" w:cs="Arial"/>
          <w:sz w:val="24"/>
          <w:szCs w:val="24"/>
        </w:rPr>
        <w:t xml:space="preserve">him from </w:t>
      </w:r>
      <w:r w:rsidR="0099423C">
        <w:rPr>
          <w:rFonts w:ascii="Arial" w:hAnsi="Arial" w:cs="Arial"/>
          <w:sz w:val="24"/>
          <w:szCs w:val="24"/>
        </w:rPr>
        <w:t xml:space="preserve">publishing the results of his </w:t>
      </w:r>
      <w:r w:rsidR="005F7F0B">
        <w:rPr>
          <w:rFonts w:ascii="Arial" w:hAnsi="Arial" w:cs="Arial"/>
          <w:sz w:val="24"/>
          <w:szCs w:val="24"/>
        </w:rPr>
        <w:t xml:space="preserve">own </w:t>
      </w:r>
      <w:r w:rsidR="0099423C">
        <w:rPr>
          <w:rFonts w:ascii="Arial" w:hAnsi="Arial" w:cs="Arial"/>
          <w:sz w:val="24"/>
          <w:szCs w:val="24"/>
        </w:rPr>
        <w:t>scholarship</w:t>
      </w:r>
      <w:r w:rsidR="000763FD">
        <w:rPr>
          <w:rFonts w:ascii="Arial" w:hAnsi="Arial" w:cs="Arial"/>
          <w:sz w:val="24"/>
          <w:szCs w:val="24"/>
        </w:rPr>
        <w:t xml:space="preserve"> that were based on empirical observation</w:t>
      </w:r>
      <w:r w:rsidR="00497E3A">
        <w:rPr>
          <w:rFonts w:ascii="Arial" w:hAnsi="Arial" w:cs="Arial"/>
          <w:sz w:val="24"/>
          <w:szCs w:val="24"/>
        </w:rPr>
        <w:t xml:space="preserve"> in a wide range of contexts</w:t>
      </w:r>
      <w:r w:rsidR="000763FD">
        <w:rPr>
          <w:rFonts w:ascii="Arial" w:hAnsi="Arial" w:cs="Arial"/>
          <w:sz w:val="24"/>
          <w:szCs w:val="24"/>
        </w:rPr>
        <w:t>.</w:t>
      </w:r>
      <w:r w:rsidR="00497E3A">
        <w:rPr>
          <w:rFonts w:ascii="Arial" w:hAnsi="Arial" w:cs="Arial"/>
          <w:sz w:val="24"/>
          <w:szCs w:val="24"/>
        </w:rPr>
        <w:t xml:space="preserve"> </w:t>
      </w:r>
      <w:r w:rsidR="0099423C">
        <w:rPr>
          <w:rFonts w:ascii="Arial" w:hAnsi="Arial" w:cs="Arial"/>
          <w:sz w:val="24"/>
          <w:szCs w:val="24"/>
        </w:rPr>
        <w:t xml:space="preserve">His main </w:t>
      </w:r>
      <w:r w:rsidR="008A636F">
        <w:rPr>
          <w:rFonts w:ascii="Arial" w:hAnsi="Arial" w:cs="Arial"/>
          <w:sz w:val="24"/>
          <w:szCs w:val="24"/>
        </w:rPr>
        <w:t>book on</w:t>
      </w:r>
      <w:r w:rsidR="0099423C">
        <w:rPr>
          <w:rFonts w:ascii="Arial" w:hAnsi="Arial" w:cs="Arial"/>
          <w:sz w:val="24"/>
          <w:szCs w:val="24"/>
        </w:rPr>
        <w:t xml:space="preserve"> French folklore </w:t>
      </w:r>
      <w:r w:rsidR="001A6187">
        <w:rPr>
          <w:rFonts w:ascii="Arial" w:hAnsi="Arial" w:cs="Arial"/>
          <w:sz w:val="24"/>
          <w:szCs w:val="24"/>
        </w:rPr>
        <w:t>was</w:t>
      </w:r>
      <w:r w:rsidR="0099423C">
        <w:rPr>
          <w:rFonts w:ascii="Arial" w:hAnsi="Arial" w:cs="Arial"/>
          <w:sz w:val="24"/>
          <w:szCs w:val="24"/>
        </w:rPr>
        <w:t xml:space="preserve"> </w:t>
      </w:r>
      <w:r w:rsidR="0099423C" w:rsidRPr="0099423C">
        <w:rPr>
          <w:rFonts w:ascii="Arial" w:hAnsi="Arial" w:cs="Arial"/>
          <w:i/>
          <w:sz w:val="24"/>
          <w:szCs w:val="24"/>
        </w:rPr>
        <w:t>Le Manuel de folklore français contemporain</w:t>
      </w:r>
      <w:r w:rsidR="00382E1B">
        <w:rPr>
          <w:rFonts w:ascii="Arial" w:hAnsi="Arial" w:cs="Arial"/>
          <w:sz w:val="24"/>
          <w:szCs w:val="24"/>
        </w:rPr>
        <w:t xml:space="preserve"> (1937 -1958)</w:t>
      </w:r>
      <w:r w:rsidR="0029270F">
        <w:rPr>
          <w:rFonts w:ascii="Arial" w:hAnsi="Arial" w:cs="Arial"/>
          <w:sz w:val="24"/>
          <w:szCs w:val="24"/>
        </w:rPr>
        <w:t>.</w:t>
      </w:r>
      <w:r w:rsidR="008A636F">
        <w:rPr>
          <w:rFonts w:ascii="Arial" w:hAnsi="Arial" w:cs="Arial"/>
          <w:sz w:val="24"/>
          <w:szCs w:val="24"/>
        </w:rPr>
        <w:t xml:space="preserve"> </w:t>
      </w:r>
      <w:r w:rsidR="0029270F">
        <w:rPr>
          <w:rFonts w:ascii="Arial" w:hAnsi="Arial" w:cs="Arial"/>
          <w:sz w:val="24"/>
          <w:szCs w:val="24"/>
        </w:rPr>
        <w:t>H</w:t>
      </w:r>
      <w:r w:rsidR="008A636F">
        <w:rPr>
          <w:rFonts w:ascii="Arial" w:hAnsi="Arial" w:cs="Arial"/>
          <w:sz w:val="24"/>
          <w:szCs w:val="24"/>
        </w:rPr>
        <w:t xml:space="preserve">is best-known and most important work </w:t>
      </w:r>
      <w:r w:rsidR="001A6187">
        <w:rPr>
          <w:rFonts w:ascii="Arial" w:hAnsi="Arial" w:cs="Arial"/>
          <w:sz w:val="24"/>
          <w:szCs w:val="24"/>
        </w:rPr>
        <w:t>was</w:t>
      </w:r>
      <w:r w:rsidR="008A636F">
        <w:rPr>
          <w:rFonts w:ascii="Arial" w:hAnsi="Arial" w:cs="Arial"/>
          <w:sz w:val="24"/>
          <w:szCs w:val="24"/>
        </w:rPr>
        <w:t xml:space="preserve"> </w:t>
      </w:r>
      <w:r w:rsidR="008A636F" w:rsidRPr="008A636F">
        <w:rPr>
          <w:rFonts w:ascii="Arial" w:hAnsi="Arial" w:cs="Arial"/>
          <w:i/>
          <w:sz w:val="24"/>
          <w:szCs w:val="24"/>
        </w:rPr>
        <w:t xml:space="preserve">Les rites de passage </w:t>
      </w:r>
      <w:r w:rsidR="008A636F">
        <w:rPr>
          <w:rFonts w:ascii="Arial" w:hAnsi="Arial" w:cs="Arial"/>
          <w:sz w:val="24"/>
          <w:szCs w:val="24"/>
        </w:rPr>
        <w:t xml:space="preserve">(1909) </w:t>
      </w:r>
      <w:r w:rsidR="0029270F">
        <w:rPr>
          <w:rFonts w:ascii="Arial" w:hAnsi="Arial" w:cs="Arial"/>
          <w:sz w:val="24"/>
          <w:szCs w:val="24"/>
        </w:rPr>
        <w:t>which was translated by Vizedom and Caffee, with an introduction by Kimball and published in English in 1960</w:t>
      </w:r>
      <w:r w:rsidR="00497E3A">
        <w:rPr>
          <w:rFonts w:ascii="Arial" w:hAnsi="Arial" w:cs="Arial"/>
          <w:sz w:val="24"/>
          <w:szCs w:val="24"/>
        </w:rPr>
        <w:t>. (</w:t>
      </w:r>
      <w:r w:rsidR="00EA393F">
        <w:rPr>
          <w:rFonts w:ascii="Arial" w:hAnsi="Arial" w:cs="Arial"/>
          <w:sz w:val="24"/>
          <w:szCs w:val="24"/>
        </w:rPr>
        <w:t>Zumwalt</w:t>
      </w:r>
      <w:r w:rsidR="00497E3A">
        <w:rPr>
          <w:rFonts w:ascii="Arial" w:hAnsi="Arial" w:cs="Arial"/>
          <w:sz w:val="24"/>
          <w:szCs w:val="24"/>
        </w:rPr>
        <w:t>.</w:t>
      </w:r>
      <w:r w:rsidR="00167895">
        <w:rPr>
          <w:rFonts w:ascii="Arial" w:hAnsi="Arial" w:cs="Arial"/>
          <w:sz w:val="24"/>
          <w:szCs w:val="24"/>
        </w:rPr>
        <w:t xml:space="preserve"> 1982, pp.300-301).</w:t>
      </w:r>
      <w:r w:rsidR="00497E3A">
        <w:rPr>
          <w:rFonts w:ascii="Arial" w:hAnsi="Arial" w:cs="Arial"/>
          <w:sz w:val="24"/>
          <w:szCs w:val="24"/>
        </w:rPr>
        <w:t xml:space="preserve"> </w:t>
      </w:r>
      <w:r w:rsidR="0029270F">
        <w:rPr>
          <w:rFonts w:ascii="Arial" w:hAnsi="Arial" w:cs="Arial"/>
          <w:sz w:val="24"/>
          <w:szCs w:val="24"/>
        </w:rPr>
        <w:t xml:space="preserve"> </w:t>
      </w:r>
      <w:r w:rsidR="00E17E58">
        <w:rPr>
          <w:rFonts w:ascii="Arial" w:hAnsi="Arial" w:cs="Arial"/>
          <w:color w:val="FF0000"/>
          <w:sz w:val="24"/>
          <w:szCs w:val="24"/>
        </w:rPr>
        <w:t xml:space="preserve"> </w:t>
      </w:r>
    </w:p>
    <w:p w:rsidR="00A07BBB" w:rsidRDefault="005F7F0B" w:rsidP="00CD5FD8">
      <w:pPr>
        <w:rPr>
          <w:rFonts w:ascii="Arial" w:hAnsi="Arial" w:cs="Arial"/>
          <w:b/>
          <w:sz w:val="24"/>
          <w:szCs w:val="24"/>
        </w:rPr>
      </w:pPr>
      <w:r w:rsidRPr="005F7F0B">
        <w:rPr>
          <w:rFonts w:ascii="Arial" w:hAnsi="Arial" w:cs="Arial"/>
          <w:b/>
          <w:sz w:val="24"/>
          <w:szCs w:val="24"/>
        </w:rPr>
        <w:t>Rites of Passage</w:t>
      </w:r>
    </w:p>
    <w:p w:rsidR="00C82B9E" w:rsidRDefault="00C82B9E" w:rsidP="0087378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van Gennep’s view, ritual and ceremony were essential for the stability of society:</w:t>
      </w:r>
    </w:p>
    <w:p w:rsidR="00C82B9E" w:rsidRPr="009E06D9" w:rsidRDefault="00C82B9E" w:rsidP="00873789">
      <w:pPr>
        <w:spacing w:line="480" w:lineRule="auto"/>
        <w:ind w:left="720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Changes of condition do not occur without disturb</w:t>
      </w:r>
      <w:r w:rsidR="00EE0494">
        <w:rPr>
          <w:rFonts w:ascii="Arial" w:hAnsi="Arial" w:cs="Arial"/>
          <w:sz w:val="24"/>
          <w:szCs w:val="24"/>
        </w:rPr>
        <w:t xml:space="preserve">ing the life of society and the </w:t>
      </w:r>
      <w:r>
        <w:rPr>
          <w:rFonts w:ascii="Arial" w:hAnsi="Arial" w:cs="Arial"/>
          <w:sz w:val="24"/>
          <w:szCs w:val="24"/>
        </w:rPr>
        <w:t>individual and it is the function of rites of passage to reduce their harmful effect</w:t>
      </w:r>
      <w:r w:rsidR="00256C4B">
        <w:rPr>
          <w:rFonts w:ascii="Arial" w:hAnsi="Arial" w:cs="Arial"/>
          <w:sz w:val="24"/>
          <w:szCs w:val="24"/>
        </w:rPr>
        <w:t>.</w:t>
      </w:r>
      <w:r w:rsidR="009E06D9">
        <w:rPr>
          <w:rFonts w:ascii="Arial" w:hAnsi="Arial" w:cs="Arial"/>
          <w:sz w:val="24"/>
          <w:szCs w:val="24"/>
        </w:rPr>
        <w:t xml:space="preserve"> </w:t>
      </w:r>
      <w:r w:rsidR="00880A92">
        <w:rPr>
          <w:rFonts w:ascii="Arial" w:hAnsi="Arial" w:cs="Arial"/>
          <w:sz w:val="24"/>
          <w:szCs w:val="24"/>
        </w:rPr>
        <w:t>(</w:t>
      </w:r>
      <w:proofErr w:type="gramStart"/>
      <w:r w:rsidR="00880A92">
        <w:rPr>
          <w:rFonts w:ascii="Arial" w:hAnsi="Arial" w:cs="Arial"/>
          <w:sz w:val="24"/>
          <w:szCs w:val="24"/>
        </w:rPr>
        <w:t>van</w:t>
      </w:r>
      <w:proofErr w:type="gramEnd"/>
      <w:r w:rsidR="00880A92">
        <w:rPr>
          <w:rFonts w:ascii="Arial" w:hAnsi="Arial" w:cs="Arial"/>
          <w:sz w:val="24"/>
          <w:szCs w:val="24"/>
        </w:rPr>
        <w:t xml:space="preserve"> Gennep,1960, p.13).</w:t>
      </w:r>
    </w:p>
    <w:p w:rsidR="00C55DA0" w:rsidRDefault="00F52878" w:rsidP="0087378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F52878">
        <w:rPr>
          <w:rFonts w:ascii="Arial" w:hAnsi="Arial" w:cs="Arial"/>
          <w:i/>
          <w:sz w:val="24"/>
          <w:szCs w:val="24"/>
        </w:rPr>
        <w:lastRenderedPageBreak/>
        <w:t>Rites of Passage</w:t>
      </w:r>
      <w:r w:rsidR="00C56E0B">
        <w:rPr>
          <w:rFonts w:ascii="Arial" w:hAnsi="Arial" w:cs="Arial"/>
          <w:sz w:val="24"/>
          <w:szCs w:val="24"/>
        </w:rPr>
        <w:t xml:space="preserve"> was an exposition of the structural similarity of a wide range of rituals of change. His interest was in the commonality of form rather than the content of ritual</w:t>
      </w:r>
      <w:r w:rsidR="00E03508">
        <w:rPr>
          <w:rFonts w:ascii="Arial" w:hAnsi="Arial" w:cs="Arial"/>
          <w:sz w:val="24"/>
          <w:szCs w:val="24"/>
        </w:rPr>
        <w:t>, looking</w:t>
      </w:r>
      <w:r w:rsidR="00C56E0B">
        <w:rPr>
          <w:rFonts w:ascii="Arial" w:hAnsi="Arial" w:cs="Arial"/>
          <w:sz w:val="24"/>
          <w:szCs w:val="24"/>
        </w:rPr>
        <w:t xml:space="preserve"> </w:t>
      </w:r>
      <w:r w:rsidR="00E03508">
        <w:rPr>
          <w:rFonts w:ascii="Arial" w:hAnsi="Arial" w:cs="Arial"/>
          <w:sz w:val="24"/>
          <w:szCs w:val="24"/>
        </w:rPr>
        <w:t>for patterns within</w:t>
      </w:r>
      <w:r w:rsidR="00256C4B">
        <w:rPr>
          <w:rFonts w:ascii="Arial" w:hAnsi="Arial" w:cs="Arial"/>
          <w:sz w:val="24"/>
          <w:szCs w:val="24"/>
        </w:rPr>
        <w:t xml:space="preserve"> ritual rather than at the ritual itself. Van Gennep offered a model through which life changes</w:t>
      </w:r>
      <w:r w:rsidR="00DC2CB3">
        <w:rPr>
          <w:rFonts w:ascii="Arial" w:hAnsi="Arial" w:cs="Arial"/>
          <w:sz w:val="24"/>
          <w:szCs w:val="24"/>
        </w:rPr>
        <w:t xml:space="preserve"> </w:t>
      </w:r>
      <w:r w:rsidR="00256C4B">
        <w:rPr>
          <w:rFonts w:ascii="Arial" w:hAnsi="Arial" w:cs="Arial"/>
          <w:sz w:val="24"/>
          <w:szCs w:val="24"/>
        </w:rPr>
        <w:t>can be viewed that was universally applicable.</w:t>
      </w:r>
      <w:r w:rsidR="00DC2CB3">
        <w:rPr>
          <w:rFonts w:ascii="Arial" w:hAnsi="Arial" w:cs="Arial"/>
          <w:sz w:val="24"/>
          <w:szCs w:val="24"/>
        </w:rPr>
        <w:t xml:space="preserve"> </w:t>
      </w:r>
      <w:r w:rsidR="00256C4B">
        <w:rPr>
          <w:rFonts w:ascii="Arial" w:hAnsi="Arial" w:cs="Arial"/>
          <w:sz w:val="24"/>
          <w:szCs w:val="24"/>
        </w:rPr>
        <w:t>He identified a three-fold, flexible structure within ritual: separation (preliminal), transition (l</w:t>
      </w:r>
      <w:r w:rsidR="006C72BD">
        <w:rPr>
          <w:rFonts w:ascii="Arial" w:hAnsi="Arial" w:cs="Arial"/>
          <w:sz w:val="24"/>
          <w:szCs w:val="24"/>
        </w:rPr>
        <w:t>i</w:t>
      </w:r>
      <w:r w:rsidR="00256C4B">
        <w:rPr>
          <w:rFonts w:ascii="Arial" w:hAnsi="Arial" w:cs="Arial"/>
          <w:sz w:val="24"/>
          <w:szCs w:val="24"/>
        </w:rPr>
        <w:t>minal) and incorporation (postliminal). These stages symbolically mark and accomplish changes through life</w:t>
      </w:r>
      <w:r w:rsidR="0094699C">
        <w:rPr>
          <w:rFonts w:ascii="Arial" w:hAnsi="Arial" w:cs="Arial"/>
          <w:sz w:val="24"/>
          <w:szCs w:val="24"/>
        </w:rPr>
        <w:t>: movement from</w:t>
      </w:r>
      <w:r w:rsidR="00256C4B">
        <w:rPr>
          <w:rFonts w:ascii="Arial" w:hAnsi="Arial" w:cs="Arial"/>
          <w:sz w:val="24"/>
          <w:szCs w:val="24"/>
        </w:rPr>
        <w:t xml:space="preserve"> </w:t>
      </w:r>
      <w:r w:rsidR="0094699C">
        <w:rPr>
          <w:rFonts w:ascii="Arial" w:hAnsi="Arial" w:cs="Arial"/>
          <w:sz w:val="24"/>
          <w:szCs w:val="24"/>
        </w:rPr>
        <w:t xml:space="preserve">one stage to </w:t>
      </w:r>
      <w:r w:rsidR="00DC2CB3">
        <w:rPr>
          <w:rFonts w:ascii="Arial" w:hAnsi="Arial" w:cs="Arial"/>
          <w:sz w:val="24"/>
          <w:szCs w:val="24"/>
        </w:rPr>
        <w:t>another. This</w:t>
      </w:r>
      <w:r w:rsidR="00256C4B">
        <w:rPr>
          <w:rFonts w:ascii="Arial" w:hAnsi="Arial" w:cs="Arial"/>
          <w:sz w:val="24"/>
          <w:szCs w:val="24"/>
        </w:rPr>
        <w:t xml:space="preserve"> </w:t>
      </w:r>
      <w:r w:rsidR="00361D5B">
        <w:rPr>
          <w:rFonts w:ascii="Arial" w:hAnsi="Arial" w:cs="Arial"/>
          <w:sz w:val="24"/>
          <w:szCs w:val="24"/>
        </w:rPr>
        <w:t>sequence</w:t>
      </w:r>
      <w:r w:rsidR="00256C4B">
        <w:rPr>
          <w:rFonts w:ascii="Arial" w:hAnsi="Arial" w:cs="Arial"/>
          <w:sz w:val="24"/>
          <w:szCs w:val="24"/>
        </w:rPr>
        <w:t xml:space="preserve"> has been </w:t>
      </w:r>
      <w:r w:rsidR="00101622">
        <w:rPr>
          <w:rFonts w:ascii="Arial" w:hAnsi="Arial" w:cs="Arial"/>
          <w:sz w:val="24"/>
          <w:szCs w:val="24"/>
        </w:rPr>
        <w:t xml:space="preserve">widely accepted and adapted by various academic disciplines and vocational </w:t>
      </w:r>
      <w:r w:rsidR="00C55DA0">
        <w:rPr>
          <w:rFonts w:ascii="Arial" w:hAnsi="Arial" w:cs="Arial"/>
          <w:sz w:val="24"/>
          <w:szCs w:val="24"/>
        </w:rPr>
        <w:t xml:space="preserve">areas. </w:t>
      </w:r>
    </w:p>
    <w:p w:rsidR="00E81574" w:rsidRDefault="00D80B30" w:rsidP="00E81574">
      <w:pPr>
        <w:jc w:val="both"/>
        <w:rPr>
          <w:rFonts w:ascii="Arial" w:hAnsi="Arial" w:cs="Arial"/>
          <w:b/>
          <w:sz w:val="24"/>
          <w:szCs w:val="24"/>
        </w:rPr>
      </w:pPr>
      <w:r w:rsidRPr="00D80B30">
        <w:rPr>
          <w:rFonts w:ascii="Arial" w:hAnsi="Arial" w:cs="Arial"/>
          <w:b/>
          <w:sz w:val="24"/>
          <w:szCs w:val="24"/>
        </w:rPr>
        <w:t>Phases of model</w:t>
      </w:r>
    </w:p>
    <w:p w:rsidR="006C72BD" w:rsidRPr="001147C4" w:rsidRDefault="00651370" w:rsidP="00CE50FC">
      <w:pPr>
        <w:spacing w:line="480" w:lineRule="auto"/>
        <w:ind w:left="720"/>
        <w:jc w:val="both"/>
        <w:rPr>
          <w:rFonts w:ascii="Arial" w:hAnsi="Arial" w:cs="Arial"/>
          <w:b/>
          <w:color w:val="FF0000"/>
          <w:sz w:val="24"/>
          <w:szCs w:val="24"/>
        </w:rPr>
      </w:pPr>
      <w:r w:rsidRPr="001147C4">
        <w:rPr>
          <w:rFonts w:ascii="Arial" w:hAnsi="Arial" w:cs="Arial"/>
          <w:b/>
          <w:sz w:val="24"/>
          <w:szCs w:val="24"/>
        </w:rPr>
        <w:t xml:space="preserve">separation </w:t>
      </w:r>
      <w:r w:rsidR="00025769" w:rsidRPr="001147C4">
        <w:rPr>
          <w:rFonts w:ascii="Arial" w:hAnsi="Arial" w:cs="Arial"/>
          <w:sz w:val="24"/>
          <w:szCs w:val="24"/>
        </w:rPr>
        <w:t xml:space="preserve">(preliminal): the passage out of a previous phase or social status. </w:t>
      </w:r>
    </w:p>
    <w:p w:rsidR="00AA31C6" w:rsidRDefault="002D7557" w:rsidP="00435BFD">
      <w:pPr>
        <w:spacing w:line="480" w:lineRule="auto"/>
        <w:ind w:left="720"/>
        <w:jc w:val="both"/>
        <w:rPr>
          <w:rFonts w:ascii="Arial" w:hAnsi="Arial" w:cs="Arial"/>
          <w:color w:val="FF0000"/>
          <w:sz w:val="24"/>
          <w:szCs w:val="24"/>
        </w:rPr>
      </w:pPr>
      <w:r w:rsidRPr="001147C4">
        <w:rPr>
          <w:rFonts w:ascii="Arial" w:hAnsi="Arial" w:cs="Arial"/>
          <w:b/>
          <w:sz w:val="24"/>
          <w:szCs w:val="24"/>
        </w:rPr>
        <w:t xml:space="preserve">transition </w:t>
      </w:r>
      <w:r w:rsidRPr="001147C4">
        <w:rPr>
          <w:rFonts w:ascii="Arial" w:hAnsi="Arial" w:cs="Arial"/>
          <w:sz w:val="24"/>
          <w:szCs w:val="24"/>
        </w:rPr>
        <w:t>(liminal): a marginal stage between fixed positions. This is a potentially dangerous time associated with pollution and threshold rites.</w:t>
      </w:r>
      <w:r w:rsidR="00F9751E" w:rsidRPr="001147C4">
        <w:rPr>
          <w:rFonts w:ascii="Arial" w:hAnsi="Arial" w:cs="Arial"/>
          <w:sz w:val="24"/>
          <w:szCs w:val="24"/>
        </w:rPr>
        <w:t xml:space="preserve"> Purification rites, such as washing indicate separation from the previous state. </w:t>
      </w:r>
    </w:p>
    <w:p w:rsidR="00074A8C" w:rsidRDefault="000F304D" w:rsidP="00435BFD">
      <w:pPr>
        <w:spacing w:line="480" w:lineRule="auto"/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</w:t>
      </w:r>
      <w:r w:rsidRPr="001147C4">
        <w:rPr>
          <w:rFonts w:ascii="Arial" w:hAnsi="Arial" w:cs="Arial"/>
          <w:b/>
          <w:sz w:val="24"/>
          <w:szCs w:val="24"/>
        </w:rPr>
        <w:t>ncorporation</w:t>
      </w:r>
      <w:r w:rsidR="001147C4" w:rsidRPr="001147C4">
        <w:rPr>
          <w:rFonts w:ascii="Arial" w:hAnsi="Arial" w:cs="Arial"/>
          <w:sz w:val="24"/>
          <w:szCs w:val="24"/>
        </w:rPr>
        <w:t xml:space="preserve"> (postliminal): reintegration or entry into a new social state often accompanied by rites of inco</w:t>
      </w:r>
      <w:r w:rsidR="00B61369">
        <w:rPr>
          <w:rFonts w:ascii="Arial" w:hAnsi="Arial" w:cs="Arial"/>
          <w:sz w:val="24"/>
          <w:szCs w:val="24"/>
        </w:rPr>
        <w:t>rporation such as a shared meal</w:t>
      </w:r>
    </w:p>
    <w:p w:rsidR="00AB626C" w:rsidRDefault="00AB626C" w:rsidP="00435BF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AB626C">
        <w:rPr>
          <w:rFonts w:ascii="Arial" w:hAnsi="Arial" w:cs="Arial"/>
          <w:sz w:val="24"/>
          <w:szCs w:val="24"/>
        </w:rPr>
        <w:t>The flexibility</w:t>
      </w:r>
      <w:r w:rsidR="00C61294">
        <w:rPr>
          <w:rFonts w:ascii="Arial" w:hAnsi="Arial" w:cs="Arial"/>
          <w:sz w:val="24"/>
          <w:szCs w:val="24"/>
        </w:rPr>
        <w:t xml:space="preserve"> of van Gennep’s model was such that various rituals along life’s path could be accommodated, although some tended to emphasise a specific phase within the model.</w:t>
      </w:r>
      <w:r w:rsidR="00386EA9">
        <w:rPr>
          <w:rFonts w:ascii="Arial" w:hAnsi="Arial" w:cs="Arial"/>
          <w:sz w:val="24"/>
          <w:szCs w:val="24"/>
        </w:rPr>
        <w:t xml:space="preserve"> This tripartite schema can be identified in all the main life events of an individual or group:  pregnancy and birth, initiation rites, betrothal and marriage, death and funeral rites</w:t>
      </w:r>
      <w:r w:rsidR="00C61294">
        <w:rPr>
          <w:rFonts w:ascii="Arial" w:hAnsi="Arial" w:cs="Arial"/>
          <w:sz w:val="24"/>
          <w:szCs w:val="24"/>
        </w:rPr>
        <w:t xml:space="preserve"> </w:t>
      </w:r>
      <w:r w:rsidR="00386EA9">
        <w:rPr>
          <w:rFonts w:ascii="Arial" w:hAnsi="Arial" w:cs="Arial"/>
          <w:sz w:val="24"/>
          <w:szCs w:val="24"/>
        </w:rPr>
        <w:t xml:space="preserve">and </w:t>
      </w:r>
      <w:r w:rsidR="003D2000">
        <w:rPr>
          <w:rFonts w:ascii="Arial" w:hAnsi="Arial" w:cs="Arial"/>
          <w:sz w:val="24"/>
          <w:szCs w:val="24"/>
        </w:rPr>
        <w:t xml:space="preserve">also in </w:t>
      </w:r>
      <w:r w:rsidR="00386EA9" w:rsidRPr="007518D6">
        <w:rPr>
          <w:rFonts w:ascii="Arial" w:hAnsi="Arial" w:cs="Arial"/>
          <w:sz w:val="24"/>
          <w:szCs w:val="24"/>
        </w:rPr>
        <w:t>calendrical</w:t>
      </w:r>
      <w:r w:rsidR="00386EA9">
        <w:rPr>
          <w:rFonts w:ascii="Arial" w:hAnsi="Arial" w:cs="Arial"/>
          <w:sz w:val="24"/>
          <w:szCs w:val="24"/>
        </w:rPr>
        <w:t xml:space="preserve"> </w:t>
      </w:r>
      <w:r w:rsidR="007518D6">
        <w:rPr>
          <w:rFonts w:ascii="Arial" w:hAnsi="Arial" w:cs="Arial"/>
          <w:sz w:val="24"/>
          <w:szCs w:val="24"/>
        </w:rPr>
        <w:t xml:space="preserve">transitions such as New Year. </w:t>
      </w:r>
      <w:r w:rsidR="00386EA9">
        <w:rPr>
          <w:rFonts w:ascii="Arial" w:hAnsi="Arial" w:cs="Arial"/>
          <w:sz w:val="24"/>
          <w:szCs w:val="24"/>
        </w:rPr>
        <w:t>The</w:t>
      </w:r>
      <w:r w:rsidR="00C61294">
        <w:rPr>
          <w:rFonts w:ascii="Arial" w:hAnsi="Arial" w:cs="Arial"/>
          <w:sz w:val="24"/>
          <w:szCs w:val="24"/>
        </w:rPr>
        <w:t xml:space="preserve"> liminal stage is often viewed as the most </w:t>
      </w:r>
      <w:r w:rsidR="00C61294">
        <w:rPr>
          <w:rFonts w:ascii="Arial" w:hAnsi="Arial" w:cs="Arial"/>
          <w:sz w:val="24"/>
          <w:szCs w:val="24"/>
        </w:rPr>
        <w:lastRenderedPageBreak/>
        <w:t xml:space="preserve">important (see </w:t>
      </w:r>
      <w:r w:rsidR="00C61294" w:rsidRPr="00DD6658">
        <w:rPr>
          <w:rFonts w:ascii="Arial" w:hAnsi="Arial" w:cs="Arial"/>
          <w:b/>
          <w:sz w:val="24"/>
          <w:szCs w:val="24"/>
        </w:rPr>
        <w:t>Turner</w:t>
      </w:r>
      <w:r w:rsidR="00C61294">
        <w:rPr>
          <w:rFonts w:ascii="Arial" w:hAnsi="Arial" w:cs="Arial"/>
          <w:sz w:val="24"/>
          <w:szCs w:val="24"/>
        </w:rPr>
        <w:t xml:space="preserve"> below) as individuals or groups undergo transformation. This may be a lengthy process in some circumstances preceding reintegration into the community and society as a whole. </w:t>
      </w:r>
      <w:r w:rsidR="00C61294" w:rsidRPr="001147C4">
        <w:rPr>
          <w:rFonts w:ascii="Arial" w:hAnsi="Arial" w:cs="Arial"/>
          <w:sz w:val="24"/>
          <w:szCs w:val="24"/>
        </w:rPr>
        <w:t xml:space="preserve">‘The crossing of a threshold, real or symbolic, temporal or physical, is a key element in all rites of passage’ </w:t>
      </w:r>
      <w:r w:rsidR="00C61294" w:rsidRPr="00435DB6">
        <w:rPr>
          <w:rFonts w:ascii="Arial" w:hAnsi="Arial" w:cs="Arial"/>
          <w:sz w:val="24"/>
          <w:szCs w:val="24"/>
        </w:rPr>
        <w:t>(Bowie</w:t>
      </w:r>
      <w:r w:rsidR="00435DB6" w:rsidRPr="00435DB6">
        <w:rPr>
          <w:rFonts w:ascii="Arial" w:hAnsi="Arial" w:cs="Arial"/>
          <w:sz w:val="24"/>
          <w:szCs w:val="24"/>
        </w:rPr>
        <w:t>,</w:t>
      </w:r>
      <w:r w:rsidR="00C61294" w:rsidRPr="00435DB6">
        <w:rPr>
          <w:rFonts w:ascii="Arial" w:hAnsi="Arial" w:cs="Arial"/>
          <w:sz w:val="24"/>
          <w:szCs w:val="24"/>
        </w:rPr>
        <w:t xml:space="preserve"> 200</w:t>
      </w:r>
      <w:r w:rsidR="00435DB6" w:rsidRPr="00435DB6">
        <w:rPr>
          <w:rFonts w:ascii="Arial" w:hAnsi="Arial" w:cs="Arial"/>
          <w:sz w:val="24"/>
          <w:szCs w:val="24"/>
        </w:rPr>
        <w:t>6, p.149</w:t>
      </w:r>
      <w:r w:rsidR="00C61294" w:rsidRPr="00435DB6">
        <w:rPr>
          <w:rFonts w:ascii="Arial" w:hAnsi="Arial" w:cs="Arial"/>
          <w:sz w:val="24"/>
          <w:szCs w:val="24"/>
        </w:rPr>
        <w:t>).</w:t>
      </w:r>
      <w:r w:rsidR="00C61294" w:rsidRPr="001147C4">
        <w:rPr>
          <w:rFonts w:ascii="Arial" w:hAnsi="Arial" w:cs="Arial"/>
          <w:sz w:val="24"/>
          <w:szCs w:val="24"/>
        </w:rPr>
        <w:t xml:space="preserve"> </w:t>
      </w:r>
    </w:p>
    <w:p w:rsidR="00DD6658" w:rsidRDefault="00DD6658" w:rsidP="00B61369">
      <w:pPr>
        <w:jc w:val="both"/>
        <w:rPr>
          <w:rFonts w:ascii="Arial" w:hAnsi="Arial" w:cs="Arial"/>
          <w:b/>
          <w:sz w:val="24"/>
          <w:szCs w:val="24"/>
        </w:rPr>
      </w:pPr>
      <w:r w:rsidRPr="00DD6658">
        <w:rPr>
          <w:rFonts w:ascii="Arial" w:hAnsi="Arial" w:cs="Arial"/>
          <w:b/>
          <w:sz w:val="24"/>
          <w:szCs w:val="24"/>
        </w:rPr>
        <w:t>Influential commentators</w:t>
      </w:r>
    </w:p>
    <w:p w:rsidR="001147C4" w:rsidRDefault="00182CBA" w:rsidP="004B31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Victor Turner</w:t>
      </w:r>
      <w:r w:rsidR="00344AEA">
        <w:rPr>
          <w:rFonts w:ascii="Arial" w:hAnsi="Arial" w:cs="Arial"/>
          <w:b/>
          <w:sz w:val="24"/>
          <w:szCs w:val="24"/>
        </w:rPr>
        <w:t xml:space="preserve"> </w:t>
      </w:r>
      <w:r w:rsidR="00344AEA" w:rsidRPr="00344AEA">
        <w:rPr>
          <w:rFonts w:ascii="Arial" w:hAnsi="Arial" w:cs="Arial"/>
          <w:sz w:val="24"/>
          <w:szCs w:val="24"/>
        </w:rPr>
        <w:t>was</w:t>
      </w:r>
      <w:r w:rsidR="00D12151">
        <w:rPr>
          <w:rFonts w:ascii="Arial" w:hAnsi="Arial" w:cs="Arial"/>
          <w:sz w:val="24"/>
          <w:szCs w:val="24"/>
        </w:rPr>
        <w:t xml:space="preserve"> born in Glasgow </w:t>
      </w:r>
      <w:r w:rsidR="000322A5">
        <w:rPr>
          <w:rFonts w:ascii="Arial" w:hAnsi="Arial" w:cs="Arial"/>
          <w:sz w:val="24"/>
          <w:szCs w:val="24"/>
        </w:rPr>
        <w:t xml:space="preserve">on 28 May </w:t>
      </w:r>
      <w:r w:rsidR="00D12151">
        <w:rPr>
          <w:rFonts w:ascii="Arial" w:hAnsi="Arial" w:cs="Arial"/>
          <w:sz w:val="24"/>
          <w:szCs w:val="24"/>
        </w:rPr>
        <w:t xml:space="preserve">1920 and died in Charlottesville, Virginia </w:t>
      </w:r>
      <w:r w:rsidR="000322A5">
        <w:rPr>
          <w:rFonts w:ascii="Arial" w:hAnsi="Arial" w:cs="Arial"/>
          <w:sz w:val="24"/>
          <w:szCs w:val="24"/>
        </w:rPr>
        <w:t xml:space="preserve">on 18 December </w:t>
      </w:r>
      <w:r w:rsidR="00D12151">
        <w:rPr>
          <w:rFonts w:ascii="Arial" w:hAnsi="Arial" w:cs="Arial"/>
          <w:sz w:val="24"/>
          <w:szCs w:val="24"/>
        </w:rPr>
        <w:t>1983.</w:t>
      </w:r>
      <w:r w:rsidR="00FD05EF">
        <w:rPr>
          <w:rFonts w:ascii="Arial" w:hAnsi="Arial" w:cs="Arial"/>
          <w:sz w:val="24"/>
          <w:szCs w:val="24"/>
        </w:rPr>
        <w:t xml:space="preserve"> Based on van Gennep’s threefold structure of rites of passage, his work developed the middle, liminal stage. Turner’s main contribution was that of </w:t>
      </w:r>
      <w:r w:rsidR="00FD05EF" w:rsidRPr="00FD05EF">
        <w:rPr>
          <w:rFonts w:ascii="Arial" w:hAnsi="Arial" w:cs="Arial"/>
          <w:i/>
          <w:sz w:val="24"/>
          <w:szCs w:val="24"/>
        </w:rPr>
        <w:t>communitas</w:t>
      </w:r>
      <w:r w:rsidR="00FD05EF">
        <w:rPr>
          <w:rFonts w:ascii="Arial" w:hAnsi="Arial" w:cs="Arial"/>
          <w:sz w:val="24"/>
          <w:szCs w:val="24"/>
        </w:rPr>
        <w:t xml:space="preserve">, a communal bond born out of a shared liminal experience. He described </w:t>
      </w:r>
      <w:r w:rsidR="00B06545" w:rsidRPr="00B06545">
        <w:rPr>
          <w:rFonts w:ascii="Arial" w:hAnsi="Arial" w:cs="Arial"/>
          <w:i/>
          <w:sz w:val="24"/>
          <w:szCs w:val="24"/>
        </w:rPr>
        <w:t>c</w:t>
      </w:r>
      <w:r w:rsidR="00FD05EF" w:rsidRPr="00FD05EF">
        <w:rPr>
          <w:rFonts w:ascii="Arial" w:hAnsi="Arial" w:cs="Arial"/>
          <w:i/>
          <w:sz w:val="24"/>
          <w:szCs w:val="24"/>
        </w:rPr>
        <w:t>ommunitas</w:t>
      </w:r>
      <w:r w:rsidR="00FD05EF">
        <w:rPr>
          <w:rFonts w:ascii="Arial" w:hAnsi="Arial" w:cs="Arial"/>
          <w:sz w:val="24"/>
          <w:szCs w:val="24"/>
        </w:rPr>
        <w:t xml:space="preserve"> as a state in which boundaries between individuals disappear. With status distinctions removed a sense of community is created. In these terms </w:t>
      </w:r>
      <w:r w:rsidR="00FD05EF" w:rsidRPr="00FD05EF">
        <w:rPr>
          <w:rFonts w:ascii="Arial" w:hAnsi="Arial" w:cs="Arial"/>
          <w:i/>
          <w:sz w:val="24"/>
          <w:szCs w:val="24"/>
        </w:rPr>
        <w:t>communitas</w:t>
      </w:r>
      <w:r w:rsidR="00FD05EF">
        <w:rPr>
          <w:rFonts w:ascii="Arial" w:hAnsi="Arial" w:cs="Arial"/>
          <w:i/>
          <w:sz w:val="24"/>
          <w:szCs w:val="24"/>
        </w:rPr>
        <w:t xml:space="preserve"> </w:t>
      </w:r>
      <w:r w:rsidR="00FD05EF">
        <w:rPr>
          <w:rFonts w:ascii="Arial" w:hAnsi="Arial" w:cs="Arial"/>
          <w:sz w:val="24"/>
          <w:szCs w:val="24"/>
        </w:rPr>
        <w:t>can be viewed as anti-hierarchical</w:t>
      </w:r>
      <w:r w:rsidR="00316448">
        <w:rPr>
          <w:rFonts w:ascii="Arial" w:hAnsi="Arial" w:cs="Arial"/>
          <w:sz w:val="24"/>
          <w:szCs w:val="24"/>
        </w:rPr>
        <w:t xml:space="preserve"> and as part of the </w:t>
      </w:r>
      <w:r w:rsidR="00316448" w:rsidRPr="00316448">
        <w:rPr>
          <w:rFonts w:ascii="Arial" w:hAnsi="Arial" w:cs="Arial"/>
          <w:i/>
          <w:sz w:val="24"/>
          <w:szCs w:val="24"/>
        </w:rPr>
        <w:t>zeitgeist</w:t>
      </w:r>
      <w:r w:rsidR="00316448">
        <w:rPr>
          <w:rFonts w:ascii="Arial" w:hAnsi="Arial" w:cs="Arial"/>
          <w:sz w:val="24"/>
          <w:szCs w:val="24"/>
        </w:rPr>
        <w:t xml:space="preserve"> of the 1960s.</w:t>
      </w:r>
    </w:p>
    <w:p w:rsidR="00D154EF" w:rsidRDefault="00FD05EF" w:rsidP="00D9248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065E8">
        <w:rPr>
          <w:rFonts w:ascii="Arial" w:hAnsi="Arial" w:cs="Arial"/>
          <w:sz w:val="24"/>
          <w:szCs w:val="24"/>
        </w:rPr>
        <w:t>His research and that of his wife</w:t>
      </w:r>
      <w:r w:rsidR="004065E8" w:rsidRPr="004065E8">
        <w:rPr>
          <w:rFonts w:ascii="Arial" w:hAnsi="Arial" w:cs="Arial"/>
          <w:sz w:val="24"/>
          <w:szCs w:val="24"/>
        </w:rPr>
        <w:t xml:space="preserve"> E</w:t>
      </w:r>
      <w:r w:rsidR="004065E8">
        <w:rPr>
          <w:rFonts w:ascii="Arial" w:hAnsi="Arial" w:cs="Arial"/>
          <w:sz w:val="24"/>
          <w:szCs w:val="24"/>
        </w:rPr>
        <w:t>d</w:t>
      </w:r>
      <w:r w:rsidR="004065E8" w:rsidRPr="004065E8">
        <w:rPr>
          <w:rFonts w:ascii="Arial" w:hAnsi="Arial" w:cs="Arial"/>
          <w:sz w:val="24"/>
          <w:szCs w:val="24"/>
        </w:rPr>
        <w:t>ith</w:t>
      </w:r>
      <w:r w:rsidR="004065E8">
        <w:rPr>
          <w:rFonts w:ascii="Arial" w:hAnsi="Arial" w:cs="Arial"/>
          <w:sz w:val="24"/>
          <w:szCs w:val="24"/>
        </w:rPr>
        <w:t>, was focused on the Ndembu people of Zambia in the 1950s and 1960s</w:t>
      </w:r>
      <w:r w:rsidR="00F24854">
        <w:rPr>
          <w:rFonts w:ascii="Arial" w:hAnsi="Arial" w:cs="Arial"/>
          <w:sz w:val="24"/>
          <w:szCs w:val="24"/>
        </w:rPr>
        <w:t>.</w:t>
      </w:r>
      <w:r w:rsidR="004065E8">
        <w:rPr>
          <w:rFonts w:ascii="Arial" w:hAnsi="Arial" w:cs="Arial"/>
          <w:sz w:val="24"/>
          <w:szCs w:val="24"/>
        </w:rPr>
        <w:t>They also work</w:t>
      </w:r>
      <w:r w:rsidR="00D154EF">
        <w:rPr>
          <w:rFonts w:ascii="Arial" w:hAnsi="Arial" w:cs="Arial"/>
          <w:sz w:val="24"/>
          <w:szCs w:val="24"/>
        </w:rPr>
        <w:t>ed</w:t>
      </w:r>
      <w:r w:rsidR="004065E8">
        <w:rPr>
          <w:rFonts w:ascii="Arial" w:hAnsi="Arial" w:cs="Arial"/>
          <w:sz w:val="24"/>
          <w:szCs w:val="24"/>
        </w:rPr>
        <w:t xml:space="preserve"> on pilgrimage and on other groupings such as closed monastic orders and theatre groups</w:t>
      </w:r>
      <w:r w:rsidR="00DD7E9C">
        <w:rPr>
          <w:rFonts w:ascii="Arial" w:hAnsi="Arial" w:cs="Arial"/>
          <w:sz w:val="24"/>
          <w:szCs w:val="24"/>
        </w:rPr>
        <w:t>.</w:t>
      </w:r>
      <w:r w:rsidR="00F245CB">
        <w:rPr>
          <w:rFonts w:ascii="Arial" w:hAnsi="Arial" w:cs="Arial"/>
          <w:sz w:val="24"/>
          <w:szCs w:val="24"/>
        </w:rPr>
        <w:t xml:space="preserve"> </w:t>
      </w:r>
      <w:r w:rsidR="004849B6">
        <w:rPr>
          <w:rFonts w:ascii="Arial" w:hAnsi="Arial" w:cs="Arial"/>
          <w:sz w:val="24"/>
          <w:szCs w:val="24"/>
        </w:rPr>
        <w:t>(Bowie, 2006, pp152-157).</w:t>
      </w:r>
    </w:p>
    <w:p w:rsidR="00316448" w:rsidRDefault="000322A5" w:rsidP="00D9248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322A5">
        <w:rPr>
          <w:rFonts w:ascii="Arial" w:hAnsi="Arial" w:cs="Arial"/>
          <w:b/>
          <w:sz w:val="24"/>
          <w:szCs w:val="24"/>
        </w:rPr>
        <w:t>Colin Campbell</w:t>
      </w:r>
      <w:r w:rsidR="009A00D1">
        <w:rPr>
          <w:rFonts w:ascii="Arial" w:hAnsi="Arial" w:cs="Arial"/>
          <w:b/>
          <w:sz w:val="24"/>
          <w:szCs w:val="24"/>
        </w:rPr>
        <w:t>’s</w:t>
      </w:r>
      <w:r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="009A00D1">
        <w:rPr>
          <w:rFonts w:ascii="Arial" w:hAnsi="Arial" w:cs="Arial"/>
          <w:sz w:val="24"/>
          <w:szCs w:val="24"/>
        </w:rPr>
        <w:t xml:space="preserve">23 November 1924 – 28 July 1994) work on the rites of passage among the BaMabuti and the Bantu peoples of the Congo built further on the </w:t>
      </w:r>
      <w:r w:rsidR="00FF3231">
        <w:rPr>
          <w:rFonts w:ascii="Arial" w:hAnsi="Arial" w:cs="Arial"/>
          <w:sz w:val="24"/>
          <w:szCs w:val="24"/>
        </w:rPr>
        <w:t xml:space="preserve">van Gennep’s model. </w:t>
      </w:r>
      <w:r w:rsidR="001456EE">
        <w:rPr>
          <w:rFonts w:ascii="Arial" w:hAnsi="Arial" w:cs="Arial"/>
          <w:sz w:val="24"/>
          <w:szCs w:val="24"/>
        </w:rPr>
        <w:t xml:space="preserve"> The </w:t>
      </w:r>
      <w:r w:rsidR="001456EE" w:rsidRPr="001456EE">
        <w:rPr>
          <w:rFonts w:ascii="Arial" w:hAnsi="Arial" w:cs="Arial"/>
          <w:i/>
          <w:sz w:val="24"/>
          <w:szCs w:val="24"/>
        </w:rPr>
        <w:t>nkumbi</w:t>
      </w:r>
      <w:r w:rsidR="001456EE">
        <w:rPr>
          <w:rFonts w:ascii="Arial" w:hAnsi="Arial" w:cs="Arial"/>
          <w:i/>
          <w:sz w:val="24"/>
          <w:szCs w:val="24"/>
        </w:rPr>
        <w:t>,</w:t>
      </w:r>
      <w:r w:rsidR="001456EE">
        <w:rPr>
          <w:rFonts w:ascii="Arial" w:hAnsi="Arial" w:cs="Arial"/>
          <w:sz w:val="24"/>
          <w:szCs w:val="24"/>
        </w:rPr>
        <w:t xml:space="preserve"> an initiation ceremony for boys into manhood, had all three stages of van Gennep’s model and could be seen as a test case. </w:t>
      </w:r>
      <w:r w:rsidR="00FF3231">
        <w:rPr>
          <w:rFonts w:ascii="Arial" w:hAnsi="Arial" w:cs="Arial"/>
          <w:sz w:val="24"/>
          <w:szCs w:val="24"/>
        </w:rPr>
        <w:t xml:space="preserve">Although these two groups had a shared set of rituals, he found that they did not share the same understanding of the rites nor attach the same importance to them. In the case of the </w:t>
      </w:r>
      <w:r w:rsidR="00FF3231" w:rsidRPr="00FF3231">
        <w:rPr>
          <w:rFonts w:ascii="Arial" w:hAnsi="Arial" w:cs="Arial"/>
          <w:i/>
          <w:sz w:val="24"/>
          <w:szCs w:val="24"/>
        </w:rPr>
        <w:t>nkumbi</w:t>
      </w:r>
      <w:r w:rsidR="00FF3231">
        <w:rPr>
          <w:rFonts w:ascii="Arial" w:hAnsi="Arial" w:cs="Arial"/>
          <w:i/>
          <w:sz w:val="24"/>
          <w:szCs w:val="24"/>
        </w:rPr>
        <w:t>,</w:t>
      </w:r>
      <w:r w:rsidR="00DD7E9C">
        <w:rPr>
          <w:rFonts w:ascii="Arial" w:hAnsi="Arial" w:cs="Arial"/>
          <w:sz w:val="24"/>
          <w:szCs w:val="24"/>
        </w:rPr>
        <w:t xml:space="preserve"> the initiation into manhood,</w:t>
      </w:r>
      <w:r w:rsidR="00FF3231">
        <w:rPr>
          <w:rFonts w:ascii="Arial" w:hAnsi="Arial" w:cs="Arial"/>
          <w:i/>
          <w:sz w:val="24"/>
          <w:szCs w:val="24"/>
        </w:rPr>
        <w:t xml:space="preserve"> </w:t>
      </w:r>
      <w:r w:rsidR="00FF3231">
        <w:rPr>
          <w:rFonts w:ascii="Arial" w:hAnsi="Arial" w:cs="Arial"/>
          <w:sz w:val="24"/>
          <w:szCs w:val="24"/>
        </w:rPr>
        <w:t xml:space="preserve">this </w:t>
      </w:r>
      <w:r w:rsidR="00FF3231">
        <w:rPr>
          <w:rFonts w:ascii="Arial" w:hAnsi="Arial" w:cs="Arial"/>
          <w:sz w:val="24"/>
          <w:szCs w:val="24"/>
        </w:rPr>
        <w:lastRenderedPageBreak/>
        <w:t xml:space="preserve">difference was profound. </w:t>
      </w:r>
      <w:r w:rsidR="001456EE">
        <w:rPr>
          <w:rFonts w:ascii="Arial" w:hAnsi="Arial" w:cs="Arial"/>
          <w:sz w:val="24"/>
          <w:szCs w:val="24"/>
        </w:rPr>
        <w:t>For the BaMabuti the ritual was not taken seriously as a rite of passage. For them, a boy became a man when he</w:t>
      </w:r>
      <w:r w:rsidR="00233937">
        <w:rPr>
          <w:rFonts w:ascii="Arial" w:hAnsi="Arial" w:cs="Arial"/>
          <w:sz w:val="24"/>
          <w:szCs w:val="24"/>
        </w:rPr>
        <w:t xml:space="preserve"> kills game when hunting. </w:t>
      </w:r>
      <w:r w:rsidR="00EC1550">
        <w:rPr>
          <w:rFonts w:ascii="Arial" w:hAnsi="Arial" w:cs="Arial"/>
          <w:sz w:val="24"/>
          <w:szCs w:val="24"/>
        </w:rPr>
        <w:t>They participated in the ritual with the Bantu purely for economic reasons as they gained resources and work from them. In</w:t>
      </w:r>
      <w:r w:rsidR="00233937">
        <w:rPr>
          <w:rFonts w:ascii="Arial" w:hAnsi="Arial" w:cs="Arial"/>
          <w:sz w:val="24"/>
          <w:szCs w:val="24"/>
        </w:rPr>
        <w:t xml:space="preserve"> contrast, this was an essential rite for the Bantu</w:t>
      </w:r>
      <w:r w:rsidR="00FF3231">
        <w:rPr>
          <w:rFonts w:ascii="Arial" w:hAnsi="Arial" w:cs="Arial"/>
          <w:sz w:val="24"/>
          <w:szCs w:val="24"/>
        </w:rPr>
        <w:t xml:space="preserve"> </w:t>
      </w:r>
      <w:r w:rsidR="00B659F0">
        <w:rPr>
          <w:rFonts w:ascii="Arial" w:hAnsi="Arial" w:cs="Arial"/>
          <w:sz w:val="24"/>
          <w:szCs w:val="24"/>
        </w:rPr>
        <w:t xml:space="preserve">that ‘transformed the boy into a man’ </w:t>
      </w:r>
      <w:r w:rsidR="00BF5CDB">
        <w:rPr>
          <w:rFonts w:ascii="Arial" w:hAnsi="Arial" w:cs="Arial"/>
          <w:sz w:val="24"/>
          <w:szCs w:val="24"/>
        </w:rPr>
        <w:t>and ‘socialised</w:t>
      </w:r>
      <w:r w:rsidR="00B659F0">
        <w:rPr>
          <w:rFonts w:ascii="Arial" w:hAnsi="Arial" w:cs="Arial"/>
          <w:sz w:val="24"/>
          <w:szCs w:val="24"/>
        </w:rPr>
        <w:t xml:space="preserve"> him into continuity with the past and future’</w:t>
      </w:r>
      <w:r w:rsidR="00800FD3">
        <w:rPr>
          <w:rFonts w:ascii="Arial" w:hAnsi="Arial" w:cs="Arial"/>
          <w:sz w:val="24"/>
          <w:szCs w:val="24"/>
        </w:rPr>
        <w:t>. (Kunin, 2003, p.189.)</w:t>
      </w:r>
      <w:r w:rsidR="00B659F0">
        <w:rPr>
          <w:rFonts w:ascii="Arial" w:hAnsi="Arial" w:cs="Arial"/>
          <w:sz w:val="24"/>
          <w:szCs w:val="24"/>
        </w:rPr>
        <w:t xml:space="preserve"> </w:t>
      </w:r>
      <w:r w:rsidR="00E95B65">
        <w:rPr>
          <w:rFonts w:ascii="Arial" w:hAnsi="Arial" w:cs="Arial"/>
          <w:color w:val="FF0000"/>
          <w:sz w:val="24"/>
          <w:szCs w:val="24"/>
        </w:rPr>
        <w:t xml:space="preserve"> </w:t>
      </w:r>
      <w:r w:rsidR="00E95B65" w:rsidRPr="00E95B65">
        <w:rPr>
          <w:rFonts w:ascii="Arial" w:hAnsi="Arial" w:cs="Arial"/>
          <w:sz w:val="24"/>
          <w:szCs w:val="24"/>
        </w:rPr>
        <w:t xml:space="preserve">The liminal stage was seen </w:t>
      </w:r>
      <w:r w:rsidR="00662D74">
        <w:rPr>
          <w:rFonts w:ascii="Arial" w:hAnsi="Arial" w:cs="Arial"/>
          <w:sz w:val="24"/>
          <w:szCs w:val="24"/>
        </w:rPr>
        <w:t>as</w:t>
      </w:r>
      <w:r w:rsidR="00DD41E3">
        <w:rPr>
          <w:rFonts w:ascii="Arial" w:hAnsi="Arial" w:cs="Arial"/>
          <w:sz w:val="24"/>
          <w:szCs w:val="24"/>
        </w:rPr>
        <w:t xml:space="preserve"> the most important aspect in which the boys were separated from their families, passed through physical ordeals and circumcised before being incorporated in the community as men.</w:t>
      </w:r>
    </w:p>
    <w:p w:rsidR="00B058E9" w:rsidRDefault="00B058E9" w:rsidP="0002711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B058E9">
        <w:rPr>
          <w:rFonts w:ascii="Arial" w:hAnsi="Arial" w:cs="Arial"/>
          <w:sz w:val="24"/>
          <w:szCs w:val="24"/>
        </w:rPr>
        <w:t xml:space="preserve">This </w:t>
      </w:r>
      <w:r>
        <w:rPr>
          <w:rFonts w:ascii="Arial" w:hAnsi="Arial" w:cs="Arial"/>
          <w:sz w:val="24"/>
          <w:szCs w:val="24"/>
        </w:rPr>
        <w:t xml:space="preserve">variance in understanding suggests that van Gennep’s model cannot be seen as prescriptive and that liminality </w:t>
      </w:r>
      <w:r w:rsidR="000C6B63">
        <w:rPr>
          <w:rFonts w:ascii="Arial" w:hAnsi="Arial" w:cs="Arial"/>
          <w:sz w:val="24"/>
          <w:szCs w:val="24"/>
        </w:rPr>
        <w:t>may</w:t>
      </w:r>
      <w:r>
        <w:rPr>
          <w:rFonts w:ascii="Arial" w:hAnsi="Arial" w:cs="Arial"/>
          <w:sz w:val="24"/>
          <w:szCs w:val="24"/>
        </w:rPr>
        <w:t xml:space="preserve"> not, as Turner would suggest, a necessary element. Other social, economic or structural factors have significant influence on the presence or importance of the liminal stage.</w:t>
      </w:r>
      <w:r w:rsidR="007164B4">
        <w:rPr>
          <w:rFonts w:ascii="Arial" w:hAnsi="Arial" w:cs="Arial"/>
          <w:sz w:val="24"/>
          <w:szCs w:val="24"/>
        </w:rPr>
        <w:t xml:space="preserve"> (Kunin, 2003, pp.188-190).</w:t>
      </w:r>
    </w:p>
    <w:p w:rsidR="00666273" w:rsidRDefault="00666273" w:rsidP="0002711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A86A23">
        <w:rPr>
          <w:rFonts w:ascii="Arial" w:hAnsi="Arial" w:cs="Arial"/>
          <w:b/>
          <w:sz w:val="24"/>
          <w:szCs w:val="24"/>
        </w:rPr>
        <w:t>Bruce Lincoln</w:t>
      </w:r>
      <w:r>
        <w:rPr>
          <w:rFonts w:ascii="Arial" w:hAnsi="Arial" w:cs="Arial"/>
          <w:sz w:val="24"/>
          <w:szCs w:val="24"/>
        </w:rPr>
        <w:t xml:space="preserve"> (born </w:t>
      </w:r>
      <w:r w:rsidR="00F70FC9">
        <w:rPr>
          <w:rFonts w:ascii="Arial" w:hAnsi="Arial" w:cs="Arial"/>
          <w:sz w:val="24"/>
          <w:szCs w:val="24"/>
        </w:rPr>
        <w:t xml:space="preserve">5 March </w:t>
      </w:r>
      <w:r>
        <w:rPr>
          <w:rFonts w:ascii="Arial" w:hAnsi="Arial" w:cs="Arial"/>
          <w:sz w:val="24"/>
          <w:szCs w:val="24"/>
        </w:rPr>
        <w:t>1948</w:t>
      </w:r>
      <w:r w:rsidR="00F70FC9">
        <w:rPr>
          <w:rFonts w:ascii="Arial" w:hAnsi="Arial" w:cs="Arial"/>
          <w:sz w:val="24"/>
          <w:szCs w:val="24"/>
        </w:rPr>
        <w:t>)</w:t>
      </w:r>
      <w:r w:rsidR="00A9009B">
        <w:rPr>
          <w:rFonts w:ascii="Arial" w:hAnsi="Arial" w:cs="Arial"/>
          <w:sz w:val="24"/>
          <w:szCs w:val="24"/>
        </w:rPr>
        <w:t>.</w:t>
      </w:r>
      <w:r w:rsidR="00A86A23">
        <w:rPr>
          <w:rFonts w:ascii="Arial" w:hAnsi="Arial" w:cs="Arial"/>
          <w:color w:val="FF0000"/>
          <w:sz w:val="24"/>
          <w:szCs w:val="24"/>
        </w:rPr>
        <w:t xml:space="preserve"> </w:t>
      </w:r>
      <w:r w:rsidR="00A86A23">
        <w:rPr>
          <w:rFonts w:ascii="Arial" w:hAnsi="Arial" w:cs="Arial"/>
          <w:sz w:val="24"/>
          <w:szCs w:val="24"/>
        </w:rPr>
        <w:t xml:space="preserve">In his publication, </w:t>
      </w:r>
      <w:r w:rsidR="00C0072F" w:rsidRPr="00A86A23">
        <w:rPr>
          <w:rFonts w:ascii="Arial" w:hAnsi="Arial" w:cs="Arial"/>
          <w:i/>
          <w:sz w:val="24"/>
          <w:szCs w:val="24"/>
        </w:rPr>
        <w:t>Emerging from the Chrysalis: studies in rituals of women’s initiation</w:t>
      </w:r>
      <w:r w:rsidR="00E169FD">
        <w:rPr>
          <w:rFonts w:ascii="Arial" w:hAnsi="Arial" w:cs="Arial"/>
          <w:i/>
          <w:sz w:val="24"/>
          <w:szCs w:val="24"/>
        </w:rPr>
        <w:t xml:space="preserve">, </w:t>
      </w:r>
      <w:r w:rsidR="00A86A23">
        <w:rPr>
          <w:rFonts w:ascii="Arial" w:hAnsi="Arial" w:cs="Arial"/>
          <w:sz w:val="24"/>
          <w:szCs w:val="24"/>
        </w:rPr>
        <w:t>Lincoln questioned</w:t>
      </w:r>
      <w:r w:rsidR="004362DA">
        <w:rPr>
          <w:rFonts w:ascii="Arial" w:hAnsi="Arial" w:cs="Arial"/>
          <w:sz w:val="24"/>
          <w:szCs w:val="24"/>
        </w:rPr>
        <w:t xml:space="preserve"> </w:t>
      </w:r>
      <w:r w:rsidR="00A86A23">
        <w:rPr>
          <w:rFonts w:ascii="Arial" w:hAnsi="Arial" w:cs="Arial"/>
          <w:sz w:val="24"/>
          <w:szCs w:val="24"/>
        </w:rPr>
        <w:t>the relevance of van Gennep’s model as an essentially masculine construct</w:t>
      </w:r>
      <w:r w:rsidR="007913ED">
        <w:rPr>
          <w:rFonts w:ascii="Arial" w:hAnsi="Arial" w:cs="Arial"/>
          <w:sz w:val="24"/>
          <w:szCs w:val="24"/>
        </w:rPr>
        <w:t xml:space="preserve"> and </w:t>
      </w:r>
      <w:r w:rsidR="00147BBC">
        <w:rPr>
          <w:rFonts w:ascii="Arial" w:hAnsi="Arial" w:cs="Arial"/>
          <w:sz w:val="24"/>
          <w:szCs w:val="24"/>
        </w:rPr>
        <w:t>its universality.</w:t>
      </w:r>
      <w:r w:rsidR="00A86A23">
        <w:rPr>
          <w:rFonts w:ascii="Arial" w:hAnsi="Arial" w:cs="Arial"/>
          <w:sz w:val="24"/>
          <w:szCs w:val="24"/>
        </w:rPr>
        <w:t xml:space="preserve"> He proposed an alternative tripartite </w:t>
      </w:r>
      <w:r w:rsidR="007913ED">
        <w:rPr>
          <w:rFonts w:ascii="Arial" w:hAnsi="Arial" w:cs="Arial"/>
          <w:sz w:val="24"/>
          <w:szCs w:val="24"/>
        </w:rPr>
        <w:t xml:space="preserve">model of </w:t>
      </w:r>
      <w:r w:rsidR="007913ED" w:rsidRPr="00A9009B">
        <w:rPr>
          <w:rFonts w:ascii="Arial" w:hAnsi="Arial" w:cs="Arial"/>
          <w:b/>
          <w:sz w:val="24"/>
          <w:szCs w:val="24"/>
        </w:rPr>
        <w:t>enclosure</w:t>
      </w:r>
      <w:r w:rsidR="007913ED">
        <w:rPr>
          <w:rFonts w:ascii="Arial" w:hAnsi="Arial" w:cs="Arial"/>
          <w:sz w:val="24"/>
          <w:szCs w:val="24"/>
        </w:rPr>
        <w:t xml:space="preserve">, </w:t>
      </w:r>
      <w:r w:rsidR="007913ED" w:rsidRPr="00A9009B">
        <w:rPr>
          <w:rFonts w:ascii="Arial" w:hAnsi="Arial" w:cs="Arial"/>
          <w:b/>
          <w:sz w:val="24"/>
          <w:szCs w:val="24"/>
        </w:rPr>
        <w:t>metamorphosis</w:t>
      </w:r>
      <w:r w:rsidR="007913ED">
        <w:rPr>
          <w:rFonts w:ascii="Arial" w:hAnsi="Arial" w:cs="Arial"/>
          <w:sz w:val="24"/>
          <w:szCs w:val="24"/>
        </w:rPr>
        <w:t xml:space="preserve"> (or magnification) and </w:t>
      </w:r>
      <w:r w:rsidR="007913ED" w:rsidRPr="00A9009B">
        <w:rPr>
          <w:rFonts w:ascii="Arial" w:hAnsi="Arial" w:cs="Arial"/>
          <w:b/>
          <w:sz w:val="24"/>
          <w:szCs w:val="24"/>
        </w:rPr>
        <w:t>emergence</w:t>
      </w:r>
      <w:r w:rsidR="007913ED">
        <w:rPr>
          <w:rFonts w:ascii="Arial" w:hAnsi="Arial" w:cs="Arial"/>
          <w:sz w:val="24"/>
          <w:szCs w:val="24"/>
        </w:rPr>
        <w:t xml:space="preserve"> as more appropriate to the experience of women.</w:t>
      </w:r>
      <w:r w:rsidR="00147BBC">
        <w:rPr>
          <w:rFonts w:ascii="Arial" w:hAnsi="Arial" w:cs="Arial"/>
          <w:sz w:val="24"/>
          <w:szCs w:val="24"/>
        </w:rPr>
        <w:t xml:space="preserve"> Lincoln describes the ritual as a method of coercion and control in which </w:t>
      </w:r>
      <w:r w:rsidR="00DE7F4C">
        <w:rPr>
          <w:rFonts w:ascii="Arial" w:hAnsi="Arial" w:cs="Arial"/>
          <w:sz w:val="24"/>
          <w:szCs w:val="24"/>
        </w:rPr>
        <w:t>‘</w:t>
      </w:r>
      <w:r w:rsidR="00147BBC">
        <w:rPr>
          <w:rFonts w:ascii="Arial" w:hAnsi="Arial" w:cs="Arial"/>
          <w:sz w:val="24"/>
          <w:szCs w:val="24"/>
        </w:rPr>
        <w:t>women learn to</w:t>
      </w:r>
      <w:r w:rsidR="00DE7F4C">
        <w:rPr>
          <w:rFonts w:ascii="Arial" w:hAnsi="Arial" w:cs="Arial"/>
          <w:sz w:val="24"/>
          <w:szCs w:val="24"/>
        </w:rPr>
        <w:t xml:space="preserve"> accept socialised cultural roles, however unfavourable</w:t>
      </w:r>
      <w:r w:rsidR="00E33C81">
        <w:rPr>
          <w:rFonts w:ascii="Arial" w:hAnsi="Arial" w:cs="Arial"/>
          <w:sz w:val="24"/>
          <w:szCs w:val="24"/>
        </w:rPr>
        <w:t xml:space="preserve">’ (Bowie, 2006, p.159). </w:t>
      </w:r>
      <w:r w:rsidR="00C0072F">
        <w:rPr>
          <w:rFonts w:ascii="Arial" w:hAnsi="Arial" w:cs="Arial"/>
          <w:sz w:val="24"/>
          <w:szCs w:val="24"/>
        </w:rPr>
        <w:t xml:space="preserve">He came to view the insubordination of women in this way as immoral, suggesting that disruption of ritual was a valid site of resistance. However, he admitted that in practice this would come at a high social cost and be very </w:t>
      </w:r>
      <w:r w:rsidR="00F2241C">
        <w:rPr>
          <w:rFonts w:ascii="Arial" w:hAnsi="Arial" w:cs="Arial"/>
          <w:sz w:val="24"/>
          <w:szCs w:val="24"/>
        </w:rPr>
        <w:t>limited (</w:t>
      </w:r>
      <w:r w:rsidR="00386821">
        <w:rPr>
          <w:rFonts w:ascii="Arial" w:hAnsi="Arial" w:cs="Arial"/>
          <w:sz w:val="24"/>
          <w:szCs w:val="24"/>
        </w:rPr>
        <w:t>Bowie, 2006, p.160).</w:t>
      </w:r>
    </w:p>
    <w:p w:rsidR="00B61369" w:rsidRDefault="0047429C" w:rsidP="00284F1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In the 1930s</w:t>
      </w:r>
      <w:r w:rsidRPr="0047429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Pr="0047429C">
        <w:rPr>
          <w:rFonts w:ascii="Arial" w:hAnsi="Arial" w:cs="Arial"/>
          <w:b/>
          <w:sz w:val="24"/>
          <w:szCs w:val="24"/>
        </w:rPr>
        <w:t>Audrey Richards</w:t>
      </w:r>
      <w:r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(8 July 1899- 29 June 1984) had come to a similar conclusion when </w:t>
      </w:r>
      <w:r w:rsidR="00BA6DA0">
        <w:rPr>
          <w:rFonts w:ascii="Arial" w:hAnsi="Arial" w:cs="Arial"/>
          <w:sz w:val="24"/>
          <w:szCs w:val="24"/>
        </w:rPr>
        <w:t xml:space="preserve">doing fieldwork in Zambia among the Bemba people. In </w:t>
      </w:r>
      <w:r w:rsidR="00BA6DA0">
        <w:rPr>
          <w:rFonts w:ascii="Arial" w:hAnsi="Arial" w:cs="Arial"/>
          <w:i/>
          <w:sz w:val="24"/>
          <w:szCs w:val="24"/>
        </w:rPr>
        <w:t xml:space="preserve">Chisungu: a girl’s ignition ceremony among the Bemba of </w:t>
      </w:r>
      <w:r w:rsidR="00BA6DA0" w:rsidRPr="00E738AE">
        <w:rPr>
          <w:rFonts w:ascii="Arial" w:hAnsi="Arial" w:cs="Arial"/>
          <w:i/>
          <w:sz w:val="24"/>
          <w:szCs w:val="24"/>
        </w:rPr>
        <w:t>Northern</w:t>
      </w:r>
      <w:r w:rsidR="00BA6DA0">
        <w:rPr>
          <w:rFonts w:ascii="Arial" w:hAnsi="Arial" w:cs="Arial"/>
          <w:i/>
          <w:sz w:val="24"/>
          <w:szCs w:val="24"/>
        </w:rPr>
        <w:t xml:space="preserve"> Rhodesia, </w:t>
      </w:r>
      <w:r w:rsidR="00BA6DA0">
        <w:rPr>
          <w:rFonts w:ascii="Arial" w:hAnsi="Arial" w:cs="Arial"/>
          <w:sz w:val="24"/>
          <w:szCs w:val="24"/>
        </w:rPr>
        <w:t xml:space="preserve">she recounts how she came to view female </w:t>
      </w:r>
      <w:r w:rsidR="00D61DA1">
        <w:rPr>
          <w:rFonts w:ascii="Arial" w:hAnsi="Arial" w:cs="Arial"/>
          <w:sz w:val="24"/>
          <w:szCs w:val="24"/>
        </w:rPr>
        <w:t>initiation as</w:t>
      </w:r>
      <w:r w:rsidR="00BA6DA0">
        <w:rPr>
          <w:rFonts w:ascii="Arial" w:hAnsi="Arial" w:cs="Arial"/>
          <w:sz w:val="24"/>
          <w:szCs w:val="24"/>
        </w:rPr>
        <w:t xml:space="preserve"> </w:t>
      </w:r>
      <w:r w:rsidR="00D61DA1">
        <w:rPr>
          <w:rFonts w:ascii="Arial" w:hAnsi="Arial" w:cs="Arial"/>
          <w:sz w:val="24"/>
          <w:szCs w:val="24"/>
        </w:rPr>
        <w:t xml:space="preserve">a means by which women </w:t>
      </w:r>
      <w:r w:rsidR="008C1723">
        <w:rPr>
          <w:rFonts w:ascii="Arial" w:hAnsi="Arial" w:cs="Arial"/>
          <w:sz w:val="24"/>
          <w:szCs w:val="24"/>
        </w:rPr>
        <w:t>were</w:t>
      </w:r>
      <w:r w:rsidR="00D61DA1">
        <w:rPr>
          <w:rFonts w:ascii="Arial" w:hAnsi="Arial" w:cs="Arial"/>
          <w:sz w:val="24"/>
          <w:szCs w:val="24"/>
        </w:rPr>
        <w:t xml:space="preserve"> coerced to conform to society’s demands to produce obedient and productive workers</w:t>
      </w:r>
      <w:r w:rsidR="00A517EB">
        <w:rPr>
          <w:rFonts w:ascii="Arial" w:hAnsi="Arial" w:cs="Arial"/>
          <w:sz w:val="24"/>
          <w:szCs w:val="24"/>
        </w:rPr>
        <w:t xml:space="preserve"> (Bowie, 2006, p.139).</w:t>
      </w:r>
    </w:p>
    <w:p w:rsidR="00D83943" w:rsidRDefault="00993AF2" w:rsidP="00284F1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More recently, </w:t>
      </w:r>
      <w:r w:rsidR="00D83943" w:rsidRPr="00BF388B">
        <w:rPr>
          <w:rFonts w:ascii="Arial" w:hAnsi="Arial" w:cs="Arial"/>
          <w:b/>
          <w:sz w:val="24"/>
          <w:szCs w:val="24"/>
        </w:rPr>
        <w:t>Harvey Whitehouse</w:t>
      </w:r>
      <w:r w:rsidR="00A55A36">
        <w:rPr>
          <w:rFonts w:ascii="Arial" w:hAnsi="Arial" w:cs="Arial"/>
          <w:b/>
          <w:sz w:val="24"/>
          <w:szCs w:val="24"/>
        </w:rPr>
        <w:t xml:space="preserve"> </w:t>
      </w:r>
      <w:r w:rsidR="00A55A36" w:rsidRPr="00A55A36">
        <w:rPr>
          <w:rFonts w:ascii="Arial" w:hAnsi="Arial" w:cs="Arial"/>
          <w:sz w:val="24"/>
          <w:szCs w:val="24"/>
        </w:rPr>
        <w:t>has</w:t>
      </w:r>
      <w:r>
        <w:rPr>
          <w:rFonts w:ascii="Arial" w:hAnsi="Arial" w:cs="Arial"/>
          <w:sz w:val="24"/>
          <w:szCs w:val="24"/>
        </w:rPr>
        <w:t xml:space="preserve"> examine</w:t>
      </w:r>
      <w:r w:rsidR="00A55A36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the effect of fear in male initiation rites.</w:t>
      </w:r>
      <w:r w:rsidR="000C6FB8">
        <w:rPr>
          <w:rFonts w:ascii="Arial" w:hAnsi="Arial" w:cs="Arial"/>
          <w:sz w:val="24"/>
          <w:szCs w:val="24"/>
        </w:rPr>
        <w:t xml:space="preserve"> Both</w:t>
      </w:r>
      <w:r>
        <w:rPr>
          <w:rFonts w:ascii="Arial" w:hAnsi="Arial" w:cs="Arial"/>
          <w:sz w:val="24"/>
          <w:szCs w:val="24"/>
        </w:rPr>
        <w:t xml:space="preserve"> </w:t>
      </w:r>
      <w:r w:rsidRPr="000C6FB8">
        <w:rPr>
          <w:rFonts w:ascii="Arial" w:hAnsi="Arial" w:cs="Arial"/>
          <w:b/>
          <w:sz w:val="24"/>
          <w:szCs w:val="24"/>
        </w:rPr>
        <w:t xml:space="preserve">René </w:t>
      </w:r>
      <w:r w:rsidR="00F973A6" w:rsidRPr="000C6FB8">
        <w:rPr>
          <w:rFonts w:ascii="Arial" w:hAnsi="Arial" w:cs="Arial"/>
          <w:b/>
          <w:sz w:val="24"/>
          <w:szCs w:val="24"/>
        </w:rPr>
        <w:t>Girard</w:t>
      </w:r>
      <w:r w:rsidR="00F973A6">
        <w:rPr>
          <w:rFonts w:ascii="Arial" w:hAnsi="Arial" w:cs="Arial"/>
          <w:sz w:val="24"/>
          <w:szCs w:val="24"/>
        </w:rPr>
        <w:t xml:space="preserve"> and </w:t>
      </w:r>
      <w:r w:rsidR="00F973A6" w:rsidRPr="000C6FB8">
        <w:rPr>
          <w:rFonts w:ascii="Arial" w:hAnsi="Arial" w:cs="Arial"/>
          <w:b/>
          <w:sz w:val="24"/>
          <w:szCs w:val="24"/>
        </w:rPr>
        <w:t>Maurice Bloch</w:t>
      </w:r>
      <w:r w:rsidR="00F973A6">
        <w:rPr>
          <w:rFonts w:ascii="Arial" w:hAnsi="Arial" w:cs="Arial"/>
          <w:sz w:val="24"/>
          <w:szCs w:val="24"/>
        </w:rPr>
        <w:t xml:space="preserve"> have also expanded on van Gennep’s ideas</w:t>
      </w:r>
      <w:r w:rsidR="000C6FB8">
        <w:rPr>
          <w:rFonts w:ascii="Arial" w:hAnsi="Arial" w:cs="Arial"/>
          <w:sz w:val="24"/>
          <w:szCs w:val="24"/>
        </w:rPr>
        <w:t xml:space="preserve">, concentrating on </w:t>
      </w:r>
      <w:r w:rsidR="00B61369">
        <w:rPr>
          <w:rFonts w:ascii="Arial" w:hAnsi="Arial" w:cs="Arial"/>
          <w:sz w:val="24"/>
          <w:szCs w:val="24"/>
        </w:rPr>
        <w:t xml:space="preserve">the </w:t>
      </w:r>
      <w:r w:rsidR="000C6FB8">
        <w:rPr>
          <w:rFonts w:ascii="Arial" w:hAnsi="Arial" w:cs="Arial"/>
          <w:sz w:val="24"/>
          <w:szCs w:val="24"/>
        </w:rPr>
        <w:t>role violence</w:t>
      </w:r>
      <w:r w:rsidR="00B61369">
        <w:rPr>
          <w:rFonts w:ascii="Arial" w:hAnsi="Arial" w:cs="Arial"/>
          <w:sz w:val="24"/>
          <w:szCs w:val="24"/>
        </w:rPr>
        <w:t xml:space="preserve"> plays</w:t>
      </w:r>
      <w:r w:rsidR="000C6FB8">
        <w:rPr>
          <w:rFonts w:ascii="Arial" w:hAnsi="Arial" w:cs="Arial"/>
          <w:sz w:val="24"/>
          <w:szCs w:val="24"/>
        </w:rPr>
        <w:t xml:space="preserve"> within rites of passage.</w:t>
      </w:r>
      <w:r w:rsidR="00A601EA">
        <w:rPr>
          <w:rFonts w:ascii="Arial" w:hAnsi="Arial" w:cs="Arial"/>
          <w:sz w:val="24"/>
          <w:szCs w:val="24"/>
        </w:rPr>
        <w:t xml:space="preserve"> (Bowie, 2006, pp.163-165).</w:t>
      </w:r>
    </w:p>
    <w:p w:rsidR="00ED3D83" w:rsidRDefault="009733DF" w:rsidP="00CD5FD8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Potential</w:t>
      </w:r>
      <w:r w:rsidR="00CC5B04">
        <w:rPr>
          <w:rFonts w:ascii="Arial" w:hAnsi="Arial" w:cs="Arial"/>
          <w:b/>
          <w:sz w:val="24"/>
          <w:szCs w:val="24"/>
        </w:rPr>
        <w:t xml:space="preserve"> </w:t>
      </w:r>
      <w:r w:rsidR="00F24417" w:rsidRPr="00F24417">
        <w:rPr>
          <w:rFonts w:ascii="Arial" w:hAnsi="Arial" w:cs="Arial"/>
          <w:b/>
          <w:sz w:val="24"/>
          <w:szCs w:val="24"/>
        </w:rPr>
        <w:t>applications</w:t>
      </w:r>
    </w:p>
    <w:p w:rsidR="001A3116" w:rsidRDefault="00CC5B04" w:rsidP="00654C4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Van Gennep’s model offers a framework for understanding the ‘passage of change’ in other areas: for instance,</w:t>
      </w:r>
      <w:r w:rsidR="00A732D3">
        <w:rPr>
          <w:rFonts w:ascii="Arial" w:hAnsi="Arial" w:cs="Arial"/>
          <w:sz w:val="24"/>
          <w:szCs w:val="24"/>
        </w:rPr>
        <w:t xml:space="preserve"> gift giving,</w:t>
      </w:r>
      <w:r>
        <w:rPr>
          <w:rFonts w:ascii="Arial" w:hAnsi="Arial" w:cs="Arial"/>
          <w:sz w:val="24"/>
          <w:szCs w:val="24"/>
        </w:rPr>
        <w:t xml:space="preserve"> students’ experience of leaving home to go to university</w:t>
      </w:r>
      <w:r w:rsidR="009733DF">
        <w:rPr>
          <w:rFonts w:ascii="Arial" w:hAnsi="Arial" w:cs="Arial"/>
          <w:sz w:val="24"/>
          <w:szCs w:val="24"/>
        </w:rPr>
        <w:t>; the upheaval of migration to a different country</w:t>
      </w:r>
      <w:r w:rsidR="00C4351A">
        <w:rPr>
          <w:rFonts w:ascii="Arial" w:hAnsi="Arial" w:cs="Arial"/>
          <w:sz w:val="24"/>
          <w:szCs w:val="24"/>
        </w:rPr>
        <w:t>;</w:t>
      </w:r>
      <w:r w:rsidR="00B024BC">
        <w:rPr>
          <w:rFonts w:ascii="Arial" w:hAnsi="Arial" w:cs="Arial"/>
          <w:sz w:val="24"/>
          <w:szCs w:val="24"/>
        </w:rPr>
        <w:t xml:space="preserve"> the entry and induction into the military</w:t>
      </w:r>
      <w:r w:rsidR="00C4351A">
        <w:rPr>
          <w:rFonts w:ascii="Arial" w:hAnsi="Arial" w:cs="Arial"/>
          <w:sz w:val="24"/>
          <w:szCs w:val="24"/>
        </w:rPr>
        <w:t xml:space="preserve"> or the alienation felt by some </w:t>
      </w:r>
      <w:r w:rsidR="00B15FB5">
        <w:rPr>
          <w:rFonts w:ascii="Arial" w:hAnsi="Arial" w:cs="Arial"/>
          <w:sz w:val="24"/>
          <w:szCs w:val="24"/>
        </w:rPr>
        <w:t>sections</w:t>
      </w:r>
      <w:r w:rsidR="00C4351A">
        <w:rPr>
          <w:rFonts w:ascii="Arial" w:hAnsi="Arial" w:cs="Arial"/>
          <w:sz w:val="24"/>
          <w:szCs w:val="24"/>
        </w:rPr>
        <w:t xml:space="preserve"> of modern society.</w:t>
      </w:r>
    </w:p>
    <w:p w:rsidR="00DD6658" w:rsidRDefault="001F455D" w:rsidP="00DD6658">
      <w:pPr>
        <w:rPr>
          <w:rFonts w:ascii="Arial" w:hAnsi="Arial" w:cs="Arial"/>
          <w:b/>
          <w:sz w:val="24"/>
          <w:szCs w:val="24"/>
        </w:rPr>
      </w:pPr>
      <w:r w:rsidRPr="001F455D">
        <w:rPr>
          <w:rFonts w:ascii="Arial" w:hAnsi="Arial" w:cs="Arial"/>
          <w:b/>
          <w:sz w:val="24"/>
          <w:szCs w:val="24"/>
        </w:rPr>
        <w:t>Further Reading</w:t>
      </w:r>
    </w:p>
    <w:p w:rsidR="00167895" w:rsidRDefault="00167895" w:rsidP="00BB1241">
      <w:pPr>
        <w:jc w:val="both"/>
        <w:rPr>
          <w:rFonts w:ascii="Arial" w:hAnsi="Arial" w:cs="Arial"/>
          <w:sz w:val="24"/>
          <w:szCs w:val="24"/>
        </w:rPr>
      </w:pPr>
      <w:r w:rsidRPr="000B7090">
        <w:rPr>
          <w:rFonts w:ascii="Arial" w:hAnsi="Arial" w:cs="Arial"/>
          <w:sz w:val="24"/>
          <w:szCs w:val="24"/>
        </w:rPr>
        <w:t>Bowie</w:t>
      </w:r>
      <w:r>
        <w:rPr>
          <w:rFonts w:ascii="Arial" w:hAnsi="Arial" w:cs="Arial"/>
          <w:sz w:val="24"/>
          <w:szCs w:val="24"/>
        </w:rPr>
        <w:t>, F. 2006 [2</w:t>
      </w:r>
      <w:r w:rsidRPr="000B7090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edition].</w:t>
      </w:r>
      <w:r>
        <w:rPr>
          <w:rFonts w:ascii="Arial" w:hAnsi="Arial" w:cs="Arial"/>
          <w:i/>
          <w:sz w:val="24"/>
          <w:szCs w:val="24"/>
        </w:rPr>
        <w:t xml:space="preserve"> The Anthropology of Religion: an introduction.</w:t>
      </w:r>
      <w:r>
        <w:rPr>
          <w:rFonts w:ascii="Arial" w:hAnsi="Arial" w:cs="Arial"/>
          <w:sz w:val="24"/>
          <w:szCs w:val="24"/>
        </w:rPr>
        <w:t xml:space="preserve"> Oxford: Blackwell.</w:t>
      </w:r>
    </w:p>
    <w:p w:rsidR="0061740A" w:rsidRPr="0061740A" w:rsidRDefault="0061740A" w:rsidP="00BB1241">
      <w:pPr>
        <w:jc w:val="both"/>
        <w:rPr>
          <w:rFonts w:ascii="Arial" w:hAnsi="Arial" w:cs="Arial"/>
          <w:sz w:val="24"/>
          <w:szCs w:val="24"/>
        </w:rPr>
      </w:pPr>
      <w:r w:rsidRPr="0061740A">
        <w:rPr>
          <w:rFonts w:ascii="Arial" w:hAnsi="Arial" w:cs="Arial"/>
          <w:sz w:val="24"/>
          <w:szCs w:val="24"/>
        </w:rPr>
        <w:t>Lincoln, B.</w:t>
      </w:r>
      <w:r>
        <w:rPr>
          <w:rFonts w:ascii="Arial" w:hAnsi="Arial" w:cs="Arial"/>
          <w:sz w:val="24"/>
          <w:szCs w:val="24"/>
        </w:rPr>
        <w:t xml:space="preserve">1981. </w:t>
      </w:r>
      <w:r>
        <w:rPr>
          <w:rFonts w:ascii="Arial" w:hAnsi="Arial" w:cs="Arial"/>
          <w:i/>
          <w:sz w:val="24"/>
          <w:szCs w:val="24"/>
        </w:rPr>
        <w:t>Emerging from the Chrysalis: studies in rituals of women’s initiation.</w:t>
      </w:r>
      <w:r w:rsidR="00382438">
        <w:rPr>
          <w:rFonts w:ascii="Arial" w:hAnsi="Arial" w:cs="Arial"/>
          <w:sz w:val="24"/>
          <w:szCs w:val="24"/>
        </w:rPr>
        <w:t xml:space="preserve"> Cambridge, Mass: Harvard University Press.</w:t>
      </w:r>
    </w:p>
    <w:p w:rsidR="00A31FFD" w:rsidRDefault="00A31FFD" w:rsidP="00BB1241">
      <w:pPr>
        <w:jc w:val="both"/>
        <w:rPr>
          <w:rFonts w:ascii="Arial" w:hAnsi="Arial" w:cs="Arial"/>
          <w:sz w:val="24"/>
          <w:szCs w:val="24"/>
        </w:rPr>
      </w:pPr>
      <w:r w:rsidRPr="00A31FFD">
        <w:rPr>
          <w:rFonts w:ascii="Arial" w:hAnsi="Arial" w:cs="Arial"/>
          <w:sz w:val="24"/>
          <w:szCs w:val="24"/>
        </w:rPr>
        <w:t xml:space="preserve">Richards, A. 1956. </w:t>
      </w:r>
      <w:r w:rsidR="00576669">
        <w:rPr>
          <w:rFonts w:ascii="Arial" w:hAnsi="Arial" w:cs="Arial"/>
          <w:i/>
          <w:sz w:val="24"/>
          <w:szCs w:val="24"/>
        </w:rPr>
        <w:t>Chisungu: a girl’s initiation ceremony among the Bemba of Northern Rhodesia.</w:t>
      </w:r>
      <w:r w:rsidR="00576669">
        <w:rPr>
          <w:rFonts w:ascii="Arial" w:hAnsi="Arial" w:cs="Arial"/>
          <w:sz w:val="24"/>
          <w:szCs w:val="24"/>
        </w:rPr>
        <w:t xml:space="preserve"> London: Faber.</w:t>
      </w:r>
    </w:p>
    <w:p w:rsidR="00A25AF5" w:rsidRDefault="00A25AF5" w:rsidP="00BB124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Turner, V. </w:t>
      </w:r>
      <w:r w:rsidR="009A13E2">
        <w:rPr>
          <w:rFonts w:ascii="Arial" w:hAnsi="Arial" w:cs="Arial"/>
          <w:sz w:val="24"/>
          <w:szCs w:val="24"/>
        </w:rPr>
        <w:t xml:space="preserve">1968. </w:t>
      </w:r>
      <w:r w:rsidR="009A13E2">
        <w:rPr>
          <w:rFonts w:ascii="Arial" w:hAnsi="Arial" w:cs="Arial"/>
          <w:i/>
          <w:sz w:val="24"/>
          <w:szCs w:val="24"/>
        </w:rPr>
        <w:t>The Drums of Affliction: a study of religious processes among the Ndembu of Zambia.</w:t>
      </w:r>
      <w:r w:rsidR="00AA6673">
        <w:rPr>
          <w:rFonts w:ascii="Arial" w:hAnsi="Arial" w:cs="Arial"/>
          <w:sz w:val="24"/>
          <w:szCs w:val="24"/>
        </w:rPr>
        <w:t xml:space="preserve"> Oxford: Clarendon Press.</w:t>
      </w:r>
    </w:p>
    <w:p w:rsidR="00CE50FC" w:rsidRDefault="00CE50FC" w:rsidP="00BB1241">
      <w:pPr>
        <w:jc w:val="both"/>
        <w:rPr>
          <w:rFonts w:ascii="Arial" w:hAnsi="Arial" w:cs="Arial"/>
          <w:sz w:val="24"/>
          <w:szCs w:val="24"/>
        </w:rPr>
      </w:pPr>
    </w:p>
    <w:p w:rsidR="00F5782B" w:rsidRPr="006864B2" w:rsidRDefault="00F5782B" w:rsidP="00BB1241">
      <w:pPr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lastRenderedPageBreak/>
        <w:t>Van Gennep, A. [1909] 1960.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The Rites of Passage</w:t>
      </w:r>
      <w:r w:rsidR="006864B2">
        <w:rPr>
          <w:rFonts w:ascii="Arial" w:hAnsi="Arial" w:cs="Arial"/>
          <w:i/>
          <w:sz w:val="24"/>
          <w:szCs w:val="24"/>
        </w:rPr>
        <w:t xml:space="preserve">. </w:t>
      </w:r>
      <w:r w:rsidR="006864B2">
        <w:rPr>
          <w:rFonts w:ascii="Arial" w:hAnsi="Arial" w:cs="Arial"/>
          <w:sz w:val="24"/>
          <w:szCs w:val="24"/>
        </w:rPr>
        <w:t>Chicago: University of Chicago Press.</w:t>
      </w:r>
    </w:p>
    <w:p w:rsidR="0019667F" w:rsidRDefault="00903E99" w:rsidP="00BB12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Whitehouse, H. 1995. </w:t>
      </w:r>
      <w:r>
        <w:rPr>
          <w:rFonts w:ascii="Arial" w:hAnsi="Arial" w:cs="Arial"/>
          <w:i/>
          <w:sz w:val="24"/>
          <w:szCs w:val="24"/>
        </w:rPr>
        <w:t xml:space="preserve">Inside the cult: religious innovation and transmission in Papua New Guinea. </w:t>
      </w:r>
      <w:r w:rsidRPr="00903E99">
        <w:rPr>
          <w:rFonts w:ascii="Arial" w:hAnsi="Arial" w:cs="Arial"/>
          <w:sz w:val="24"/>
          <w:szCs w:val="24"/>
        </w:rPr>
        <w:t>Oxford: Clarendon Press.</w:t>
      </w:r>
    </w:p>
    <w:p w:rsidR="00C8095F" w:rsidRDefault="00C8095F" w:rsidP="00BB12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(1,283 words)</w:t>
      </w:r>
    </w:p>
    <w:p w:rsidR="001C79FB" w:rsidRDefault="001C79FB" w:rsidP="00DD6658">
      <w:pPr>
        <w:rPr>
          <w:rFonts w:ascii="Arial" w:hAnsi="Arial" w:cs="Arial"/>
          <w:b/>
          <w:sz w:val="24"/>
          <w:szCs w:val="24"/>
        </w:rPr>
      </w:pPr>
      <w:r w:rsidRPr="001C79FB">
        <w:rPr>
          <w:rFonts w:ascii="Arial" w:hAnsi="Arial" w:cs="Arial"/>
          <w:b/>
          <w:sz w:val="24"/>
          <w:szCs w:val="24"/>
        </w:rPr>
        <w:t>References</w:t>
      </w:r>
    </w:p>
    <w:p w:rsidR="000C703C" w:rsidRDefault="000B7090" w:rsidP="00DD6658">
      <w:pPr>
        <w:rPr>
          <w:rFonts w:ascii="Arial" w:hAnsi="Arial" w:cs="Arial"/>
          <w:sz w:val="24"/>
          <w:szCs w:val="24"/>
        </w:rPr>
      </w:pPr>
      <w:r w:rsidRPr="000B7090">
        <w:rPr>
          <w:rFonts w:ascii="Arial" w:hAnsi="Arial" w:cs="Arial"/>
          <w:sz w:val="24"/>
          <w:szCs w:val="24"/>
        </w:rPr>
        <w:t>Bowie</w:t>
      </w:r>
      <w:r>
        <w:rPr>
          <w:rFonts w:ascii="Arial" w:hAnsi="Arial" w:cs="Arial"/>
          <w:sz w:val="24"/>
          <w:szCs w:val="24"/>
        </w:rPr>
        <w:t>, F. 2006 [2</w:t>
      </w:r>
      <w:r w:rsidRPr="000B7090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edition].</w:t>
      </w:r>
      <w:r>
        <w:rPr>
          <w:rFonts w:ascii="Arial" w:hAnsi="Arial" w:cs="Arial"/>
          <w:i/>
          <w:sz w:val="24"/>
          <w:szCs w:val="24"/>
        </w:rPr>
        <w:t xml:space="preserve"> The Anthropology of Religion: an introduction.</w:t>
      </w:r>
      <w:r>
        <w:rPr>
          <w:rFonts w:ascii="Arial" w:hAnsi="Arial" w:cs="Arial"/>
          <w:sz w:val="24"/>
          <w:szCs w:val="24"/>
        </w:rPr>
        <w:t xml:space="preserve"> Oxford: Blackwell.</w:t>
      </w:r>
    </w:p>
    <w:p w:rsidR="00A700D6" w:rsidRPr="00A700D6" w:rsidRDefault="00A700D6" w:rsidP="00DD665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Hockey, J. 2002. ‘The importance of being intuitive: Arnold van Gennep’s The Rites of Passage. </w:t>
      </w:r>
      <w:r>
        <w:rPr>
          <w:rFonts w:ascii="Arial" w:hAnsi="Arial" w:cs="Arial"/>
          <w:i/>
          <w:sz w:val="24"/>
          <w:szCs w:val="24"/>
        </w:rPr>
        <w:t>Mortality</w:t>
      </w:r>
      <w:proofErr w:type="gramStart"/>
      <w:r>
        <w:rPr>
          <w:rFonts w:ascii="Arial" w:hAnsi="Arial" w:cs="Arial"/>
          <w:i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>7</w:t>
      </w:r>
      <w:proofErr w:type="gramEnd"/>
      <w:r>
        <w:rPr>
          <w:rFonts w:ascii="Arial" w:hAnsi="Arial" w:cs="Arial"/>
          <w:sz w:val="24"/>
          <w:szCs w:val="24"/>
        </w:rPr>
        <w:t xml:space="preserve"> (2), 210-217.</w:t>
      </w:r>
    </w:p>
    <w:p w:rsidR="000B7090" w:rsidRPr="000B7090" w:rsidRDefault="000C703C" w:rsidP="00DD665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Kunin, S.D. 2003.</w:t>
      </w:r>
      <w:r>
        <w:rPr>
          <w:rFonts w:ascii="Arial" w:hAnsi="Arial" w:cs="Arial"/>
          <w:i/>
          <w:sz w:val="24"/>
          <w:szCs w:val="24"/>
        </w:rPr>
        <w:t>Religion: the modern theories.</w:t>
      </w:r>
      <w:r>
        <w:rPr>
          <w:rFonts w:ascii="Arial" w:hAnsi="Arial" w:cs="Arial"/>
          <w:sz w:val="24"/>
          <w:szCs w:val="24"/>
        </w:rPr>
        <w:t xml:space="preserve"> Edinburgh: </w:t>
      </w:r>
      <w:r w:rsidR="006B53C6">
        <w:rPr>
          <w:rFonts w:ascii="Arial" w:hAnsi="Arial" w:cs="Arial"/>
          <w:sz w:val="24"/>
          <w:szCs w:val="24"/>
        </w:rPr>
        <w:t>Edinburgh</w:t>
      </w:r>
      <w:r>
        <w:rPr>
          <w:rFonts w:ascii="Arial" w:hAnsi="Arial" w:cs="Arial"/>
          <w:sz w:val="24"/>
          <w:szCs w:val="24"/>
        </w:rPr>
        <w:t xml:space="preserve">    University Press. </w:t>
      </w:r>
      <w:r w:rsidR="000B7090">
        <w:rPr>
          <w:rFonts w:ascii="Arial" w:hAnsi="Arial" w:cs="Arial"/>
          <w:sz w:val="24"/>
          <w:szCs w:val="24"/>
        </w:rPr>
        <w:t xml:space="preserve"> </w:t>
      </w:r>
    </w:p>
    <w:p w:rsidR="006240C9" w:rsidRDefault="006240C9" w:rsidP="006240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Van Gennep, A. [1909] 1960.</w:t>
      </w:r>
      <w:r>
        <w:rPr>
          <w:rFonts w:ascii="Arial" w:hAnsi="Arial" w:cs="Arial"/>
          <w:i/>
          <w:sz w:val="24"/>
          <w:szCs w:val="24"/>
        </w:rPr>
        <w:t xml:space="preserve"> The Rites of Passage. </w:t>
      </w:r>
      <w:r>
        <w:rPr>
          <w:rFonts w:ascii="Arial" w:hAnsi="Arial" w:cs="Arial"/>
          <w:sz w:val="24"/>
          <w:szCs w:val="24"/>
        </w:rPr>
        <w:t>Chicago: University of Chicago Press.</w:t>
      </w:r>
    </w:p>
    <w:p w:rsidR="0069288B" w:rsidRPr="0069288B" w:rsidRDefault="0069288B" w:rsidP="006240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Zumw</w:t>
      </w:r>
      <w:r w:rsidR="00EA393F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lt, R. 1982. ‘Arnold van Gennep: the hermit of Bourg-la-Reine’. </w:t>
      </w:r>
      <w:r>
        <w:rPr>
          <w:rFonts w:ascii="Arial" w:hAnsi="Arial" w:cs="Arial"/>
          <w:i/>
          <w:sz w:val="24"/>
          <w:szCs w:val="24"/>
        </w:rPr>
        <w:t xml:space="preserve">American </w:t>
      </w:r>
      <w:r w:rsidR="00006ECA">
        <w:rPr>
          <w:rFonts w:ascii="Arial" w:hAnsi="Arial" w:cs="Arial"/>
          <w:i/>
          <w:sz w:val="24"/>
          <w:szCs w:val="24"/>
        </w:rPr>
        <w:t>Anthropologist</w:t>
      </w:r>
      <w:r w:rsidR="00006ECA">
        <w:rPr>
          <w:rFonts w:ascii="Arial" w:hAnsi="Arial" w:cs="Arial"/>
          <w:sz w:val="24"/>
          <w:szCs w:val="24"/>
        </w:rPr>
        <w:t xml:space="preserve"> 84</w:t>
      </w:r>
      <w:r>
        <w:rPr>
          <w:rFonts w:ascii="Arial" w:hAnsi="Arial" w:cs="Arial"/>
          <w:sz w:val="24"/>
          <w:szCs w:val="24"/>
        </w:rPr>
        <w:t>, (2), 299-313.</w:t>
      </w:r>
    </w:p>
    <w:p w:rsidR="00A31FFD" w:rsidRDefault="00A31FFD" w:rsidP="00DD6658">
      <w:pPr>
        <w:rPr>
          <w:rFonts w:ascii="Arial" w:hAnsi="Arial" w:cs="Arial"/>
          <w:sz w:val="24"/>
          <w:szCs w:val="24"/>
        </w:rPr>
      </w:pPr>
    </w:p>
    <w:p w:rsidR="00757C3B" w:rsidRPr="00757C3B" w:rsidRDefault="00757C3B" w:rsidP="00DD6658">
      <w:pPr>
        <w:rPr>
          <w:rFonts w:ascii="Arial" w:hAnsi="Arial" w:cs="Arial"/>
          <w:sz w:val="24"/>
          <w:szCs w:val="24"/>
        </w:rPr>
      </w:pPr>
    </w:p>
    <w:p w:rsidR="00A07BBB" w:rsidRDefault="00A07BBB" w:rsidP="00CD5FD8">
      <w:pPr>
        <w:rPr>
          <w:rFonts w:ascii="Arial" w:hAnsi="Arial" w:cs="Arial"/>
          <w:sz w:val="24"/>
          <w:szCs w:val="24"/>
        </w:rPr>
      </w:pPr>
    </w:p>
    <w:p w:rsidR="008C01D6" w:rsidRPr="00CD5FD8" w:rsidRDefault="008C01D6" w:rsidP="00CD5FD8">
      <w:pPr>
        <w:rPr>
          <w:rFonts w:ascii="Arial" w:hAnsi="Arial" w:cs="Arial"/>
          <w:sz w:val="24"/>
          <w:szCs w:val="24"/>
        </w:rPr>
      </w:pPr>
    </w:p>
    <w:sectPr w:rsidR="008C01D6" w:rsidRPr="00CD5FD8" w:rsidSect="00E35812">
      <w:footerReference w:type="default" r:id="rId9"/>
      <w:pgSz w:w="11906" w:h="16838"/>
      <w:pgMar w:top="1134" w:right="1701" w:bottom="1418" w:left="1701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4408" w:rsidRDefault="00B84408" w:rsidP="00CC06A2">
      <w:pPr>
        <w:spacing w:after="0" w:line="240" w:lineRule="auto"/>
      </w:pPr>
      <w:r>
        <w:separator/>
      </w:r>
    </w:p>
  </w:endnote>
  <w:endnote w:type="continuationSeparator" w:id="0">
    <w:p w:rsidR="00B84408" w:rsidRDefault="00B84408" w:rsidP="00CC06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22671891"/>
      <w:docPartObj>
        <w:docPartGallery w:val="Page Numbers (Bottom of Page)"/>
        <w:docPartUnique/>
      </w:docPartObj>
    </w:sdtPr>
    <w:sdtContent>
      <w:p w:rsidR="00CC06A2" w:rsidRDefault="00D91BD3">
        <w:pPr>
          <w:pStyle w:val="Footer"/>
          <w:jc w:val="right"/>
        </w:pPr>
        <w:fldSimple w:instr=" PAGE   \* MERGEFORMAT ">
          <w:r w:rsidR="00E65246">
            <w:rPr>
              <w:noProof/>
            </w:rPr>
            <w:t>1</w:t>
          </w:r>
        </w:fldSimple>
      </w:p>
    </w:sdtContent>
  </w:sdt>
  <w:p w:rsidR="00CC06A2" w:rsidRDefault="00CC06A2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4408" w:rsidRDefault="00B84408" w:rsidP="00CC06A2">
      <w:pPr>
        <w:spacing w:after="0" w:line="240" w:lineRule="auto"/>
      </w:pPr>
      <w:r>
        <w:separator/>
      </w:r>
    </w:p>
  </w:footnote>
  <w:footnote w:type="continuationSeparator" w:id="0">
    <w:p w:rsidR="00B84408" w:rsidRDefault="00B84408" w:rsidP="00CC06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2F73378"/>
    <w:multiLevelType w:val="hybridMultilevel"/>
    <w:tmpl w:val="47722F9A"/>
    <w:lvl w:ilvl="0" w:tplc="217014B2">
      <w:start w:val="1"/>
      <w:numFmt w:val="bullet"/>
      <w:lvlText w:val=""/>
      <w:lvlJc w:val="left"/>
      <w:pPr>
        <w:ind w:left="1353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3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18434"/>
  </w:hdrShapeDefaults>
  <w:footnotePr>
    <w:footnote w:id="-1"/>
    <w:footnote w:id="0"/>
  </w:footnotePr>
  <w:endnotePr>
    <w:endnote w:id="-1"/>
    <w:endnote w:id="0"/>
  </w:endnotePr>
  <w:compat/>
  <w:rsids>
    <w:rsidRoot w:val="00CD5FD8"/>
    <w:rsid w:val="00006ECA"/>
    <w:rsid w:val="00025769"/>
    <w:rsid w:val="00027114"/>
    <w:rsid w:val="000322A5"/>
    <w:rsid w:val="00074A8C"/>
    <w:rsid w:val="000763FD"/>
    <w:rsid w:val="000A2BBC"/>
    <w:rsid w:val="000B7090"/>
    <w:rsid w:val="000C6B63"/>
    <w:rsid w:val="000C6FB8"/>
    <w:rsid w:val="000C703C"/>
    <w:rsid w:val="000E117C"/>
    <w:rsid w:val="000F304D"/>
    <w:rsid w:val="00101622"/>
    <w:rsid w:val="001147C4"/>
    <w:rsid w:val="00125C3D"/>
    <w:rsid w:val="001456EE"/>
    <w:rsid w:val="00147BBC"/>
    <w:rsid w:val="00167895"/>
    <w:rsid w:val="00182CBA"/>
    <w:rsid w:val="0019667F"/>
    <w:rsid w:val="001A3116"/>
    <w:rsid w:val="001A6187"/>
    <w:rsid w:val="001B0F6F"/>
    <w:rsid w:val="001C79FB"/>
    <w:rsid w:val="001D1758"/>
    <w:rsid w:val="001F455D"/>
    <w:rsid w:val="00233937"/>
    <w:rsid w:val="00254E26"/>
    <w:rsid w:val="00256C4B"/>
    <w:rsid w:val="002618A2"/>
    <w:rsid w:val="00284F19"/>
    <w:rsid w:val="0029270F"/>
    <w:rsid w:val="002B529C"/>
    <w:rsid w:val="002C594F"/>
    <w:rsid w:val="002D7557"/>
    <w:rsid w:val="002F449E"/>
    <w:rsid w:val="00316448"/>
    <w:rsid w:val="00344AEA"/>
    <w:rsid w:val="00352952"/>
    <w:rsid w:val="00361D5B"/>
    <w:rsid w:val="00376213"/>
    <w:rsid w:val="00382438"/>
    <w:rsid w:val="00382E1B"/>
    <w:rsid w:val="00386821"/>
    <w:rsid w:val="00386EA9"/>
    <w:rsid w:val="003D2000"/>
    <w:rsid w:val="004065E8"/>
    <w:rsid w:val="0041745E"/>
    <w:rsid w:val="00435BFD"/>
    <w:rsid w:val="00435DB6"/>
    <w:rsid w:val="004362DA"/>
    <w:rsid w:val="00441401"/>
    <w:rsid w:val="00444E69"/>
    <w:rsid w:val="004464CB"/>
    <w:rsid w:val="004644C1"/>
    <w:rsid w:val="00467BA2"/>
    <w:rsid w:val="00471E22"/>
    <w:rsid w:val="0047429C"/>
    <w:rsid w:val="00484940"/>
    <w:rsid w:val="004849B6"/>
    <w:rsid w:val="00497E3A"/>
    <w:rsid w:val="004B3141"/>
    <w:rsid w:val="004D6B32"/>
    <w:rsid w:val="004E745B"/>
    <w:rsid w:val="005108C3"/>
    <w:rsid w:val="0055488D"/>
    <w:rsid w:val="00556698"/>
    <w:rsid w:val="00576669"/>
    <w:rsid w:val="00586EE6"/>
    <w:rsid w:val="005944B1"/>
    <w:rsid w:val="005A1509"/>
    <w:rsid w:val="005A34E2"/>
    <w:rsid w:val="005D5FA2"/>
    <w:rsid w:val="005F7F0B"/>
    <w:rsid w:val="0060586D"/>
    <w:rsid w:val="0061740A"/>
    <w:rsid w:val="006240C9"/>
    <w:rsid w:val="00640CA2"/>
    <w:rsid w:val="00651370"/>
    <w:rsid w:val="00654C45"/>
    <w:rsid w:val="00662D74"/>
    <w:rsid w:val="00666273"/>
    <w:rsid w:val="006864B2"/>
    <w:rsid w:val="00691752"/>
    <w:rsid w:val="0069288B"/>
    <w:rsid w:val="006B53C6"/>
    <w:rsid w:val="006C72BD"/>
    <w:rsid w:val="007164B4"/>
    <w:rsid w:val="00731F75"/>
    <w:rsid w:val="007518D6"/>
    <w:rsid w:val="00757C3B"/>
    <w:rsid w:val="007913ED"/>
    <w:rsid w:val="00800FD3"/>
    <w:rsid w:val="00807778"/>
    <w:rsid w:val="00812A9F"/>
    <w:rsid w:val="008624E1"/>
    <w:rsid w:val="00873789"/>
    <w:rsid w:val="00880A92"/>
    <w:rsid w:val="00885677"/>
    <w:rsid w:val="008A636F"/>
    <w:rsid w:val="008C01D6"/>
    <w:rsid w:val="008C0306"/>
    <w:rsid w:val="008C1723"/>
    <w:rsid w:val="008C4B4D"/>
    <w:rsid w:val="008D53C0"/>
    <w:rsid w:val="00903E99"/>
    <w:rsid w:val="00905DD2"/>
    <w:rsid w:val="00913523"/>
    <w:rsid w:val="00921200"/>
    <w:rsid w:val="0094699C"/>
    <w:rsid w:val="009733DF"/>
    <w:rsid w:val="00985266"/>
    <w:rsid w:val="00993AF2"/>
    <w:rsid w:val="0099423C"/>
    <w:rsid w:val="009A00D1"/>
    <w:rsid w:val="009A13E2"/>
    <w:rsid w:val="009B6601"/>
    <w:rsid w:val="009D25E1"/>
    <w:rsid w:val="009E06D9"/>
    <w:rsid w:val="009E6FA0"/>
    <w:rsid w:val="009F3F5F"/>
    <w:rsid w:val="00A07BBB"/>
    <w:rsid w:val="00A25AF5"/>
    <w:rsid w:val="00A31FFD"/>
    <w:rsid w:val="00A439CB"/>
    <w:rsid w:val="00A517EB"/>
    <w:rsid w:val="00A55A36"/>
    <w:rsid w:val="00A601EA"/>
    <w:rsid w:val="00A627A5"/>
    <w:rsid w:val="00A700D6"/>
    <w:rsid w:val="00A732D3"/>
    <w:rsid w:val="00A86A23"/>
    <w:rsid w:val="00A9009B"/>
    <w:rsid w:val="00AA31C6"/>
    <w:rsid w:val="00AA6673"/>
    <w:rsid w:val="00AB626C"/>
    <w:rsid w:val="00AE584C"/>
    <w:rsid w:val="00B024BC"/>
    <w:rsid w:val="00B03006"/>
    <w:rsid w:val="00B058E9"/>
    <w:rsid w:val="00B06545"/>
    <w:rsid w:val="00B15FB5"/>
    <w:rsid w:val="00B369DE"/>
    <w:rsid w:val="00B51F6C"/>
    <w:rsid w:val="00B60BF3"/>
    <w:rsid w:val="00B61369"/>
    <w:rsid w:val="00B63259"/>
    <w:rsid w:val="00B659F0"/>
    <w:rsid w:val="00B77FA4"/>
    <w:rsid w:val="00B84408"/>
    <w:rsid w:val="00B90649"/>
    <w:rsid w:val="00B94FE6"/>
    <w:rsid w:val="00BA6DA0"/>
    <w:rsid w:val="00BB1241"/>
    <w:rsid w:val="00BF388B"/>
    <w:rsid w:val="00BF5CDB"/>
    <w:rsid w:val="00C0072F"/>
    <w:rsid w:val="00C20266"/>
    <w:rsid w:val="00C4351A"/>
    <w:rsid w:val="00C55DA0"/>
    <w:rsid w:val="00C56E0B"/>
    <w:rsid w:val="00C61294"/>
    <w:rsid w:val="00C619DC"/>
    <w:rsid w:val="00C8095F"/>
    <w:rsid w:val="00C82B9E"/>
    <w:rsid w:val="00CA351D"/>
    <w:rsid w:val="00CB038D"/>
    <w:rsid w:val="00CC06A2"/>
    <w:rsid w:val="00CC5B04"/>
    <w:rsid w:val="00CD5FD8"/>
    <w:rsid w:val="00CE50FC"/>
    <w:rsid w:val="00D04D82"/>
    <w:rsid w:val="00D12151"/>
    <w:rsid w:val="00D154EF"/>
    <w:rsid w:val="00D26553"/>
    <w:rsid w:val="00D61DA1"/>
    <w:rsid w:val="00D77181"/>
    <w:rsid w:val="00D80B30"/>
    <w:rsid w:val="00D83943"/>
    <w:rsid w:val="00D86DDF"/>
    <w:rsid w:val="00D91BD3"/>
    <w:rsid w:val="00D92481"/>
    <w:rsid w:val="00DA77EE"/>
    <w:rsid w:val="00DB068B"/>
    <w:rsid w:val="00DB1383"/>
    <w:rsid w:val="00DC2CB3"/>
    <w:rsid w:val="00DC71FD"/>
    <w:rsid w:val="00DD41E3"/>
    <w:rsid w:val="00DD6658"/>
    <w:rsid w:val="00DD7E9C"/>
    <w:rsid w:val="00DE7F4C"/>
    <w:rsid w:val="00E03508"/>
    <w:rsid w:val="00E11E6D"/>
    <w:rsid w:val="00E169FD"/>
    <w:rsid w:val="00E17E58"/>
    <w:rsid w:val="00E33C81"/>
    <w:rsid w:val="00E35812"/>
    <w:rsid w:val="00E65246"/>
    <w:rsid w:val="00E738AE"/>
    <w:rsid w:val="00E81574"/>
    <w:rsid w:val="00E95B65"/>
    <w:rsid w:val="00EA393F"/>
    <w:rsid w:val="00EC1550"/>
    <w:rsid w:val="00ED3D83"/>
    <w:rsid w:val="00EE0494"/>
    <w:rsid w:val="00F0121E"/>
    <w:rsid w:val="00F2241C"/>
    <w:rsid w:val="00F24417"/>
    <w:rsid w:val="00F245CB"/>
    <w:rsid w:val="00F24854"/>
    <w:rsid w:val="00F52878"/>
    <w:rsid w:val="00F5782B"/>
    <w:rsid w:val="00F70FC9"/>
    <w:rsid w:val="00F973A6"/>
    <w:rsid w:val="00F9751E"/>
    <w:rsid w:val="00FB7C88"/>
    <w:rsid w:val="00FD05EF"/>
    <w:rsid w:val="00FF3231"/>
    <w:rsid w:val="00FF3949"/>
    <w:rsid w:val="00FF3EB8"/>
    <w:rsid w:val="00FF3F7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85677"/>
  </w:style>
  <w:style w:type="paragraph" w:styleId="Heading3">
    <w:name w:val="heading 3"/>
    <w:basedOn w:val="Normal"/>
    <w:link w:val="Heading3Char"/>
    <w:qFormat/>
    <w:rsid w:val="002618A2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72BD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DB068B"/>
    <w:rPr>
      <w:i/>
      <w:iCs/>
    </w:rPr>
  </w:style>
  <w:style w:type="paragraph" w:styleId="Header">
    <w:name w:val="header"/>
    <w:basedOn w:val="Normal"/>
    <w:link w:val="HeaderChar"/>
    <w:uiPriority w:val="99"/>
    <w:semiHidden/>
    <w:unhideWhenUsed/>
    <w:rsid w:val="00CC06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C06A2"/>
  </w:style>
  <w:style w:type="paragraph" w:styleId="Footer">
    <w:name w:val="footer"/>
    <w:basedOn w:val="Normal"/>
    <w:link w:val="FooterChar"/>
    <w:uiPriority w:val="99"/>
    <w:unhideWhenUsed/>
    <w:rsid w:val="00CC06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06A2"/>
  </w:style>
  <w:style w:type="character" w:customStyle="1" w:styleId="Heading3Char">
    <w:name w:val="Heading 3 Char"/>
    <w:basedOn w:val="DefaultParagraphFont"/>
    <w:link w:val="Heading3"/>
    <w:rsid w:val="002618A2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2618A2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18A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18A2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FC0FEB82-117E-429E-AF40-F2583938CA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9</Pages>
  <Words>1581</Words>
  <Characters>9015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10575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Sue</dc:creator>
  <cp:lastModifiedBy>Sue</cp:lastModifiedBy>
  <cp:revision>2</cp:revision>
  <dcterms:created xsi:type="dcterms:W3CDTF">2020-01-22T12:50:00Z</dcterms:created>
  <dcterms:modified xsi:type="dcterms:W3CDTF">2020-01-22T12:50:00Z</dcterms:modified>
</cp:coreProperties>
</file>