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244D24E" w14:paraId="5E5787A5" wp14:textId="62F30ADF">
      <w:pPr>
        <w:pStyle w:val="ListParagraph"/>
        <w:numPr>
          <w:ilvl w:val="0"/>
          <w:numId w:val="1"/>
        </w:numPr>
        <w:rPr>
          <w:rFonts w:ascii="Calibri" w:hAnsi="Calibri" w:eastAsia="Calibri" w:cs="Calibri" w:asciiTheme="minorAscii" w:hAnsiTheme="minorAscii" w:eastAsiaTheme="minorAscii" w:cstheme="minorAscii"/>
          <w:sz w:val="24"/>
          <w:szCs w:val="24"/>
        </w:rPr>
      </w:pPr>
      <w:bookmarkStart w:name="_GoBack" w:id="0"/>
      <w:bookmarkEnd w:id="0"/>
      <w:r w:rsidRPr="1244D24E" w:rsidR="1244D24E">
        <w:rPr>
          <w:sz w:val="24"/>
          <w:szCs w:val="24"/>
        </w:rPr>
        <w:t>What is the rule of privity of contract?</w:t>
      </w:r>
    </w:p>
    <w:p w:rsidR="1244D24E" w:rsidP="1244D24E" w:rsidRDefault="1244D24E" w14:paraId="650E84FD" w14:textId="7C322029">
      <w:pPr>
        <w:pStyle w:val="Normal"/>
        <w:rPr>
          <w:rFonts w:ascii="Roboto" w:hAnsi="Roboto" w:eastAsia="Roboto" w:cs="Roboto"/>
          <w:b w:val="0"/>
          <w:bCs w:val="0"/>
          <w:i w:val="0"/>
          <w:iCs w:val="0"/>
          <w:caps w:val="0"/>
          <w:smallCaps w:val="0"/>
          <w:noProof w:val="0"/>
          <w:color w:val="2C3E50"/>
          <w:sz w:val="22"/>
          <w:szCs w:val="22"/>
          <w:lang w:val="en-GB"/>
        </w:rPr>
      </w:pPr>
      <w:r w:rsidRPr="1244D24E" w:rsidR="1244D24E">
        <w:rPr>
          <w:sz w:val="24"/>
          <w:szCs w:val="24"/>
        </w:rPr>
        <w:t xml:space="preserve">A common law notion that prohibits a person who is not a party to a contract from enforcing a condition of that contract, even if the contract was established to benefit the third party. The Contracts (Rights of Third Parties) Act 1999 in the United Kingdom amended the privity of contract rule, allowing a person who is not a party to a contract to enforce a contract provision in certain circumstances.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(signon.thomsonreuters.com, n.d.)</w:t>
      </w:r>
    </w:p>
    <w:p w:rsidR="1244D24E" w:rsidP="1244D24E" w:rsidRDefault="1244D24E" w14:paraId="77DD4B7F" w14:textId="239A43CB">
      <w:pPr>
        <w:pStyle w:val="Normal"/>
        <w:rPr>
          <w:rFonts w:ascii="Roboto" w:hAnsi="Roboto" w:eastAsia="Roboto" w:cs="Roboto"/>
          <w:b w:val="0"/>
          <w:bCs w:val="0"/>
          <w:i w:val="0"/>
          <w:iCs w:val="0"/>
          <w:caps w:val="0"/>
          <w:smallCaps w:val="0"/>
          <w:noProof w:val="0"/>
          <w:color w:val="2C3E50"/>
          <w:sz w:val="22"/>
          <w:szCs w:val="22"/>
          <w:lang w:val="en-GB"/>
        </w:rPr>
      </w:pP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are standards governing who may sue a contracting party. There was a contract between two parties,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Dunlop,</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Selfridge, in the landmark case of Dunlop v Selfridge (1915). Selfridge could not be sued by a third party over a price agreement because the third party was not a customer. The court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determined</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there was no contract between the third party and the others, and that the third party lacked standing to litigate under that contract. Only individuals who are parties to a contract have the right to pursue action against another party to the contract, according to this 'privity' norm. (Dunlop Pneumatic Tyre Co ltd v Selfridge and Co ltd 1915) (InBrief.co.uk, n.d.)</w:t>
      </w:r>
    </w:p>
    <w:p w:rsidR="1244D24E" w:rsidP="1244D24E" w:rsidRDefault="1244D24E" w14:paraId="13B3D14C" w14:textId="5CE9E66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Explain whether past consideration amounts to good consideration</w:t>
      </w:r>
    </w:p>
    <w:p w:rsidR="1244D24E" w:rsidP="1244D24E" w:rsidRDefault="1244D24E" w14:paraId="00E069B9" w14:textId="03DFA9AF">
      <w:pPr>
        <w:pStyle w:val="Normal"/>
        <w:rPr>
          <w:rFonts w:ascii="Roboto" w:hAnsi="Roboto" w:eastAsia="Roboto" w:cs="Roboto"/>
          <w:b w:val="0"/>
          <w:bCs w:val="0"/>
          <w:i w:val="0"/>
          <w:iCs w:val="0"/>
          <w:caps w:val="0"/>
          <w:smallCaps w:val="0"/>
          <w:noProof w:val="0"/>
          <w:color w:val="2C3E50"/>
          <w:sz w:val="22"/>
          <w:szCs w:val="22"/>
          <w:lang w:val="en-GB"/>
        </w:rPr>
      </w:pPr>
      <w:r w:rsidRPr="1244D24E" w:rsidR="1244D24E">
        <w:rPr>
          <w:sz w:val="24"/>
          <w:szCs w:val="24"/>
        </w:rPr>
        <w:t xml:space="preserve">When a dispute arises over a current contract, past consideration is rarely accepted as acceptable and may </w:t>
      </w:r>
      <w:r w:rsidRPr="1244D24E" w:rsidR="1244D24E">
        <w:rPr>
          <w:sz w:val="24"/>
          <w:szCs w:val="24"/>
        </w:rPr>
        <w:t>render</w:t>
      </w:r>
      <w:r w:rsidRPr="1244D24E" w:rsidR="1244D24E">
        <w:rPr>
          <w:sz w:val="24"/>
          <w:szCs w:val="24"/>
        </w:rPr>
        <w:t xml:space="preserve"> the contract unenforceable. You must guarantee to pay for the car when you sign into a purchase agreement. After you pay for the car, the dealer will deliver it to you. If you tried to inform the auto </w:t>
      </w:r>
      <w:r w:rsidRPr="1244D24E" w:rsidR="1244D24E">
        <w:rPr>
          <w:sz w:val="24"/>
          <w:szCs w:val="24"/>
        </w:rPr>
        <w:t>salesman</w:t>
      </w:r>
      <w:r w:rsidRPr="1244D24E" w:rsidR="1244D24E">
        <w:rPr>
          <w:sz w:val="24"/>
          <w:szCs w:val="24"/>
        </w:rPr>
        <w:t xml:space="preserve"> that you were going to utilise your payment from five years ago on your old car, that would obviously not be an acceptable payment for the transaction. That earlier payment would be considered past consideration, which is illegal in contracts. Contracts, on the other hand, demand that you think about them right now. To </w:t>
      </w:r>
      <w:r w:rsidRPr="1244D24E" w:rsidR="1244D24E">
        <w:rPr>
          <w:sz w:val="24"/>
          <w:szCs w:val="24"/>
        </w:rPr>
        <w:t>enter into</w:t>
      </w:r>
      <w:r w:rsidRPr="1244D24E" w:rsidR="1244D24E">
        <w:rPr>
          <w:sz w:val="24"/>
          <w:szCs w:val="24"/>
        </w:rPr>
        <w:t xml:space="preserve"> a contract, consideration is something of value that is promised. Money was used as consideration in the </w:t>
      </w:r>
      <w:r w:rsidRPr="1244D24E" w:rsidR="1244D24E">
        <w:rPr>
          <w:sz w:val="24"/>
          <w:szCs w:val="24"/>
        </w:rPr>
        <w:t>previous</w:t>
      </w:r>
      <w:r w:rsidRPr="1244D24E" w:rsidR="1244D24E">
        <w:rPr>
          <w:sz w:val="24"/>
          <w:szCs w:val="24"/>
        </w:rPr>
        <w:t xml:space="preserve"> automobile example, but products, services, and agreed-upon acts can also be used. For a contract to be legally binding, it must have consideration; it is an essential </w:t>
      </w:r>
      <w:r w:rsidRPr="1244D24E" w:rsidR="1244D24E">
        <w:rPr>
          <w:sz w:val="24"/>
          <w:szCs w:val="24"/>
        </w:rPr>
        <w:t>component</w:t>
      </w:r>
      <w:r w:rsidRPr="1244D24E" w:rsidR="1244D24E">
        <w:rPr>
          <w:sz w:val="24"/>
          <w:szCs w:val="24"/>
        </w:rPr>
        <w:t xml:space="preserve"> of contract formation. As a result, prior consideration refers to the advantage you receive </w:t>
      </w:r>
      <w:r w:rsidRPr="1244D24E" w:rsidR="1244D24E">
        <w:rPr>
          <w:sz w:val="24"/>
          <w:szCs w:val="24"/>
        </w:rPr>
        <w:t>because of</w:t>
      </w:r>
      <w:r w:rsidRPr="1244D24E" w:rsidR="1244D24E">
        <w:rPr>
          <w:sz w:val="24"/>
          <w:szCs w:val="24"/>
        </w:rPr>
        <w:t xml:space="preserve"> </w:t>
      </w:r>
      <w:r w:rsidRPr="1244D24E" w:rsidR="1244D24E">
        <w:rPr>
          <w:sz w:val="24"/>
          <w:szCs w:val="24"/>
        </w:rPr>
        <w:t>entering</w:t>
      </w:r>
      <w:r w:rsidRPr="1244D24E" w:rsidR="1244D24E">
        <w:rPr>
          <w:sz w:val="24"/>
          <w:szCs w:val="24"/>
        </w:rPr>
        <w:t xml:space="preserve"> the contract. To put it another way, everyone who signed the contract agreed to perform something specific. The person, on the other hand, may have </w:t>
      </w:r>
      <w:r w:rsidRPr="1244D24E" w:rsidR="1244D24E">
        <w:rPr>
          <w:sz w:val="24"/>
          <w:szCs w:val="24"/>
        </w:rPr>
        <w:t>stated</w:t>
      </w:r>
      <w:r w:rsidRPr="1244D24E" w:rsidR="1244D24E">
        <w:rPr>
          <w:sz w:val="24"/>
          <w:szCs w:val="24"/>
        </w:rPr>
        <w:t xml:space="preserve"> that they will not do something. An agreement can be declared unlawful and unenforceable if sufficient consideration was not provided in it.</w:t>
      </w:r>
      <w:r w:rsidRPr="1244D24E" w:rsidR="1244D24E">
        <w:rPr>
          <w:rFonts w:ascii="Calibri" w:hAnsi="Calibri" w:eastAsia="Calibri" w:cs="Calibri" w:asciiTheme="minorAscii" w:hAnsiTheme="minorAscii" w:eastAsiaTheme="minorAscii" w:cstheme="minorAscii"/>
          <w:color w:val="auto"/>
          <w:sz w:val="28"/>
          <w:szCs w:val="28"/>
        </w:rPr>
        <w:t xml:space="preserve">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(Study.com, n.d.)</w:t>
      </w:r>
    </w:p>
    <w:p w:rsidR="1244D24E" w:rsidP="1244D24E" w:rsidRDefault="1244D24E" w14:paraId="688F0B68" w14:textId="5703583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 Identify three of the exercises to the entire performance rule from Cutter v Powell (1795)</w:t>
      </w:r>
    </w:p>
    <w:p w:rsidR="1244D24E" w:rsidP="1244D24E" w:rsidRDefault="1244D24E" w14:paraId="46A3ED53" w14:textId="04B33A74">
      <w:pPr>
        <w:pStyle w:val="Normal"/>
        <w:rPr>
          <w:rFonts w:ascii="Roboto" w:hAnsi="Roboto" w:eastAsia="Roboto" w:cs="Roboto"/>
          <w:b w:val="0"/>
          <w:bCs w:val="0"/>
          <w:i w:val="0"/>
          <w:iCs w:val="0"/>
          <w:caps w:val="0"/>
          <w:smallCaps w:val="0"/>
          <w:noProof w:val="0"/>
          <w:color w:val="2C3E50"/>
          <w:sz w:val="22"/>
          <w:szCs w:val="22"/>
          <w:lang w:val="en-GB"/>
        </w:rPr>
      </w:pP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all the contract's duties have been met, the contract is discharged by performance. General Rule: Cutter v Powell (1795) - If a contract involves complete performance and one party fails to complete the deal, the other party is obligated to pay nothing under the contract. There are several ways to lessen the severity of this rule: Significant performance, Terminable contracts, and acceptance of part-time performance. The Substantial Performance of the Discharge by Performance. The notion of substantial performance can apply if a party has done substantially what was needed under the contract. The party can recover the sum that corresponds to the work performed under the contract. Dakin &amp; Co v Lee (1916), Hoeing v Isaacs (1952), and Bolton v Mahadeva are all important cases where this is applied (1972). Contracts that can be terminated. When payment is due at several stages of performance rather than in one lump sum at the end of performance, the contract is said to be severable. This is how most major construction project's function. When each stage is accomplished, the price for that stage can be claimed.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Acceptance of part-time performance</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strict criterion in Cutter v Powell will usually not apply if one party has partially performed the contract and the other party has shown readiness to accept the part performed. This can happen if things aren't delivered on time, or a service isn't completed completely. Sumpter v Hedges is a well-known example (1898). </w:t>
      </w: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roofErr w:type="spellStart"/>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dls</w:t>
      </w:r>
      <w:proofErr w:type="spellEnd"/>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2021)</w:t>
      </w:r>
    </w:p>
    <w:p w:rsidR="1244D24E" w:rsidP="1244D24E" w:rsidRDefault="1244D24E" w14:paraId="4FF6320C" w14:textId="313B9FC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244D24E" w:rsidR="1244D2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 Question</w:t>
      </w:r>
    </w:p>
    <w:p w:rsidR="1244D24E" w:rsidP="1244D24E" w:rsidRDefault="1244D24E" w14:paraId="75DC6006" w14:textId="1583DE8D">
      <w:pPr>
        <w:pStyle w:val="Normal"/>
        <w:rPr>
          <w:sz w:val="24"/>
          <w:szCs w:val="24"/>
        </w:rPr>
      </w:pPr>
      <w:r w:rsidRPr="1244D24E" w:rsidR="1244D24E">
        <w:rPr>
          <w:sz w:val="24"/>
          <w:szCs w:val="24"/>
        </w:rPr>
        <w:t xml:space="preserve">Contract law is the corpus of law that governs the formation and enforcement of contracts. A contract is a legally binding agreement that can be enforced by a court. Contract law controls the formation of contracts, their execution, and the formulation of a just remedy </w:t>
      </w:r>
      <w:r w:rsidRPr="1244D24E" w:rsidR="1244D24E">
        <w:rPr>
          <w:sz w:val="24"/>
          <w:szCs w:val="24"/>
        </w:rPr>
        <w:t>in the event of</w:t>
      </w:r>
      <w:r w:rsidRPr="1244D24E" w:rsidR="1244D24E">
        <w:rPr>
          <w:sz w:val="24"/>
          <w:szCs w:val="24"/>
        </w:rPr>
        <w:t xml:space="preserve"> a breach. Contract law is used by everybody who does business. Contracts are used by both businesses and people when they buy and sell items, licence products or activities, enter into employment agreements, and much more. Contracts ensure that these transactions go off without a hitch and without misunderstandings. They enable parties to conduct their business well with confidence. Contracts ensure that the terms of a transaction are understood by </w:t>
      </w:r>
      <w:r w:rsidRPr="1244D24E" w:rsidR="1244D24E">
        <w:rPr>
          <w:sz w:val="24"/>
          <w:szCs w:val="24"/>
        </w:rPr>
        <w:t>all of</w:t>
      </w:r>
      <w:r w:rsidRPr="1244D24E" w:rsidR="1244D24E">
        <w:rPr>
          <w:sz w:val="24"/>
          <w:szCs w:val="24"/>
        </w:rPr>
        <w:t xml:space="preserve"> the parties involved. A contract must have an agreement, </w:t>
      </w:r>
      <w:r w:rsidRPr="1244D24E" w:rsidR="1244D24E">
        <w:rPr>
          <w:sz w:val="24"/>
          <w:szCs w:val="24"/>
        </w:rPr>
        <w:t>consideration,</w:t>
      </w:r>
      <w:r w:rsidRPr="1244D24E" w:rsidR="1244D24E">
        <w:rPr>
          <w:sz w:val="24"/>
          <w:szCs w:val="24"/>
        </w:rPr>
        <w:t xml:space="preserve"> and intention to create legal relations for it to be considered a valid contract.</w:t>
      </w:r>
    </w:p>
    <w:p w:rsidR="1244D24E" w:rsidP="1244D24E" w:rsidRDefault="1244D24E" w14:paraId="6C1C3596" w14:textId="4A9366EF">
      <w:pPr>
        <w:pStyle w:val="Normal"/>
        <w:rPr>
          <w:sz w:val="24"/>
          <w:szCs w:val="24"/>
        </w:rPr>
      </w:pPr>
      <w:r w:rsidRPr="1244D24E" w:rsidR="1244D24E">
        <w:rPr>
          <w:sz w:val="24"/>
          <w:szCs w:val="24"/>
        </w:rPr>
        <w:t xml:space="preserve">An agreement is formed when one party accepts the offer of another party and involves a ‘meeting of the minds’ (consensus ad idium). An agreement through the objective test approach is explained in the case of Gibson v Manchester. Even though Gibson thought that the council was offering to sell the house to him, the House of Lords </w:t>
      </w:r>
      <w:proofErr w:type="gramStart"/>
      <w:r w:rsidRPr="1244D24E" w:rsidR="1244D24E">
        <w:rPr>
          <w:sz w:val="24"/>
          <w:szCs w:val="24"/>
        </w:rPr>
        <w:t>made a decision</w:t>
      </w:r>
      <w:proofErr w:type="gramEnd"/>
      <w:r w:rsidRPr="1244D24E" w:rsidR="1244D24E">
        <w:rPr>
          <w:sz w:val="24"/>
          <w:szCs w:val="24"/>
        </w:rPr>
        <w:t xml:space="preserve"> that from an objective point of view and an objective standpoint, the words ‘may be prepared to sell’ did not amount to an offer. A contractual agreement involves exceptional situations where there is clearly an agreement and both parties give their assent to the terms arising from the correspondence. It must be binding as soon as it is accepted by the person to whom it is addressed, which is the offeree and, in this case, that is Arthur. The offer made by Ben is incapable of acceptance. Even though Arthur stated his postal address as a way of contacting him and Ben isn’t computer literate, the letter arrived at Arthurs house 6 days after he announced the selling of the watch and in that time Christine and Dennis had made other offers to Arthur, to which he replied to. Arthur had the letter delivered to his house but because Arthur did not respond back to ben, there is no agreement between two parties as only one party, Ben, gave their assent to the terms. There is nothing that binds them as Arthur did not make contact with Ben and accept his offer. However, Arthur did reach out to Christine and Dennis. Who </w:t>
      </w:r>
      <w:proofErr w:type="gramStart"/>
      <w:r w:rsidRPr="1244D24E" w:rsidR="1244D24E">
        <w:rPr>
          <w:sz w:val="24"/>
          <w:szCs w:val="24"/>
        </w:rPr>
        <w:t>both emailed</w:t>
      </w:r>
      <w:proofErr w:type="gramEnd"/>
      <w:r w:rsidRPr="1244D24E" w:rsidR="1244D24E">
        <w:rPr>
          <w:sz w:val="24"/>
          <w:szCs w:val="24"/>
        </w:rPr>
        <w:t xml:space="preserve"> Arthur to say they would pay the £13,000 that Arthur wanted in the end for the watch. Arthur stated that he wanted £13,000 for the watch and Christine was able to pay £11,000 and then the £2000 but then on the 6</w:t>
      </w:r>
      <w:r w:rsidRPr="1244D24E" w:rsidR="1244D24E">
        <w:rPr>
          <w:sz w:val="24"/>
          <w:szCs w:val="24"/>
          <w:vertAlign w:val="superscript"/>
        </w:rPr>
        <w:t>th</w:t>
      </w:r>
      <w:r w:rsidRPr="1244D24E" w:rsidR="1244D24E">
        <w:rPr>
          <w:sz w:val="24"/>
          <w:szCs w:val="24"/>
        </w:rPr>
        <w:t xml:space="preserve"> was able to pay the £13,000 upfront as discussed, that causing an agreement between Arthur and Christine. Dennis emailed to ask to buy the watch and Arthur replied saying he wanted £13,000 for it, Dennis emailed back and agreed to Arthur's terms, stating he would pay the £13,000 as Arthur requested. Therefore, Arthur </w:t>
      </w:r>
      <w:proofErr w:type="gramStart"/>
      <w:r w:rsidRPr="1244D24E" w:rsidR="1244D24E">
        <w:rPr>
          <w:sz w:val="24"/>
          <w:szCs w:val="24"/>
        </w:rPr>
        <w:t>is in agreement</w:t>
      </w:r>
      <w:proofErr w:type="gramEnd"/>
      <w:r w:rsidRPr="1244D24E" w:rsidR="1244D24E">
        <w:rPr>
          <w:sz w:val="24"/>
          <w:szCs w:val="24"/>
        </w:rPr>
        <w:t xml:space="preserve"> with Christine and Dennis.</w:t>
      </w:r>
    </w:p>
    <w:p w:rsidR="1244D24E" w:rsidP="1244D24E" w:rsidRDefault="1244D24E" w14:paraId="1DDBD8A9" w14:textId="2DB825D6">
      <w:pPr>
        <w:pStyle w:val="Normal"/>
        <w:rPr>
          <w:sz w:val="24"/>
          <w:szCs w:val="24"/>
        </w:rPr>
      </w:pPr>
      <w:r w:rsidRPr="1244D24E" w:rsidR="1244D24E">
        <w:rPr>
          <w:sz w:val="24"/>
          <w:szCs w:val="24"/>
        </w:rPr>
        <w:t>Accepting another party's offer completes the deal. The party who accepts the offer must do so under the same conditions as the initial offer. They must ensure that the opposite side is aware of their acceptance. There is no contract if they propose different terms. Their terms, on the other hand, are a counteroffer. The first party must then decide whether to accept the counteroffer or make a new counteroffer. Ben sent a letter stating he would pay the amount that Arthur initially advertised, the £15,000 for the watch. Therefore, Ben has accepted the offer under the same conditions as the initial offer. Nevertheless, Arthur has yet to open this letter and is unaware that Ben is willing to pay the initial offer, so he is unaware of Bens acceptance. Christine did not accept the initial offer that was the £15,000 and instead reached out to Arthur and made a counteroffer of £11,000. Arthur did not accept this counteroffer but instead made a counteroffer of his own, the £13,000. Christine accepted this counteroffer and was willing to pay the £13,000 for the watch. Dennis was told by Arthur that he could buy the watch for £13,000 and Dennis replied to Arthur to say he could do that. Here Dennis accepted the party’s offer of the deal under the offeree’s conditions and Arthur is aware that Dennis has accepted the deal. Here Christine and Dennis are amounted to agreement. Cases that show the process of acceptance include Butler Machine Tools v Ex-Cell-O Corporation England Ltd (1979) and Brogden v Metropolitan Railway Co (1877).</w:t>
      </w:r>
    </w:p>
    <w:p w:rsidR="1244D24E" w:rsidP="1244D24E" w:rsidRDefault="1244D24E" w14:paraId="1B3026C1" w14:textId="61411664">
      <w:pPr>
        <w:pStyle w:val="Normal"/>
        <w:rPr>
          <w:sz w:val="24"/>
          <w:szCs w:val="24"/>
        </w:rPr>
      </w:pPr>
      <w:r w:rsidRPr="1244D24E" w:rsidR="1244D24E">
        <w:rPr>
          <w:sz w:val="24"/>
          <w:szCs w:val="24"/>
        </w:rPr>
        <w:t xml:space="preserve">Each side must give up something </w:t>
      </w:r>
      <w:proofErr w:type="gramStart"/>
      <w:r w:rsidRPr="1244D24E" w:rsidR="1244D24E">
        <w:rPr>
          <w:sz w:val="24"/>
          <w:szCs w:val="24"/>
        </w:rPr>
        <w:t>in order for</w:t>
      </w:r>
      <w:proofErr w:type="gramEnd"/>
      <w:r w:rsidRPr="1244D24E" w:rsidR="1244D24E">
        <w:rPr>
          <w:sz w:val="24"/>
          <w:szCs w:val="24"/>
        </w:rPr>
        <w:t xml:space="preserve"> the contract to be valid. This is referred to as consideration. In an employment contract, for example, one party agrees to give up money while the other agrees to give up labour. A contract is a two-way street in which each side gives up something in exchange for something they desire. </w:t>
      </w:r>
      <w:r w:rsidRPr="1244D24E" w:rsidR="1244D24E">
        <w:rPr>
          <w:sz w:val="24"/>
          <w:szCs w:val="24"/>
        </w:rPr>
        <w:t>Examples of consideration are money, hand over goods, a promise to perform an act of service and much more. In this case it is money for the watch. A case that highlights consideration is Dunlop v Selfridge (1915). Where D</w:t>
      </w:r>
      <w:r w:rsidRPr="1244D24E" w:rsidR="1244D24E">
        <w:rPr>
          <w:sz w:val="24"/>
          <w:szCs w:val="24"/>
        </w:rPr>
        <w:t>unlop agreed to sell products to Dew on the condition that Dew would not sue for less than the list price and that anyone to whom the items were sold would not sell them for less than the list price. S purchased from Dew and sold below list price, but the court denied Dunlop's request for an injunction against S because Dunlop was not a party to the arrangement between S and Dew. The advertisement was made on the 1</w:t>
      </w:r>
      <w:r w:rsidRPr="1244D24E" w:rsidR="1244D24E">
        <w:rPr>
          <w:sz w:val="24"/>
          <w:szCs w:val="24"/>
          <w:vertAlign w:val="superscript"/>
        </w:rPr>
        <w:t>st</w:t>
      </w:r>
      <w:r w:rsidRPr="1244D24E" w:rsidR="1244D24E">
        <w:rPr>
          <w:sz w:val="24"/>
          <w:szCs w:val="24"/>
        </w:rPr>
        <w:t xml:space="preserve"> of May and had no deadline. Ben made an offer, an agreement to pay the £15,000, performing his part of the contract at the time of </w:t>
      </w:r>
      <w:proofErr w:type="gramStart"/>
      <w:r w:rsidRPr="1244D24E" w:rsidR="1244D24E">
        <w:rPr>
          <w:sz w:val="24"/>
          <w:szCs w:val="24"/>
        </w:rPr>
        <w:t>entering into</w:t>
      </w:r>
      <w:proofErr w:type="gramEnd"/>
      <w:r w:rsidRPr="1244D24E" w:rsidR="1244D24E">
        <w:rPr>
          <w:sz w:val="24"/>
          <w:szCs w:val="24"/>
        </w:rPr>
        <w:t xml:space="preserve"> the contract, also known as an executed contract, and therefore </w:t>
      </w:r>
      <w:proofErr w:type="gramStart"/>
      <w:r w:rsidRPr="1244D24E" w:rsidR="1244D24E">
        <w:rPr>
          <w:sz w:val="24"/>
          <w:szCs w:val="24"/>
        </w:rPr>
        <w:t>is considered to be</w:t>
      </w:r>
      <w:proofErr w:type="gramEnd"/>
      <w:r w:rsidRPr="1244D24E" w:rsidR="1244D24E">
        <w:rPr>
          <w:sz w:val="24"/>
          <w:szCs w:val="24"/>
        </w:rPr>
        <w:t xml:space="preserve"> valid. Ben made an offer in the present time. Christine made a counteroffer which would </w:t>
      </w:r>
      <w:proofErr w:type="gramStart"/>
      <w:r w:rsidRPr="1244D24E" w:rsidR="1244D24E">
        <w:rPr>
          <w:sz w:val="24"/>
          <w:szCs w:val="24"/>
        </w:rPr>
        <w:t>be considered to be</w:t>
      </w:r>
      <w:proofErr w:type="gramEnd"/>
      <w:r w:rsidRPr="1244D24E" w:rsidR="1244D24E">
        <w:rPr>
          <w:sz w:val="24"/>
          <w:szCs w:val="24"/>
        </w:rPr>
        <w:t xml:space="preserve"> an executory contract. This is because Chrstine was willing to pay the £11,000 upfront but stated she pay the remaining £2,000 once she got paid, therefore making a promise to do something in the future, a promise to perform her part of the contract in the future. This consideration is still classed as valid. Dennis also made an offer to Arthur stating he would pay the £13,000 there and then, classing his deal as an executed contract as it is in the present and therefore being classed as valid.</w:t>
      </w:r>
    </w:p>
    <w:p w:rsidR="1244D24E" w:rsidP="1244D24E" w:rsidRDefault="1244D24E" w14:paraId="7E57BE1F" w14:textId="06D2EE2E">
      <w:pPr>
        <w:pStyle w:val="Normal"/>
        <w:rPr>
          <w:sz w:val="24"/>
          <w:szCs w:val="24"/>
        </w:rPr>
      </w:pPr>
      <w:r w:rsidRPr="1244D24E" w:rsidR="1244D24E">
        <w:rPr>
          <w:sz w:val="24"/>
          <w:szCs w:val="24"/>
        </w:rPr>
        <w:t xml:space="preserve">Both parties must intend to be bound by the contract </w:t>
      </w:r>
      <w:proofErr w:type="gramStart"/>
      <w:r w:rsidRPr="1244D24E" w:rsidR="1244D24E">
        <w:rPr>
          <w:sz w:val="24"/>
          <w:szCs w:val="24"/>
        </w:rPr>
        <w:t>in order for</w:t>
      </w:r>
      <w:proofErr w:type="gramEnd"/>
      <w:r w:rsidRPr="1244D24E" w:rsidR="1244D24E">
        <w:rPr>
          <w:sz w:val="24"/>
          <w:szCs w:val="24"/>
        </w:rPr>
        <w:t xml:space="preserve"> it to be legitimate. If a document specifies that it is just a declaration of intent, the parties may not </w:t>
      </w:r>
      <w:proofErr w:type="gramStart"/>
      <w:r w:rsidRPr="1244D24E" w:rsidR="1244D24E">
        <w:rPr>
          <w:sz w:val="24"/>
          <w:szCs w:val="24"/>
        </w:rPr>
        <w:t>be in agreement</w:t>
      </w:r>
      <w:proofErr w:type="gramEnd"/>
      <w:r w:rsidRPr="1244D24E" w:rsidR="1244D24E">
        <w:rPr>
          <w:sz w:val="24"/>
          <w:szCs w:val="24"/>
        </w:rPr>
        <w:t xml:space="preserve"> to form a contract. Friendship agreements are frequently included in this category. A promise or offer of a reward in exchange for certain behaviour usually results in an enforceable contract with the individual who performs the activity. For example, if someone offers a reward for information leading to a criminal arrest, the individual who gives the information can seek to have the award enforced. An advertisement, on the other hand, is not a contract until the vendor extends an additional invitation to the buyer to purchase products. On the facts stated above, Christine and Dennis are unlikely to have difficulty </w:t>
      </w:r>
      <w:r w:rsidRPr="1244D24E" w:rsidR="1244D24E">
        <w:rPr>
          <w:sz w:val="24"/>
          <w:szCs w:val="24"/>
        </w:rPr>
        <w:t>demonstrating</w:t>
      </w:r>
      <w:r w:rsidRPr="1244D24E" w:rsidR="1244D24E">
        <w:rPr>
          <w:sz w:val="24"/>
          <w:szCs w:val="24"/>
        </w:rPr>
        <w:t xml:space="preserve"> an intention to create legal relations.</w:t>
      </w:r>
    </w:p>
    <w:p w:rsidR="1244D24E" w:rsidP="1244D24E" w:rsidRDefault="1244D24E" w14:paraId="4523C54E" w14:textId="77B011D1">
      <w:pPr>
        <w:pStyle w:val="Normal"/>
        <w:rPr>
          <w:sz w:val="24"/>
          <w:szCs w:val="24"/>
        </w:rPr>
      </w:pPr>
      <w:r w:rsidRPr="1244D24E" w:rsidR="1244D24E">
        <w:rPr>
          <w:sz w:val="24"/>
          <w:szCs w:val="24"/>
        </w:rPr>
        <w:t xml:space="preserve">There is a strong argument that there is a valid contract between Arthur and </w:t>
      </w:r>
      <w:r w:rsidRPr="1244D24E" w:rsidR="1244D24E">
        <w:rPr>
          <w:sz w:val="24"/>
          <w:szCs w:val="24"/>
        </w:rPr>
        <w:t>Christine</w:t>
      </w:r>
      <w:r w:rsidRPr="1244D24E" w:rsidR="1244D24E">
        <w:rPr>
          <w:sz w:val="24"/>
          <w:szCs w:val="24"/>
        </w:rPr>
        <w:t xml:space="preserve"> and Arthur and Dennis.</w:t>
      </w:r>
    </w:p>
    <w:p w:rsidR="1244D24E" w:rsidP="1244D24E" w:rsidRDefault="1244D24E" w14:paraId="6735B7BC" w14:textId="092BB1DB">
      <w:pPr>
        <w:pStyle w:val="Normal"/>
        <w:rPr>
          <w:sz w:val="24"/>
          <w:szCs w:val="24"/>
        </w:rPr>
      </w:pPr>
      <w:r w:rsidRPr="1244D24E" w:rsidR="1244D24E">
        <w:rPr>
          <w:sz w:val="24"/>
          <w:szCs w:val="24"/>
        </w:rPr>
        <w:t>References</w:t>
      </w:r>
    </w:p>
    <w:p w:rsidR="1244D24E" w:rsidP="1244D24E" w:rsidRDefault="1244D24E" w14:paraId="774E7129" w14:textId="3B64E18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signon.thomsonreuters.com. (n.d.). </w:t>
      </w:r>
      <w:r w:rsidRPr="1244D24E" w:rsidR="1244D24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Practical Law UK </w:t>
      </w:r>
      <w:r w:rsidRPr="1244D24E" w:rsidR="1244D24E">
        <w:rPr>
          <w:rFonts w:ascii="Calibri" w:hAnsi="Calibri" w:eastAsia="Calibri" w:cs="Calibri"/>
          <w:b w:val="0"/>
          <w:bCs w:val="0"/>
          <w:i w:val="1"/>
          <w:iCs w:val="1"/>
          <w:caps w:val="0"/>
          <w:smallCaps w:val="0"/>
          <w:noProof w:val="0"/>
          <w:color w:val="000000" w:themeColor="text1" w:themeTint="FF" w:themeShade="FF"/>
          <w:sz w:val="24"/>
          <w:szCs w:val="24"/>
          <w:lang w:val="en-GB"/>
        </w:rPr>
        <w:t>Signon</w:t>
      </w: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de184908c4a04661">
        <w:r w:rsidRPr="1244D24E" w:rsidR="1244D24E">
          <w:rPr>
            <w:rStyle w:val="Hyperlink"/>
            <w:rFonts w:ascii="Calibri" w:hAnsi="Calibri" w:eastAsia="Calibri" w:cs="Calibri"/>
            <w:b w:val="0"/>
            <w:bCs w:val="0"/>
            <w:i w:val="0"/>
            <w:iCs w:val="0"/>
            <w:caps w:val="0"/>
            <w:smallCaps w:val="0"/>
            <w:noProof w:val="0"/>
            <w:sz w:val="24"/>
            <w:szCs w:val="24"/>
            <w:lang w:val="en-GB"/>
          </w:rPr>
          <w:t>https://uk.practicallaw.thomsonreuters.com/8-107-7056?contextData=(sc.Default)&amp;transitionType=Default&amp;firstPage=true</w:t>
        </w:r>
      </w:hyperlink>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244D24E" w:rsidP="1244D24E" w:rsidRDefault="1244D24E" w14:paraId="13B64637" w14:textId="375F0A2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InBrief.co.uk. (n.d.). </w:t>
      </w:r>
      <w:r w:rsidRPr="1244D24E" w:rsidR="1244D24E">
        <w:rPr>
          <w:rFonts w:ascii="Calibri" w:hAnsi="Calibri" w:eastAsia="Calibri" w:cs="Calibri"/>
          <w:b w:val="0"/>
          <w:bCs w:val="0"/>
          <w:i w:val="1"/>
          <w:iCs w:val="1"/>
          <w:caps w:val="0"/>
          <w:smallCaps w:val="0"/>
          <w:noProof w:val="0"/>
          <w:color w:val="000000" w:themeColor="text1" w:themeTint="FF" w:themeShade="FF"/>
          <w:sz w:val="24"/>
          <w:szCs w:val="24"/>
          <w:lang w:val="en-GB"/>
        </w:rPr>
        <w:t>Privity in Contract Law</w:t>
      </w: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1bf4388f54d440d1">
        <w:r w:rsidRPr="1244D24E" w:rsidR="1244D24E">
          <w:rPr>
            <w:rStyle w:val="Hyperlink"/>
            <w:rFonts w:ascii="Calibri" w:hAnsi="Calibri" w:eastAsia="Calibri" w:cs="Calibri"/>
            <w:b w:val="0"/>
            <w:bCs w:val="0"/>
            <w:i w:val="0"/>
            <w:iCs w:val="0"/>
            <w:caps w:val="0"/>
            <w:smallCaps w:val="0"/>
            <w:noProof w:val="0"/>
            <w:sz w:val="24"/>
            <w:szCs w:val="24"/>
            <w:lang w:val="en-GB"/>
          </w:rPr>
          <w:t>https://www.inbrief.co.uk/contract-law/privity-in-contract-law/</w:t>
        </w:r>
      </w:hyperlink>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244D24E" w:rsidP="1244D24E" w:rsidRDefault="1244D24E" w14:paraId="1B0515A1" w14:textId="54195C0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Study.com. (n.d.). </w:t>
      </w:r>
      <w:r w:rsidRPr="1244D24E" w:rsidR="1244D24E">
        <w:rPr>
          <w:rFonts w:ascii="Calibri" w:hAnsi="Calibri" w:eastAsia="Calibri" w:cs="Calibri"/>
          <w:b w:val="0"/>
          <w:bCs w:val="0"/>
          <w:i w:val="1"/>
          <w:iCs w:val="1"/>
          <w:caps w:val="0"/>
          <w:smallCaps w:val="0"/>
          <w:noProof w:val="0"/>
          <w:color w:val="000000" w:themeColor="text1" w:themeTint="FF" w:themeShade="FF"/>
          <w:sz w:val="24"/>
          <w:szCs w:val="24"/>
          <w:lang w:val="en-GB"/>
        </w:rPr>
        <w:t>Past Consideration in Contract Law: Definition &amp; Cases - Video &amp; Lesson Transcript</w:t>
      </w: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6bea023533a74300">
        <w:r w:rsidRPr="1244D24E" w:rsidR="1244D24E">
          <w:rPr>
            <w:rStyle w:val="Hyperlink"/>
            <w:rFonts w:ascii="Calibri" w:hAnsi="Calibri" w:eastAsia="Calibri" w:cs="Calibri"/>
            <w:b w:val="0"/>
            <w:bCs w:val="0"/>
            <w:i w:val="0"/>
            <w:iCs w:val="0"/>
            <w:caps w:val="0"/>
            <w:smallCaps w:val="0"/>
            <w:noProof w:val="0"/>
            <w:sz w:val="24"/>
            <w:szCs w:val="24"/>
            <w:lang w:val="en-GB"/>
          </w:rPr>
          <w:t>https://study.com/academy/lesson/past-consideration-in-contract-law-definition-cases.html</w:t>
        </w:r>
      </w:hyperlink>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244D24E" w:rsidP="1244D24E" w:rsidRDefault="1244D24E" w14:paraId="73646146" w14:textId="7F3380BE">
      <w:pPr>
        <w:pStyle w:val="Normal"/>
        <w:rPr>
          <w:rFonts w:ascii="Calibri" w:hAnsi="Calibri" w:eastAsia="Calibri" w:cs="Calibri"/>
          <w:b w:val="0"/>
          <w:bCs w:val="0"/>
          <w:i w:val="0"/>
          <w:iCs w:val="0"/>
          <w:caps w:val="0"/>
          <w:smallCaps w:val="0"/>
          <w:noProof w:val="0"/>
          <w:color w:val="2C3E50"/>
          <w:sz w:val="27"/>
          <w:szCs w:val="27"/>
          <w:lang w:val="en-GB"/>
        </w:rPr>
      </w:pPr>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244D24E" w:rsidR="1244D24E">
        <w:rPr>
          <w:rFonts w:ascii="Calibri" w:hAnsi="Calibri" w:eastAsia="Calibri" w:cs="Calibri"/>
          <w:b w:val="0"/>
          <w:bCs w:val="0"/>
          <w:i w:val="0"/>
          <w:iCs w:val="0"/>
          <w:caps w:val="0"/>
          <w:smallCaps w:val="0"/>
          <w:noProof w:val="0"/>
          <w:color w:val="auto"/>
          <w:sz w:val="24"/>
          <w:szCs w:val="24"/>
          <w:lang w:val="en-GB"/>
        </w:rPr>
        <w:t xml:space="preserve"> slidetodoc.com. (n.d.). </w:t>
      </w:r>
      <w:r w:rsidRPr="1244D24E" w:rsidR="1244D24E">
        <w:rPr>
          <w:rFonts w:ascii="Calibri" w:hAnsi="Calibri" w:eastAsia="Calibri" w:cs="Calibri"/>
          <w:b w:val="0"/>
          <w:bCs w:val="0"/>
          <w:i w:val="1"/>
          <w:iCs w:val="1"/>
          <w:caps w:val="0"/>
          <w:smallCaps w:val="0"/>
          <w:noProof w:val="0"/>
          <w:color w:val="auto"/>
          <w:sz w:val="24"/>
          <w:szCs w:val="24"/>
          <w:lang w:val="en-GB"/>
        </w:rPr>
        <w:t>DISCHARGE OF CONTRACT Objectives Explain what is meant</w:t>
      </w:r>
      <w:r w:rsidRPr="1244D24E" w:rsidR="1244D24E">
        <w:rPr>
          <w:rFonts w:ascii="Calibri" w:hAnsi="Calibri" w:eastAsia="Calibri" w:cs="Calibri"/>
          <w:b w:val="0"/>
          <w:bCs w:val="0"/>
          <w:i w:val="0"/>
          <w:iCs w:val="0"/>
          <w:caps w:val="0"/>
          <w:smallCaps w:val="0"/>
          <w:noProof w:val="0"/>
          <w:color w:val="auto"/>
          <w:sz w:val="24"/>
          <w:szCs w:val="24"/>
          <w:lang w:val="en-GB"/>
        </w:rPr>
        <w:t xml:space="preserve">. [online] Available at: </w:t>
      </w:r>
      <w:hyperlink r:id="R0b062f584a2942b8">
        <w:r w:rsidRPr="1244D24E" w:rsidR="1244D24E">
          <w:rPr>
            <w:rStyle w:val="Hyperlink"/>
            <w:rFonts w:ascii="Calibri" w:hAnsi="Calibri" w:eastAsia="Calibri" w:cs="Calibri"/>
            <w:b w:val="0"/>
            <w:bCs w:val="0"/>
            <w:i w:val="0"/>
            <w:iCs w:val="0"/>
            <w:caps w:val="0"/>
            <w:smallCaps w:val="0"/>
            <w:noProof w:val="0"/>
            <w:sz w:val="24"/>
            <w:szCs w:val="24"/>
            <w:lang w:val="en-GB"/>
          </w:rPr>
          <w:t>https://slidetodoc.com/discharge-of-contract-objectives-explain-what-is-meant/</w:t>
        </w:r>
      </w:hyperlink>
    </w:p>
    <w:p w:rsidR="1244D24E" w:rsidP="1244D24E" w:rsidRDefault="1244D24E" w14:paraId="4594FF3D" w14:textId="1464B3F5">
      <w:pPr>
        <w:pStyle w:val="Normal"/>
        <w:rPr>
          <w:rFonts w:ascii="Calibri" w:hAnsi="Calibri" w:eastAsia="Calibri" w:cs="Calibri"/>
          <w:b w:val="0"/>
          <w:bCs w:val="0"/>
          <w:i w:val="0"/>
          <w:iCs w:val="0"/>
          <w:caps w:val="0"/>
          <w:smallCaps w:val="0"/>
          <w:noProof w:val="0"/>
          <w:color w:val="auto"/>
          <w:sz w:val="24"/>
          <w:szCs w:val="24"/>
          <w:lang w:val="en-GB"/>
        </w:rPr>
      </w:pPr>
      <w:r w:rsidRPr="1244D24E" w:rsidR="1244D24E">
        <w:rPr>
          <w:rFonts w:ascii="Calibri" w:hAnsi="Calibri" w:eastAsia="Calibri" w:cs="Calibri"/>
          <w:b w:val="0"/>
          <w:bCs w:val="0"/>
          <w:i w:val="0"/>
          <w:iCs w:val="0"/>
          <w:caps w:val="0"/>
          <w:smallCaps w:val="0"/>
          <w:noProof w:val="0"/>
          <w:color w:val="auto"/>
          <w:sz w:val="24"/>
          <w:szCs w:val="24"/>
          <w:lang w:val="en-GB"/>
        </w:rPr>
        <w:t xml:space="preserve">Anon, (n.d.). </w:t>
      </w:r>
      <w:r w:rsidRPr="1244D24E" w:rsidR="1244D24E">
        <w:rPr>
          <w:rFonts w:ascii="Calibri" w:hAnsi="Calibri" w:eastAsia="Calibri" w:cs="Calibri"/>
          <w:b w:val="0"/>
          <w:bCs w:val="0"/>
          <w:i w:val="1"/>
          <w:iCs w:val="1"/>
          <w:caps w:val="0"/>
          <w:smallCaps w:val="0"/>
          <w:noProof w:val="0"/>
          <w:color w:val="auto"/>
          <w:sz w:val="24"/>
          <w:szCs w:val="24"/>
          <w:lang w:val="en-GB"/>
        </w:rPr>
        <w:t>Cutter v Powell (1795) 101 ER 573 – Law Case Summaries</w:t>
      </w:r>
      <w:r w:rsidRPr="1244D24E" w:rsidR="1244D24E">
        <w:rPr>
          <w:rFonts w:ascii="Calibri" w:hAnsi="Calibri" w:eastAsia="Calibri" w:cs="Calibri"/>
          <w:b w:val="0"/>
          <w:bCs w:val="0"/>
          <w:i w:val="0"/>
          <w:iCs w:val="0"/>
          <w:caps w:val="0"/>
          <w:smallCaps w:val="0"/>
          <w:noProof w:val="0"/>
          <w:color w:val="auto"/>
          <w:sz w:val="24"/>
          <w:szCs w:val="24"/>
          <w:lang w:val="en-GB"/>
        </w:rPr>
        <w:t xml:space="preserve">. [online] Available at: </w:t>
      </w:r>
      <w:hyperlink r:id="R798b768a5da84492">
        <w:r w:rsidRPr="1244D24E" w:rsidR="1244D24E">
          <w:rPr>
            <w:rStyle w:val="Hyperlink"/>
            <w:rFonts w:ascii="Calibri" w:hAnsi="Calibri" w:eastAsia="Calibri" w:cs="Calibri"/>
            <w:b w:val="0"/>
            <w:bCs w:val="0"/>
            <w:i w:val="0"/>
            <w:iCs w:val="0"/>
            <w:caps w:val="0"/>
            <w:smallCaps w:val="0"/>
            <w:noProof w:val="0"/>
            <w:sz w:val="24"/>
            <w:szCs w:val="24"/>
            <w:lang w:val="en-GB"/>
          </w:rPr>
          <w:t>https://lawcasesummaries.com/knowledge-base/cutter-v-powell-1795-101-er-573/</w:t>
        </w:r>
      </w:hyperlink>
      <w:r w:rsidRPr="1244D24E" w:rsidR="1244D24E">
        <w:rPr>
          <w:rFonts w:ascii="Calibri" w:hAnsi="Calibri" w:eastAsia="Calibri" w:cs="Calibri"/>
          <w:b w:val="0"/>
          <w:bCs w:val="0"/>
          <w:i w:val="0"/>
          <w:iCs w:val="0"/>
          <w:caps w:val="0"/>
          <w:smallCaps w:val="0"/>
          <w:noProof w:val="0"/>
          <w:color w:val="auto"/>
          <w:sz w:val="24"/>
          <w:szCs w:val="24"/>
          <w:lang w:val="en-GB"/>
        </w:rPr>
        <w:t>.</w:t>
      </w:r>
    </w:p>
    <w:p w:rsidR="1244D24E" w:rsidP="1244D24E" w:rsidRDefault="1244D24E" w14:paraId="201275CC" w14:textId="0216D392">
      <w:pPr>
        <w:pStyle w:val="Normal"/>
        <w:rPr>
          <w:rFonts w:ascii="Calibri" w:hAnsi="Calibri" w:eastAsia="Calibri" w:cs="Calibri"/>
          <w:b w:val="0"/>
          <w:bCs w:val="0"/>
          <w:i w:val="0"/>
          <w:iCs w:val="0"/>
          <w:caps w:val="0"/>
          <w:smallCaps w:val="0"/>
          <w:noProof w:val="0"/>
          <w:color w:val="auto"/>
          <w:sz w:val="24"/>
          <w:szCs w:val="24"/>
          <w:lang w:val="en-GB"/>
        </w:rPr>
      </w:pPr>
      <w:r w:rsidRPr="1244D24E" w:rsidR="1244D24E">
        <w:rPr>
          <w:rFonts w:ascii="Calibri" w:hAnsi="Calibri" w:eastAsia="Calibri" w:cs="Calibri"/>
          <w:b w:val="0"/>
          <w:bCs w:val="0"/>
          <w:i w:val="0"/>
          <w:iCs w:val="0"/>
          <w:caps w:val="0"/>
          <w:smallCaps w:val="0"/>
          <w:noProof w:val="0"/>
          <w:color w:val="auto"/>
          <w:sz w:val="24"/>
          <w:szCs w:val="24"/>
          <w:lang w:val="en-GB"/>
        </w:rPr>
        <w:t>dls</w:t>
      </w:r>
      <w:r w:rsidRPr="1244D24E" w:rsidR="1244D24E">
        <w:rPr>
          <w:rFonts w:ascii="Calibri" w:hAnsi="Calibri" w:eastAsia="Calibri" w:cs="Calibri"/>
          <w:b w:val="0"/>
          <w:bCs w:val="0"/>
          <w:i w:val="0"/>
          <w:iCs w:val="0"/>
          <w:caps w:val="0"/>
          <w:smallCaps w:val="0"/>
          <w:noProof w:val="0"/>
          <w:color w:val="auto"/>
          <w:sz w:val="24"/>
          <w:szCs w:val="24"/>
          <w:lang w:val="en-GB"/>
        </w:rPr>
        <w:t xml:space="preserve"> (2021). </w:t>
      </w:r>
      <w:r w:rsidRPr="1244D24E" w:rsidR="1244D24E">
        <w:rPr>
          <w:rFonts w:ascii="Calibri" w:hAnsi="Calibri" w:eastAsia="Calibri" w:cs="Calibri"/>
          <w:b w:val="0"/>
          <w:bCs w:val="0"/>
          <w:i w:val="1"/>
          <w:iCs w:val="1"/>
          <w:caps w:val="0"/>
          <w:smallCaps w:val="0"/>
          <w:noProof w:val="0"/>
          <w:color w:val="auto"/>
          <w:sz w:val="24"/>
          <w:szCs w:val="24"/>
          <w:lang w:val="en-GB"/>
        </w:rPr>
        <w:t>Cutter v Powell: KBD 9 Jun 1795</w:t>
      </w:r>
      <w:r w:rsidRPr="1244D24E" w:rsidR="1244D24E">
        <w:rPr>
          <w:rFonts w:ascii="Calibri" w:hAnsi="Calibri" w:eastAsia="Calibri" w:cs="Calibri"/>
          <w:b w:val="0"/>
          <w:bCs w:val="0"/>
          <w:i w:val="0"/>
          <w:iCs w:val="0"/>
          <w:caps w:val="0"/>
          <w:smallCaps w:val="0"/>
          <w:noProof w:val="0"/>
          <w:color w:val="auto"/>
          <w:sz w:val="24"/>
          <w:szCs w:val="24"/>
          <w:lang w:val="en-GB"/>
        </w:rPr>
        <w:t xml:space="preserve">. [online] swarb.co.uk. Available at: </w:t>
      </w:r>
      <w:hyperlink r:id="R74ea8cecc1974668">
        <w:r w:rsidRPr="1244D24E" w:rsidR="1244D24E">
          <w:rPr>
            <w:rStyle w:val="Hyperlink"/>
            <w:rFonts w:ascii="Calibri" w:hAnsi="Calibri" w:eastAsia="Calibri" w:cs="Calibri"/>
            <w:b w:val="0"/>
            <w:bCs w:val="0"/>
            <w:i w:val="0"/>
            <w:iCs w:val="0"/>
            <w:caps w:val="0"/>
            <w:smallCaps w:val="0"/>
            <w:noProof w:val="0"/>
            <w:sz w:val="24"/>
            <w:szCs w:val="24"/>
            <w:lang w:val="en-GB"/>
          </w:rPr>
          <w:t>https://swarb.co.uk/cutter-v-powell-kbd-9-jun-1795/</w:t>
        </w:r>
      </w:hyperlink>
      <w:r w:rsidRPr="1244D24E" w:rsidR="1244D24E">
        <w:rPr>
          <w:rFonts w:ascii="Calibri" w:hAnsi="Calibri" w:eastAsia="Calibri" w:cs="Calibri"/>
          <w:b w:val="0"/>
          <w:bCs w:val="0"/>
          <w:i w:val="0"/>
          <w:iCs w:val="0"/>
          <w:caps w:val="0"/>
          <w:smallCaps w:val="0"/>
          <w:noProof w:val="0"/>
          <w:color w:val="auto"/>
          <w:sz w:val="24"/>
          <w:szCs w:val="24"/>
          <w:lang w:val="en-GB"/>
        </w:rPr>
        <w:t>.</w:t>
      </w:r>
    </w:p>
    <w:p w:rsidR="1244D24E" w:rsidP="1244D24E" w:rsidRDefault="1244D24E" w14:paraId="3276546E" w14:textId="73078FCE">
      <w:pPr>
        <w:pStyle w:val="Normal"/>
        <w:rPr>
          <w:rFonts w:ascii="Calibri" w:hAnsi="Calibri" w:eastAsia="Calibri" w:cs="Calibri"/>
          <w:b w:val="0"/>
          <w:bCs w:val="0"/>
          <w:i w:val="0"/>
          <w:iCs w:val="0"/>
          <w:caps w:val="0"/>
          <w:smallCaps w:val="0"/>
          <w:noProof w:val="0"/>
          <w:color w:val="auto"/>
          <w:sz w:val="24"/>
          <w:szCs w:val="24"/>
          <w:lang w:val="en-GB"/>
        </w:rPr>
      </w:pPr>
      <w:r w:rsidRPr="1244D24E" w:rsidR="1244D24E">
        <w:rPr>
          <w:rFonts w:ascii="Calibri" w:hAnsi="Calibri" w:eastAsia="Calibri" w:cs="Calibri"/>
          <w:b w:val="0"/>
          <w:bCs w:val="0"/>
          <w:i w:val="0"/>
          <w:iCs w:val="0"/>
          <w:caps w:val="0"/>
          <w:smallCaps w:val="0"/>
          <w:noProof w:val="0"/>
          <w:color w:val="auto"/>
          <w:sz w:val="24"/>
          <w:szCs w:val="24"/>
          <w:lang w:val="en-GB"/>
        </w:rPr>
        <w:t xml:space="preserve">LEGAL CAREER PATH (2019). </w:t>
      </w:r>
      <w:r w:rsidRPr="1244D24E" w:rsidR="1244D24E">
        <w:rPr>
          <w:rFonts w:ascii="Calibri" w:hAnsi="Calibri" w:eastAsia="Calibri" w:cs="Calibri"/>
          <w:b w:val="0"/>
          <w:bCs w:val="0"/>
          <w:i w:val="1"/>
          <w:iCs w:val="1"/>
          <w:caps w:val="0"/>
          <w:smallCaps w:val="0"/>
          <w:noProof w:val="0"/>
          <w:color w:val="auto"/>
          <w:sz w:val="24"/>
          <w:szCs w:val="24"/>
          <w:lang w:val="en-GB"/>
        </w:rPr>
        <w:t>What is Contract Law? | Become a Contract Lawyer</w:t>
      </w:r>
      <w:r w:rsidRPr="1244D24E" w:rsidR="1244D24E">
        <w:rPr>
          <w:rFonts w:ascii="Calibri" w:hAnsi="Calibri" w:eastAsia="Calibri" w:cs="Calibri"/>
          <w:b w:val="0"/>
          <w:bCs w:val="0"/>
          <w:i w:val="0"/>
          <w:iCs w:val="0"/>
          <w:caps w:val="0"/>
          <w:smallCaps w:val="0"/>
          <w:noProof w:val="0"/>
          <w:color w:val="auto"/>
          <w:sz w:val="24"/>
          <w:szCs w:val="24"/>
          <w:lang w:val="en-GB"/>
        </w:rPr>
        <w:t xml:space="preserve">. [online] Legalcareerpath.com. Available at: </w:t>
      </w:r>
      <w:hyperlink r:id="R805bf33c85bb4230">
        <w:r w:rsidRPr="1244D24E" w:rsidR="1244D24E">
          <w:rPr>
            <w:rStyle w:val="Hyperlink"/>
            <w:rFonts w:ascii="Calibri" w:hAnsi="Calibri" w:eastAsia="Calibri" w:cs="Calibri"/>
            <w:b w:val="0"/>
            <w:bCs w:val="0"/>
            <w:i w:val="0"/>
            <w:iCs w:val="0"/>
            <w:caps w:val="0"/>
            <w:smallCaps w:val="0"/>
            <w:noProof w:val="0"/>
            <w:sz w:val="24"/>
            <w:szCs w:val="24"/>
            <w:lang w:val="en-GB"/>
          </w:rPr>
          <w:t>https://legalcareerpath.com/what-is-contract-law/</w:t>
        </w:r>
      </w:hyperlink>
      <w:r w:rsidRPr="1244D24E" w:rsidR="1244D24E">
        <w:rPr>
          <w:rFonts w:ascii="Calibri" w:hAnsi="Calibri" w:eastAsia="Calibri" w:cs="Calibri"/>
          <w:b w:val="0"/>
          <w:bCs w:val="0"/>
          <w:i w:val="0"/>
          <w:iCs w:val="0"/>
          <w:caps w:val="0"/>
          <w:smallCaps w:val="0"/>
          <w:noProof w:val="0"/>
          <w:color w:val="auto"/>
          <w:sz w:val="24"/>
          <w:szCs w:val="24"/>
          <w:lang w:val="en-GB"/>
        </w:rPr>
        <w:t>.</w:t>
      </w:r>
    </w:p>
    <w:p w:rsidR="1244D24E" w:rsidP="1244D24E" w:rsidRDefault="1244D24E" w14:paraId="408E30BE" w14:textId="19CD6E65">
      <w:pPr>
        <w:pStyle w:val="Normal"/>
        <w:rPr>
          <w:rFonts w:ascii="Calibri" w:hAnsi="Calibri" w:eastAsia="Calibri" w:cs="Calibri"/>
          <w:b w:val="0"/>
          <w:bCs w:val="0"/>
          <w:i w:val="0"/>
          <w:iCs w:val="0"/>
          <w:caps w:val="0"/>
          <w:smallCaps w:val="0"/>
          <w:noProof w:val="0"/>
          <w:color w:val="auto"/>
          <w:sz w:val="24"/>
          <w:szCs w:val="24"/>
          <w:lang w:val="en-GB"/>
        </w:rPr>
      </w:pPr>
    </w:p>
    <w:p w:rsidR="1244D24E" w:rsidP="1244D24E" w:rsidRDefault="1244D24E" w14:paraId="206506AA" w14:textId="3CF1ADB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244D24E" w:rsidP="1244D24E" w:rsidRDefault="1244D24E" w14:paraId="0280944D" w14:textId="7D068FC3">
      <w:pPr>
        <w:rPr>
          <w:rFonts w:ascii="Calibri" w:hAnsi="Calibri" w:eastAsia="Calibri" w:cs="Calibri"/>
          <w:b w:val="0"/>
          <w:bCs w:val="0"/>
          <w:i w:val="0"/>
          <w:iCs w:val="0"/>
          <w:caps w:val="0"/>
          <w:smallCaps w:val="0"/>
          <w:noProof w:val="0"/>
          <w:color w:val="000000" w:themeColor="text1" w:themeTint="FF" w:themeShade="FF"/>
          <w:sz w:val="20"/>
          <w:szCs w:val="20"/>
          <w:lang w:val="en-GB"/>
        </w:rPr>
      </w:pPr>
      <w:r w:rsidRPr="1244D24E" w:rsidR="1244D24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244D24E" w:rsidP="1244D24E" w:rsidRDefault="1244D24E" w14:paraId="058ABF29" w14:textId="7DA3EBB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244D24E" w:rsidP="1244D24E" w:rsidRDefault="1244D24E" w14:paraId="594F937F" w14:textId="6B0F9C8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244D24E" w:rsidRDefault="1244D24E" w14:paraId="65D503F6" w14:textId="48397DE3">
      <w:r w:rsidRPr="1244D24E" w:rsidR="1244D24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244D24E" w:rsidP="1244D24E" w:rsidRDefault="1244D24E" w14:paraId="6BFB7CBD" w14:textId="3B4328DF">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4707129" textId="621701345" start="645" length="10" invalidationStart="645" invalidationLength="10" id="PA0Nq0aF"/>
    <int:ParagraphRange paragraphId="14707129" textId="621701345" start="1049" length="14" invalidationStart="1049" invalidationLength="14" id="DbzaNjnv"/>
    <int:ParagraphRange paragraphId="14707129" textId="621701345" start="1064" length="13" invalidationStart="1064" invalidationLength="13" id="23rnVfWr"/>
    <int:WordHash hashCode="EIvh7YCYHmR7Yc" id="WnNXs0xs"/>
    <int:WordHash hashCode="0e8KXKXN8c6oNF" id="c46aE48v"/>
    <int:WordHash hashCode="nu7oaNDNU6Qd8i" id="CpdgGWLW"/>
    <int:ParagraphRange paragraphId="1977376774" textId="1209176680" start="739" length="6" invalidationStart="739" invalidationLength="6" id="FHZvKRoP"/>
    <int:ParagraphRange paragraphId="1813788054" textId="11121623" start="333" length="15" invalidationStart="333" invalidationLength="15" id="xwuLoDDv"/>
    <int:ParagraphRange paragraphId="1813788054" textId="1415174997" start="333" length="15" invalidationStart="333" invalidationLength="15" id="UyDLOWoW"/>
    <int:ParagraphRange paragraphId="1813788054" textId="43460583" start="333" length="15" invalidationStart="333" invalidationLength="15" id="XezW3m9T"/>
    <int:ParagraphRange paragraphId="1813788054" textId="43460583" start="1371" length="17" invalidationStart="1371" invalidationLength="17" id="M9R3JJjB"/>
    <int:ParagraphRange paragraphId="1813788054" textId="1729358773" start="1474" length="12" invalidationStart="1474" invalidationLength="12" id="Si9ldbas"/>
    <int:ParagraphRange paragraphId="1813788054" textId="1729358773" start="1371" length="17" invalidationStart="1371" invalidationLength="17" id="t4zvMKl8"/>
    <int:ParagraphRange paragraphId="456140481" textId="336193520" start="33" length="12" invalidationStart="33" invalidationLength="12" id="lkAZJ4E0"/>
    <int:ParagraphRange paragraphId="456140481" textId="254118422" start="1108" length="13" invalidationStart="1108" invalidationLength="13" id="OAsYbnuu"/>
    <int:ParagraphRange paragraphId="456140481" textId="254118422" start="1186" length="19" invalidationStart="1186" invalidationLength="19" id="3uU41CvA"/>
    <int:ParagraphRange paragraphId="456140481" textId="1743244641" start="1186" length="19" invalidationStart="1186" invalidationLength="19" id="unK7xA68"/>
    <int:ParagraphRange paragraphId="456140481" textId="1743244641" start="1108" length="13" invalidationStart="1108" invalidationLength="13" id="R9nvg2KI"/>
    <int:WordHash hashCode="eBUSMX6ERkblJ2" id="9jcekYHe"/>
    <int:ParagraphRange paragraphId="456140481" textId="1398655364" start="1294" length="19" invalidationStart="1294" invalidationLength="19" id="iz1b8AWd"/>
    <int:ParagraphRange paragraphId="456140481" textId="1398655364" start="1186" length="19" invalidationStart="1186" invalidationLength="19" id="a9nh05i5"/>
    <int:ParagraphRange paragraphId="456140481" textId="1398655364" start="1108" length="13" invalidationStart="1108" invalidationLength="13" id="wMQV6tYW"/>
  </int:Manifest>
  <int:Observations>
    <int:Content id="PA0Nq0aF">
      <int:Rejection type="LegacyProofing"/>
    </int:Content>
    <int:Content id="DbzaNjnv">
      <int:Rejection type="LegacyProofing"/>
    </int:Content>
    <int:Content id="23rnVfWr">
      <int:Rejection type="LegacyProofing"/>
    </int:Content>
    <int:Content id="WnNXs0xs">
      <int:Rejection type="LegacyProofing"/>
    </int:Content>
    <int:Content id="c46aE48v">
      <int:Rejection type="LegacyProofing"/>
    </int:Content>
    <int:Content id="CpdgGWLW">
      <int:Rejection type="LegacyProofing"/>
    </int:Content>
    <int:Content id="FHZvKRoP">
      <int:Rejection type="LegacyProofing"/>
    </int:Content>
    <int:Content id="xwuLoDDv">
      <int:Rejection type="LegacyProofing"/>
    </int:Content>
    <int:Content id="UyDLOWoW">
      <int:Rejection type="LegacyProofing"/>
    </int:Content>
    <int:Content id="XezW3m9T">
      <int:Rejection type="LegacyProofing"/>
    </int:Content>
    <int:Content id="M9R3JJjB">
      <int:Rejection type="LegacyProofing"/>
    </int:Content>
    <int:Content id="Si9ldbas">
      <int:Rejection type="LegacyProofing"/>
    </int:Content>
    <int:Content id="t4zvMKl8">
      <int:Rejection type="LegacyProofing"/>
    </int:Content>
    <int:Content id="lkAZJ4E0">
      <int:Rejection type="LegacyProofing"/>
    </int:Content>
    <int:Content id="OAsYbnuu">
      <int:Rejection type="LegacyProofing"/>
    </int:Content>
    <int:Content id="3uU41CvA">
      <int:Rejection type="LegacyProofing"/>
    </int:Content>
    <int:Content id="unK7xA68">
      <int:Rejection type="LegacyProofing"/>
    </int:Content>
    <int:Content id="R9nvg2KI">
      <int:Rejection type="LegacyProofing"/>
    </int:Content>
    <int:Content id="9jcekYHe">
      <int:Rejection type="LegacyProofing"/>
    </int:Content>
    <int:Content id="iz1b8AWd">
      <int:Rejection type="LegacyProofing"/>
    </int:Content>
    <int:Content id="a9nh05i5">
      <int:Rejection type="LegacyProofing"/>
    </int:Content>
    <int:Content id="wMQV6tYW">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BB8133"/>
    <w:rsid w:val="00635B83"/>
    <w:rsid w:val="009AB8A0"/>
    <w:rsid w:val="01167CAA"/>
    <w:rsid w:val="011E6A30"/>
    <w:rsid w:val="0161D820"/>
    <w:rsid w:val="01FCF542"/>
    <w:rsid w:val="02B24D0B"/>
    <w:rsid w:val="02C61893"/>
    <w:rsid w:val="02ED866F"/>
    <w:rsid w:val="0381D3E8"/>
    <w:rsid w:val="051DA449"/>
    <w:rsid w:val="0541E05F"/>
    <w:rsid w:val="07846800"/>
    <w:rsid w:val="0785BE2E"/>
    <w:rsid w:val="083462F4"/>
    <w:rsid w:val="09218E8F"/>
    <w:rsid w:val="09F902F2"/>
    <w:rsid w:val="0DF4FFB2"/>
    <w:rsid w:val="0F90D013"/>
    <w:rsid w:val="0F98BD99"/>
    <w:rsid w:val="0F9F2125"/>
    <w:rsid w:val="10B8C9F0"/>
    <w:rsid w:val="113AF186"/>
    <w:rsid w:val="1244D24E"/>
    <w:rsid w:val="139FE538"/>
    <w:rsid w:val="186B7F00"/>
    <w:rsid w:val="193F9FDF"/>
    <w:rsid w:val="1946036B"/>
    <w:rsid w:val="19BD4A19"/>
    <w:rsid w:val="1A4D8653"/>
    <w:rsid w:val="1BD21582"/>
    <w:rsid w:val="1C989D8A"/>
    <w:rsid w:val="1D46C77E"/>
    <w:rsid w:val="1D51DB37"/>
    <w:rsid w:val="1D5DB939"/>
    <w:rsid w:val="1DF89277"/>
    <w:rsid w:val="1E11BAD4"/>
    <w:rsid w:val="1E29F0AF"/>
    <w:rsid w:val="1E38CEA1"/>
    <w:rsid w:val="21495B96"/>
    <w:rsid w:val="22AA420A"/>
    <w:rsid w:val="2603A45C"/>
    <w:rsid w:val="267CF973"/>
    <w:rsid w:val="295DF835"/>
    <w:rsid w:val="2A1735E2"/>
    <w:rsid w:val="2A2313E4"/>
    <w:rsid w:val="2BCC2EA0"/>
    <w:rsid w:val="2D49F4A1"/>
    <w:rsid w:val="2D5AB4A6"/>
    <w:rsid w:val="2D66A8D3"/>
    <w:rsid w:val="2E0EB641"/>
    <w:rsid w:val="2E1841F6"/>
    <w:rsid w:val="2F41B93F"/>
    <w:rsid w:val="319F40B8"/>
    <w:rsid w:val="31DEA08B"/>
    <w:rsid w:val="33031FA6"/>
    <w:rsid w:val="33031FA6"/>
    <w:rsid w:val="37BD860D"/>
    <w:rsid w:val="391D5E54"/>
    <w:rsid w:val="3AB92EB5"/>
    <w:rsid w:val="3AFCE089"/>
    <w:rsid w:val="3B17D9E6"/>
    <w:rsid w:val="3C6DE90F"/>
    <w:rsid w:val="3D63A440"/>
    <w:rsid w:val="3E00D0C6"/>
    <w:rsid w:val="41384A4A"/>
    <w:rsid w:val="41384A4A"/>
    <w:rsid w:val="41FC2B76"/>
    <w:rsid w:val="42713602"/>
    <w:rsid w:val="4307F26E"/>
    <w:rsid w:val="451BE8F6"/>
    <w:rsid w:val="48AAB898"/>
    <w:rsid w:val="48BB8133"/>
    <w:rsid w:val="48F3629A"/>
    <w:rsid w:val="49A35D8E"/>
    <w:rsid w:val="4A4A14CE"/>
    <w:rsid w:val="4CD310CA"/>
    <w:rsid w:val="4E76CEB1"/>
    <w:rsid w:val="4EE46D04"/>
    <w:rsid w:val="5277D9CA"/>
    <w:rsid w:val="5342524E"/>
    <w:rsid w:val="54E61035"/>
    <w:rsid w:val="569C0417"/>
    <w:rsid w:val="58897E4A"/>
    <w:rsid w:val="5B5551B9"/>
    <w:rsid w:val="5CCAAF62"/>
    <w:rsid w:val="5CD317BA"/>
    <w:rsid w:val="5CD7F9BD"/>
    <w:rsid w:val="5CF785A6"/>
    <w:rsid w:val="5D5CEF6D"/>
    <w:rsid w:val="5F930194"/>
    <w:rsid w:val="60DF215C"/>
    <w:rsid w:val="612ED1F5"/>
    <w:rsid w:val="61B748E2"/>
    <w:rsid w:val="62CAA256"/>
    <w:rsid w:val="66980460"/>
    <w:rsid w:val="66B96149"/>
    <w:rsid w:val="66BA1567"/>
    <w:rsid w:val="69A9326A"/>
    <w:rsid w:val="6B3442C6"/>
    <w:rsid w:val="6BF70C28"/>
    <w:rsid w:val="6C38C5BE"/>
    <w:rsid w:val="6E7CA38D"/>
    <w:rsid w:val="6F01ECD1"/>
    <w:rsid w:val="704D37B8"/>
    <w:rsid w:val="71C0387C"/>
    <w:rsid w:val="72A80742"/>
    <w:rsid w:val="73FC1F28"/>
    <w:rsid w:val="742CE5E8"/>
    <w:rsid w:val="757BDD67"/>
    <w:rsid w:val="7693A99F"/>
    <w:rsid w:val="76B4A1E1"/>
    <w:rsid w:val="791748C6"/>
    <w:rsid w:val="79D42873"/>
    <w:rsid w:val="7B8FEA5F"/>
    <w:rsid w:val="7BEAF7AD"/>
    <w:rsid w:val="7C430B86"/>
    <w:rsid w:val="7D6317DD"/>
    <w:rsid w:val="7DEAB9E9"/>
    <w:rsid w:val="7E1A154B"/>
    <w:rsid w:val="7EFEE83E"/>
    <w:rsid w:val="7F8299CE"/>
    <w:rsid w:val="7F868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B8133"/>
  <w15:chartTrackingRefBased/>
  <w15:docId w15:val="{110A12FF-B218-4DBD-AA1B-6C87132D72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practicallaw.thomsonreuters.com/8-107-7056?contextData=(sc.Default)&amp;transitionType=Default&amp;firstPage=true" TargetMode="External" Id="Rde184908c4a04661" /><Relationship Type="http://schemas.openxmlformats.org/officeDocument/2006/relationships/hyperlink" Target="https://www.inbrief.co.uk/contract-law/privity-in-contract-law/" TargetMode="External" Id="R1bf4388f54d440d1" /><Relationship Type="http://schemas.openxmlformats.org/officeDocument/2006/relationships/hyperlink" Target="https://study.com/academy/lesson/past-consideration-in-contract-law-definition-cases.html" TargetMode="External" Id="R6bea023533a74300" /><Relationship Type="http://schemas.openxmlformats.org/officeDocument/2006/relationships/hyperlink" Target="https://slidetodoc.com/discharge-of-contract-objectives-explain-what-is-meant/" TargetMode="External" Id="R0b062f584a2942b8" /><Relationship Type="http://schemas.openxmlformats.org/officeDocument/2006/relationships/hyperlink" Target="https://lawcasesummaries.com/knowledge-base/cutter-v-powell-1795-101-er-573/" TargetMode="External" Id="R798b768a5da84492" /><Relationship Type="http://schemas.openxmlformats.org/officeDocument/2006/relationships/hyperlink" Target="https://swarb.co.uk/cutter-v-powell-kbd-9-jun-1795/" TargetMode="External" Id="R74ea8cecc1974668" /><Relationship Type="http://schemas.openxmlformats.org/officeDocument/2006/relationships/hyperlink" Target="https://legalcareerpath.com/what-is-contract-law/" TargetMode="External" Id="R805bf33c85bb4230" /><Relationship Type="http://schemas.microsoft.com/office/2019/09/relationships/intelligence" Target="/word/intelligence.xml" Id="R58a942bfcaa244b0" /><Relationship Type="http://schemas.openxmlformats.org/officeDocument/2006/relationships/numbering" Target="/word/numbering.xml" Id="R048fc4370d5b41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2022-03-04T09:40:33.9820371Z</dcterms:created>
  <dcterms:modified xsi:type="dcterms:W3CDTF">2022-03-04T12:17:16.5949765Z</dcterms:modified>
</coreProperties>
</file>