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B387D8" w14:textId="77777777" w:rsidR="00CD4561" w:rsidRPr="003227C7" w:rsidRDefault="00CD4561" w:rsidP="00CD4561">
      <w:pPr>
        <w:spacing w:line="360" w:lineRule="auto"/>
        <w:rPr>
          <w:rFonts w:ascii="Arial" w:hAnsi="Arial" w:cs="Arial"/>
          <w:sz w:val="24"/>
          <w:szCs w:val="24"/>
        </w:rPr>
      </w:pPr>
      <w:r w:rsidRPr="003227C7">
        <w:rPr>
          <w:rFonts w:ascii="Arial" w:hAnsi="Arial" w:cs="Arial"/>
          <w:noProof/>
          <w:sz w:val="24"/>
          <w:szCs w:val="24"/>
          <w:lang w:val="en-US"/>
        </w:rPr>
        <w:drawing>
          <wp:anchor distT="0" distB="0" distL="114300" distR="114300" simplePos="0" relativeHeight="251659264" behindDoc="0" locked="0" layoutInCell="1" allowOverlap="1" wp14:anchorId="4D59DB48" wp14:editId="0B3E4848">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646F48ED" w14:textId="77777777"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Master of Business Administration</w:t>
      </w:r>
    </w:p>
    <w:p w14:paraId="1C4D95AD" w14:textId="77777777"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Student Name:</w:t>
      </w:r>
      <w:r w:rsidRPr="003227C7">
        <w:rPr>
          <w:rFonts w:ascii="Arial" w:hAnsi="Arial" w:cs="Arial"/>
          <w:sz w:val="28"/>
          <w:szCs w:val="24"/>
        </w:rPr>
        <w:t xml:space="preserve"> </w:t>
      </w:r>
      <w:proofErr w:type="spellStart"/>
      <w:r w:rsidRPr="003227C7">
        <w:rPr>
          <w:rFonts w:ascii="Arial" w:hAnsi="Arial" w:cs="Arial"/>
          <w:b/>
          <w:bCs/>
          <w:sz w:val="28"/>
          <w:szCs w:val="24"/>
        </w:rPr>
        <w:t>Mahabub</w:t>
      </w:r>
      <w:proofErr w:type="spellEnd"/>
      <w:r w:rsidRPr="003227C7">
        <w:rPr>
          <w:rFonts w:ascii="Arial" w:hAnsi="Arial" w:cs="Arial"/>
          <w:b/>
          <w:bCs/>
          <w:sz w:val="28"/>
          <w:szCs w:val="24"/>
        </w:rPr>
        <w:t xml:space="preserve"> Islam</w:t>
      </w:r>
    </w:p>
    <w:p w14:paraId="6773BEB3" w14:textId="77777777" w:rsidR="00CD4561" w:rsidRPr="003227C7" w:rsidRDefault="00CD4561" w:rsidP="00CD4561">
      <w:pPr>
        <w:spacing w:line="360" w:lineRule="auto"/>
        <w:jc w:val="center"/>
        <w:rPr>
          <w:rFonts w:ascii="Arial" w:hAnsi="Arial" w:cs="Arial"/>
          <w:sz w:val="28"/>
          <w:szCs w:val="24"/>
        </w:rPr>
      </w:pPr>
      <w:r w:rsidRPr="003227C7">
        <w:rPr>
          <w:rFonts w:ascii="Arial" w:hAnsi="Arial" w:cs="Arial"/>
          <w:b/>
          <w:bCs/>
          <w:sz w:val="28"/>
          <w:szCs w:val="24"/>
        </w:rPr>
        <w:t>Student Number:</w:t>
      </w:r>
      <w:r w:rsidRPr="003227C7">
        <w:rPr>
          <w:rFonts w:ascii="Arial" w:hAnsi="Arial" w:cs="Arial"/>
          <w:sz w:val="28"/>
          <w:szCs w:val="24"/>
        </w:rPr>
        <w:t xml:space="preserve"> </w:t>
      </w:r>
      <w:r w:rsidRPr="003227C7">
        <w:rPr>
          <w:rFonts w:ascii="Arial" w:hAnsi="Arial" w:cs="Arial"/>
          <w:b/>
          <w:bCs/>
          <w:sz w:val="28"/>
          <w:szCs w:val="24"/>
        </w:rPr>
        <w:t>2407067</w:t>
      </w:r>
    </w:p>
    <w:p w14:paraId="5E67C359" w14:textId="2A5DFD88"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 xml:space="preserve">Module code: </w:t>
      </w:r>
      <w:r w:rsidR="00400BF4" w:rsidRPr="00400BF4">
        <w:rPr>
          <w:rFonts w:ascii="Arial" w:hAnsi="Arial" w:cs="Arial"/>
          <w:b/>
          <w:bCs/>
          <w:sz w:val="28"/>
          <w:szCs w:val="24"/>
        </w:rPr>
        <w:t>LCMB7002</w:t>
      </w:r>
    </w:p>
    <w:p w14:paraId="4DBE23DE" w14:textId="77777777"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Assessment: Individual report</w:t>
      </w:r>
    </w:p>
    <w:p w14:paraId="1272E321" w14:textId="520662E5"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 xml:space="preserve">Course Name: </w:t>
      </w:r>
      <w:r w:rsidR="004019A6" w:rsidRPr="004019A6">
        <w:rPr>
          <w:rFonts w:ascii="Arial" w:hAnsi="Arial" w:cs="Arial"/>
          <w:b/>
          <w:bCs/>
          <w:sz w:val="28"/>
          <w:szCs w:val="24"/>
        </w:rPr>
        <w:t>Financial Management</w:t>
      </w:r>
    </w:p>
    <w:p w14:paraId="5C80168B" w14:textId="5232350D"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 xml:space="preserve">Lecturer: </w:t>
      </w:r>
      <w:r w:rsidR="00400BF4" w:rsidRPr="00400BF4">
        <w:rPr>
          <w:rFonts w:ascii="Arial" w:hAnsi="Arial" w:cs="Arial"/>
          <w:b/>
          <w:bCs/>
          <w:sz w:val="28"/>
          <w:szCs w:val="24"/>
        </w:rPr>
        <w:t>Patrick Yeboah</w:t>
      </w:r>
    </w:p>
    <w:p w14:paraId="38EDBD1F" w14:textId="0492B9F7" w:rsidR="00CD4561" w:rsidRPr="003227C7" w:rsidRDefault="00CD4561" w:rsidP="00CD4561">
      <w:pPr>
        <w:spacing w:line="360" w:lineRule="auto"/>
        <w:jc w:val="center"/>
        <w:rPr>
          <w:rFonts w:ascii="Arial" w:hAnsi="Arial" w:cs="Arial"/>
          <w:b/>
          <w:bCs/>
          <w:i/>
          <w:iCs/>
          <w:sz w:val="28"/>
          <w:szCs w:val="24"/>
        </w:rPr>
      </w:pPr>
      <w:r w:rsidRPr="003227C7">
        <w:rPr>
          <w:rFonts w:ascii="Arial" w:hAnsi="Arial" w:cs="Arial"/>
          <w:b/>
          <w:bCs/>
          <w:sz w:val="28"/>
          <w:szCs w:val="24"/>
        </w:rPr>
        <w:t xml:space="preserve">Word Count: </w:t>
      </w:r>
      <w:r w:rsidR="007F74BB">
        <w:rPr>
          <w:rFonts w:ascii="Arial" w:hAnsi="Arial" w:cs="Arial"/>
          <w:b/>
          <w:bCs/>
          <w:sz w:val="28"/>
          <w:szCs w:val="24"/>
        </w:rPr>
        <w:t>4867</w:t>
      </w:r>
    </w:p>
    <w:p w14:paraId="137D13F3" w14:textId="6430C5EA" w:rsidR="00CD4561" w:rsidRPr="003227C7" w:rsidRDefault="00CD4561" w:rsidP="00CD4561">
      <w:pPr>
        <w:spacing w:line="360" w:lineRule="auto"/>
        <w:jc w:val="center"/>
        <w:rPr>
          <w:rFonts w:ascii="Arial" w:hAnsi="Arial" w:cs="Arial"/>
          <w:b/>
          <w:bCs/>
          <w:sz w:val="28"/>
          <w:szCs w:val="24"/>
        </w:rPr>
      </w:pPr>
      <w:r w:rsidRPr="003227C7">
        <w:rPr>
          <w:rFonts w:ascii="Arial" w:hAnsi="Arial" w:cs="Arial"/>
          <w:b/>
          <w:bCs/>
          <w:sz w:val="28"/>
          <w:szCs w:val="24"/>
        </w:rPr>
        <w:t xml:space="preserve">Submission Deadline: </w:t>
      </w:r>
      <w:r w:rsidR="00400BF4" w:rsidRPr="00400BF4">
        <w:rPr>
          <w:rFonts w:ascii="Arial" w:hAnsi="Arial" w:cs="Arial"/>
          <w:b/>
          <w:sz w:val="28"/>
          <w:szCs w:val="28"/>
        </w:rPr>
        <w:t>24</w:t>
      </w:r>
      <w:r w:rsidR="00400BF4" w:rsidRPr="00400BF4">
        <w:rPr>
          <w:rFonts w:ascii="Arial" w:hAnsi="Arial" w:cs="Arial"/>
          <w:b/>
          <w:sz w:val="28"/>
          <w:szCs w:val="28"/>
          <w:vertAlign w:val="superscript"/>
        </w:rPr>
        <w:t>th</w:t>
      </w:r>
      <w:r w:rsidR="00400BF4" w:rsidRPr="00400BF4">
        <w:rPr>
          <w:rFonts w:ascii="Arial" w:hAnsi="Arial" w:cs="Arial"/>
          <w:b/>
          <w:sz w:val="28"/>
          <w:szCs w:val="28"/>
        </w:rPr>
        <w:t xml:space="preserve"> November 2025</w:t>
      </w:r>
    </w:p>
    <w:p w14:paraId="407301E8" w14:textId="77777777" w:rsidR="00CD4561" w:rsidRPr="003227C7" w:rsidRDefault="00CD4561" w:rsidP="00CD4561">
      <w:pPr>
        <w:pStyle w:val="NoSpacing"/>
        <w:spacing w:before="1540" w:after="240" w:line="360" w:lineRule="auto"/>
        <w:jc w:val="center"/>
        <w:rPr>
          <w:rFonts w:ascii="Arial" w:hAnsi="Arial" w:cs="Arial"/>
          <w:sz w:val="24"/>
          <w:szCs w:val="24"/>
          <w:lang w:val="en-GB"/>
        </w:rPr>
      </w:pPr>
      <w:r w:rsidRPr="003227C7">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sz w:val="22"/>
          <w:szCs w:val="22"/>
        </w:rPr>
      </w:sdtEndPr>
      <w:sdtContent>
        <w:p w14:paraId="171CF6B4" w14:textId="77777777" w:rsidR="00CD4561" w:rsidRPr="003227C7" w:rsidRDefault="00CD4561" w:rsidP="00CD4561">
          <w:pPr>
            <w:pStyle w:val="TOCHeading"/>
            <w:spacing w:line="360" w:lineRule="auto"/>
            <w:jc w:val="center"/>
            <w:rPr>
              <w:rFonts w:cs="Arial"/>
              <w:b/>
              <w:iCs/>
              <w:color w:val="auto"/>
              <w:sz w:val="32"/>
              <w:szCs w:val="32"/>
              <w:u w:val="single"/>
            </w:rPr>
          </w:pPr>
          <w:r w:rsidRPr="003227C7">
            <w:rPr>
              <w:rFonts w:cs="Arial"/>
              <w:iCs/>
              <w:color w:val="auto"/>
              <w:sz w:val="32"/>
              <w:szCs w:val="32"/>
              <w:u w:val="single"/>
            </w:rPr>
            <w:t>Table of Contents</w:t>
          </w:r>
        </w:p>
        <w:p w14:paraId="2AD15316" w14:textId="1C0B090D" w:rsidR="007F74BB" w:rsidRPr="007F74BB" w:rsidRDefault="00CD4561">
          <w:pPr>
            <w:pStyle w:val="TOC1"/>
            <w:tabs>
              <w:tab w:val="right" w:leader="dot" w:pos="9016"/>
            </w:tabs>
            <w:rPr>
              <w:rFonts w:ascii="Arial" w:eastAsiaTheme="minorEastAsia" w:hAnsi="Arial" w:cs="Arial"/>
              <w:noProof/>
              <w:kern w:val="2"/>
              <w:sz w:val="24"/>
              <w:szCs w:val="24"/>
              <w:lang w:val="en-US"/>
              <w14:ligatures w14:val="standardContextual"/>
            </w:rPr>
          </w:pPr>
          <w:r w:rsidRPr="007F74BB">
            <w:rPr>
              <w:rFonts w:ascii="Arial" w:hAnsi="Arial" w:cs="Arial"/>
              <w:b/>
              <w:bCs/>
              <w:noProof/>
            </w:rPr>
            <w:fldChar w:fldCharType="begin"/>
          </w:r>
          <w:r w:rsidRPr="007F74BB">
            <w:rPr>
              <w:rFonts w:ascii="Arial" w:hAnsi="Arial" w:cs="Arial"/>
              <w:b/>
              <w:bCs/>
              <w:noProof/>
            </w:rPr>
            <w:instrText xml:space="preserve"> TOC \o "1-3" \h \z \u </w:instrText>
          </w:r>
          <w:r w:rsidRPr="007F74BB">
            <w:rPr>
              <w:rFonts w:ascii="Arial" w:hAnsi="Arial" w:cs="Arial"/>
              <w:b/>
              <w:bCs/>
              <w:noProof/>
            </w:rPr>
            <w:fldChar w:fldCharType="separate"/>
          </w:r>
          <w:hyperlink w:anchor="_Toc214748959" w:history="1">
            <w:r w:rsidR="007F74BB" w:rsidRPr="007F74BB">
              <w:rPr>
                <w:rStyle w:val="Hyperlink"/>
                <w:rFonts w:ascii="Arial" w:hAnsi="Arial" w:cs="Arial"/>
                <w:noProof/>
              </w:rPr>
              <w:t>Introduction</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_Toc214748959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w:t>
            </w:r>
            <w:r w:rsidR="007F74BB" w:rsidRPr="007F74BB">
              <w:rPr>
                <w:rFonts w:ascii="Arial" w:hAnsi="Arial" w:cs="Arial"/>
                <w:noProof/>
                <w:webHidden/>
              </w:rPr>
              <w:fldChar w:fldCharType="end"/>
            </w:r>
          </w:hyperlink>
        </w:p>
        <w:p w14:paraId="3B6D329B" w14:textId="7CE9BA3D"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60" w:history="1">
            <w:r w:rsidR="007F74BB" w:rsidRPr="007F74BB">
              <w:rPr>
                <w:rStyle w:val="Hyperlink"/>
                <w:rFonts w:ascii="Arial" w:hAnsi="Arial" w:cs="Arial"/>
                <w:noProof/>
              </w:rPr>
              <w:t>1. Financial Health Check</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_Toc214748960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2</w:t>
            </w:r>
            <w:r w:rsidR="007F74BB" w:rsidRPr="007F74BB">
              <w:rPr>
                <w:rFonts w:ascii="Arial" w:hAnsi="Arial" w:cs="Arial"/>
                <w:noProof/>
                <w:webHidden/>
              </w:rPr>
              <w:fldChar w:fldCharType="end"/>
            </w:r>
          </w:hyperlink>
        </w:p>
        <w:p w14:paraId="673B4650" w14:textId="245B53A3"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1" w:history="1">
            <w:r w:rsidR="007F74BB" w:rsidRPr="007F74BB">
              <w:rPr>
                <w:rStyle w:val="Hyperlink"/>
                <w:rFonts w:ascii="Arial" w:hAnsi="Arial" w:cs="Arial"/>
                <w:noProof/>
              </w:rPr>
              <w:t>A. Analysis of Financial Statements (£m):</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_Toc214748961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2</w:t>
            </w:r>
            <w:r w:rsidR="007F74BB" w:rsidRPr="007F74BB">
              <w:rPr>
                <w:rFonts w:ascii="Arial" w:hAnsi="Arial" w:cs="Arial"/>
                <w:noProof/>
                <w:webHidden/>
              </w:rPr>
              <w:fldChar w:fldCharType="end"/>
            </w:r>
          </w:hyperlink>
        </w:p>
        <w:p w14:paraId="68055B61" w14:textId="6105AFF6"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2" w:history="1">
            <w:r w:rsidR="007F74BB" w:rsidRPr="007F74BB">
              <w:rPr>
                <w:rStyle w:val="Hyperlink"/>
                <w:rFonts w:ascii="Arial" w:hAnsi="Arial" w:cs="Arial"/>
                <w:noProof/>
              </w:rPr>
              <w:t>B. Full Ratio Analysis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_Toc214748962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4</w:t>
            </w:r>
            <w:r w:rsidR="007F74BB" w:rsidRPr="007F74BB">
              <w:rPr>
                <w:rFonts w:ascii="Arial" w:hAnsi="Arial" w:cs="Arial"/>
                <w:noProof/>
                <w:webHidden/>
              </w:rPr>
              <w:fldChar w:fldCharType="end"/>
            </w:r>
          </w:hyperlink>
        </w:p>
        <w:p w14:paraId="308F7CCB" w14:textId="4F19F7DD"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3" w:history="1">
            <w:r w:rsidR="007F74BB" w:rsidRPr="007F74BB">
              <w:rPr>
                <w:rStyle w:val="Hyperlink"/>
                <w:rFonts w:ascii="Arial" w:hAnsi="Arial" w:cs="Arial"/>
                <w:noProof/>
              </w:rPr>
              <w:t>C. Identified Trends, Strengths, and Threats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_Toc214748963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5</w:t>
            </w:r>
            <w:r w:rsidR="007F74BB" w:rsidRPr="007F74BB">
              <w:rPr>
                <w:rFonts w:ascii="Arial" w:hAnsi="Arial" w:cs="Arial"/>
                <w:noProof/>
                <w:webHidden/>
              </w:rPr>
              <w:fldChar w:fldCharType="end"/>
            </w:r>
          </w:hyperlink>
        </w:p>
        <w:p w14:paraId="0BB34873" w14:textId="5E1EBB1D"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4" w:history="1">
            <w:r w:rsidR="007F74BB" w:rsidRPr="007F74BB">
              <w:rPr>
                <w:rStyle w:val="Hyperlink"/>
                <w:rFonts w:ascii="Arial" w:hAnsi="Arial" w:cs="Arial"/>
                <w:noProof/>
                <w:lang w:val="en-US"/>
              </w:rPr>
              <w:t>D. Corporate Failure Prediction: Altman Z-Score</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_Toc214748964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6</w:t>
            </w:r>
            <w:r w:rsidR="007F74BB" w:rsidRPr="007F74BB">
              <w:rPr>
                <w:rFonts w:ascii="Arial" w:hAnsi="Arial" w:cs="Arial"/>
                <w:noProof/>
                <w:webHidden/>
              </w:rPr>
              <w:fldChar w:fldCharType="end"/>
            </w:r>
          </w:hyperlink>
        </w:p>
        <w:p w14:paraId="77EF08F0" w14:textId="1B09F9A0"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65" w:history="1">
            <w:r w:rsidR="007F74BB" w:rsidRPr="007F74BB">
              <w:rPr>
                <w:rStyle w:val="Hyperlink"/>
                <w:rFonts w:ascii="Arial" w:hAnsi="Arial" w:cs="Arial"/>
                <w:noProof/>
              </w:rPr>
              <w:t>2. Working Capital Management Analysis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_Toc214748965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8</w:t>
            </w:r>
            <w:r w:rsidR="007F74BB" w:rsidRPr="007F74BB">
              <w:rPr>
                <w:rFonts w:ascii="Arial" w:hAnsi="Arial" w:cs="Arial"/>
                <w:noProof/>
                <w:webHidden/>
              </w:rPr>
              <w:fldChar w:fldCharType="end"/>
            </w:r>
          </w:hyperlink>
        </w:p>
        <w:p w14:paraId="2836E2FD" w14:textId="4877D7FD"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6" w:history="1">
            <w:r w:rsidR="007F74BB" w:rsidRPr="007F74BB">
              <w:rPr>
                <w:rStyle w:val="Hyperlink"/>
                <w:rFonts w:ascii="Arial" w:hAnsi="Arial" w:cs="Arial"/>
                <w:noProof/>
                <w:lang w:val="en-US"/>
              </w:rPr>
              <w:t>2.1 Evaluation of the Cash Operating Cycle (COC)</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_Toc214748966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8</w:t>
            </w:r>
            <w:r w:rsidR="007F74BB" w:rsidRPr="007F74BB">
              <w:rPr>
                <w:rFonts w:ascii="Arial" w:hAnsi="Arial" w:cs="Arial"/>
                <w:noProof/>
                <w:webHidden/>
              </w:rPr>
              <w:fldChar w:fldCharType="end"/>
            </w:r>
          </w:hyperlink>
        </w:p>
        <w:p w14:paraId="5CAECADE" w14:textId="4C5CB492"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7" w:history="1">
            <w:r w:rsidR="007F74BB" w:rsidRPr="007F74BB">
              <w:rPr>
                <w:rStyle w:val="Hyperlink"/>
                <w:rFonts w:ascii="Arial" w:hAnsi="Arial" w:cs="Arial"/>
                <w:noProof/>
                <w:lang w:val="en-US"/>
              </w:rPr>
              <w:t>2.2 Liquidity-Enhancing Strategies in WCM Reforms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_Toc214748967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9</w:t>
            </w:r>
            <w:r w:rsidR="007F74BB" w:rsidRPr="007F74BB">
              <w:rPr>
                <w:rFonts w:ascii="Arial" w:hAnsi="Arial" w:cs="Arial"/>
                <w:noProof/>
                <w:webHidden/>
              </w:rPr>
              <w:fldChar w:fldCharType="end"/>
            </w:r>
          </w:hyperlink>
        </w:p>
        <w:p w14:paraId="38A98103" w14:textId="5154810E"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68" w:history="1">
            <w:r w:rsidR="007F74BB" w:rsidRPr="007F74BB">
              <w:rPr>
                <w:rStyle w:val="Hyperlink"/>
                <w:rFonts w:ascii="Arial" w:hAnsi="Arial" w:cs="Arial"/>
                <w:noProof/>
                <w:lang w:val="en-US"/>
              </w:rPr>
              <w:t>2.3 Short- versus Long-Term financing Compared</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_Toc214748968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10</w:t>
            </w:r>
            <w:r w:rsidR="007F74BB" w:rsidRPr="007F74BB">
              <w:rPr>
                <w:rFonts w:ascii="Arial" w:hAnsi="Arial" w:cs="Arial"/>
                <w:noProof/>
                <w:webHidden/>
              </w:rPr>
              <w:fldChar w:fldCharType="end"/>
            </w:r>
          </w:hyperlink>
        </w:p>
        <w:p w14:paraId="59C72C2D" w14:textId="257F6481"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69" w:history="1">
            <w:r w:rsidR="007F74BB" w:rsidRPr="007F74BB">
              <w:rPr>
                <w:rStyle w:val="Hyperlink"/>
                <w:rFonts w:ascii="Arial" w:hAnsi="Arial" w:cs="Arial"/>
                <w:noProof/>
              </w:rPr>
              <w:t>3. Strategic Financial Restructuring Plan</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_Toc214748969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12</w:t>
            </w:r>
            <w:r w:rsidR="007F74BB" w:rsidRPr="007F74BB">
              <w:rPr>
                <w:rFonts w:ascii="Arial" w:hAnsi="Arial" w:cs="Arial"/>
                <w:noProof/>
                <w:webHidden/>
              </w:rPr>
              <w:fldChar w:fldCharType="end"/>
            </w:r>
          </w:hyperlink>
        </w:p>
        <w:p w14:paraId="48F69D41" w14:textId="5352C9EB"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70" w:history="1">
            <w:r w:rsidR="007F74BB" w:rsidRPr="007F74BB">
              <w:rPr>
                <w:rStyle w:val="Hyperlink"/>
                <w:rFonts w:ascii="Arial" w:hAnsi="Arial" w:cs="Arial"/>
                <w:noProof/>
              </w:rPr>
              <w:t>3.1 Recommended Financial Restructuring Options: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_Toc214748970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12</w:t>
            </w:r>
            <w:r w:rsidR="007F74BB" w:rsidRPr="007F74BB">
              <w:rPr>
                <w:rFonts w:ascii="Arial" w:hAnsi="Arial" w:cs="Arial"/>
                <w:noProof/>
                <w:webHidden/>
              </w:rPr>
              <w:fldChar w:fldCharType="end"/>
            </w:r>
          </w:hyperlink>
        </w:p>
        <w:p w14:paraId="37FB9776" w14:textId="22EE1F54"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71" w:history="1">
            <w:r w:rsidR="007F74BB" w:rsidRPr="007F74BB">
              <w:rPr>
                <w:rStyle w:val="Hyperlink"/>
                <w:rFonts w:ascii="Arial" w:hAnsi="Arial" w:cs="Arial"/>
                <w:noProof/>
                <w:lang w:val="en-US"/>
              </w:rPr>
              <w:t xml:space="preserve">3.2 Impact on </w:t>
            </w:r>
            <w:r w:rsidR="007F74BB" w:rsidRPr="007F74BB">
              <w:rPr>
                <w:rStyle w:val="Hyperlink"/>
                <w:rFonts w:ascii="Arial" w:hAnsi="Arial" w:cs="Arial"/>
                <w:noProof/>
              </w:rPr>
              <w:t>Stakeholder</w:t>
            </w:r>
            <w:r w:rsidR="007F74BB" w:rsidRPr="007F74BB">
              <w:rPr>
                <w:rStyle w:val="Hyperlink"/>
                <w:rFonts w:ascii="Arial" w:hAnsi="Arial" w:cs="Arial"/>
                <w:noProof/>
                <w:lang w:val="en-US"/>
              </w:rPr>
              <w:t xml:space="preserve"> Evaluation</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_Toc214748971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13</w:t>
            </w:r>
            <w:r w:rsidR="007F74BB" w:rsidRPr="007F74BB">
              <w:rPr>
                <w:rFonts w:ascii="Arial" w:hAnsi="Arial" w:cs="Arial"/>
                <w:noProof/>
                <w:webHidden/>
              </w:rPr>
              <w:fldChar w:fldCharType="end"/>
            </w:r>
          </w:hyperlink>
        </w:p>
        <w:p w14:paraId="49EE6355" w14:textId="13A3A950"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72" w:history="1">
            <w:r w:rsidR="007F74BB" w:rsidRPr="007F74BB">
              <w:rPr>
                <w:rStyle w:val="Hyperlink"/>
                <w:rFonts w:ascii="Arial" w:hAnsi="Arial" w:cs="Arial"/>
                <w:noProof/>
                <w:lang w:val="en-US"/>
              </w:rPr>
              <w:t>3.3 International and Ethical Considerations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_Toc214748972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15</w:t>
            </w:r>
            <w:r w:rsidR="007F74BB" w:rsidRPr="007F74BB">
              <w:rPr>
                <w:rFonts w:ascii="Arial" w:hAnsi="Arial" w:cs="Arial"/>
                <w:noProof/>
                <w:webHidden/>
              </w:rPr>
              <w:fldChar w:fldCharType="end"/>
            </w:r>
          </w:hyperlink>
        </w:p>
        <w:p w14:paraId="59658912" w14:textId="7507EF16" w:rsidR="007F74BB" w:rsidRPr="007F74BB" w:rsidRDefault="005F2141">
          <w:pPr>
            <w:pStyle w:val="TOC3"/>
            <w:tabs>
              <w:tab w:val="right" w:leader="dot" w:pos="9016"/>
            </w:tabs>
            <w:rPr>
              <w:rFonts w:ascii="Arial" w:eastAsiaTheme="minorEastAsia" w:hAnsi="Arial" w:cs="Arial"/>
              <w:noProof/>
              <w:kern w:val="2"/>
              <w:sz w:val="24"/>
              <w:szCs w:val="24"/>
              <w:lang w:val="en-US"/>
              <w14:ligatures w14:val="standardContextual"/>
            </w:rPr>
          </w:pPr>
          <w:hyperlink w:anchor="_Toc214748973" w:history="1">
            <w:r w:rsidR="007F74BB" w:rsidRPr="007F74BB">
              <w:rPr>
                <w:rStyle w:val="Hyperlink"/>
                <w:rFonts w:ascii="Arial" w:hAnsi="Arial" w:cs="Arial"/>
                <w:noProof/>
                <w:lang w:val="en-US"/>
              </w:rPr>
              <w:t>3.3.1 International Financial Risks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_Toc214748973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15</w:t>
            </w:r>
            <w:r w:rsidR="007F74BB" w:rsidRPr="007F74BB">
              <w:rPr>
                <w:rFonts w:ascii="Arial" w:hAnsi="Arial" w:cs="Arial"/>
                <w:noProof/>
                <w:webHidden/>
              </w:rPr>
              <w:fldChar w:fldCharType="end"/>
            </w:r>
          </w:hyperlink>
        </w:p>
        <w:p w14:paraId="27486589" w14:textId="66C56339" w:rsidR="007F74BB" w:rsidRPr="007F74BB" w:rsidRDefault="005F2141">
          <w:pPr>
            <w:pStyle w:val="TOC2"/>
            <w:tabs>
              <w:tab w:val="right" w:leader="dot" w:pos="9016"/>
            </w:tabs>
            <w:rPr>
              <w:rFonts w:ascii="Arial" w:eastAsiaTheme="minorEastAsia" w:hAnsi="Arial" w:cs="Arial"/>
              <w:noProof/>
              <w:kern w:val="2"/>
              <w:sz w:val="24"/>
              <w:szCs w:val="24"/>
              <w:lang w:val="en-US"/>
              <w14:ligatures w14:val="standardContextual"/>
            </w:rPr>
          </w:pPr>
          <w:hyperlink w:anchor="_Toc214748974" w:history="1">
            <w:r w:rsidR="007F74BB" w:rsidRPr="007F74BB">
              <w:rPr>
                <w:rStyle w:val="Hyperlink"/>
                <w:rFonts w:ascii="Arial" w:hAnsi="Arial" w:cs="Arial"/>
                <w:noProof/>
                <w:lang w:val="en-US"/>
              </w:rPr>
              <w:t>3.4 CSR and Ethical Requirements.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_Toc214748974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16</w:t>
            </w:r>
            <w:r w:rsidR="007F74BB" w:rsidRPr="007F74BB">
              <w:rPr>
                <w:rFonts w:ascii="Arial" w:hAnsi="Arial" w:cs="Arial"/>
                <w:noProof/>
                <w:webHidden/>
              </w:rPr>
              <w:fldChar w:fldCharType="end"/>
            </w:r>
          </w:hyperlink>
        </w:p>
        <w:p w14:paraId="1F6C0520" w14:textId="693ADFB9"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75" w:history="1">
            <w:r w:rsidR="007F74BB" w:rsidRPr="007F74BB">
              <w:rPr>
                <w:rStyle w:val="Hyperlink"/>
                <w:rFonts w:ascii="Arial" w:hAnsi="Arial" w:cs="Arial"/>
                <w:noProof/>
              </w:rPr>
              <w:t>4. Investment Appraisal and Capital Budgeting</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_Toc214748975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17</w:t>
            </w:r>
            <w:r w:rsidR="007F74BB" w:rsidRPr="007F74BB">
              <w:rPr>
                <w:rFonts w:ascii="Arial" w:hAnsi="Arial" w:cs="Arial"/>
                <w:noProof/>
                <w:webHidden/>
              </w:rPr>
              <w:fldChar w:fldCharType="end"/>
            </w:r>
          </w:hyperlink>
        </w:p>
        <w:p w14:paraId="0E0D53A0" w14:textId="7A9BC0ED"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76" w:history="1">
            <w:r w:rsidR="007F74BB" w:rsidRPr="007F74BB">
              <w:rPr>
                <w:rStyle w:val="Hyperlink"/>
                <w:rFonts w:ascii="Arial" w:hAnsi="Arial" w:cs="Arial"/>
                <w:noProof/>
              </w:rPr>
              <w:t>Conclusion</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_Toc214748976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23</w:t>
            </w:r>
            <w:r w:rsidR="007F74BB" w:rsidRPr="007F74BB">
              <w:rPr>
                <w:rFonts w:ascii="Arial" w:hAnsi="Arial" w:cs="Arial"/>
                <w:noProof/>
                <w:webHidden/>
              </w:rPr>
              <w:fldChar w:fldCharType="end"/>
            </w:r>
          </w:hyperlink>
        </w:p>
        <w:p w14:paraId="304DE10A" w14:textId="2FC1B6A6"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77" w:history="1">
            <w:r w:rsidR="007F74BB" w:rsidRPr="007F74BB">
              <w:rPr>
                <w:rStyle w:val="Hyperlink"/>
                <w:rFonts w:ascii="Arial" w:hAnsi="Arial" w:cs="Arial"/>
                <w:noProof/>
              </w:rPr>
              <w:t>Reference</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_Toc214748977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24</w:t>
            </w:r>
            <w:r w:rsidR="007F74BB" w:rsidRPr="007F74BB">
              <w:rPr>
                <w:rFonts w:ascii="Arial" w:hAnsi="Arial" w:cs="Arial"/>
                <w:noProof/>
                <w:webHidden/>
              </w:rPr>
              <w:fldChar w:fldCharType="end"/>
            </w:r>
          </w:hyperlink>
        </w:p>
        <w:p w14:paraId="36BF1426" w14:textId="5E1AF223" w:rsidR="007F74BB" w:rsidRPr="007F74BB" w:rsidRDefault="005F2141">
          <w:pPr>
            <w:pStyle w:val="TOC1"/>
            <w:tabs>
              <w:tab w:val="right" w:leader="dot" w:pos="9016"/>
            </w:tabs>
            <w:rPr>
              <w:rFonts w:ascii="Arial" w:eastAsiaTheme="minorEastAsia" w:hAnsi="Arial" w:cs="Arial"/>
              <w:noProof/>
              <w:kern w:val="2"/>
              <w:sz w:val="24"/>
              <w:szCs w:val="24"/>
              <w:lang w:val="en-US"/>
              <w14:ligatures w14:val="standardContextual"/>
            </w:rPr>
          </w:pPr>
          <w:hyperlink w:anchor="_Toc214748978" w:history="1">
            <w:r w:rsidR="007F74BB" w:rsidRPr="007F74BB">
              <w:rPr>
                <w:rStyle w:val="Hyperlink"/>
                <w:rFonts w:ascii="Arial" w:hAnsi="Arial" w:cs="Arial"/>
                <w:noProof/>
                <w:lang w:val="en-US"/>
              </w:rPr>
              <w:t>Appendices:</w:t>
            </w:r>
            <w:r w:rsidR="007F74BB" w:rsidRPr="007F74BB">
              <w:rPr>
                <w:rFonts w:ascii="Arial" w:hAnsi="Arial" w:cs="Arial"/>
                <w:noProof/>
                <w:webHidden/>
              </w:rPr>
              <w:tab/>
            </w:r>
            <w:r w:rsidR="007F74BB" w:rsidRPr="007F74BB">
              <w:rPr>
                <w:rFonts w:ascii="Arial" w:hAnsi="Arial" w:cs="Arial"/>
                <w:noProof/>
                <w:webHidden/>
              </w:rPr>
              <w:fldChar w:fldCharType="begin"/>
            </w:r>
            <w:r w:rsidR="007F74BB" w:rsidRPr="007F74BB">
              <w:rPr>
                <w:rFonts w:ascii="Arial" w:hAnsi="Arial" w:cs="Arial"/>
                <w:noProof/>
                <w:webHidden/>
              </w:rPr>
              <w:instrText xml:space="preserve"> PAGEREF _Toc214748978 \h </w:instrText>
            </w:r>
            <w:r w:rsidR="007F74BB" w:rsidRPr="007F74BB">
              <w:rPr>
                <w:rFonts w:ascii="Arial" w:hAnsi="Arial" w:cs="Arial"/>
                <w:noProof/>
                <w:webHidden/>
              </w:rPr>
            </w:r>
            <w:r w:rsidR="007F74BB" w:rsidRPr="007F74BB">
              <w:rPr>
                <w:rFonts w:ascii="Arial" w:hAnsi="Arial" w:cs="Arial"/>
                <w:noProof/>
                <w:webHidden/>
              </w:rPr>
              <w:fldChar w:fldCharType="separate"/>
            </w:r>
            <w:r w:rsidR="007347CC">
              <w:rPr>
                <w:rFonts w:ascii="Arial" w:hAnsi="Arial" w:cs="Arial"/>
                <w:noProof/>
                <w:webHidden/>
              </w:rPr>
              <w:t>29</w:t>
            </w:r>
            <w:r w:rsidR="007F74BB" w:rsidRPr="007F74BB">
              <w:rPr>
                <w:rFonts w:ascii="Arial" w:hAnsi="Arial" w:cs="Arial"/>
                <w:noProof/>
                <w:webHidden/>
              </w:rPr>
              <w:fldChar w:fldCharType="end"/>
            </w:r>
          </w:hyperlink>
        </w:p>
        <w:p w14:paraId="36E2A485" w14:textId="5B74D5A3" w:rsidR="00CD4561" w:rsidRPr="00812AA0" w:rsidRDefault="00CD4561" w:rsidP="00CD4561">
          <w:pPr>
            <w:spacing w:line="360" w:lineRule="auto"/>
            <w:rPr>
              <w:rFonts w:ascii="Arial" w:hAnsi="Arial" w:cs="Arial"/>
            </w:rPr>
          </w:pPr>
          <w:r w:rsidRPr="007F74BB">
            <w:rPr>
              <w:rFonts w:ascii="Arial" w:hAnsi="Arial" w:cs="Arial"/>
              <w:b/>
              <w:bCs/>
              <w:noProof/>
            </w:rPr>
            <w:fldChar w:fldCharType="end"/>
          </w:r>
        </w:p>
      </w:sdtContent>
    </w:sdt>
    <w:p w14:paraId="4CA73013" w14:textId="42EE8E63" w:rsidR="00355401" w:rsidRDefault="00CD4561" w:rsidP="00CD4561">
      <w:pPr>
        <w:spacing w:line="360" w:lineRule="auto"/>
        <w:jc w:val="center"/>
        <w:rPr>
          <w:rFonts w:ascii="Arial" w:hAnsi="Arial" w:cs="Arial"/>
          <w:b/>
          <w:bCs/>
          <w:sz w:val="24"/>
          <w:szCs w:val="24"/>
          <w:u w:val="single"/>
        </w:rPr>
      </w:pPr>
      <w:r w:rsidRPr="00722A7F">
        <w:rPr>
          <w:rFonts w:ascii="Arial" w:hAnsi="Arial" w:cs="Arial"/>
          <w:b/>
          <w:bCs/>
          <w:sz w:val="24"/>
          <w:szCs w:val="24"/>
          <w:u w:val="single"/>
        </w:rPr>
        <w:t xml:space="preserve">Contents of </w:t>
      </w:r>
      <w:r w:rsidR="006B47DD">
        <w:rPr>
          <w:rFonts w:ascii="Arial" w:hAnsi="Arial" w:cs="Arial"/>
          <w:b/>
          <w:bCs/>
          <w:sz w:val="24"/>
          <w:szCs w:val="24"/>
          <w:u w:val="single"/>
        </w:rPr>
        <w:t>Table</w:t>
      </w:r>
    </w:p>
    <w:p w14:paraId="7F5B8B1E" w14:textId="2F09F97E" w:rsidR="002B213D" w:rsidRPr="002B213D" w:rsidRDefault="002B213D">
      <w:pPr>
        <w:pStyle w:val="TableofFigures"/>
        <w:tabs>
          <w:tab w:val="right" w:leader="dot" w:pos="9016"/>
        </w:tabs>
        <w:rPr>
          <w:rFonts w:ascii="Arial" w:eastAsiaTheme="minorEastAsia" w:hAnsi="Arial" w:cs="Arial"/>
          <w:noProof/>
          <w:kern w:val="2"/>
          <w:sz w:val="24"/>
          <w:szCs w:val="24"/>
          <w:lang w:val="en-US"/>
          <w14:ligatures w14:val="standardContextual"/>
        </w:rPr>
      </w:pPr>
      <w:r>
        <w:rPr>
          <w:rFonts w:ascii="Arial" w:hAnsi="Arial" w:cs="Arial"/>
          <w:b/>
          <w:bCs/>
          <w:sz w:val="24"/>
          <w:szCs w:val="24"/>
          <w:u w:val="single"/>
        </w:rPr>
        <w:fldChar w:fldCharType="begin"/>
      </w:r>
      <w:r>
        <w:rPr>
          <w:rFonts w:ascii="Arial" w:hAnsi="Arial" w:cs="Arial"/>
          <w:b/>
          <w:bCs/>
          <w:sz w:val="24"/>
          <w:szCs w:val="24"/>
          <w:u w:val="single"/>
        </w:rPr>
        <w:instrText xml:space="preserve"> TOC \h \z \c "Table" </w:instrText>
      </w:r>
      <w:r>
        <w:rPr>
          <w:rFonts w:ascii="Arial" w:hAnsi="Arial" w:cs="Arial"/>
          <w:b/>
          <w:bCs/>
          <w:sz w:val="24"/>
          <w:szCs w:val="24"/>
          <w:u w:val="single"/>
        </w:rPr>
        <w:fldChar w:fldCharType="separate"/>
      </w:r>
      <w:hyperlink w:anchor="_Toc214749056" w:history="1">
        <w:r w:rsidRPr="002B213D">
          <w:rPr>
            <w:rStyle w:val="Hyperlink"/>
            <w:rFonts w:ascii="Arial" w:hAnsi="Arial" w:cs="Arial"/>
            <w:noProof/>
          </w:rPr>
          <w:t>Table 1: Financial Statements</w:t>
        </w:r>
        <w:r w:rsidRPr="002B213D">
          <w:rPr>
            <w:rFonts w:ascii="Arial" w:hAnsi="Arial" w:cs="Arial"/>
            <w:noProof/>
            <w:webHidden/>
          </w:rPr>
          <w:tab/>
        </w:r>
        <w:r w:rsidRPr="002B213D">
          <w:rPr>
            <w:rFonts w:ascii="Arial" w:hAnsi="Arial" w:cs="Arial"/>
            <w:noProof/>
            <w:webHidden/>
          </w:rPr>
          <w:fldChar w:fldCharType="begin"/>
        </w:r>
        <w:r w:rsidRPr="002B213D">
          <w:rPr>
            <w:rFonts w:ascii="Arial" w:hAnsi="Arial" w:cs="Arial"/>
            <w:noProof/>
            <w:webHidden/>
          </w:rPr>
          <w:instrText xml:space="preserve"> PAGEREF _Toc214749056 \h </w:instrText>
        </w:r>
        <w:r w:rsidRPr="002B213D">
          <w:rPr>
            <w:rFonts w:ascii="Arial" w:hAnsi="Arial" w:cs="Arial"/>
            <w:noProof/>
            <w:webHidden/>
          </w:rPr>
        </w:r>
        <w:r w:rsidRPr="002B213D">
          <w:rPr>
            <w:rFonts w:ascii="Arial" w:hAnsi="Arial" w:cs="Arial"/>
            <w:noProof/>
            <w:webHidden/>
          </w:rPr>
          <w:fldChar w:fldCharType="separate"/>
        </w:r>
        <w:r w:rsidR="006B47DD">
          <w:rPr>
            <w:rFonts w:ascii="Arial" w:hAnsi="Arial" w:cs="Arial"/>
            <w:noProof/>
            <w:webHidden/>
          </w:rPr>
          <w:t>3</w:t>
        </w:r>
        <w:r w:rsidRPr="002B213D">
          <w:rPr>
            <w:rFonts w:ascii="Arial" w:hAnsi="Arial" w:cs="Arial"/>
            <w:noProof/>
            <w:webHidden/>
          </w:rPr>
          <w:fldChar w:fldCharType="end"/>
        </w:r>
      </w:hyperlink>
    </w:p>
    <w:p w14:paraId="75F505E4" w14:textId="3A39F532"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57" w:history="1">
        <w:r w:rsidR="002B213D" w:rsidRPr="002B213D">
          <w:rPr>
            <w:rStyle w:val="Hyperlink"/>
            <w:rFonts w:ascii="Arial" w:hAnsi="Arial" w:cs="Arial"/>
            <w:noProof/>
          </w:rPr>
          <w:t>Table 2: Ratio Analysis</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_Toc214749057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5</w:t>
        </w:r>
        <w:r w:rsidR="002B213D" w:rsidRPr="002B213D">
          <w:rPr>
            <w:rFonts w:ascii="Arial" w:hAnsi="Arial" w:cs="Arial"/>
            <w:noProof/>
            <w:webHidden/>
          </w:rPr>
          <w:fldChar w:fldCharType="end"/>
        </w:r>
      </w:hyperlink>
    </w:p>
    <w:p w14:paraId="53EFEFBE" w14:textId="428D10EA"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58" w:history="1">
        <w:r w:rsidR="002B213D" w:rsidRPr="002B213D">
          <w:rPr>
            <w:rStyle w:val="Hyperlink"/>
            <w:rFonts w:ascii="Arial" w:hAnsi="Arial" w:cs="Arial"/>
            <w:noProof/>
          </w:rPr>
          <w:t>Table 3: Working Capital Calculation</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_Toc214749058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7</w:t>
        </w:r>
        <w:r w:rsidR="002B213D" w:rsidRPr="002B213D">
          <w:rPr>
            <w:rFonts w:ascii="Arial" w:hAnsi="Arial" w:cs="Arial"/>
            <w:noProof/>
            <w:webHidden/>
          </w:rPr>
          <w:fldChar w:fldCharType="end"/>
        </w:r>
      </w:hyperlink>
    </w:p>
    <w:p w14:paraId="36CD25DD" w14:textId="6F195A89"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59" w:history="1">
        <w:r w:rsidR="002B213D" w:rsidRPr="002B213D">
          <w:rPr>
            <w:rStyle w:val="Hyperlink"/>
            <w:rFonts w:ascii="Arial" w:hAnsi="Arial" w:cs="Arial"/>
            <w:noProof/>
          </w:rPr>
          <w:t>Table 4: Liquidity-Enhancing Strategy</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_Toc214749059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10</w:t>
        </w:r>
        <w:r w:rsidR="002B213D" w:rsidRPr="002B213D">
          <w:rPr>
            <w:rFonts w:ascii="Arial" w:hAnsi="Arial" w:cs="Arial"/>
            <w:noProof/>
            <w:webHidden/>
          </w:rPr>
          <w:fldChar w:fldCharType="end"/>
        </w:r>
      </w:hyperlink>
    </w:p>
    <w:p w14:paraId="773260F4" w14:textId="053D3FD1"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0" w:history="1">
        <w:r w:rsidR="002B213D" w:rsidRPr="002B213D">
          <w:rPr>
            <w:rStyle w:val="Hyperlink"/>
            <w:rFonts w:ascii="Arial" w:hAnsi="Arial" w:cs="Arial"/>
            <w:noProof/>
          </w:rPr>
          <w:t>Table 5: Short- versus Long-Term financing</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_Toc214749060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12</w:t>
        </w:r>
        <w:r w:rsidR="002B213D" w:rsidRPr="002B213D">
          <w:rPr>
            <w:rFonts w:ascii="Arial" w:hAnsi="Arial" w:cs="Arial"/>
            <w:noProof/>
            <w:webHidden/>
          </w:rPr>
          <w:fldChar w:fldCharType="end"/>
        </w:r>
      </w:hyperlink>
    </w:p>
    <w:p w14:paraId="62BE7064" w14:textId="57DEEFAF"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1" w:history="1">
        <w:r w:rsidR="002B213D" w:rsidRPr="002B213D">
          <w:rPr>
            <w:rStyle w:val="Hyperlink"/>
            <w:rFonts w:ascii="Arial" w:hAnsi="Arial" w:cs="Arial"/>
            <w:noProof/>
          </w:rPr>
          <w:t>Table 6: Stakeholder Evaluation</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_Toc214749061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15</w:t>
        </w:r>
        <w:r w:rsidR="002B213D" w:rsidRPr="002B213D">
          <w:rPr>
            <w:rFonts w:ascii="Arial" w:hAnsi="Arial" w:cs="Arial"/>
            <w:noProof/>
            <w:webHidden/>
          </w:rPr>
          <w:fldChar w:fldCharType="end"/>
        </w:r>
      </w:hyperlink>
    </w:p>
    <w:p w14:paraId="3EEAA0FE" w14:textId="2D4C4346"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2" w:history="1">
        <w:r w:rsidR="002B213D" w:rsidRPr="002B213D">
          <w:rPr>
            <w:rStyle w:val="Hyperlink"/>
            <w:rFonts w:ascii="Arial" w:hAnsi="Arial" w:cs="Arial"/>
            <w:noProof/>
          </w:rPr>
          <w:t>Table 7: International Financial Risks</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_Toc214749062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16</w:t>
        </w:r>
        <w:r w:rsidR="002B213D" w:rsidRPr="002B213D">
          <w:rPr>
            <w:rFonts w:ascii="Arial" w:hAnsi="Arial" w:cs="Arial"/>
            <w:noProof/>
            <w:webHidden/>
          </w:rPr>
          <w:fldChar w:fldCharType="end"/>
        </w:r>
      </w:hyperlink>
    </w:p>
    <w:p w14:paraId="4A2F02FE" w14:textId="40E26C22"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3" w:history="1">
        <w:r w:rsidR="002B213D" w:rsidRPr="002B213D">
          <w:rPr>
            <w:rStyle w:val="Hyperlink"/>
            <w:rFonts w:ascii="Arial" w:hAnsi="Arial" w:cs="Arial"/>
            <w:noProof/>
          </w:rPr>
          <w:t>Table 8: Calculation of Cash Flows and Accounting Metrics</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_Toc214749063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18</w:t>
        </w:r>
        <w:r w:rsidR="002B213D" w:rsidRPr="002B213D">
          <w:rPr>
            <w:rFonts w:ascii="Arial" w:hAnsi="Arial" w:cs="Arial"/>
            <w:noProof/>
            <w:webHidden/>
          </w:rPr>
          <w:fldChar w:fldCharType="end"/>
        </w:r>
      </w:hyperlink>
    </w:p>
    <w:p w14:paraId="0892B87F" w14:textId="484493C7"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4" w:history="1">
        <w:r w:rsidR="002B213D" w:rsidRPr="002B213D">
          <w:rPr>
            <w:rStyle w:val="Hyperlink"/>
            <w:rFonts w:ascii="Arial" w:hAnsi="Arial" w:cs="Arial"/>
            <w:noProof/>
          </w:rPr>
          <w:t>Table 9: Summary of Investment Appraisal Metrics</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_Toc214749064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19</w:t>
        </w:r>
        <w:r w:rsidR="002B213D" w:rsidRPr="002B213D">
          <w:rPr>
            <w:rFonts w:ascii="Arial" w:hAnsi="Arial" w:cs="Arial"/>
            <w:noProof/>
            <w:webHidden/>
          </w:rPr>
          <w:fldChar w:fldCharType="end"/>
        </w:r>
      </w:hyperlink>
    </w:p>
    <w:p w14:paraId="7FBC9B07" w14:textId="59A13AB9"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5" w:history="1">
        <w:r w:rsidR="002B213D" w:rsidRPr="002B213D">
          <w:rPr>
            <w:rStyle w:val="Hyperlink"/>
            <w:rFonts w:ascii="Arial" w:hAnsi="Arial" w:cs="Arial"/>
            <w:noProof/>
          </w:rPr>
          <w:t>Table 10: NPV Calculation</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_Toc214749065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19</w:t>
        </w:r>
        <w:r w:rsidR="002B213D" w:rsidRPr="002B213D">
          <w:rPr>
            <w:rFonts w:ascii="Arial" w:hAnsi="Arial" w:cs="Arial"/>
            <w:noProof/>
            <w:webHidden/>
          </w:rPr>
          <w:fldChar w:fldCharType="end"/>
        </w:r>
      </w:hyperlink>
    </w:p>
    <w:p w14:paraId="019452E8" w14:textId="2C48AC0F" w:rsidR="002B213D" w:rsidRPr="002B213D" w:rsidRDefault="005F2141">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14749066" w:history="1">
        <w:r w:rsidR="002B213D" w:rsidRPr="002B213D">
          <w:rPr>
            <w:rStyle w:val="Hyperlink"/>
            <w:rFonts w:ascii="Arial" w:hAnsi="Arial" w:cs="Arial"/>
            <w:noProof/>
          </w:rPr>
          <w:t>Table 11: Profitability Index</w:t>
        </w:r>
        <w:r w:rsidR="002B213D" w:rsidRPr="002B213D">
          <w:rPr>
            <w:rFonts w:ascii="Arial" w:hAnsi="Arial" w:cs="Arial"/>
            <w:noProof/>
            <w:webHidden/>
          </w:rPr>
          <w:tab/>
        </w:r>
        <w:r w:rsidR="002B213D" w:rsidRPr="002B213D">
          <w:rPr>
            <w:rFonts w:ascii="Arial" w:hAnsi="Arial" w:cs="Arial"/>
            <w:noProof/>
            <w:webHidden/>
          </w:rPr>
          <w:fldChar w:fldCharType="begin"/>
        </w:r>
        <w:r w:rsidR="002B213D" w:rsidRPr="002B213D">
          <w:rPr>
            <w:rFonts w:ascii="Arial" w:hAnsi="Arial" w:cs="Arial"/>
            <w:noProof/>
            <w:webHidden/>
          </w:rPr>
          <w:instrText xml:space="preserve"> PAGEREF _Toc214749066 \h </w:instrText>
        </w:r>
        <w:r w:rsidR="002B213D" w:rsidRPr="002B213D">
          <w:rPr>
            <w:rFonts w:ascii="Arial" w:hAnsi="Arial" w:cs="Arial"/>
            <w:noProof/>
            <w:webHidden/>
          </w:rPr>
        </w:r>
        <w:r w:rsidR="002B213D" w:rsidRPr="002B213D">
          <w:rPr>
            <w:rFonts w:ascii="Arial" w:hAnsi="Arial" w:cs="Arial"/>
            <w:noProof/>
            <w:webHidden/>
          </w:rPr>
          <w:fldChar w:fldCharType="separate"/>
        </w:r>
        <w:r w:rsidR="006B47DD">
          <w:rPr>
            <w:rFonts w:ascii="Arial" w:hAnsi="Arial" w:cs="Arial"/>
            <w:noProof/>
            <w:webHidden/>
          </w:rPr>
          <w:t>20</w:t>
        </w:r>
        <w:r w:rsidR="002B213D" w:rsidRPr="002B213D">
          <w:rPr>
            <w:rFonts w:ascii="Arial" w:hAnsi="Arial" w:cs="Arial"/>
            <w:noProof/>
            <w:webHidden/>
          </w:rPr>
          <w:fldChar w:fldCharType="end"/>
        </w:r>
      </w:hyperlink>
    </w:p>
    <w:p w14:paraId="4EBAE06C" w14:textId="323D4F65" w:rsidR="00CD4561" w:rsidRPr="003227C7" w:rsidRDefault="002B213D" w:rsidP="00CD4561">
      <w:pPr>
        <w:spacing w:line="360" w:lineRule="auto"/>
        <w:jc w:val="both"/>
        <w:rPr>
          <w:rFonts w:ascii="Arial" w:hAnsi="Arial" w:cs="Arial"/>
          <w:sz w:val="24"/>
          <w:szCs w:val="24"/>
        </w:rPr>
        <w:sectPr w:rsidR="00CD4561" w:rsidRPr="003227C7" w:rsidSect="00CD4561">
          <w:pgSz w:w="11906" w:h="16838"/>
          <w:pgMar w:top="1440" w:right="1440" w:bottom="1440" w:left="1440" w:header="720" w:footer="720" w:gutter="0"/>
          <w:pgNumType w:start="0"/>
          <w:cols w:space="720"/>
          <w:titlePg/>
          <w:docGrid w:linePitch="299"/>
        </w:sectPr>
      </w:pPr>
      <w:r>
        <w:rPr>
          <w:rFonts w:ascii="Arial" w:hAnsi="Arial" w:cs="Arial"/>
          <w:b/>
          <w:bCs/>
          <w:sz w:val="24"/>
          <w:szCs w:val="24"/>
          <w:u w:val="single"/>
        </w:rPr>
        <w:fldChar w:fldCharType="end"/>
      </w:r>
    </w:p>
    <w:p w14:paraId="72407D3A" w14:textId="77777777" w:rsidR="00CD4561" w:rsidRPr="003227C7" w:rsidRDefault="00CD4561" w:rsidP="00CD4561">
      <w:pPr>
        <w:pStyle w:val="Heading1"/>
        <w:spacing w:line="360" w:lineRule="auto"/>
      </w:pPr>
      <w:bookmarkStart w:id="0" w:name="_Toc214748959"/>
      <w:r w:rsidRPr="003227C7">
        <w:lastRenderedPageBreak/>
        <w:t>Introduction</w:t>
      </w:r>
      <w:bookmarkEnd w:id="0"/>
    </w:p>
    <w:p w14:paraId="4FC7D101" w14:textId="5ECA4B10" w:rsidR="00AB0055" w:rsidRPr="00AB0055" w:rsidRDefault="00AB0055" w:rsidP="00AB0055">
      <w:pPr>
        <w:spacing w:line="360" w:lineRule="auto"/>
        <w:jc w:val="both"/>
        <w:rPr>
          <w:rFonts w:ascii="Arial" w:hAnsi="Arial" w:cs="Arial"/>
          <w:sz w:val="24"/>
          <w:szCs w:val="24"/>
          <w:lang w:val="en-US"/>
        </w:rPr>
      </w:pPr>
      <w:r w:rsidRPr="00AB0055">
        <w:rPr>
          <w:rFonts w:ascii="Arial" w:hAnsi="Arial" w:cs="Arial"/>
          <w:sz w:val="24"/>
          <w:szCs w:val="24"/>
          <w:lang w:val="en-US"/>
        </w:rPr>
        <w:t>General Electric (GE) is in a desperate financial state that is marked by a series of net losses, a 51</w:t>
      </w:r>
      <w:r>
        <w:rPr>
          <w:rFonts w:ascii="Arial" w:hAnsi="Arial" w:cs="Arial"/>
          <w:sz w:val="24"/>
          <w:szCs w:val="24"/>
          <w:lang w:val="en-US"/>
        </w:rPr>
        <w:t>%</w:t>
      </w:r>
      <w:r w:rsidRPr="00AB0055">
        <w:rPr>
          <w:rFonts w:ascii="Arial" w:hAnsi="Arial" w:cs="Arial"/>
          <w:sz w:val="24"/>
          <w:szCs w:val="24"/>
          <w:lang w:val="en-US"/>
        </w:rPr>
        <w:t xml:space="preserve"> loss in its shareholders' equity and a frightening Debt-to-Equity Ratio of 1.11. As the diagnosis based on the low Altman Z-Score implies high default risk because of the strategic failure in the past (reflected in the impairments of assets, which amount to £57bn and deterioration of the core cash generation. It includes the proposed turnaround, which requires immediate cash flow acceleration by means of the suggested reforms of the WCM and a Strategic Financial Restructuring. The proposed plan focuses on selling non-core assets to cover the short-term debt and on selecting the best project, Project C (highest NPV and PI), to </w:t>
      </w:r>
      <w:proofErr w:type="spellStart"/>
      <w:r w:rsidRPr="00AB0055">
        <w:rPr>
          <w:rFonts w:ascii="Arial" w:hAnsi="Arial" w:cs="Arial"/>
          <w:sz w:val="24"/>
          <w:szCs w:val="24"/>
          <w:lang w:val="en-US"/>
        </w:rPr>
        <w:t>maximise</w:t>
      </w:r>
      <w:proofErr w:type="spellEnd"/>
      <w:r w:rsidRPr="00AB0055">
        <w:rPr>
          <w:rFonts w:ascii="Arial" w:hAnsi="Arial" w:cs="Arial"/>
          <w:sz w:val="24"/>
          <w:szCs w:val="24"/>
          <w:lang w:val="en-US"/>
        </w:rPr>
        <w:t xml:space="preserve"> the shareholder value in an environment of capital rationing, a financially viable and ethical recovery to profitability.</w:t>
      </w:r>
    </w:p>
    <w:p w14:paraId="2F110CC9" w14:textId="7BE50C11" w:rsidR="00CD4561" w:rsidRPr="00C04215" w:rsidRDefault="00CD4561" w:rsidP="00CD4561">
      <w:pPr>
        <w:spacing w:line="360" w:lineRule="auto"/>
        <w:jc w:val="both"/>
        <w:rPr>
          <w:rFonts w:ascii="Arial" w:hAnsi="Arial" w:cs="Arial"/>
          <w:sz w:val="24"/>
          <w:szCs w:val="24"/>
          <w:lang w:val="en-US"/>
        </w:rPr>
      </w:pPr>
    </w:p>
    <w:p w14:paraId="3C245875" w14:textId="77777777" w:rsidR="00CD4561" w:rsidRDefault="00CD4561" w:rsidP="00CD4561">
      <w:pPr>
        <w:spacing w:after="160" w:line="278" w:lineRule="auto"/>
        <w:rPr>
          <w:rFonts w:ascii="Arial" w:eastAsiaTheme="majorEastAsia" w:hAnsi="Arial" w:cstheme="majorBidi"/>
          <w:b/>
          <w:color w:val="000000" w:themeColor="text1"/>
          <w:sz w:val="32"/>
          <w:szCs w:val="40"/>
        </w:rPr>
      </w:pPr>
      <w:r>
        <w:br w:type="page"/>
      </w:r>
    </w:p>
    <w:p w14:paraId="59624763" w14:textId="6CF7A818" w:rsidR="00CD4561" w:rsidRPr="003227C7" w:rsidRDefault="00D610AE" w:rsidP="00D610AE">
      <w:pPr>
        <w:pStyle w:val="Heading1"/>
      </w:pPr>
      <w:bookmarkStart w:id="1" w:name="_Toc214748960"/>
      <w:r w:rsidRPr="00D610AE">
        <w:lastRenderedPageBreak/>
        <w:t>1.</w:t>
      </w:r>
      <w:r>
        <w:t xml:space="preserve"> </w:t>
      </w:r>
      <w:r w:rsidRPr="00D610AE">
        <w:t>Financial Health Check</w:t>
      </w:r>
      <w:bookmarkEnd w:id="1"/>
    </w:p>
    <w:p w14:paraId="2A59745D" w14:textId="17FF8452" w:rsidR="00CD4561" w:rsidRPr="003227C7" w:rsidRDefault="00AF0650" w:rsidP="00CD4561">
      <w:pPr>
        <w:pStyle w:val="Heading2"/>
      </w:pPr>
      <w:bookmarkStart w:id="2" w:name="_Toc214748961"/>
      <w:r w:rsidRPr="00AF0650">
        <w:t>A. Analysis of Financial Statements (£m)</w:t>
      </w:r>
      <w:r w:rsidR="00CD4561" w:rsidRPr="003227C7">
        <w:t>:</w:t>
      </w:r>
      <w:bookmarkEnd w:id="2"/>
    </w:p>
    <w:p w14:paraId="44D1CDA1" w14:textId="08850779" w:rsidR="00CD4561" w:rsidRDefault="001F3C98" w:rsidP="00CD4561">
      <w:pPr>
        <w:spacing w:line="360" w:lineRule="auto"/>
        <w:jc w:val="both"/>
        <w:rPr>
          <w:rFonts w:ascii="Arial" w:hAnsi="Arial" w:cs="Arial"/>
          <w:sz w:val="24"/>
          <w:szCs w:val="24"/>
        </w:rPr>
      </w:pPr>
      <w:r w:rsidRPr="001F3C98">
        <w:rPr>
          <w:rFonts w:ascii="Arial" w:hAnsi="Arial" w:cs="Arial"/>
          <w:sz w:val="24"/>
          <w:szCs w:val="24"/>
        </w:rPr>
        <w:t>The financial statements reveal a company that enjoyed exceptional profitability in 2020 and 2021 before entering a severe, equity-eroding financial crisis in 2023-2024.</w:t>
      </w:r>
    </w:p>
    <w:tbl>
      <w:tblPr>
        <w:tblStyle w:val="TableGrid"/>
        <w:tblW w:w="0" w:type="auto"/>
        <w:tblLayout w:type="fixed"/>
        <w:tblLook w:val="04A0" w:firstRow="1" w:lastRow="0" w:firstColumn="1" w:lastColumn="0" w:noHBand="0" w:noVBand="1"/>
      </w:tblPr>
      <w:tblGrid>
        <w:gridCol w:w="1413"/>
        <w:gridCol w:w="992"/>
        <w:gridCol w:w="851"/>
        <w:gridCol w:w="850"/>
        <w:gridCol w:w="1134"/>
        <w:gridCol w:w="1134"/>
        <w:gridCol w:w="2642"/>
      </w:tblGrid>
      <w:tr w:rsidR="0047629C" w:rsidRPr="0047629C" w14:paraId="7907B7C2" w14:textId="77777777" w:rsidTr="0047629C">
        <w:tc>
          <w:tcPr>
            <w:tcW w:w="1413" w:type="dxa"/>
            <w:hideMark/>
          </w:tcPr>
          <w:p w14:paraId="4587B1E8"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Statement Item</w:t>
            </w:r>
          </w:p>
        </w:tc>
        <w:tc>
          <w:tcPr>
            <w:tcW w:w="992" w:type="dxa"/>
            <w:hideMark/>
          </w:tcPr>
          <w:p w14:paraId="01C0D94B"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2020</w:t>
            </w:r>
          </w:p>
        </w:tc>
        <w:tc>
          <w:tcPr>
            <w:tcW w:w="851" w:type="dxa"/>
            <w:hideMark/>
          </w:tcPr>
          <w:p w14:paraId="5E5CB4B6"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2021</w:t>
            </w:r>
          </w:p>
        </w:tc>
        <w:tc>
          <w:tcPr>
            <w:tcW w:w="850" w:type="dxa"/>
            <w:hideMark/>
          </w:tcPr>
          <w:p w14:paraId="258D993D"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2022</w:t>
            </w:r>
          </w:p>
        </w:tc>
        <w:tc>
          <w:tcPr>
            <w:tcW w:w="1134" w:type="dxa"/>
            <w:hideMark/>
          </w:tcPr>
          <w:p w14:paraId="443C91F3"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2023</w:t>
            </w:r>
          </w:p>
        </w:tc>
        <w:tc>
          <w:tcPr>
            <w:tcW w:w="1134" w:type="dxa"/>
            <w:hideMark/>
          </w:tcPr>
          <w:p w14:paraId="62B7FA7B"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2024</w:t>
            </w:r>
          </w:p>
        </w:tc>
        <w:tc>
          <w:tcPr>
            <w:tcW w:w="2642" w:type="dxa"/>
            <w:hideMark/>
          </w:tcPr>
          <w:p w14:paraId="47112D68"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Explanation</w:t>
            </w:r>
          </w:p>
        </w:tc>
      </w:tr>
      <w:tr w:rsidR="0047629C" w:rsidRPr="0047629C" w14:paraId="0B78B3D9" w14:textId="77777777" w:rsidTr="0047629C">
        <w:tc>
          <w:tcPr>
            <w:tcW w:w="1413" w:type="dxa"/>
            <w:hideMark/>
          </w:tcPr>
          <w:p w14:paraId="38218A88"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Net Income (Loss)</w:t>
            </w:r>
          </w:p>
        </w:tc>
        <w:tc>
          <w:tcPr>
            <w:tcW w:w="992" w:type="dxa"/>
            <w:hideMark/>
          </w:tcPr>
          <w:p w14:paraId="79CC6363"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38,572</w:t>
            </w:r>
          </w:p>
        </w:tc>
        <w:tc>
          <w:tcPr>
            <w:tcW w:w="851" w:type="dxa"/>
            <w:hideMark/>
          </w:tcPr>
          <w:p w14:paraId="310DC0F4"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5,301</w:t>
            </w:r>
          </w:p>
        </w:tc>
        <w:tc>
          <w:tcPr>
            <w:tcW w:w="850" w:type="dxa"/>
            <w:hideMark/>
          </w:tcPr>
          <w:p w14:paraId="77B0315F"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407</w:t>
            </w:r>
          </w:p>
        </w:tc>
        <w:tc>
          <w:tcPr>
            <w:tcW w:w="1134" w:type="dxa"/>
            <w:hideMark/>
          </w:tcPr>
          <w:p w14:paraId="3D62F675" w14:textId="77777777" w:rsidR="0047629C" w:rsidRPr="00BE6F83" w:rsidRDefault="0047629C" w:rsidP="0047629C">
            <w:pPr>
              <w:spacing w:line="360" w:lineRule="auto"/>
              <w:jc w:val="both"/>
              <w:rPr>
                <w:rFonts w:ascii="Arial" w:hAnsi="Arial" w:cs="Arial"/>
                <w:sz w:val="24"/>
                <w:szCs w:val="24"/>
                <w:lang w:val="en-US"/>
              </w:rPr>
            </w:pPr>
            <w:r w:rsidRPr="00BE6F83">
              <w:rPr>
                <w:rFonts w:ascii="Arial" w:hAnsi="Arial" w:cs="Arial"/>
                <w:sz w:val="24"/>
                <w:szCs w:val="24"/>
                <w:lang w:val="en-US"/>
              </w:rPr>
              <w:t>(98,238)</w:t>
            </w:r>
          </w:p>
        </w:tc>
        <w:tc>
          <w:tcPr>
            <w:tcW w:w="1134" w:type="dxa"/>
            <w:hideMark/>
          </w:tcPr>
          <w:p w14:paraId="1895C48B" w14:textId="77777777" w:rsidR="0047629C" w:rsidRPr="00BE6F83" w:rsidRDefault="0047629C" w:rsidP="0047629C">
            <w:pPr>
              <w:spacing w:line="360" w:lineRule="auto"/>
              <w:jc w:val="both"/>
              <w:rPr>
                <w:rFonts w:ascii="Arial" w:hAnsi="Arial" w:cs="Arial"/>
                <w:sz w:val="24"/>
                <w:szCs w:val="24"/>
                <w:lang w:val="en-US"/>
              </w:rPr>
            </w:pPr>
            <w:r w:rsidRPr="00BE6F83">
              <w:rPr>
                <w:rFonts w:ascii="Arial" w:hAnsi="Arial" w:cs="Arial"/>
                <w:sz w:val="24"/>
                <w:szCs w:val="24"/>
                <w:lang w:val="en-US"/>
              </w:rPr>
              <w:t>(24,029)</w:t>
            </w:r>
          </w:p>
        </w:tc>
        <w:tc>
          <w:tcPr>
            <w:tcW w:w="2642" w:type="dxa"/>
            <w:hideMark/>
          </w:tcPr>
          <w:p w14:paraId="44A1BA66"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Profitability Crisis:</w:t>
            </w:r>
            <w:r w:rsidRPr="0047629C">
              <w:rPr>
                <w:rFonts w:ascii="Arial" w:hAnsi="Arial" w:cs="Arial"/>
                <w:sz w:val="24"/>
                <w:szCs w:val="24"/>
                <w:lang w:val="en-US"/>
              </w:rPr>
              <w:t xml:space="preserve"> Collapse in 2023 due to massive asset write-downs and operational failure. While the loss shrunk in 2024, the firm remains unprofitable.</w:t>
            </w:r>
          </w:p>
        </w:tc>
      </w:tr>
      <w:tr w:rsidR="0047629C" w:rsidRPr="0047629C" w14:paraId="471E2F46" w14:textId="77777777" w:rsidTr="0047629C">
        <w:tc>
          <w:tcPr>
            <w:tcW w:w="1413" w:type="dxa"/>
            <w:hideMark/>
          </w:tcPr>
          <w:p w14:paraId="309848AD"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Total Assets</w:t>
            </w:r>
          </w:p>
        </w:tc>
        <w:tc>
          <w:tcPr>
            <w:tcW w:w="992" w:type="dxa"/>
            <w:hideMark/>
          </w:tcPr>
          <w:p w14:paraId="5D28DB34"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510,290</w:t>
            </w:r>
          </w:p>
        </w:tc>
        <w:tc>
          <w:tcPr>
            <w:tcW w:w="851" w:type="dxa"/>
            <w:hideMark/>
          </w:tcPr>
          <w:p w14:paraId="036E493D"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486,076</w:t>
            </w:r>
          </w:p>
        </w:tc>
        <w:tc>
          <w:tcPr>
            <w:tcW w:w="850" w:type="dxa"/>
            <w:hideMark/>
          </w:tcPr>
          <w:p w14:paraId="38FC597D"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504,163</w:t>
            </w:r>
          </w:p>
        </w:tc>
        <w:tc>
          <w:tcPr>
            <w:tcW w:w="1134" w:type="dxa"/>
            <w:hideMark/>
          </w:tcPr>
          <w:p w14:paraId="4401F052" w14:textId="77777777" w:rsidR="0047629C" w:rsidRPr="00BE6F83" w:rsidRDefault="0047629C" w:rsidP="0047629C">
            <w:pPr>
              <w:spacing w:line="360" w:lineRule="auto"/>
              <w:jc w:val="both"/>
              <w:rPr>
                <w:rFonts w:ascii="Arial" w:hAnsi="Arial" w:cs="Arial"/>
                <w:sz w:val="24"/>
                <w:szCs w:val="24"/>
                <w:lang w:val="en-US"/>
              </w:rPr>
            </w:pPr>
            <w:r w:rsidRPr="00BE6F83">
              <w:rPr>
                <w:rFonts w:ascii="Arial" w:hAnsi="Arial" w:cs="Arial"/>
                <w:sz w:val="24"/>
                <w:szCs w:val="24"/>
                <w:lang w:val="en-US"/>
              </w:rPr>
              <w:t>355,872</w:t>
            </w:r>
          </w:p>
        </w:tc>
        <w:tc>
          <w:tcPr>
            <w:tcW w:w="1134" w:type="dxa"/>
            <w:hideMark/>
          </w:tcPr>
          <w:p w14:paraId="196D4073" w14:textId="77777777" w:rsidR="0047629C" w:rsidRPr="00BE6F83" w:rsidRDefault="0047629C" w:rsidP="0047629C">
            <w:pPr>
              <w:spacing w:line="360" w:lineRule="auto"/>
              <w:jc w:val="both"/>
              <w:rPr>
                <w:rFonts w:ascii="Arial" w:hAnsi="Arial" w:cs="Arial"/>
                <w:sz w:val="24"/>
                <w:szCs w:val="24"/>
                <w:lang w:val="en-US"/>
              </w:rPr>
            </w:pPr>
            <w:r w:rsidRPr="00BE6F83">
              <w:rPr>
                <w:rFonts w:ascii="Arial" w:hAnsi="Arial" w:cs="Arial"/>
                <w:sz w:val="24"/>
                <w:szCs w:val="24"/>
                <w:lang w:val="en-US"/>
              </w:rPr>
              <w:t>323,354</w:t>
            </w:r>
          </w:p>
        </w:tc>
        <w:tc>
          <w:tcPr>
            <w:tcW w:w="2642" w:type="dxa"/>
            <w:hideMark/>
          </w:tcPr>
          <w:p w14:paraId="0F4E3A45" w14:textId="337757D9"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Decline in Scale:</w:t>
            </w:r>
            <w:r w:rsidRPr="0047629C">
              <w:rPr>
                <w:rFonts w:ascii="Arial" w:hAnsi="Arial" w:cs="Arial"/>
                <w:sz w:val="24"/>
                <w:szCs w:val="24"/>
                <w:lang w:val="en-US"/>
              </w:rPr>
              <w:t xml:space="preserve"> Assets shrank by 37</w:t>
            </w:r>
            <w:r w:rsidR="00C342CB">
              <w:rPr>
                <w:rFonts w:ascii="Arial" w:hAnsi="Arial" w:cs="Arial"/>
                <w:sz w:val="24"/>
                <w:szCs w:val="24"/>
                <w:lang w:val="en-US"/>
              </w:rPr>
              <w:t>%</w:t>
            </w:r>
            <w:r w:rsidRPr="0047629C">
              <w:rPr>
                <w:rFonts w:ascii="Arial" w:hAnsi="Arial" w:cs="Arial"/>
                <w:sz w:val="24"/>
                <w:szCs w:val="24"/>
                <w:lang w:val="en-US"/>
              </w:rPr>
              <w:t xml:space="preserve"> between 2022 and 2024, primarily due to the </w:t>
            </w:r>
            <w:r w:rsidRPr="0094062F">
              <w:rPr>
                <w:rFonts w:ascii="Arial" w:hAnsi="Arial" w:cs="Arial"/>
                <w:sz w:val="24"/>
                <w:szCs w:val="24"/>
                <w:lang w:val="en-US"/>
              </w:rPr>
              <w:t>Impairment of Goodwill</w:t>
            </w:r>
            <w:r w:rsidRPr="0047629C">
              <w:rPr>
                <w:rFonts w:ascii="Arial" w:hAnsi="Arial" w:cs="Arial"/>
                <w:sz w:val="24"/>
                <w:szCs w:val="24"/>
                <w:lang w:val="en-US"/>
              </w:rPr>
              <w:t xml:space="preserve"> £49,075m in 2023 and sales/write-downs of other assets.</w:t>
            </w:r>
          </w:p>
        </w:tc>
      </w:tr>
      <w:tr w:rsidR="0047629C" w:rsidRPr="0047629C" w14:paraId="22F2A8A4" w14:textId="77777777" w:rsidTr="0047629C">
        <w:tc>
          <w:tcPr>
            <w:tcW w:w="1413" w:type="dxa"/>
            <w:hideMark/>
          </w:tcPr>
          <w:p w14:paraId="6C0871D6"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Total Shareholders' Equity</w:t>
            </w:r>
          </w:p>
        </w:tc>
        <w:tc>
          <w:tcPr>
            <w:tcW w:w="992" w:type="dxa"/>
            <w:hideMark/>
          </w:tcPr>
          <w:p w14:paraId="1B03FDAE"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313,301</w:t>
            </w:r>
          </w:p>
        </w:tc>
        <w:tc>
          <w:tcPr>
            <w:tcW w:w="851" w:type="dxa"/>
            <w:hideMark/>
          </w:tcPr>
          <w:p w14:paraId="0327B516"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240,111</w:t>
            </w:r>
          </w:p>
        </w:tc>
        <w:tc>
          <w:tcPr>
            <w:tcW w:w="850" w:type="dxa"/>
            <w:hideMark/>
          </w:tcPr>
          <w:p w14:paraId="255ABB4D"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313,382</w:t>
            </w:r>
          </w:p>
        </w:tc>
        <w:tc>
          <w:tcPr>
            <w:tcW w:w="1134" w:type="dxa"/>
            <w:hideMark/>
          </w:tcPr>
          <w:p w14:paraId="24D03632" w14:textId="77777777" w:rsidR="0047629C" w:rsidRPr="00BE6F83" w:rsidRDefault="0047629C" w:rsidP="0047629C">
            <w:pPr>
              <w:spacing w:line="360" w:lineRule="auto"/>
              <w:jc w:val="both"/>
              <w:rPr>
                <w:rFonts w:ascii="Arial" w:hAnsi="Arial" w:cs="Arial"/>
                <w:sz w:val="24"/>
                <w:szCs w:val="24"/>
                <w:lang w:val="en-US"/>
              </w:rPr>
            </w:pPr>
            <w:r w:rsidRPr="00BE6F83">
              <w:rPr>
                <w:rFonts w:ascii="Arial" w:hAnsi="Arial" w:cs="Arial"/>
                <w:sz w:val="24"/>
                <w:szCs w:val="24"/>
                <w:lang w:val="en-US"/>
              </w:rPr>
              <w:t>163,506</w:t>
            </w:r>
          </w:p>
        </w:tc>
        <w:tc>
          <w:tcPr>
            <w:tcW w:w="1134" w:type="dxa"/>
            <w:hideMark/>
          </w:tcPr>
          <w:p w14:paraId="62BBCFA3" w14:textId="77777777" w:rsidR="0047629C" w:rsidRPr="00BE6F83" w:rsidRDefault="0047629C" w:rsidP="0047629C">
            <w:pPr>
              <w:spacing w:line="360" w:lineRule="auto"/>
              <w:jc w:val="both"/>
              <w:rPr>
                <w:rFonts w:ascii="Arial" w:hAnsi="Arial" w:cs="Arial"/>
                <w:sz w:val="24"/>
                <w:szCs w:val="24"/>
                <w:lang w:val="en-US"/>
              </w:rPr>
            </w:pPr>
            <w:r w:rsidRPr="00BE6F83">
              <w:rPr>
                <w:rFonts w:ascii="Arial" w:hAnsi="Arial" w:cs="Arial"/>
                <w:sz w:val="24"/>
                <w:szCs w:val="24"/>
                <w:lang w:val="en-US"/>
              </w:rPr>
              <w:t>153,105</w:t>
            </w:r>
          </w:p>
        </w:tc>
        <w:tc>
          <w:tcPr>
            <w:tcW w:w="2642" w:type="dxa"/>
            <w:hideMark/>
          </w:tcPr>
          <w:p w14:paraId="5A199840" w14:textId="1C5BBF50"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Erosion of Capital:</w:t>
            </w:r>
            <w:r w:rsidRPr="0047629C">
              <w:rPr>
                <w:rFonts w:ascii="Arial" w:hAnsi="Arial" w:cs="Arial"/>
                <w:sz w:val="24"/>
                <w:szCs w:val="24"/>
                <w:lang w:val="en-US"/>
              </w:rPr>
              <w:t xml:space="preserve"> Equity declined by over 51% since 2020. Accumulated losses are depleting the financial cushion against future insolvency.</w:t>
            </w:r>
          </w:p>
        </w:tc>
      </w:tr>
      <w:tr w:rsidR="0047629C" w:rsidRPr="0047629C" w14:paraId="25FB69CE" w14:textId="77777777" w:rsidTr="0047629C">
        <w:tc>
          <w:tcPr>
            <w:tcW w:w="1413" w:type="dxa"/>
            <w:hideMark/>
          </w:tcPr>
          <w:p w14:paraId="523C69CD"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lastRenderedPageBreak/>
              <w:t>Net Cash from Operating Activities (CFO)</w:t>
            </w:r>
          </w:p>
        </w:tc>
        <w:tc>
          <w:tcPr>
            <w:tcW w:w="992" w:type="dxa"/>
            <w:hideMark/>
          </w:tcPr>
          <w:p w14:paraId="72B3CF96"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73,392</w:t>
            </w:r>
          </w:p>
        </w:tc>
        <w:tc>
          <w:tcPr>
            <w:tcW w:w="851" w:type="dxa"/>
            <w:hideMark/>
          </w:tcPr>
          <w:p w14:paraId="772F9FD4"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40,283</w:t>
            </w:r>
          </w:p>
        </w:tc>
        <w:tc>
          <w:tcPr>
            <w:tcW w:w="850" w:type="dxa"/>
            <w:hideMark/>
          </w:tcPr>
          <w:p w14:paraId="79138F68"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10,926</w:t>
            </w:r>
          </w:p>
        </w:tc>
        <w:tc>
          <w:tcPr>
            <w:tcW w:w="1134" w:type="dxa"/>
            <w:hideMark/>
          </w:tcPr>
          <w:p w14:paraId="7E7191AC"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25,190</w:t>
            </w:r>
          </w:p>
        </w:tc>
        <w:tc>
          <w:tcPr>
            <w:tcW w:w="1134" w:type="dxa"/>
            <w:hideMark/>
          </w:tcPr>
          <w:p w14:paraId="65EE6E4A"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14,822</w:t>
            </w:r>
          </w:p>
        </w:tc>
        <w:tc>
          <w:tcPr>
            <w:tcW w:w="2642" w:type="dxa"/>
            <w:hideMark/>
          </w:tcPr>
          <w:p w14:paraId="070A0200" w14:textId="6E51A6E6"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CFO Volatility:</w:t>
            </w:r>
            <w:r w:rsidRPr="0047629C">
              <w:rPr>
                <w:rFonts w:ascii="Arial" w:hAnsi="Arial" w:cs="Arial"/>
                <w:sz w:val="24"/>
                <w:szCs w:val="24"/>
                <w:lang w:val="en-US"/>
              </w:rPr>
              <w:t xml:space="preserve"> CFO remains positive, notably higher than Net Income in 2023/2024 due to adding back non-cash charges like depreciation and impairment. However, {CFO} has </w:t>
            </w:r>
            <w:r w:rsidRPr="0094062F">
              <w:rPr>
                <w:rFonts w:ascii="Arial" w:hAnsi="Arial" w:cs="Arial"/>
                <w:sz w:val="24"/>
                <w:szCs w:val="24"/>
                <w:lang w:val="en-US"/>
              </w:rPr>
              <w:t>declined by 80%</w:t>
            </w:r>
            <w:r w:rsidRPr="0047629C">
              <w:rPr>
                <w:rFonts w:ascii="Arial" w:hAnsi="Arial" w:cs="Arial"/>
                <w:sz w:val="24"/>
                <w:szCs w:val="24"/>
                <w:lang w:val="en-US"/>
              </w:rPr>
              <w:t xml:space="preserve"> since 2020, indicating a massive loss of core cash-generating power.</w:t>
            </w:r>
          </w:p>
        </w:tc>
      </w:tr>
      <w:tr w:rsidR="0047629C" w:rsidRPr="0047629C" w14:paraId="212B920F" w14:textId="77777777" w:rsidTr="0047629C">
        <w:tc>
          <w:tcPr>
            <w:tcW w:w="1413" w:type="dxa"/>
            <w:hideMark/>
          </w:tcPr>
          <w:p w14:paraId="3916D954"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b/>
                <w:bCs/>
                <w:sz w:val="24"/>
                <w:szCs w:val="24"/>
                <w:lang w:val="en-US"/>
              </w:rPr>
              <w:t>Net Cash from Investing Activities (CFI)</w:t>
            </w:r>
          </w:p>
        </w:tc>
        <w:tc>
          <w:tcPr>
            <w:tcW w:w="992" w:type="dxa"/>
            <w:hideMark/>
          </w:tcPr>
          <w:p w14:paraId="3C9C4F05"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(23,734)</w:t>
            </w:r>
          </w:p>
        </w:tc>
        <w:tc>
          <w:tcPr>
            <w:tcW w:w="851" w:type="dxa"/>
            <w:hideMark/>
          </w:tcPr>
          <w:p w14:paraId="5390550C"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(17,041)</w:t>
            </w:r>
          </w:p>
        </w:tc>
        <w:tc>
          <w:tcPr>
            <w:tcW w:w="850" w:type="dxa"/>
            <w:hideMark/>
          </w:tcPr>
          <w:p w14:paraId="631B8C37"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(21,208)</w:t>
            </w:r>
          </w:p>
        </w:tc>
        <w:tc>
          <w:tcPr>
            <w:tcW w:w="1134" w:type="dxa"/>
            <w:hideMark/>
          </w:tcPr>
          <w:p w14:paraId="32DF1889"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(13,877)</w:t>
            </w:r>
          </w:p>
        </w:tc>
        <w:tc>
          <w:tcPr>
            <w:tcW w:w="1134" w:type="dxa"/>
            <w:hideMark/>
          </w:tcPr>
          <w:p w14:paraId="33BD1198" w14:textId="77777777" w:rsidR="0047629C" w:rsidRPr="0047629C" w:rsidRDefault="0047629C" w:rsidP="0047629C">
            <w:pPr>
              <w:spacing w:line="360" w:lineRule="auto"/>
              <w:jc w:val="both"/>
              <w:rPr>
                <w:rFonts w:ascii="Arial" w:hAnsi="Arial" w:cs="Arial"/>
                <w:sz w:val="24"/>
                <w:szCs w:val="24"/>
                <w:lang w:val="en-US"/>
              </w:rPr>
            </w:pPr>
            <w:r w:rsidRPr="0047629C">
              <w:rPr>
                <w:rFonts w:ascii="Arial" w:hAnsi="Arial" w:cs="Arial"/>
                <w:sz w:val="24"/>
                <w:szCs w:val="24"/>
                <w:lang w:val="en-US"/>
              </w:rPr>
              <w:t>(8,428)</w:t>
            </w:r>
          </w:p>
        </w:tc>
        <w:tc>
          <w:tcPr>
            <w:tcW w:w="2642" w:type="dxa"/>
            <w:hideMark/>
          </w:tcPr>
          <w:p w14:paraId="7758B52E" w14:textId="1ACF1CE1" w:rsidR="0047629C" w:rsidRPr="0047629C" w:rsidRDefault="0047629C" w:rsidP="00BE6F83">
            <w:pPr>
              <w:keepNext/>
              <w:spacing w:line="360" w:lineRule="auto"/>
              <w:jc w:val="both"/>
              <w:rPr>
                <w:rFonts w:ascii="Arial" w:hAnsi="Arial" w:cs="Arial"/>
                <w:sz w:val="24"/>
                <w:szCs w:val="24"/>
                <w:lang w:val="en-US"/>
              </w:rPr>
            </w:pPr>
            <w:r w:rsidRPr="0047629C">
              <w:rPr>
                <w:rFonts w:ascii="Arial" w:hAnsi="Arial" w:cs="Arial"/>
                <w:b/>
                <w:bCs/>
                <w:sz w:val="24"/>
                <w:szCs w:val="24"/>
                <w:lang w:val="en-US"/>
              </w:rPr>
              <w:t>Reduced Investment:</w:t>
            </w:r>
            <w:r w:rsidRPr="0047629C">
              <w:rPr>
                <w:rFonts w:ascii="Arial" w:hAnsi="Arial" w:cs="Arial"/>
                <w:sz w:val="24"/>
                <w:szCs w:val="24"/>
                <w:lang w:val="en-US"/>
              </w:rPr>
              <w:t xml:space="preserve"> Capital expenditure (Acquisition of PP&amp;E and Intangibles) has been sharply curtailed, falling by </w:t>
            </w:r>
            <m:oMath>
              <m:r>
                <w:rPr>
                  <w:rFonts w:ascii="Cambria Math" w:eastAsiaTheme="minorEastAsia" w:hAnsi="Cambria Math" w:cs="Arial"/>
                  <w:sz w:val="24"/>
                  <w:szCs w:val="24"/>
                  <w:lang w:val="en-US"/>
                </w:rPr>
                <m:t>≈</m:t>
              </m:r>
            </m:oMath>
            <w:r w:rsidR="00DC5F77">
              <w:rPr>
                <w:rFonts w:ascii="Arial" w:eastAsiaTheme="minorEastAsia" w:hAnsi="Arial" w:cs="Arial"/>
                <w:sz w:val="24"/>
                <w:szCs w:val="24"/>
                <w:lang w:val="en-US"/>
              </w:rPr>
              <w:t xml:space="preserve"> </w:t>
            </w:r>
            <w:r w:rsidRPr="0047629C">
              <w:rPr>
                <w:rFonts w:ascii="Arial" w:hAnsi="Arial" w:cs="Arial"/>
                <w:sz w:val="24"/>
                <w:szCs w:val="24"/>
                <w:lang w:val="en-US"/>
              </w:rPr>
              <w:t>64% since 2020. This indicates a cash conservation effort but sacrifices future growth.</w:t>
            </w:r>
          </w:p>
        </w:tc>
      </w:tr>
    </w:tbl>
    <w:p w14:paraId="2E4B1EDB" w14:textId="1CD73873" w:rsidR="003B1879" w:rsidRDefault="00BE6F83" w:rsidP="00BE6F83">
      <w:pPr>
        <w:pStyle w:val="Caption"/>
        <w:rPr>
          <w:rFonts w:ascii="Arial" w:hAnsi="Arial" w:cs="Arial"/>
          <w:sz w:val="24"/>
          <w:szCs w:val="24"/>
        </w:rPr>
      </w:pPr>
      <w:bookmarkStart w:id="3" w:name="_Toc214748979"/>
      <w:bookmarkStart w:id="4" w:name="_Toc214749056"/>
      <w:r>
        <w:t xml:space="preserve">Table </w:t>
      </w:r>
      <w:r>
        <w:fldChar w:fldCharType="begin"/>
      </w:r>
      <w:r>
        <w:instrText xml:space="preserve"> SEQ Table \* ARABIC </w:instrText>
      </w:r>
      <w:r>
        <w:fldChar w:fldCharType="separate"/>
      </w:r>
      <w:r w:rsidR="002D7440">
        <w:rPr>
          <w:noProof/>
        </w:rPr>
        <w:t>1</w:t>
      </w:r>
      <w:r>
        <w:fldChar w:fldCharType="end"/>
      </w:r>
      <w:r>
        <w:t xml:space="preserve">: </w:t>
      </w:r>
      <w:r w:rsidRPr="00DC02E2">
        <w:t>Financial Statements</w:t>
      </w:r>
      <w:bookmarkEnd w:id="3"/>
      <w:bookmarkEnd w:id="4"/>
    </w:p>
    <w:p w14:paraId="3127BCEA" w14:textId="77777777" w:rsidR="00C33465" w:rsidRDefault="00C33465">
      <w:pPr>
        <w:spacing w:after="160" w:line="278" w:lineRule="auto"/>
        <w:rPr>
          <w:rFonts w:ascii="Arial" w:hAnsi="Arial" w:cs="Arial"/>
          <w:b/>
          <w:bCs/>
          <w:sz w:val="24"/>
          <w:szCs w:val="24"/>
        </w:rPr>
      </w:pPr>
      <w:r>
        <w:rPr>
          <w:rFonts w:ascii="Arial" w:hAnsi="Arial" w:cs="Arial"/>
          <w:b/>
          <w:bCs/>
          <w:sz w:val="24"/>
          <w:szCs w:val="24"/>
        </w:rPr>
        <w:br w:type="page"/>
      </w:r>
    </w:p>
    <w:p w14:paraId="41A13E2F" w14:textId="41F6B919" w:rsidR="0047629C" w:rsidRPr="003B1879" w:rsidRDefault="003B1879" w:rsidP="00840E24">
      <w:pPr>
        <w:pStyle w:val="Heading2"/>
      </w:pPr>
      <w:bookmarkStart w:id="5" w:name="_Toc214748962"/>
      <w:r w:rsidRPr="003B1879">
        <w:lastRenderedPageBreak/>
        <w:t>B. Full Ratio Analysis</w:t>
      </w:r>
      <w:bookmarkEnd w:id="5"/>
    </w:p>
    <w:tbl>
      <w:tblPr>
        <w:tblStyle w:val="TableGrid"/>
        <w:tblW w:w="0" w:type="auto"/>
        <w:tblLayout w:type="fixed"/>
        <w:tblLook w:val="04A0" w:firstRow="1" w:lastRow="0" w:firstColumn="1" w:lastColumn="0" w:noHBand="0" w:noVBand="1"/>
      </w:tblPr>
      <w:tblGrid>
        <w:gridCol w:w="995"/>
        <w:gridCol w:w="1127"/>
        <w:gridCol w:w="2126"/>
        <w:gridCol w:w="850"/>
        <w:gridCol w:w="851"/>
        <w:gridCol w:w="850"/>
        <w:gridCol w:w="1134"/>
        <w:gridCol w:w="1083"/>
      </w:tblGrid>
      <w:tr w:rsidR="008F513D" w:rsidRPr="008F513D" w14:paraId="312A5957" w14:textId="77777777" w:rsidTr="009D5B6D">
        <w:tc>
          <w:tcPr>
            <w:tcW w:w="995" w:type="dxa"/>
            <w:hideMark/>
          </w:tcPr>
          <w:p w14:paraId="012A2612"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Ratio Category</w:t>
            </w:r>
          </w:p>
        </w:tc>
        <w:tc>
          <w:tcPr>
            <w:tcW w:w="1127" w:type="dxa"/>
            <w:hideMark/>
          </w:tcPr>
          <w:p w14:paraId="49033151"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Ratio Formula</w:t>
            </w:r>
          </w:p>
        </w:tc>
        <w:tc>
          <w:tcPr>
            <w:tcW w:w="2126" w:type="dxa"/>
            <w:hideMark/>
          </w:tcPr>
          <w:p w14:paraId="1A87D3C9" w14:textId="5864D809" w:rsidR="00C33465" w:rsidRPr="00C33465" w:rsidRDefault="00C33465" w:rsidP="00C33465">
            <w:pPr>
              <w:spacing w:line="360" w:lineRule="auto"/>
              <w:jc w:val="both"/>
              <w:rPr>
                <w:rFonts w:ascii="Arial" w:hAnsi="Arial" w:cs="Arial"/>
                <w:lang w:val="en-US"/>
              </w:rPr>
            </w:pPr>
          </w:p>
        </w:tc>
        <w:tc>
          <w:tcPr>
            <w:tcW w:w="850" w:type="dxa"/>
            <w:hideMark/>
          </w:tcPr>
          <w:p w14:paraId="67D47F6A" w14:textId="244448FE"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202</w:t>
            </w:r>
            <w:r w:rsidR="00857AE6">
              <w:rPr>
                <w:rFonts w:ascii="Arial" w:hAnsi="Arial" w:cs="Arial"/>
                <w:b/>
                <w:bCs/>
                <w:lang w:val="en-US"/>
              </w:rPr>
              <w:t>0</w:t>
            </w:r>
          </w:p>
        </w:tc>
        <w:tc>
          <w:tcPr>
            <w:tcW w:w="851" w:type="dxa"/>
            <w:hideMark/>
          </w:tcPr>
          <w:p w14:paraId="5E28E497" w14:textId="20DAF03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202</w:t>
            </w:r>
            <w:r w:rsidR="00857AE6">
              <w:rPr>
                <w:rFonts w:ascii="Arial" w:hAnsi="Arial" w:cs="Arial"/>
                <w:b/>
                <w:bCs/>
                <w:lang w:val="en-US"/>
              </w:rPr>
              <w:t>1</w:t>
            </w:r>
          </w:p>
        </w:tc>
        <w:tc>
          <w:tcPr>
            <w:tcW w:w="850" w:type="dxa"/>
            <w:hideMark/>
          </w:tcPr>
          <w:p w14:paraId="61D661F3" w14:textId="115EE016"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202</w:t>
            </w:r>
            <w:r w:rsidR="00857AE6">
              <w:rPr>
                <w:rFonts w:ascii="Arial" w:hAnsi="Arial" w:cs="Arial"/>
                <w:b/>
                <w:bCs/>
                <w:lang w:val="en-US"/>
              </w:rPr>
              <w:t>2</w:t>
            </w:r>
          </w:p>
        </w:tc>
        <w:tc>
          <w:tcPr>
            <w:tcW w:w="1134" w:type="dxa"/>
            <w:hideMark/>
          </w:tcPr>
          <w:p w14:paraId="78789319" w14:textId="1FF3C144"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202</w:t>
            </w:r>
            <w:r w:rsidR="00857AE6">
              <w:rPr>
                <w:rFonts w:ascii="Arial" w:hAnsi="Arial" w:cs="Arial"/>
                <w:b/>
                <w:bCs/>
                <w:lang w:val="en-US"/>
              </w:rPr>
              <w:t>3</w:t>
            </w:r>
          </w:p>
        </w:tc>
        <w:tc>
          <w:tcPr>
            <w:tcW w:w="1083" w:type="dxa"/>
            <w:hideMark/>
          </w:tcPr>
          <w:p w14:paraId="44B00E88" w14:textId="2FDD9B9F" w:rsidR="00C33465" w:rsidRPr="00C33465" w:rsidRDefault="00857AE6" w:rsidP="00C33465">
            <w:pPr>
              <w:spacing w:line="360" w:lineRule="auto"/>
              <w:jc w:val="both"/>
              <w:rPr>
                <w:rFonts w:ascii="Arial" w:hAnsi="Arial" w:cs="Arial"/>
                <w:lang w:val="en-US"/>
              </w:rPr>
            </w:pPr>
            <w:r>
              <w:rPr>
                <w:rFonts w:ascii="Arial" w:hAnsi="Arial" w:cs="Arial"/>
                <w:b/>
                <w:bCs/>
                <w:lang w:val="en-US"/>
              </w:rPr>
              <w:t>2024</w:t>
            </w:r>
          </w:p>
        </w:tc>
      </w:tr>
      <w:tr w:rsidR="008F513D" w:rsidRPr="008F513D" w14:paraId="64B4ABC8" w14:textId="77777777" w:rsidTr="009D5B6D">
        <w:tc>
          <w:tcPr>
            <w:tcW w:w="995" w:type="dxa"/>
            <w:hideMark/>
          </w:tcPr>
          <w:p w14:paraId="40B22197"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Profitability</w:t>
            </w:r>
          </w:p>
        </w:tc>
        <w:tc>
          <w:tcPr>
            <w:tcW w:w="1127" w:type="dxa"/>
            <w:hideMark/>
          </w:tcPr>
          <w:p w14:paraId="0CBF8689"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Return on Assets (ROA)</w:t>
            </w:r>
          </w:p>
        </w:tc>
        <w:tc>
          <w:tcPr>
            <w:tcW w:w="2126" w:type="dxa"/>
            <w:hideMark/>
          </w:tcPr>
          <w:p w14:paraId="2A98DFBB" w14:textId="155CC3F3"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Net Income</m:t>
                    </m:r>
                  </m:num>
                  <m:den>
                    <m:r>
                      <m:rPr>
                        <m:sty m:val="p"/>
                      </m:rPr>
                      <w:rPr>
                        <w:rFonts w:ascii="Cambria Math" w:hAnsi="Cambria Math" w:cs="Arial"/>
                        <w:lang w:val="en-US"/>
                      </w:rPr>
                      <m:t>Total Assets</m:t>
                    </m:r>
                  </m:den>
                </m:f>
              </m:oMath>
            </m:oMathPara>
          </w:p>
        </w:tc>
        <w:tc>
          <w:tcPr>
            <w:tcW w:w="850" w:type="dxa"/>
            <w:hideMark/>
          </w:tcPr>
          <w:p w14:paraId="45CBD7FC" w14:textId="184812E3" w:rsidR="00C33465" w:rsidRPr="00C33465" w:rsidRDefault="00C33465" w:rsidP="00C33465">
            <w:pPr>
              <w:spacing w:line="360" w:lineRule="auto"/>
              <w:jc w:val="both"/>
              <w:rPr>
                <w:rFonts w:ascii="Arial" w:hAnsi="Arial" w:cs="Arial"/>
                <w:lang w:val="en-US"/>
              </w:rPr>
            </w:pPr>
            <w:r w:rsidRPr="00C33465">
              <w:rPr>
                <w:rFonts w:ascii="Arial" w:hAnsi="Arial" w:cs="Arial"/>
                <w:lang w:val="en-US"/>
              </w:rPr>
              <w:t>7.56%</w:t>
            </w:r>
          </w:p>
        </w:tc>
        <w:tc>
          <w:tcPr>
            <w:tcW w:w="851" w:type="dxa"/>
            <w:hideMark/>
          </w:tcPr>
          <w:p w14:paraId="3829AA3A" w14:textId="3D21E542"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1.09%</w:t>
            </w:r>
          </w:p>
        </w:tc>
        <w:tc>
          <w:tcPr>
            <w:tcW w:w="850" w:type="dxa"/>
            <w:hideMark/>
          </w:tcPr>
          <w:p w14:paraId="31743815" w14:textId="3CCC203F"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0.08%</w:t>
            </w:r>
          </w:p>
        </w:tc>
        <w:tc>
          <w:tcPr>
            <w:tcW w:w="1134" w:type="dxa"/>
            <w:hideMark/>
          </w:tcPr>
          <w:p w14:paraId="52983C45" w14:textId="33AF5B0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-27.61%</w:t>
            </w:r>
          </w:p>
        </w:tc>
        <w:tc>
          <w:tcPr>
            <w:tcW w:w="1083" w:type="dxa"/>
            <w:hideMark/>
          </w:tcPr>
          <w:p w14:paraId="354CF736" w14:textId="6726EB24" w:rsidR="00C33465" w:rsidRPr="00C33465" w:rsidRDefault="00C33465" w:rsidP="00C33465">
            <w:pPr>
              <w:spacing w:line="360" w:lineRule="auto"/>
              <w:jc w:val="both"/>
              <w:rPr>
                <w:rFonts w:ascii="Arial" w:hAnsi="Arial" w:cs="Arial"/>
                <w:lang w:val="en-US"/>
              </w:rPr>
            </w:pPr>
            <w:r w:rsidRPr="00C33465">
              <w:rPr>
                <w:rFonts w:ascii="Arial" w:hAnsi="Arial" w:cs="Arial"/>
                <w:lang w:val="en-US"/>
              </w:rPr>
              <w:t>-7.43%</w:t>
            </w:r>
          </w:p>
        </w:tc>
      </w:tr>
      <w:tr w:rsidR="008F513D" w:rsidRPr="008F513D" w14:paraId="050BE52D" w14:textId="77777777" w:rsidTr="009D5B6D">
        <w:tc>
          <w:tcPr>
            <w:tcW w:w="995" w:type="dxa"/>
            <w:hideMark/>
          </w:tcPr>
          <w:p w14:paraId="022EF758" w14:textId="77777777" w:rsidR="00C33465" w:rsidRPr="00C33465" w:rsidRDefault="00C33465" w:rsidP="00C33465">
            <w:pPr>
              <w:spacing w:line="360" w:lineRule="auto"/>
              <w:jc w:val="both"/>
              <w:rPr>
                <w:rFonts w:ascii="Arial" w:hAnsi="Arial" w:cs="Arial"/>
                <w:lang w:val="en-US"/>
              </w:rPr>
            </w:pPr>
          </w:p>
        </w:tc>
        <w:tc>
          <w:tcPr>
            <w:tcW w:w="1127" w:type="dxa"/>
            <w:hideMark/>
          </w:tcPr>
          <w:p w14:paraId="5ED39CB8"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Return on Equity (ROE)</w:t>
            </w:r>
          </w:p>
        </w:tc>
        <w:tc>
          <w:tcPr>
            <w:tcW w:w="2126" w:type="dxa"/>
            <w:hideMark/>
          </w:tcPr>
          <w:p w14:paraId="7730300F" w14:textId="44786888"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Net Income</m:t>
                    </m:r>
                  </m:num>
                  <m:den>
                    <m:r>
                      <m:rPr>
                        <m:sty m:val="p"/>
                      </m:rPr>
                      <w:rPr>
                        <w:rFonts w:ascii="Cambria Math" w:hAnsi="Cambria Math" w:cs="Arial"/>
                        <w:lang w:val="en-US"/>
                      </w:rPr>
                      <m:t>Total Equity</m:t>
                    </m:r>
                  </m:den>
                </m:f>
              </m:oMath>
            </m:oMathPara>
          </w:p>
        </w:tc>
        <w:tc>
          <w:tcPr>
            <w:tcW w:w="850" w:type="dxa"/>
            <w:hideMark/>
          </w:tcPr>
          <w:p w14:paraId="0EB0B1E7" w14:textId="239B2E2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12.31%</w:t>
            </w:r>
          </w:p>
        </w:tc>
        <w:tc>
          <w:tcPr>
            <w:tcW w:w="851" w:type="dxa"/>
            <w:hideMark/>
          </w:tcPr>
          <w:p w14:paraId="2BA5A789" w14:textId="037DE4EB" w:rsidR="00C33465" w:rsidRPr="00C33465" w:rsidRDefault="00C33465" w:rsidP="00C33465">
            <w:pPr>
              <w:spacing w:line="360" w:lineRule="auto"/>
              <w:jc w:val="both"/>
              <w:rPr>
                <w:rFonts w:ascii="Arial" w:hAnsi="Arial" w:cs="Arial"/>
                <w:lang w:val="en-US"/>
              </w:rPr>
            </w:pPr>
            <w:r w:rsidRPr="00C33465">
              <w:rPr>
                <w:rFonts w:ascii="Arial" w:hAnsi="Arial" w:cs="Arial"/>
                <w:lang w:val="en-US"/>
              </w:rPr>
              <w:t>2.21%</w:t>
            </w:r>
          </w:p>
        </w:tc>
        <w:tc>
          <w:tcPr>
            <w:tcW w:w="850" w:type="dxa"/>
            <w:hideMark/>
          </w:tcPr>
          <w:p w14:paraId="0D190A97" w14:textId="6B82A39E"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0.13%</w:t>
            </w:r>
          </w:p>
        </w:tc>
        <w:tc>
          <w:tcPr>
            <w:tcW w:w="1134" w:type="dxa"/>
            <w:hideMark/>
          </w:tcPr>
          <w:p w14:paraId="14B7F1D7" w14:textId="3358C6E0" w:rsidR="00C33465" w:rsidRPr="00C33465" w:rsidRDefault="003E4B91" w:rsidP="00C33465">
            <w:pPr>
              <w:spacing w:line="360" w:lineRule="auto"/>
              <w:jc w:val="both"/>
              <w:rPr>
                <w:rFonts w:ascii="Arial" w:hAnsi="Arial" w:cs="Arial"/>
                <w:lang w:val="en-US"/>
              </w:rPr>
            </w:pPr>
            <w:r>
              <w:rPr>
                <w:rFonts w:ascii="Arial" w:hAnsi="Arial" w:cs="Arial"/>
                <w:lang w:val="en-US"/>
              </w:rPr>
              <w:t>-</w:t>
            </w:r>
            <w:r w:rsidR="00C33465" w:rsidRPr="00C33465">
              <w:rPr>
                <w:rFonts w:ascii="Arial" w:hAnsi="Arial" w:cs="Arial"/>
                <w:lang w:val="en-US"/>
              </w:rPr>
              <w:t>60.08%</w:t>
            </w:r>
          </w:p>
        </w:tc>
        <w:tc>
          <w:tcPr>
            <w:tcW w:w="1083" w:type="dxa"/>
            <w:hideMark/>
          </w:tcPr>
          <w:p w14:paraId="6FC5744F" w14:textId="19A856F8"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-15.69%</w:t>
            </w:r>
          </w:p>
        </w:tc>
      </w:tr>
      <w:tr w:rsidR="008F513D" w:rsidRPr="008F513D" w14:paraId="67E3864D" w14:textId="77777777" w:rsidTr="009D5B6D">
        <w:tc>
          <w:tcPr>
            <w:tcW w:w="995" w:type="dxa"/>
            <w:hideMark/>
          </w:tcPr>
          <w:p w14:paraId="3463A72C"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Liquidity</w:t>
            </w:r>
          </w:p>
        </w:tc>
        <w:tc>
          <w:tcPr>
            <w:tcW w:w="1127" w:type="dxa"/>
            <w:hideMark/>
          </w:tcPr>
          <w:p w14:paraId="6E1102D2"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Current Ratio</w:t>
            </w:r>
          </w:p>
        </w:tc>
        <w:tc>
          <w:tcPr>
            <w:tcW w:w="2126" w:type="dxa"/>
            <w:hideMark/>
          </w:tcPr>
          <w:p w14:paraId="1DA62934" w14:textId="7141FBB8"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Current Assets</m:t>
                    </m:r>
                  </m:num>
                  <m:den>
                    <m:r>
                      <m:rPr>
                        <m:sty m:val="p"/>
                      </m:rPr>
                      <w:rPr>
                        <w:rFonts w:ascii="Cambria Math" w:hAnsi="Cambria Math" w:cs="Arial"/>
                        <w:lang w:val="en-US"/>
                      </w:rPr>
                      <m:t>Current Liabilities</m:t>
                    </m:r>
                  </m:den>
                </m:f>
              </m:oMath>
            </m:oMathPara>
          </w:p>
        </w:tc>
        <w:tc>
          <w:tcPr>
            <w:tcW w:w="850" w:type="dxa"/>
            <w:hideMark/>
          </w:tcPr>
          <w:p w14:paraId="0A876D8F"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1.87</w:t>
            </w:r>
          </w:p>
        </w:tc>
        <w:tc>
          <w:tcPr>
            <w:tcW w:w="851" w:type="dxa"/>
            <w:hideMark/>
          </w:tcPr>
          <w:p w14:paraId="0882CD3C"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1.70</w:t>
            </w:r>
          </w:p>
        </w:tc>
        <w:tc>
          <w:tcPr>
            <w:tcW w:w="850" w:type="dxa"/>
            <w:hideMark/>
          </w:tcPr>
          <w:p w14:paraId="1D0838D0"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1.76</w:t>
            </w:r>
          </w:p>
        </w:tc>
        <w:tc>
          <w:tcPr>
            <w:tcW w:w="1134" w:type="dxa"/>
            <w:hideMark/>
          </w:tcPr>
          <w:p w14:paraId="5F783803"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1.53</w:t>
            </w:r>
          </w:p>
        </w:tc>
        <w:tc>
          <w:tcPr>
            <w:tcW w:w="1083" w:type="dxa"/>
            <w:hideMark/>
          </w:tcPr>
          <w:p w14:paraId="2209AAA0"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1.53</w:t>
            </w:r>
          </w:p>
        </w:tc>
      </w:tr>
      <w:tr w:rsidR="008F513D" w:rsidRPr="008F513D" w14:paraId="30009720" w14:textId="77777777" w:rsidTr="009D5B6D">
        <w:tc>
          <w:tcPr>
            <w:tcW w:w="995" w:type="dxa"/>
            <w:hideMark/>
          </w:tcPr>
          <w:p w14:paraId="1EA4316F" w14:textId="77777777" w:rsidR="00C33465" w:rsidRPr="00C33465" w:rsidRDefault="00C33465" w:rsidP="00C33465">
            <w:pPr>
              <w:spacing w:line="360" w:lineRule="auto"/>
              <w:jc w:val="both"/>
              <w:rPr>
                <w:rFonts w:ascii="Arial" w:hAnsi="Arial" w:cs="Arial"/>
                <w:lang w:val="en-US"/>
              </w:rPr>
            </w:pPr>
          </w:p>
        </w:tc>
        <w:tc>
          <w:tcPr>
            <w:tcW w:w="1127" w:type="dxa"/>
            <w:hideMark/>
          </w:tcPr>
          <w:p w14:paraId="1C0933A9"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Quick Ratio (Acid-Test)</w:t>
            </w:r>
          </w:p>
        </w:tc>
        <w:tc>
          <w:tcPr>
            <w:tcW w:w="2126" w:type="dxa"/>
            <w:hideMark/>
          </w:tcPr>
          <w:p w14:paraId="280FA70C" w14:textId="4E3413EB"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sz w:val="10"/>
                        <w:szCs w:val="10"/>
                        <w:lang w:val="en-US"/>
                      </w:rPr>
                    </m:ctrlPr>
                  </m:fPr>
                  <m:num>
                    <m:r>
                      <m:rPr>
                        <m:sty m:val="p"/>
                      </m:rPr>
                      <w:rPr>
                        <w:rFonts w:ascii="Cambria Math" w:hAnsi="Cambria Math" w:cs="Arial"/>
                        <w:sz w:val="10"/>
                        <w:szCs w:val="10"/>
                        <w:lang w:val="en-US"/>
                      </w:rPr>
                      <m:t>CurreCurrent Assets - Inventoriesnt Assets</m:t>
                    </m:r>
                  </m:num>
                  <m:den>
                    <m:r>
                      <m:rPr>
                        <m:sty m:val="p"/>
                      </m:rPr>
                      <w:rPr>
                        <w:rFonts w:ascii="Cambria Math" w:hAnsi="Cambria Math" w:cs="Arial"/>
                        <w:sz w:val="10"/>
                        <w:szCs w:val="10"/>
                        <w:lang w:val="en-US"/>
                      </w:rPr>
                      <m:t>Current Liabilities</m:t>
                    </m:r>
                  </m:den>
                </m:f>
              </m:oMath>
            </m:oMathPara>
          </w:p>
        </w:tc>
        <w:tc>
          <w:tcPr>
            <w:tcW w:w="850" w:type="dxa"/>
            <w:hideMark/>
          </w:tcPr>
          <w:p w14:paraId="7B884A3A"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1.25</w:t>
            </w:r>
          </w:p>
        </w:tc>
        <w:tc>
          <w:tcPr>
            <w:tcW w:w="851" w:type="dxa"/>
            <w:hideMark/>
          </w:tcPr>
          <w:p w14:paraId="36948F3A"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1.05</w:t>
            </w:r>
          </w:p>
        </w:tc>
        <w:tc>
          <w:tcPr>
            <w:tcW w:w="850" w:type="dxa"/>
            <w:hideMark/>
          </w:tcPr>
          <w:p w14:paraId="7C477D28"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0.93</w:t>
            </w:r>
          </w:p>
        </w:tc>
        <w:tc>
          <w:tcPr>
            <w:tcW w:w="1134" w:type="dxa"/>
            <w:hideMark/>
          </w:tcPr>
          <w:p w14:paraId="5D99669C"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0.77</w:t>
            </w:r>
          </w:p>
        </w:tc>
        <w:tc>
          <w:tcPr>
            <w:tcW w:w="1083" w:type="dxa"/>
            <w:hideMark/>
          </w:tcPr>
          <w:p w14:paraId="61024AE8"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0.87</w:t>
            </w:r>
          </w:p>
        </w:tc>
      </w:tr>
      <w:tr w:rsidR="008F513D" w:rsidRPr="008F513D" w14:paraId="5C2D3BDB" w14:textId="77777777" w:rsidTr="009D5B6D">
        <w:tc>
          <w:tcPr>
            <w:tcW w:w="995" w:type="dxa"/>
            <w:hideMark/>
          </w:tcPr>
          <w:p w14:paraId="21B26F3C"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Efficiency</w:t>
            </w:r>
          </w:p>
        </w:tc>
        <w:tc>
          <w:tcPr>
            <w:tcW w:w="1127" w:type="dxa"/>
            <w:hideMark/>
          </w:tcPr>
          <w:p w14:paraId="556204A5"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Inventory Turnover</w:t>
            </w:r>
          </w:p>
        </w:tc>
        <w:tc>
          <w:tcPr>
            <w:tcW w:w="2126" w:type="dxa"/>
            <w:hideMark/>
          </w:tcPr>
          <w:p w14:paraId="2C592275" w14:textId="04744726"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Cost of Sales</m:t>
                    </m:r>
                  </m:num>
                  <m:den>
                    <m:r>
                      <m:rPr>
                        <m:sty m:val="p"/>
                      </m:rPr>
                      <w:rPr>
                        <w:rFonts w:ascii="Cambria Math" w:hAnsi="Cambria Math" w:cs="Arial"/>
                        <w:lang w:val="en-US"/>
                      </w:rPr>
                      <m:t>Inventories</m:t>
                    </m:r>
                  </m:den>
                </m:f>
              </m:oMath>
            </m:oMathPara>
          </w:p>
        </w:tc>
        <w:tc>
          <w:tcPr>
            <w:tcW w:w="850" w:type="dxa"/>
            <w:hideMark/>
          </w:tcPr>
          <w:p w14:paraId="728BA749"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851" w:type="dxa"/>
            <w:hideMark/>
          </w:tcPr>
          <w:p w14:paraId="729D91FA"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850" w:type="dxa"/>
            <w:hideMark/>
          </w:tcPr>
          <w:p w14:paraId="21F62AC5"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1134" w:type="dxa"/>
            <w:hideMark/>
          </w:tcPr>
          <w:p w14:paraId="7BD38049"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1083" w:type="dxa"/>
            <w:hideMark/>
          </w:tcPr>
          <w:p w14:paraId="7BED5D9D"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r>
      <w:tr w:rsidR="008F513D" w:rsidRPr="008F513D" w14:paraId="4F61AF26" w14:textId="77777777" w:rsidTr="009D5B6D">
        <w:tc>
          <w:tcPr>
            <w:tcW w:w="995" w:type="dxa"/>
            <w:hideMark/>
          </w:tcPr>
          <w:p w14:paraId="4E5E2915" w14:textId="77777777" w:rsidR="00C33465" w:rsidRPr="00C33465" w:rsidRDefault="00C33465" w:rsidP="00C33465">
            <w:pPr>
              <w:spacing w:line="360" w:lineRule="auto"/>
              <w:jc w:val="both"/>
              <w:rPr>
                <w:rFonts w:ascii="Arial" w:hAnsi="Arial" w:cs="Arial"/>
                <w:lang w:val="en-US"/>
              </w:rPr>
            </w:pPr>
          </w:p>
        </w:tc>
        <w:tc>
          <w:tcPr>
            <w:tcW w:w="1127" w:type="dxa"/>
            <w:hideMark/>
          </w:tcPr>
          <w:p w14:paraId="0D5AF362"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Asset Turnover</w:t>
            </w:r>
          </w:p>
        </w:tc>
        <w:tc>
          <w:tcPr>
            <w:tcW w:w="2126" w:type="dxa"/>
            <w:hideMark/>
          </w:tcPr>
          <w:p w14:paraId="7537A787" w14:textId="673B45A2"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Revenue</m:t>
                    </m:r>
                  </m:num>
                  <m:den>
                    <m:r>
                      <m:rPr>
                        <m:sty m:val="p"/>
                      </m:rPr>
                      <w:rPr>
                        <w:rFonts w:ascii="Cambria Math" w:hAnsi="Cambria Math" w:cs="Arial"/>
                        <w:lang w:val="en-US"/>
                      </w:rPr>
                      <m:t>Total Assets</m:t>
                    </m:r>
                  </m:den>
                </m:f>
              </m:oMath>
            </m:oMathPara>
          </w:p>
        </w:tc>
        <w:tc>
          <w:tcPr>
            <w:tcW w:w="850" w:type="dxa"/>
            <w:hideMark/>
          </w:tcPr>
          <w:p w14:paraId="7322D755"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851" w:type="dxa"/>
            <w:hideMark/>
          </w:tcPr>
          <w:p w14:paraId="1AABCA4C"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850" w:type="dxa"/>
            <w:hideMark/>
          </w:tcPr>
          <w:p w14:paraId="4B7C872C"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1134" w:type="dxa"/>
            <w:hideMark/>
          </w:tcPr>
          <w:p w14:paraId="035A7A5B"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1083" w:type="dxa"/>
            <w:hideMark/>
          </w:tcPr>
          <w:p w14:paraId="4114A098"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r>
      <w:tr w:rsidR="008F513D" w:rsidRPr="008F513D" w14:paraId="56BA67E8" w14:textId="77777777" w:rsidTr="009D5B6D">
        <w:tc>
          <w:tcPr>
            <w:tcW w:w="995" w:type="dxa"/>
            <w:hideMark/>
          </w:tcPr>
          <w:p w14:paraId="71892D07"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Gearing</w:t>
            </w:r>
          </w:p>
        </w:tc>
        <w:tc>
          <w:tcPr>
            <w:tcW w:w="1127" w:type="dxa"/>
            <w:hideMark/>
          </w:tcPr>
          <w:p w14:paraId="369158C9"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Debt-to-Equity Ratio (D/E)</w:t>
            </w:r>
          </w:p>
        </w:tc>
        <w:tc>
          <w:tcPr>
            <w:tcW w:w="2126" w:type="dxa"/>
            <w:hideMark/>
          </w:tcPr>
          <w:p w14:paraId="0107D896" w14:textId="1AB8C76F"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Total Liabilities</m:t>
                    </m:r>
                  </m:num>
                  <m:den>
                    <m:r>
                      <m:rPr>
                        <m:sty m:val="p"/>
                      </m:rPr>
                      <w:rPr>
                        <w:rFonts w:ascii="Cambria Math" w:hAnsi="Cambria Math" w:cs="Arial"/>
                        <w:lang w:val="en-US"/>
                      </w:rPr>
                      <m:t>Total Equity</m:t>
                    </m:r>
                  </m:den>
                </m:f>
              </m:oMath>
            </m:oMathPara>
          </w:p>
        </w:tc>
        <w:tc>
          <w:tcPr>
            <w:tcW w:w="850" w:type="dxa"/>
            <w:hideMark/>
          </w:tcPr>
          <w:p w14:paraId="250CA37F"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0.63</w:t>
            </w:r>
          </w:p>
        </w:tc>
        <w:tc>
          <w:tcPr>
            <w:tcW w:w="851" w:type="dxa"/>
            <w:hideMark/>
          </w:tcPr>
          <w:p w14:paraId="70E91108"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1.02</w:t>
            </w:r>
          </w:p>
        </w:tc>
        <w:tc>
          <w:tcPr>
            <w:tcW w:w="850" w:type="dxa"/>
            <w:hideMark/>
          </w:tcPr>
          <w:p w14:paraId="383F59B4"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0.61</w:t>
            </w:r>
          </w:p>
        </w:tc>
        <w:tc>
          <w:tcPr>
            <w:tcW w:w="1134" w:type="dxa"/>
            <w:hideMark/>
          </w:tcPr>
          <w:p w14:paraId="71611EF0"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1.17</w:t>
            </w:r>
          </w:p>
        </w:tc>
        <w:tc>
          <w:tcPr>
            <w:tcW w:w="1083" w:type="dxa"/>
            <w:hideMark/>
          </w:tcPr>
          <w:p w14:paraId="35ECC125"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1.11</w:t>
            </w:r>
          </w:p>
        </w:tc>
      </w:tr>
      <w:tr w:rsidR="008F513D" w:rsidRPr="008F513D" w14:paraId="540A6D52" w14:textId="77777777" w:rsidTr="009D5B6D">
        <w:tc>
          <w:tcPr>
            <w:tcW w:w="995" w:type="dxa"/>
            <w:hideMark/>
          </w:tcPr>
          <w:p w14:paraId="4831035A" w14:textId="77777777" w:rsidR="00C33465" w:rsidRPr="00C33465" w:rsidRDefault="00C33465" w:rsidP="00C33465">
            <w:pPr>
              <w:spacing w:line="360" w:lineRule="auto"/>
              <w:jc w:val="both"/>
              <w:rPr>
                <w:rFonts w:ascii="Arial" w:hAnsi="Arial" w:cs="Arial"/>
                <w:lang w:val="en-US"/>
              </w:rPr>
            </w:pPr>
          </w:p>
        </w:tc>
        <w:tc>
          <w:tcPr>
            <w:tcW w:w="1127" w:type="dxa"/>
            <w:hideMark/>
          </w:tcPr>
          <w:p w14:paraId="1B5A65E5"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Interest Coverage</w:t>
            </w:r>
          </w:p>
        </w:tc>
        <w:tc>
          <w:tcPr>
            <w:tcW w:w="2126" w:type="dxa"/>
            <w:hideMark/>
          </w:tcPr>
          <w:p w14:paraId="7603BFA1" w14:textId="3B55108C"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EBIT</m:t>
                    </m:r>
                  </m:num>
                  <m:den>
                    <m:r>
                      <m:rPr>
                        <m:sty m:val="p"/>
                      </m:rPr>
                      <w:rPr>
                        <w:rFonts w:ascii="Cambria Math" w:hAnsi="Cambria Math" w:cs="Arial"/>
                        <w:lang w:val="en-US"/>
                      </w:rPr>
                      <m:t>Interest Expense</m:t>
                    </m:r>
                  </m:den>
                </m:f>
              </m:oMath>
            </m:oMathPara>
          </w:p>
        </w:tc>
        <w:tc>
          <w:tcPr>
            <w:tcW w:w="850" w:type="dxa"/>
            <w:hideMark/>
          </w:tcPr>
          <w:p w14:paraId="08DB8199"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851" w:type="dxa"/>
            <w:hideMark/>
          </w:tcPr>
          <w:p w14:paraId="680772AB"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850" w:type="dxa"/>
            <w:hideMark/>
          </w:tcPr>
          <w:p w14:paraId="00C6EAC8"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1134" w:type="dxa"/>
            <w:hideMark/>
          </w:tcPr>
          <w:p w14:paraId="6A29BA45"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c>
          <w:tcPr>
            <w:tcW w:w="1083" w:type="dxa"/>
            <w:hideMark/>
          </w:tcPr>
          <w:p w14:paraId="5DDBCB13"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N/A</w:t>
            </w:r>
          </w:p>
        </w:tc>
      </w:tr>
      <w:tr w:rsidR="008F513D" w:rsidRPr="008F513D" w14:paraId="26C56E59" w14:textId="77777777" w:rsidTr="009D5B6D">
        <w:tc>
          <w:tcPr>
            <w:tcW w:w="995" w:type="dxa"/>
            <w:hideMark/>
          </w:tcPr>
          <w:p w14:paraId="2F10BF54" w14:textId="77777777" w:rsidR="00C33465" w:rsidRPr="00C33465" w:rsidRDefault="00C33465" w:rsidP="00C33465">
            <w:pPr>
              <w:spacing w:line="360" w:lineRule="auto"/>
              <w:jc w:val="both"/>
              <w:rPr>
                <w:rFonts w:ascii="Arial" w:hAnsi="Arial" w:cs="Arial"/>
                <w:lang w:val="en-US"/>
              </w:rPr>
            </w:pPr>
            <w:r w:rsidRPr="00C33465">
              <w:rPr>
                <w:rFonts w:ascii="Arial" w:hAnsi="Arial" w:cs="Arial"/>
                <w:b/>
                <w:bCs/>
                <w:lang w:val="en-US"/>
              </w:rPr>
              <w:t>Cash Flow</w:t>
            </w:r>
          </w:p>
        </w:tc>
        <w:tc>
          <w:tcPr>
            <w:tcW w:w="1127" w:type="dxa"/>
            <w:hideMark/>
          </w:tcPr>
          <w:p w14:paraId="3088B981"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 xml:space="preserve">Operating Cash </w:t>
            </w:r>
            <w:r w:rsidRPr="00C33465">
              <w:rPr>
                <w:rFonts w:ascii="Arial" w:hAnsi="Arial" w:cs="Arial"/>
                <w:lang w:val="en-US"/>
              </w:rPr>
              <w:lastRenderedPageBreak/>
              <w:t>Flow Ratio</w:t>
            </w:r>
          </w:p>
        </w:tc>
        <w:tc>
          <w:tcPr>
            <w:tcW w:w="2126" w:type="dxa"/>
            <w:hideMark/>
          </w:tcPr>
          <w:p w14:paraId="0841685A" w14:textId="51F7B6C3"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CFO</m:t>
                    </m:r>
                  </m:num>
                  <m:den>
                    <m:r>
                      <m:rPr>
                        <m:sty m:val="p"/>
                      </m:rPr>
                      <w:rPr>
                        <w:rFonts w:ascii="Cambria Math" w:hAnsi="Cambria Math" w:cs="Arial"/>
                        <w:lang w:val="en-US"/>
                      </w:rPr>
                      <m:t>Total Liabilities</m:t>
                    </m:r>
                  </m:den>
                </m:f>
              </m:oMath>
            </m:oMathPara>
          </w:p>
        </w:tc>
        <w:tc>
          <w:tcPr>
            <w:tcW w:w="850" w:type="dxa"/>
            <w:hideMark/>
          </w:tcPr>
          <w:p w14:paraId="504CFA0B" w14:textId="14EC08AE"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14.39%</w:t>
            </w:r>
          </w:p>
        </w:tc>
        <w:tc>
          <w:tcPr>
            <w:tcW w:w="851" w:type="dxa"/>
            <w:hideMark/>
          </w:tcPr>
          <w:p w14:paraId="34215E6D" w14:textId="30F4CB7B" w:rsidR="00C33465" w:rsidRPr="00C33465" w:rsidRDefault="00C33465" w:rsidP="00C33465">
            <w:pPr>
              <w:spacing w:line="360" w:lineRule="auto"/>
              <w:jc w:val="both"/>
              <w:rPr>
                <w:rFonts w:ascii="Arial" w:hAnsi="Arial" w:cs="Arial"/>
                <w:lang w:val="en-US"/>
              </w:rPr>
            </w:pPr>
            <w:r w:rsidRPr="00C33465">
              <w:rPr>
                <w:rFonts w:ascii="Arial" w:hAnsi="Arial" w:cs="Arial"/>
                <w:lang w:val="en-US"/>
              </w:rPr>
              <w:t>8.29%</w:t>
            </w:r>
          </w:p>
        </w:tc>
        <w:tc>
          <w:tcPr>
            <w:tcW w:w="850" w:type="dxa"/>
            <w:hideMark/>
          </w:tcPr>
          <w:p w14:paraId="7F303AAF" w14:textId="6895CE25" w:rsidR="00C33465" w:rsidRPr="00C33465" w:rsidRDefault="00C33465" w:rsidP="00C33465">
            <w:pPr>
              <w:spacing w:line="360" w:lineRule="auto"/>
              <w:jc w:val="both"/>
              <w:rPr>
                <w:rFonts w:ascii="Arial" w:hAnsi="Arial" w:cs="Arial"/>
                <w:lang w:val="en-US"/>
              </w:rPr>
            </w:pPr>
            <w:r w:rsidRPr="00C33465">
              <w:rPr>
                <w:rFonts w:ascii="Arial" w:hAnsi="Arial" w:cs="Arial"/>
                <w:lang w:val="en-US"/>
              </w:rPr>
              <w:t>2.11%</w:t>
            </w:r>
          </w:p>
        </w:tc>
        <w:tc>
          <w:tcPr>
            <w:tcW w:w="1134" w:type="dxa"/>
            <w:hideMark/>
          </w:tcPr>
          <w:p w14:paraId="78484987" w14:textId="7C5102AD" w:rsidR="00C33465" w:rsidRPr="00C33465" w:rsidRDefault="00C33465" w:rsidP="00C33465">
            <w:pPr>
              <w:spacing w:line="360" w:lineRule="auto"/>
              <w:jc w:val="both"/>
              <w:rPr>
                <w:rFonts w:ascii="Arial" w:hAnsi="Arial" w:cs="Arial"/>
                <w:lang w:val="en-US"/>
              </w:rPr>
            </w:pPr>
            <w:r w:rsidRPr="00C33465">
              <w:rPr>
                <w:rFonts w:ascii="Arial" w:hAnsi="Arial" w:cs="Arial"/>
                <w:lang w:val="en-US"/>
              </w:rPr>
              <w:t>5.90%</w:t>
            </w:r>
          </w:p>
        </w:tc>
        <w:tc>
          <w:tcPr>
            <w:tcW w:w="1083" w:type="dxa"/>
            <w:hideMark/>
          </w:tcPr>
          <w:p w14:paraId="0839A6EC" w14:textId="61674D3A" w:rsidR="00C33465" w:rsidRPr="00C33465" w:rsidRDefault="00C33465" w:rsidP="00C33465">
            <w:pPr>
              <w:spacing w:line="360" w:lineRule="auto"/>
              <w:jc w:val="both"/>
              <w:rPr>
                <w:rFonts w:ascii="Arial" w:hAnsi="Arial" w:cs="Arial"/>
                <w:lang w:val="en-US"/>
              </w:rPr>
            </w:pPr>
            <w:r w:rsidRPr="00C33465">
              <w:rPr>
                <w:rFonts w:ascii="Arial" w:hAnsi="Arial" w:cs="Arial"/>
                <w:lang w:val="en-US"/>
              </w:rPr>
              <w:t>4.59%</w:t>
            </w:r>
          </w:p>
        </w:tc>
      </w:tr>
      <w:tr w:rsidR="00443D84" w:rsidRPr="008F513D" w14:paraId="1CA84A83" w14:textId="77777777" w:rsidTr="009D5B6D">
        <w:tc>
          <w:tcPr>
            <w:tcW w:w="995" w:type="dxa"/>
            <w:hideMark/>
          </w:tcPr>
          <w:p w14:paraId="7F271229" w14:textId="77777777" w:rsidR="00C33465" w:rsidRPr="00C33465" w:rsidRDefault="00C33465" w:rsidP="00C33465">
            <w:pPr>
              <w:spacing w:line="360" w:lineRule="auto"/>
              <w:jc w:val="both"/>
              <w:rPr>
                <w:rFonts w:ascii="Arial" w:hAnsi="Arial" w:cs="Arial"/>
                <w:lang w:val="en-US"/>
              </w:rPr>
            </w:pPr>
          </w:p>
        </w:tc>
        <w:tc>
          <w:tcPr>
            <w:tcW w:w="1127" w:type="dxa"/>
            <w:hideMark/>
          </w:tcPr>
          <w:p w14:paraId="18F0BA30" w14:textId="77777777" w:rsidR="00C33465" w:rsidRPr="00C33465" w:rsidRDefault="00C33465" w:rsidP="00C33465">
            <w:pPr>
              <w:spacing w:line="360" w:lineRule="auto"/>
              <w:jc w:val="both"/>
              <w:rPr>
                <w:rFonts w:ascii="Arial" w:hAnsi="Arial" w:cs="Arial"/>
                <w:lang w:val="en-US"/>
              </w:rPr>
            </w:pPr>
            <w:r w:rsidRPr="00C33465">
              <w:rPr>
                <w:rFonts w:ascii="Arial" w:hAnsi="Arial" w:cs="Arial"/>
                <w:lang w:val="en-US"/>
              </w:rPr>
              <w:t>Capex/CFO</w:t>
            </w:r>
          </w:p>
        </w:tc>
        <w:tc>
          <w:tcPr>
            <w:tcW w:w="2126" w:type="dxa"/>
            <w:hideMark/>
          </w:tcPr>
          <w:p w14:paraId="662390B0" w14:textId="62829A34" w:rsidR="00C33465" w:rsidRPr="00C33465" w:rsidRDefault="005F2141" w:rsidP="00C33465">
            <w:pPr>
              <w:spacing w:line="360" w:lineRule="auto"/>
              <w:jc w:val="both"/>
              <w:rPr>
                <w:rFonts w:ascii="Arial" w:hAnsi="Arial" w:cs="Arial"/>
                <w:lang w:val="en-US"/>
              </w:rPr>
            </w:pPr>
            <m:oMathPara>
              <m:oMath>
                <m:f>
                  <m:fPr>
                    <m:ctrlPr>
                      <w:rPr>
                        <w:rFonts w:ascii="Cambria Math" w:hAnsi="Cambria Math" w:cs="Arial"/>
                        <w:i/>
                        <w:sz w:val="20"/>
                        <w:szCs w:val="20"/>
                        <w:lang w:val="en-US"/>
                      </w:rPr>
                    </m:ctrlPr>
                  </m:fPr>
                  <m:num>
                    <m:r>
                      <m:rPr>
                        <m:sty m:val="p"/>
                      </m:rPr>
                      <w:rPr>
                        <w:rFonts w:ascii="Cambria Math" w:hAnsi="Cambria Math" w:cs="Arial"/>
                        <w:sz w:val="20"/>
                        <w:szCs w:val="20"/>
                        <w:lang w:val="en-US"/>
                      </w:rPr>
                      <m:t>Acquisition of PP\&amp;E</m:t>
                    </m:r>
                  </m:num>
                  <m:den>
                    <m:r>
                      <m:rPr>
                        <m:sty m:val="p"/>
                      </m:rPr>
                      <w:rPr>
                        <w:rFonts w:ascii="Cambria Math" w:hAnsi="Cambria Math" w:cs="Arial"/>
                        <w:sz w:val="20"/>
                        <w:szCs w:val="20"/>
                        <w:lang w:val="en-US"/>
                      </w:rPr>
                      <m:t>CFO</m:t>
                    </m:r>
                  </m:den>
                </m:f>
              </m:oMath>
            </m:oMathPara>
          </w:p>
        </w:tc>
        <w:tc>
          <w:tcPr>
            <w:tcW w:w="850" w:type="dxa"/>
            <w:hideMark/>
          </w:tcPr>
          <w:p w14:paraId="7D729430" w14:textId="3715DC4B" w:rsidR="00C33465" w:rsidRPr="00C33465" w:rsidRDefault="00C33465" w:rsidP="00C33465">
            <w:pPr>
              <w:spacing w:line="360" w:lineRule="auto"/>
              <w:jc w:val="both"/>
              <w:rPr>
                <w:rFonts w:ascii="Arial" w:hAnsi="Arial" w:cs="Arial"/>
                <w:lang w:val="en-US"/>
              </w:rPr>
            </w:pPr>
            <w:r w:rsidRPr="00C33465">
              <w:rPr>
                <w:rFonts w:ascii="Arial" w:hAnsi="Arial" w:cs="Arial"/>
                <w:lang w:val="en-US"/>
              </w:rPr>
              <w:t>22.98%</w:t>
            </w:r>
          </w:p>
        </w:tc>
        <w:tc>
          <w:tcPr>
            <w:tcW w:w="851" w:type="dxa"/>
            <w:hideMark/>
          </w:tcPr>
          <w:p w14:paraId="2FABF6FD" w14:textId="77CDA235" w:rsidR="00C33465" w:rsidRPr="00C33465" w:rsidRDefault="00C33465" w:rsidP="00C33465">
            <w:pPr>
              <w:spacing w:line="360" w:lineRule="auto"/>
              <w:jc w:val="both"/>
              <w:rPr>
                <w:rFonts w:ascii="Arial" w:hAnsi="Arial" w:cs="Arial"/>
                <w:lang w:val="en-US"/>
              </w:rPr>
            </w:pPr>
            <w:r w:rsidRPr="00C33465">
              <w:rPr>
                <w:rFonts w:ascii="Arial" w:hAnsi="Arial" w:cs="Arial"/>
                <w:lang w:val="en-US"/>
              </w:rPr>
              <w:t>31.29%</w:t>
            </w:r>
          </w:p>
        </w:tc>
        <w:tc>
          <w:tcPr>
            <w:tcW w:w="850" w:type="dxa"/>
            <w:hideMark/>
          </w:tcPr>
          <w:p w14:paraId="732F23FF" w14:textId="6F44A6FD" w:rsidR="00C33465" w:rsidRPr="00C33465" w:rsidRDefault="00C33465" w:rsidP="00C33465">
            <w:pPr>
              <w:spacing w:line="360" w:lineRule="auto"/>
              <w:jc w:val="both"/>
              <w:rPr>
                <w:rFonts w:ascii="Arial" w:hAnsi="Arial" w:cs="Arial"/>
                <w:lang w:val="en-US"/>
              </w:rPr>
            </w:pPr>
            <w:r w:rsidRPr="00C33465">
              <w:rPr>
                <w:rFonts w:ascii="Arial" w:hAnsi="Arial" w:cs="Arial"/>
                <w:lang w:val="en-US"/>
              </w:rPr>
              <w:t>128.19%</w:t>
            </w:r>
          </w:p>
        </w:tc>
        <w:tc>
          <w:tcPr>
            <w:tcW w:w="1134" w:type="dxa"/>
            <w:hideMark/>
          </w:tcPr>
          <w:p w14:paraId="7284D08A" w14:textId="267802CB" w:rsidR="00C33465" w:rsidRPr="00C33465" w:rsidRDefault="00C33465" w:rsidP="00C33465">
            <w:pPr>
              <w:spacing w:line="360" w:lineRule="auto"/>
              <w:jc w:val="both"/>
              <w:rPr>
                <w:rFonts w:ascii="Arial" w:hAnsi="Arial" w:cs="Arial"/>
                <w:lang w:val="en-US"/>
              </w:rPr>
            </w:pPr>
            <w:r w:rsidRPr="00C33465">
              <w:rPr>
                <w:rFonts w:ascii="Arial" w:hAnsi="Arial" w:cs="Arial"/>
                <w:lang w:val="en-US"/>
              </w:rPr>
              <w:t>32.22%</w:t>
            </w:r>
          </w:p>
        </w:tc>
        <w:tc>
          <w:tcPr>
            <w:tcW w:w="1083" w:type="dxa"/>
            <w:hideMark/>
          </w:tcPr>
          <w:p w14:paraId="6C413557" w14:textId="3FCA7A04" w:rsidR="00C33465" w:rsidRPr="00C33465" w:rsidRDefault="00C33465" w:rsidP="0094062F">
            <w:pPr>
              <w:keepNext/>
              <w:spacing w:line="360" w:lineRule="auto"/>
              <w:jc w:val="both"/>
              <w:rPr>
                <w:rFonts w:ascii="Arial" w:hAnsi="Arial" w:cs="Arial"/>
                <w:lang w:val="en-US"/>
              </w:rPr>
            </w:pPr>
            <w:r w:rsidRPr="00C33465">
              <w:rPr>
                <w:rFonts w:ascii="Arial" w:hAnsi="Arial" w:cs="Arial"/>
                <w:lang w:val="en-US"/>
              </w:rPr>
              <w:t>30.85%</w:t>
            </w:r>
          </w:p>
        </w:tc>
      </w:tr>
    </w:tbl>
    <w:p w14:paraId="7C5F1EC2" w14:textId="0F53BE90" w:rsidR="00FB1E75" w:rsidRDefault="0094062F" w:rsidP="0094062F">
      <w:pPr>
        <w:pStyle w:val="Caption"/>
        <w:rPr>
          <w:rFonts w:ascii="Arial" w:hAnsi="Arial" w:cs="Arial"/>
          <w:sz w:val="24"/>
          <w:szCs w:val="24"/>
        </w:rPr>
      </w:pPr>
      <w:bookmarkStart w:id="6" w:name="_Toc214748980"/>
      <w:bookmarkStart w:id="7" w:name="_Toc214749057"/>
      <w:r>
        <w:t xml:space="preserve">Table </w:t>
      </w:r>
      <w:r>
        <w:fldChar w:fldCharType="begin"/>
      </w:r>
      <w:r>
        <w:instrText xml:space="preserve"> SEQ Table \* ARABIC </w:instrText>
      </w:r>
      <w:r>
        <w:fldChar w:fldCharType="separate"/>
      </w:r>
      <w:r w:rsidR="002D7440">
        <w:rPr>
          <w:noProof/>
        </w:rPr>
        <w:t>2</w:t>
      </w:r>
      <w:r>
        <w:fldChar w:fldCharType="end"/>
      </w:r>
      <w:r>
        <w:t xml:space="preserve">: </w:t>
      </w:r>
      <w:r w:rsidRPr="0013084D">
        <w:t>Ratio Analysis</w:t>
      </w:r>
      <w:bookmarkEnd w:id="6"/>
      <w:bookmarkEnd w:id="7"/>
    </w:p>
    <w:p w14:paraId="4BE337F0" w14:textId="7D09CF35" w:rsidR="003B1879" w:rsidRPr="00FB1E75" w:rsidRDefault="00FB1E75" w:rsidP="00840E24">
      <w:pPr>
        <w:pStyle w:val="Heading2"/>
      </w:pPr>
      <w:bookmarkStart w:id="8" w:name="_Toc214748963"/>
      <w:r w:rsidRPr="00FB1E75">
        <w:t>C. Identified Trends, Strengths, and Threats</w:t>
      </w:r>
      <w:bookmarkEnd w:id="8"/>
    </w:p>
    <w:p w14:paraId="62377A63" w14:textId="77777777" w:rsidR="00A3094D" w:rsidRPr="00A3094D" w:rsidRDefault="00A3094D" w:rsidP="00A3094D">
      <w:pPr>
        <w:spacing w:line="360" w:lineRule="auto"/>
        <w:jc w:val="both"/>
        <w:rPr>
          <w:rFonts w:ascii="Arial" w:hAnsi="Arial" w:cs="Arial"/>
          <w:b/>
          <w:bCs/>
          <w:sz w:val="24"/>
          <w:szCs w:val="24"/>
          <w:lang w:val="en-US"/>
        </w:rPr>
      </w:pPr>
      <w:r w:rsidRPr="00A3094D">
        <w:rPr>
          <w:rFonts w:ascii="Arial" w:hAnsi="Arial" w:cs="Arial"/>
          <w:b/>
          <w:bCs/>
          <w:sz w:val="24"/>
          <w:szCs w:val="24"/>
          <w:lang w:val="en-US"/>
        </w:rPr>
        <w:t>1. Trends</w:t>
      </w:r>
    </w:p>
    <w:p w14:paraId="055F0E9F" w14:textId="77777777" w:rsidR="00A3094D" w:rsidRPr="00D11E03" w:rsidRDefault="00A3094D" w:rsidP="00D11E03">
      <w:pPr>
        <w:pStyle w:val="ListParagraph"/>
        <w:numPr>
          <w:ilvl w:val="0"/>
          <w:numId w:val="6"/>
        </w:numPr>
        <w:spacing w:line="360" w:lineRule="auto"/>
        <w:jc w:val="both"/>
        <w:rPr>
          <w:rFonts w:ascii="Arial" w:hAnsi="Arial" w:cs="Arial"/>
          <w:sz w:val="24"/>
          <w:szCs w:val="24"/>
          <w:lang w:val="en-US"/>
        </w:rPr>
      </w:pPr>
      <w:r w:rsidRPr="00D11E03">
        <w:rPr>
          <w:rFonts w:ascii="Arial" w:hAnsi="Arial" w:cs="Arial"/>
          <w:b/>
          <w:bCs/>
          <w:sz w:val="24"/>
          <w:szCs w:val="24"/>
          <w:lang w:val="en-US"/>
        </w:rPr>
        <w:t>Profitability Collapse (2020-2024):</w:t>
      </w:r>
      <w:r w:rsidRPr="00D11E03">
        <w:rPr>
          <w:rFonts w:ascii="Arial" w:hAnsi="Arial" w:cs="Arial"/>
          <w:sz w:val="24"/>
          <w:szCs w:val="24"/>
          <w:lang w:val="en-US"/>
        </w:rPr>
        <w:t xml:space="preserve"> The biggest trend is the collapse of the core profit model, which will be </w:t>
      </w:r>
      <w:proofErr w:type="spellStart"/>
      <w:r w:rsidRPr="00D11E03">
        <w:rPr>
          <w:rFonts w:ascii="Arial" w:hAnsi="Arial" w:cs="Arial"/>
          <w:sz w:val="24"/>
          <w:szCs w:val="24"/>
          <w:lang w:val="en-US"/>
        </w:rPr>
        <w:t>characterised</w:t>
      </w:r>
      <w:proofErr w:type="spellEnd"/>
      <w:r w:rsidRPr="00D11E03">
        <w:rPr>
          <w:rFonts w:ascii="Arial" w:hAnsi="Arial" w:cs="Arial"/>
          <w:sz w:val="24"/>
          <w:szCs w:val="24"/>
          <w:lang w:val="en-US"/>
        </w:rPr>
        <w:t xml:space="preserve"> by the change of the model itself in terms of the swing of the amount of three to five billion pounds of the Net Income (2020) to the amount of nine eighty-two billion losses (2023). This is indicative of a market change or an apocalyptic collapse in strategy implementation (Teece, 2020).</w:t>
      </w:r>
    </w:p>
    <w:p w14:paraId="2AC09765" w14:textId="77777777" w:rsidR="00A3094D" w:rsidRPr="00D11E03" w:rsidRDefault="00A3094D" w:rsidP="00D11E03">
      <w:pPr>
        <w:pStyle w:val="ListParagraph"/>
        <w:numPr>
          <w:ilvl w:val="0"/>
          <w:numId w:val="6"/>
        </w:numPr>
        <w:spacing w:line="360" w:lineRule="auto"/>
        <w:jc w:val="both"/>
        <w:rPr>
          <w:rFonts w:ascii="Arial" w:hAnsi="Arial" w:cs="Arial"/>
          <w:sz w:val="24"/>
          <w:szCs w:val="24"/>
          <w:lang w:val="en-US"/>
        </w:rPr>
      </w:pPr>
      <w:r w:rsidRPr="00D11E03">
        <w:rPr>
          <w:rFonts w:ascii="Arial" w:hAnsi="Arial" w:cs="Arial"/>
          <w:b/>
          <w:bCs/>
          <w:sz w:val="24"/>
          <w:szCs w:val="24"/>
          <w:lang w:val="en-US"/>
        </w:rPr>
        <w:t>Deleveraging (Post-2023):</w:t>
      </w:r>
      <w:r w:rsidRPr="00D11E03">
        <w:rPr>
          <w:rFonts w:ascii="Arial" w:hAnsi="Arial" w:cs="Arial"/>
          <w:sz w:val="24"/>
          <w:szCs w:val="24"/>
          <w:lang w:val="en-US"/>
        </w:rPr>
        <w:t xml:space="preserve"> The actions of the management in 2024 (the cutting of CFI, the cutting of the number of purchases of the Treasury Stock, and the cutting of Net Loss) are the indication of the obvious, reactive course of the firm's </w:t>
      </w:r>
      <w:proofErr w:type="spellStart"/>
      <w:r w:rsidRPr="00D11E03">
        <w:rPr>
          <w:rFonts w:ascii="Arial" w:hAnsi="Arial" w:cs="Arial"/>
          <w:sz w:val="24"/>
          <w:szCs w:val="24"/>
          <w:lang w:val="en-US"/>
        </w:rPr>
        <w:t>stabilisation</w:t>
      </w:r>
      <w:proofErr w:type="spellEnd"/>
      <w:r w:rsidRPr="00D11E03">
        <w:rPr>
          <w:rFonts w:ascii="Arial" w:hAnsi="Arial" w:cs="Arial"/>
          <w:sz w:val="24"/>
          <w:szCs w:val="24"/>
          <w:lang w:val="en-US"/>
        </w:rPr>
        <w:t xml:space="preserve"> at a seriously crippled base.</w:t>
      </w:r>
    </w:p>
    <w:p w14:paraId="397CC8EC" w14:textId="77777777" w:rsidR="00A3094D" w:rsidRPr="00D11E03" w:rsidRDefault="00A3094D" w:rsidP="00D11E03">
      <w:pPr>
        <w:pStyle w:val="ListParagraph"/>
        <w:numPr>
          <w:ilvl w:val="0"/>
          <w:numId w:val="6"/>
        </w:numPr>
        <w:spacing w:line="360" w:lineRule="auto"/>
        <w:jc w:val="both"/>
        <w:rPr>
          <w:rFonts w:ascii="Arial" w:hAnsi="Arial" w:cs="Arial"/>
          <w:sz w:val="24"/>
          <w:szCs w:val="24"/>
          <w:lang w:val="en-US"/>
        </w:rPr>
      </w:pPr>
      <w:r w:rsidRPr="00D11E03">
        <w:rPr>
          <w:rFonts w:ascii="Arial" w:hAnsi="Arial" w:cs="Arial"/>
          <w:b/>
          <w:bCs/>
          <w:sz w:val="24"/>
          <w:szCs w:val="24"/>
          <w:lang w:val="en-US"/>
        </w:rPr>
        <w:t>Scale Reduction and Asset Quality:</w:t>
      </w:r>
      <w:r w:rsidRPr="00D11E03">
        <w:rPr>
          <w:rFonts w:ascii="Arial" w:hAnsi="Arial" w:cs="Arial"/>
          <w:sz w:val="24"/>
          <w:szCs w:val="24"/>
          <w:lang w:val="en-US"/>
        </w:rPr>
        <w:t xml:space="preserve"> The size of the total asset base is decreasing and predominantly reflects the assets of higher risk (as seen by the large value of the Goodwill Impairment) as a result of the poor strategic decisions in mergers and acquisitions (M&amp;A) or investments in research and development (Altman, 2020).</w:t>
      </w:r>
    </w:p>
    <w:p w14:paraId="0334C74D" w14:textId="77777777" w:rsidR="00A3094D" w:rsidRPr="00A3094D" w:rsidRDefault="00A3094D" w:rsidP="00A3094D">
      <w:pPr>
        <w:spacing w:line="360" w:lineRule="auto"/>
        <w:jc w:val="both"/>
        <w:rPr>
          <w:rFonts w:ascii="Arial" w:hAnsi="Arial" w:cs="Arial"/>
          <w:b/>
          <w:bCs/>
          <w:sz w:val="24"/>
          <w:szCs w:val="24"/>
          <w:lang w:val="en-US"/>
        </w:rPr>
      </w:pPr>
      <w:r w:rsidRPr="00A3094D">
        <w:rPr>
          <w:rFonts w:ascii="Arial" w:hAnsi="Arial" w:cs="Arial"/>
          <w:b/>
          <w:bCs/>
          <w:sz w:val="24"/>
          <w:szCs w:val="24"/>
          <w:lang w:val="en-US"/>
        </w:rPr>
        <w:t>2. Strengths</w:t>
      </w:r>
    </w:p>
    <w:p w14:paraId="1ACE85FA" w14:textId="216C1A82" w:rsidR="00A3094D" w:rsidRPr="00887CA7" w:rsidRDefault="00A3094D" w:rsidP="00887CA7">
      <w:pPr>
        <w:pStyle w:val="ListParagraph"/>
        <w:numPr>
          <w:ilvl w:val="0"/>
          <w:numId w:val="8"/>
        </w:numPr>
        <w:spacing w:line="360" w:lineRule="auto"/>
        <w:jc w:val="both"/>
        <w:rPr>
          <w:rFonts w:ascii="Arial" w:hAnsi="Arial" w:cs="Arial"/>
          <w:sz w:val="24"/>
          <w:szCs w:val="24"/>
          <w:lang w:val="en-US"/>
        </w:rPr>
      </w:pPr>
      <w:r w:rsidRPr="00887CA7">
        <w:rPr>
          <w:rFonts w:ascii="Arial" w:hAnsi="Arial" w:cs="Arial"/>
          <w:b/>
          <w:bCs/>
          <w:sz w:val="24"/>
          <w:szCs w:val="24"/>
          <w:lang w:val="en-US"/>
        </w:rPr>
        <w:t>Residual Cash Power:</w:t>
      </w:r>
      <w:r w:rsidRPr="00887CA7">
        <w:rPr>
          <w:rFonts w:ascii="Arial" w:hAnsi="Arial" w:cs="Arial"/>
          <w:sz w:val="24"/>
          <w:szCs w:val="24"/>
          <w:lang w:val="en-US"/>
        </w:rPr>
        <w:t xml:space="preserve"> Despite the Net Losses, the firm has a positive value of the firm cash flow, or CFO (-14.8bn in 2024). This means that this firm is not cash-insolvent but has non-cash expense buffers (such as Depreciation and </w:t>
      </w:r>
      <w:proofErr w:type="spellStart"/>
      <w:r w:rsidRPr="00887CA7">
        <w:rPr>
          <w:rFonts w:ascii="Arial" w:hAnsi="Arial" w:cs="Arial"/>
          <w:sz w:val="24"/>
          <w:szCs w:val="24"/>
          <w:lang w:val="en-US"/>
        </w:rPr>
        <w:t>amortisation</w:t>
      </w:r>
      <w:proofErr w:type="spellEnd"/>
      <w:r w:rsidRPr="00887CA7">
        <w:rPr>
          <w:rFonts w:ascii="Arial" w:hAnsi="Arial" w:cs="Arial"/>
          <w:sz w:val="24"/>
          <w:szCs w:val="24"/>
          <w:lang w:val="en-US"/>
        </w:rPr>
        <w:t>) that may be used to finance a turnaround.</w:t>
      </w:r>
    </w:p>
    <w:p w14:paraId="7FF699B7" w14:textId="77777777" w:rsidR="00A3094D" w:rsidRDefault="00A3094D" w:rsidP="00887CA7">
      <w:pPr>
        <w:pStyle w:val="ListParagraph"/>
        <w:numPr>
          <w:ilvl w:val="0"/>
          <w:numId w:val="8"/>
        </w:numPr>
        <w:spacing w:line="360" w:lineRule="auto"/>
        <w:jc w:val="both"/>
        <w:rPr>
          <w:rFonts w:ascii="Arial" w:hAnsi="Arial" w:cs="Arial"/>
          <w:sz w:val="24"/>
          <w:szCs w:val="24"/>
          <w:lang w:val="en-US"/>
        </w:rPr>
      </w:pPr>
      <w:r w:rsidRPr="00887CA7">
        <w:rPr>
          <w:rFonts w:ascii="Arial" w:hAnsi="Arial" w:cs="Arial"/>
          <w:b/>
          <w:bCs/>
          <w:sz w:val="24"/>
          <w:szCs w:val="24"/>
          <w:lang w:val="en-US"/>
        </w:rPr>
        <w:t>Liquidity (Current Ratio):</w:t>
      </w:r>
      <w:r w:rsidRPr="00887CA7">
        <w:rPr>
          <w:rFonts w:ascii="Arial" w:hAnsi="Arial" w:cs="Arial"/>
          <w:sz w:val="24"/>
          <w:szCs w:val="24"/>
          <w:lang w:val="en-US"/>
        </w:rPr>
        <w:t xml:space="preserve"> The current ratio remains above 1.0 offering a minimum degree of short-term stability to use the working capital.</w:t>
      </w:r>
    </w:p>
    <w:p w14:paraId="2184D0F3" w14:textId="77777777" w:rsidR="00901D93" w:rsidRPr="00901D93" w:rsidRDefault="00901D93" w:rsidP="00901D93">
      <w:pPr>
        <w:spacing w:line="360" w:lineRule="auto"/>
        <w:jc w:val="both"/>
        <w:rPr>
          <w:rFonts w:ascii="Arial" w:hAnsi="Arial" w:cs="Arial"/>
          <w:sz w:val="24"/>
          <w:szCs w:val="24"/>
          <w:lang w:val="en-US"/>
        </w:rPr>
      </w:pPr>
    </w:p>
    <w:p w14:paraId="327406C7" w14:textId="77777777" w:rsidR="00A3094D" w:rsidRPr="00A3094D" w:rsidRDefault="00A3094D" w:rsidP="00A3094D">
      <w:pPr>
        <w:spacing w:line="360" w:lineRule="auto"/>
        <w:jc w:val="both"/>
        <w:rPr>
          <w:rFonts w:ascii="Arial" w:hAnsi="Arial" w:cs="Arial"/>
          <w:b/>
          <w:bCs/>
          <w:sz w:val="24"/>
          <w:szCs w:val="24"/>
          <w:lang w:val="en-US"/>
        </w:rPr>
      </w:pPr>
      <w:r w:rsidRPr="00A3094D">
        <w:rPr>
          <w:rFonts w:ascii="Arial" w:hAnsi="Arial" w:cs="Arial"/>
          <w:b/>
          <w:bCs/>
          <w:sz w:val="24"/>
          <w:szCs w:val="24"/>
          <w:lang w:val="en-US"/>
        </w:rPr>
        <w:lastRenderedPageBreak/>
        <w:t>3. Threats</w:t>
      </w:r>
    </w:p>
    <w:p w14:paraId="2834DF87" w14:textId="39CCBC38" w:rsidR="00A3094D" w:rsidRPr="00B92999" w:rsidRDefault="00A3094D" w:rsidP="00B92999">
      <w:pPr>
        <w:pStyle w:val="ListParagraph"/>
        <w:numPr>
          <w:ilvl w:val="0"/>
          <w:numId w:val="7"/>
        </w:numPr>
        <w:spacing w:line="360" w:lineRule="auto"/>
        <w:jc w:val="both"/>
        <w:rPr>
          <w:rFonts w:ascii="Arial" w:hAnsi="Arial" w:cs="Arial"/>
          <w:sz w:val="24"/>
          <w:szCs w:val="24"/>
          <w:lang w:val="en-US"/>
        </w:rPr>
      </w:pPr>
      <w:r w:rsidRPr="00B92999">
        <w:rPr>
          <w:rFonts w:ascii="Arial" w:hAnsi="Arial" w:cs="Arial"/>
          <w:b/>
          <w:bCs/>
          <w:sz w:val="24"/>
          <w:szCs w:val="24"/>
          <w:lang w:val="en-US"/>
        </w:rPr>
        <w:t>Large Default Risk:</w:t>
      </w:r>
      <w:r w:rsidRPr="00B92999">
        <w:rPr>
          <w:rFonts w:ascii="Arial" w:hAnsi="Arial" w:cs="Arial"/>
          <w:sz w:val="24"/>
          <w:szCs w:val="24"/>
          <w:lang w:val="en-US"/>
        </w:rPr>
        <w:t xml:space="preserve"> The value of the Debt-to-Equity Ratio of 1.11 is a significant structural risk, which places the firm in the high-risk financial group.</w:t>
      </w:r>
    </w:p>
    <w:p w14:paraId="0F7012B7" w14:textId="6BE7FCFE" w:rsidR="00A3094D" w:rsidRPr="00B92999" w:rsidRDefault="00A3094D" w:rsidP="00B92999">
      <w:pPr>
        <w:pStyle w:val="ListParagraph"/>
        <w:numPr>
          <w:ilvl w:val="0"/>
          <w:numId w:val="7"/>
        </w:numPr>
        <w:spacing w:line="360" w:lineRule="auto"/>
        <w:jc w:val="both"/>
        <w:rPr>
          <w:rFonts w:ascii="Arial" w:hAnsi="Arial" w:cs="Arial"/>
          <w:sz w:val="24"/>
          <w:szCs w:val="24"/>
          <w:lang w:val="en-US"/>
        </w:rPr>
      </w:pPr>
      <w:r w:rsidRPr="00B92999">
        <w:rPr>
          <w:rFonts w:ascii="Arial" w:hAnsi="Arial" w:cs="Arial"/>
          <w:b/>
          <w:bCs/>
          <w:sz w:val="24"/>
          <w:szCs w:val="24"/>
          <w:lang w:val="en-US"/>
        </w:rPr>
        <w:t>Absence of Reinvestment:</w:t>
      </w:r>
      <w:r w:rsidRPr="00B92999">
        <w:rPr>
          <w:rFonts w:ascii="Arial" w:hAnsi="Arial" w:cs="Arial"/>
          <w:sz w:val="24"/>
          <w:szCs w:val="24"/>
          <w:lang w:val="en-US"/>
        </w:rPr>
        <w:t xml:space="preserve"> The severe cuts on CFI (Capital Expenditure) are existential threats in the long run. The high-innovation Consumer Electronics sector (its CAGR is about 5.68</w:t>
      </w:r>
      <w:r w:rsidR="00226964">
        <w:rPr>
          <w:rFonts w:ascii="Arial" w:hAnsi="Arial" w:cs="Arial"/>
          <w:sz w:val="24"/>
          <w:szCs w:val="24"/>
          <w:lang w:val="en-US"/>
        </w:rPr>
        <w:t>%</w:t>
      </w:r>
      <w:r w:rsidRPr="00B92999">
        <w:rPr>
          <w:rFonts w:ascii="Arial" w:hAnsi="Arial" w:cs="Arial"/>
          <w:sz w:val="24"/>
          <w:szCs w:val="24"/>
          <w:lang w:val="en-US"/>
        </w:rPr>
        <w:t>: Precedence Research, 2023) requires an investment in R&amp;D and PP&amp;E, without which it will become obsolete.</w:t>
      </w:r>
    </w:p>
    <w:p w14:paraId="598AB3B2" w14:textId="34CA8341" w:rsidR="00A3094D" w:rsidRPr="00B92999" w:rsidRDefault="00A3094D" w:rsidP="00B92999">
      <w:pPr>
        <w:pStyle w:val="ListParagraph"/>
        <w:numPr>
          <w:ilvl w:val="0"/>
          <w:numId w:val="7"/>
        </w:numPr>
        <w:spacing w:line="360" w:lineRule="auto"/>
        <w:jc w:val="both"/>
        <w:rPr>
          <w:rFonts w:ascii="Arial" w:hAnsi="Arial" w:cs="Arial"/>
          <w:sz w:val="24"/>
          <w:szCs w:val="24"/>
          <w:lang w:val="en-US"/>
        </w:rPr>
      </w:pPr>
      <w:r w:rsidRPr="00B92999">
        <w:rPr>
          <w:rFonts w:ascii="Arial" w:hAnsi="Arial" w:cs="Arial"/>
          <w:b/>
          <w:bCs/>
          <w:sz w:val="24"/>
          <w:szCs w:val="24"/>
          <w:lang w:val="en-US"/>
        </w:rPr>
        <w:t>Market Confidence:</w:t>
      </w:r>
      <w:r w:rsidRPr="00B92999">
        <w:rPr>
          <w:rFonts w:ascii="Arial" w:hAnsi="Arial" w:cs="Arial"/>
          <w:sz w:val="24"/>
          <w:szCs w:val="24"/>
          <w:lang w:val="en-US"/>
        </w:rPr>
        <w:t xml:space="preserve"> The large </w:t>
      </w:r>
      <w:r w:rsidR="007A1DD5" w:rsidRPr="00B92999">
        <w:rPr>
          <w:rFonts w:ascii="Arial" w:hAnsi="Arial" w:cs="Arial"/>
          <w:sz w:val="24"/>
          <w:szCs w:val="24"/>
          <w:lang w:val="en-US"/>
        </w:rPr>
        <w:t>write-downs</w:t>
      </w:r>
      <w:r w:rsidRPr="00B92999">
        <w:rPr>
          <w:rFonts w:ascii="Arial" w:hAnsi="Arial" w:cs="Arial"/>
          <w:sz w:val="24"/>
          <w:szCs w:val="24"/>
          <w:lang w:val="en-US"/>
        </w:rPr>
        <w:t xml:space="preserve"> of assets indicate the uncertainties about the future worth of assets of the firm, and this has the potential of triggering additional investor flight and increasing the cost of new equity capital in the future (Shumway, 2001).</w:t>
      </w:r>
    </w:p>
    <w:p w14:paraId="391C9CDD" w14:textId="4BA23CE2" w:rsidR="00A3094D" w:rsidRPr="00A3094D" w:rsidRDefault="00A3094D" w:rsidP="00840E24">
      <w:pPr>
        <w:pStyle w:val="Heading2"/>
        <w:rPr>
          <w:lang w:val="en-US"/>
        </w:rPr>
      </w:pPr>
      <w:bookmarkStart w:id="9" w:name="_Toc214748964"/>
      <w:r w:rsidRPr="00A3094D">
        <w:rPr>
          <w:lang w:val="en-US"/>
        </w:rPr>
        <w:t xml:space="preserve">D. </w:t>
      </w:r>
      <w:r w:rsidR="0059582F" w:rsidRPr="0059582F">
        <w:rPr>
          <w:lang w:val="en-US"/>
        </w:rPr>
        <w:t>Corporate Failure Prediction: Altman Z-Score</w:t>
      </w:r>
      <w:bookmarkEnd w:id="9"/>
      <w:r w:rsidRPr="00A3094D">
        <w:rPr>
          <w:lang w:val="en-US"/>
        </w:rPr>
        <w:t xml:space="preserve"> </w:t>
      </w:r>
    </w:p>
    <w:p w14:paraId="19BAA507" w14:textId="79D35245" w:rsidR="00A3094D" w:rsidRDefault="00A3094D" w:rsidP="00A3094D">
      <w:pPr>
        <w:spacing w:line="360" w:lineRule="auto"/>
        <w:jc w:val="both"/>
        <w:rPr>
          <w:rFonts w:ascii="Arial" w:hAnsi="Arial" w:cs="Arial"/>
          <w:sz w:val="24"/>
          <w:szCs w:val="24"/>
          <w:lang w:val="en-US"/>
        </w:rPr>
      </w:pPr>
      <w:r w:rsidRPr="00A3094D">
        <w:rPr>
          <w:rFonts w:ascii="Arial" w:hAnsi="Arial" w:cs="Arial"/>
          <w:sz w:val="24"/>
          <w:szCs w:val="24"/>
          <w:lang w:val="en-US"/>
        </w:rPr>
        <w:t>Altman Z-Score the Altman Z-Score is a measure that is employed in determining the likelihood of a company falling into financial distress within two years. Since GE is a non-financial, non-US, public company, the modified Z-score is recommended most frequently (Altman, 2020), although the default Z-score of a public manufacturer is the industry average. In this case, the severe distress warning will be based on the standard model.</w:t>
      </w:r>
    </w:p>
    <w:p w14:paraId="5D76BF21" w14:textId="378F11D4" w:rsidR="00B371A4" w:rsidRPr="00274862" w:rsidRDefault="00B371A4" w:rsidP="00A3094D">
      <w:pPr>
        <w:spacing w:line="360" w:lineRule="auto"/>
        <w:jc w:val="both"/>
        <w:rPr>
          <w:rFonts w:ascii="Arial" w:hAnsi="Arial" w:cs="Arial"/>
          <w:b/>
          <w:bCs/>
          <w:sz w:val="24"/>
          <w:szCs w:val="24"/>
          <w:lang w:val="en-US"/>
        </w:rPr>
      </w:pPr>
      <w:r w:rsidRPr="00274862">
        <w:rPr>
          <w:rFonts w:ascii="Arial" w:hAnsi="Arial" w:cs="Arial"/>
          <w:b/>
          <w:bCs/>
          <w:sz w:val="24"/>
          <w:szCs w:val="24"/>
          <w:lang w:val="en-US"/>
        </w:rPr>
        <w:t xml:space="preserve">Standard Altman Z-Score </w:t>
      </w:r>
      <w:r w:rsidR="00901D93" w:rsidRPr="00274862">
        <w:rPr>
          <w:rFonts w:ascii="Arial" w:hAnsi="Arial" w:cs="Arial"/>
          <w:b/>
          <w:bCs/>
          <w:sz w:val="24"/>
          <w:szCs w:val="24"/>
          <w:lang w:val="en-US"/>
        </w:rPr>
        <w:t>Formula</w:t>
      </w:r>
      <w:r w:rsidRPr="00274862">
        <w:rPr>
          <w:rFonts w:ascii="Arial" w:hAnsi="Arial" w:cs="Arial"/>
          <w:b/>
          <w:bCs/>
          <w:sz w:val="24"/>
          <w:szCs w:val="24"/>
          <w:lang w:val="en-US"/>
        </w:rPr>
        <w:t>:</w:t>
      </w:r>
    </w:p>
    <w:p w14:paraId="7F134712" w14:textId="437F14A7" w:rsidR="007445AC" w:rsidRDefault="007445AC" w:rsidP="00274862">
      <w:pPr>
        <w:spacing w:line="360" w:lineRule="auto"/>
        <w:jc w:val="center"/>
        <w:rPr>
          <w:rFonts w:ascii="Arial" w:hAnsi="Arial" w:cs="Arial"/>
          <w:sz w:val="24"/>
          <w:szCs w:val="24"/>
          <w:lang w:val="en-US"/>
        </w:rPr>
      </w:pPr>
      <w:r>
        <w:rPr>
          <w:rFonts w:ascii="Arial" w:hAnsi="Arial" w:cs="Arial"/>
          <w:sz w:val="24"/>
          <w:szCs w:val="24"/>
          <w:lang w:val="en-US"/>
        </w:rPr>
        <w:t>Z = 1.2A + 1.4B + 3.3C + 0.</w:t>
      </w:r>
      <w:r w:rsidR="00274862">
        <w:rPr>
          <w:rFonts w:ascii="Arial" w:hAnsi="Arial" w:cs="Arial"/>
          <w:sz w:val="24"/>
          <w:szCs w:val="24"/>
          <w:lang w:val="en-US"/>
        </w:rPr>
        <w:t>6D + 1.0E</w:t>
      </w:r>
    </w:p>
    <w:p w14:paraId="6129CDE8" w14:textId="6A7F7A26" w:rsidR="00274862" w:rsidRPr="005E7CC2" w:rsidRDefault="0055527D" w:rsidP="00A3094D">
      <w:pPr>
        <w:spacing w:line="360" w:lineRule="auto"/>
        <w:jc w:val="both"/>
        <w:rPr>
          <w:rFonts w:ascii="Arial" w:hAnsi="Arial" w:cs="Arial"/>
          <w:b/>
          <w:bCs/>
          <w:sz w:val="24"/>
          <w:szCs w:val="24"/>
          <w:lang w:val="en-US"/>
        </w:rPr>
      </w:pPr>
      <w:r w:rsidRPr="005E7CC2">
        <w:rPr>
          <w:rFonts w:ascii="Arial" w:hAnsi="Arial" w:cs="Arial"/>
          <w:b/>
          <w:bCs/>
          <w:sz w:val="24"/>
          <w:szCs w:val="24"/>
          <w:lang w:val="en-US"/>
        </w:rPr>
        <w:t>Where</w:t>
      </w:r>
      <w:r w:rsidR="005E7CC2" w:rsidRPr="005E7CC2">
        <w:rPr>
          <w:rFonts w:ascii="Arial" w:hAnsi="Arial" w:cs="Arial"/>
          <w:b/>
          <w:bCs/>
          <w:sz w:val="24"/>
          <w:szCs w:val="24"/>
          <w:lang w:val="en-US"/>
        </w:rPr>
        <w:t>:</w:t>
      </w:r>
    </w:p>
    <w:p w14:paraId="5699B642" w14:textId="55D8C1A0" w:rsidR="0055527D" w:rsidRPr="005E7CC2" w:rsidRDefault="0055527D" w:rsidP="005E7CC2">
      <w:pPr>
        <w:pStyle w:val="ListParagraph"/>
        <w:numPr>
          <w:ilvl w:val="0"/>
          <w:numId w:val="9"/>
        </w:numPr>
        <w:spacing w:line="360" w:lineRule="auto"/>
        <w:jc w:val="both"/>
        <w:rPr>
          <w:rFonts w:ascii="Arial" w:eastAsiaTheme="minorEastAsia" w:hAnsi="Arial" w:cs="Arial"/>
          <w:lang w:val="en-US"/>
        </w:rPr>
      </w:pPr>
      <w:r w:rsidRPr="005E7CC2">
        <w:rPr>
          <w:rFonts w:ascii="Arial" w:hAnsi="Arial" w:cs="Arial"/>
          <w:sz w:val="24"/>
          <w:szCs w:val="24"/>
          <w:lang w:val="en-US"/>
        </w:rPr>
        <w:t xml:space="preserve">A= </w:t>
      </w:r>
      <w:r w:rsidR="00F02CB5" w:rsidRPr="005E7CC2">
        <w:rPr>
          <w:rFonts w:ascii="Arial" w:hAnsi="Arial" w:cs="Arial"/>
          <w:sz w:val="24"/>
          <w:szCs w:val="24"/>
          <w:lang w:val="en-US"/>
        </w:rPr>
        <w:t xml:space="preserve"> </w:t>
      </w:r>
      <m:oMath>
        <m:f>
          <m:fPr>
            <m:ctrlPr>
              <w:rPr>
                <w:rFonts w:ascii="Cambria Math" w:hAnsi="Cambria Math" w:cs="Arial"/>
                <w:i/>
                <w:sz w:val="24"/>
                <w:szCs w:val="24"/>
                <w:lang w:val="en-US"/>
              </w:rPr>
            </m:ctrlPr>
          </m:fPr>
          <m:num>
            <m:r>
              <m:rPr>
                <m:sty m:val="p"/>
              </m:rPr>
              <w:rPr>
                <w:rFonts w:ascii="Cambria Math" w:hAnsi="Cambria Math" w:cs="Arial"/>
                <w:sz w:val="24"/>
                <w:szCs w:val="24"/>
              </w:rPr>
              <m:t>Working Capital</m:t>
            </m:r>
          </m:num>
          <m:den>
            <m:r>
              <m:rPr>
                <m:sty m:val="p"/>
              </m:rPr>
              <w:rPr>
                <w:rFonts w:ascii="Cambria Math" w:hAnsi="Cambria Math" w:cs="Arial"/>
                <w:sz w:val="24"/>
                <w:szCs w:val="24"/>
                <w:lang w:val="en-US"/>
              </w:rPr>
              <m:t>Total Assets</m:t>
            </m:r>
          </m:den>
        </m:f>
      </m:oMath>
    </w:p>
    <w:p w14:paraId="35E02DDC" w14:textId="17F4D81E" w:rsidR="00F02CB5" w:rsidRPr="005E7CC2" w:rsidRDefault="001D07E0" w:rsidP="005E7CC2">
      <w:pPr>
        <w:pStyle w:val="ListParagraph"/>
        <w:numPr>
          <w:ilvl w:val="0"/>
          <w:numId w:val="9"/>
        </w:numPr>
        <w:spacing w:line="360" w:lineRule="auto"/>
        <w:jc w:val="both"/>
        <w:rPr>
          <w:rFonts w:ascii="Arial" w:eastAsiaTheme="minorEastAsia" w:hAnsi="Arial" w:cs="Arial"/>
          <w:lang w:val="en-US"/>
        </w:rPr>
      </w:pPr>
      <w:r w:rsidRPr="005E7CC2">
        <w:rPr>
          <w:rFonts w:ascii="Arial" w:hAnsi="Arial" w:cs="Arial"/>
          <w:sz w:val="24"/>
          <w:szCs w:val="24"/>
          <w:lang w:val="en-US"/>
        </w:rPr>
        <w:t>B</w:t>
      </w:r>
      <w:r w:rsidR="00CA2804" w:rsidRPr="005E7CC2">
        <w:rPr>
          <w:rFonts w:ascii="Arial" w:hAnsi="Arial" w:cs="Arial"/>
          <w:sz w:val="24"/>
          <w:szCs w:val="24"/>
          <w:lang w:val="en-US"/>
        </w:rPr>
        <w:t xml:space="preserve">= </w:t>
      </w:r>
      <m:oMath>
        <m:f>
          <m:fPr>
            <m:ctrlPr>
              <w:rPr>
                <w:rFonts w:ascii="Cambria Math" w:hAnsi="Cambria Math" w:cs="Arial"/>
                <w:i/>
                <w:sz w:val="24"/>
                <w:szCs w:val="24"/>
                <w:lang w:val="en-US"/>
              </w:rPr>
            </m:ctrlPr>
          </m:fPr>
          <m:num>
            <m:r>
              <m:rPr>
                <m:sty m:val="p"/>
              </m:rPr>
              <w:rPr>
                <w:rFonts w:ascii="Cambria Math" w:hAnsi="Cambria Math" w:cs="Arial"/>
                <w:sz w:val="24"/>
                <w:szCs w:val="24"/>
              </w:rPr>
              <m:t>Retained Earnings</m:t>
            </m:r>
          </m:num>
          <m:den>
            <m:r>
              <m:rPr>
                <m:sty m:val="p"/>
              </m:rPr>
              <w:rPr>
                <w:rFonts w:ascii="Cambria Math" w:hAnsi="Cambria Math" w:cs="Arial"/>
                <w:sz w:val="24"/>
                <w:szCs w:val="24"/>
                <w:lang w:val="en-US"/>
              </w:rPr>
              <m:t>Total Assets</m:t>
            </m:r>
          </m:den>
        </m:f>
      </m:oMath>
    </w:p>
    <w:p w14:paraId="63831ACD" w14:textId="02E60A39" w:rsidR="00CA2804" w:rsidRPr="005E7CC2" w:rsidRDefault="002D0261" w:rsidP="005E7CC2">
      <w:pPr>
        <w:pStyle w:val="ListParagraph"/>
        <w:numPr>
          <w:ilvl w:val="0"/>
          <w:numId w:val="9"/>
        </w:numPr>
        <w:spacing w:line="360" w:lineRule="auto"/>
        <w:jc w:val="both"/>
        <w:rPr>
          <w:rFonts w:ascii="Arial" w:eastAsiaTheme="minorEastAsia" w:hAnsi="Arial" w:cs="Arial"/>
          <w:lang w:val="en-US"/>
        </w:rPr>
      </w:pPr>
      <w:r w:rsidRPr="005E7CC2">
        <w:rPr>
          <w:rFonts w:ascii="Arial" w:hAnsi="Arial" w:cs="Arial"/>
          <w:sz w:val="24"/>
          <w:szCs w:val="24"/>
          <w:lang w:val="en-US"/>
        </w:rPr>
        <w:t>C=</w:t>
      </w:r>
      <m:oMath>
        <m:r>
          <w:rPr>
            <w:rFonts w:ascii="Cambria Math" w:hAnsi="Cambria Math" w:cs="Arial"/>
            <w:sz w:val="28"/>
            <w:szCs w:val="28"/>
            <w:lang w:val="en-US"/>
          </w:rPr>
          <m:t xml:space="preserve"> </m:t>
        </m:r>
        <m:f>
          <m:fPr>
            <m:ctrlPr>
              <w:rPr>
                <w:rFonts w:ascii="Cambria Math" w:hAnsi="Cambria Math" w:cs="Arial"/>
                <w:i/>
                <w:sz w:val="24"/>
                <w:szCs w:val="24"/>
                <w:lang w:val="en-US"/>
              </w:rPr>
            </m:ctrlPr>
          </m:fPr>
          <m:num>
            <m:r>
              <m:rPr>
                <m:sty m:val="p"/>
              </m:rPr>
              <w:rPr>
                <w:rFonts w:ascii="Cambria Math" w:hAnsi="Cambria Math" w:cs="Arial"/>
                <w:sz w:val="24"/>
                <w:szCs w:val="24"/>
              </w:rPr>
              <m:t>EBIT</m:t>
            </m:r>
          </m:num>
          <m:den>
            <m:r>
              <m:rPr>
                <m:sty m:val="p"/>
              </m:rPr>
              <w:rPr>
                <w:rFonts w:ascii="Cambria Math" w:hAnsi="Cambria Math" w:cs="Arial"/>
                <w:sz w:val="24"/>
                <w:szCs w:val="24"/>
                <w:lang w:val="en-US"/>
              </w:rPr>
              <m:t>Total Assets</m:t>
            </m:r>
          </m:den>
        </m:f>
      </m:oMath>
    </w:p>
    <w:p w14:paraId="2C105077" w14:textId="12AF0959" w:rsidR="002D0261" w:rsidRPr="005E7CC2" w:rsidRDefault="00927D75" w:rsidP="005E7CC2">
      <w:pPr>
        <w:pStyle w:val="ListParagraph"/>
        <w:numPr>
          <w:ilvl w:val="0"/>
          <w:numId w:val="9"/>
        </w:numPr>
        <w:spacing w:line="360" w:lineRule="auto"/>
        <w:jc w:val="both"/>
        <w:rPr>
          <w:rFonts w:ascii="Arial" w:eastAsiaTheme="minorEastAsia" w:hAnsi="Arial" w:cs="Arial"/>
          <w:lang w:val="en-US"/>
        </w:rPr>
      </w:pPr>
      <w:r w:rsidRPr="005E7CC2">
        <w:rPr>
          <w:rFonts w:ascii="Arial" w:eastAsiaTheme="minorEastAsia" w:hAnsi="Arial" w:cs="Arial"/>
          <w:lang w:val="en-US"/>
        </w:rPr>
        <w:t xml:space="preserve">D= </w:t>
      </w:r>
      <m:oMath>
        <m:r>
          <w:rPr>
            <w:rFonts w:ascii="Cambria Math" w:hAnsi="Cambria Math" w:cs="Arial"/>
            <w:sz w:val="28"/>
            <w:szCs w:val="28"/>
            <w:lang w:val="en-US"/>
          </w:rPr>
          <m:t xml:space="preserve"> </m:t>
        </m:r>
        <m:f>
          <m:fPr>
            <m:ctrlPr>
              <w:rPr>
                <w:rFonts w:ascii="Cambria Math" w:hAnsi="Cambria Math" w:cs="Arial"/>
                <w:i/>
                <w:sz w:val="24"/>
                <w:szCs w:val="24"/>
                <w:lang w:val="en-US"/>
              </w:rPr>
            </m:ctrlPr>
          </m:fPr>
          <m:num>
            <m:r>
              <m:rPr>
                <m:sty m:val="p"/>
              </m:rPr>
              <w:rPr>
                <w:rFonts w:ascii="Cambria Math" w:hAnsi="Cambria Math" w:cs="Arial"/>
                <w:sz w:val="24"/>
                <w:szCs w:val="24"/>
              </w:rPr>
              <m:t>Market Value of Equity</m:t>
            </m:r>
          </m:num>
          <m:den>
            <m:r>
              <m:rPr>
                <m:sty m:val="p"/>
              </m:rPr>
              <w:rPr>
                <w:rFonts w:ascii="Cambria Math" w:hAnsi="Cambria Math" w:cs="Arial"/>
                <w:sz w:val="24"/>
                <w:szCs w:val="24"/>
                <w:lang w:val="en-US"/>
              </w:rPr>
              <m:t>Total Liability</m:t>
            </m:r>
          </m:den>
        </m:f>
      </m:oMath>
    </w:p>
    <w:p w14:paraId="6CE4CE8D" w14:textId="27A13C8D" w:rsidR="00C361EB" w:rsidRPr="005E7CC2" w:rsidRDefault="00C361EB" w:rsidP="005E7CC2">
      <w:pPr>
        <w:pStyle w:val="ListParagraph"/>
        <w:numPr>
          <w:ilvl w:val="0"/>
          <w:numId w:val="9"/>
        </w:numPr>
        <w:spacing w:line="360" w:lineRule="auto"/>
        <w:jc w:val="both"/>
        <w:rPr>
          <w:rFonts w:ascii="Arial" w:hAnsi="Arial" w:cs="Arial"/>
          <w:sz w:val="24"/>
          <w:szCs w:val="24"/>
          <w:lang w:val="en-US"/>
        </w:rPr>
      </w:pPr>
      <w:r w:rsidRPr="005E7CC2">
        <w:rPr>
          <w:rFonts w:ascii="Arial" w:eastAsiaTheme="minorEastAsia" w:hAnsi="Arial" w:cs="Arial"/>
          <w:lang w:val="en-US"/>
        </w:rPr>
        <w:t xml:space="preserve">E= </w:t>
      </w:r>
      <m:oMath>
        <m:r>
          <w:rPr>
            <w:rFonts w:ascii="Cambria Math" w:hAnsi="Cambria Math" w:cs="Arial"/>
            <w:sz w:val="28"/>
            <w:szCs w:val="28"/>
            <w:lang w:val="en-US"/>
          </w:rPr>
          <m:t xml:space="preserve"> </m:t>
        </m:r>
        <m:f>
          <m:fPr>
            <m:ctrlPr>
              <w:rPr>
                <w:rFonts w:ascii="Cambria Math" w:hAnsi="Cambria Math" w:cs="Arial"/>
                <w:i/>
                <w:sz w:val="24"/>
                <w:szCs w:val="24"/>
                <w:lang w:val="en-US"/>
              </w:rPr>
            </m:ctrlPr>
          </m:fPr>
          <m:num>
            <m:r>
              <m:rPr>
                <m:sty m:val="p"/>
              </m:rPr>
              <w:rPr>
                <w:rFonts w:ascii="Cambria Math" w:hAnsi="Cambria Math" w:cs="Arial"/>
                <w:sz w:val="24"/>
                <w:szCs w:val="24"/>
              </w:rPr>
              <m:t>Sales</m:t>
            </m:r>
          </m:num>
          <m:den>
            <m:r>
              <m:rPr>
                <m:sty m:val="p"/>
              </m:rPr>
              <w:rPr>
                <w:rFonts w:ascii="Cambria Math" w:hAnsi="Cambria Math" w:cs="Arial"/>
                <w:sz w:val="24"/>
                <w:szCs w:val="24"/>
                <w:lang w:val="en-US"/>
              </w:rPr>
              <m:t>Total Assets</m:t>
            </m:r>
          </m:den>
        </m:f>
      </m:oMath>
    </w:p>
    <w:p w14:paraId="06ABD0F4" w14:textId="77777777" w:rsidR="00901D93" w:rsidRDefault="00901D93" w:rsidP="00CD4561">
      <w:pPr>
        <w:spacing w:line="360" w:lineRule="auto"/>
        <w:jc w:val="both"/>
        <w:rPr>
          <w:rFonts w:ascii="Arial" w:hAnsi="Arial" w:cs="Arial"/>
          <w:b/>
          <w:bCs/>
          <w:sz w:val="24"/>
          <w:szCs w:val="24"/>
        </w:rPr>
      </w:pPr>
    </w:p>
    <w:p w14:paraId="04579D5F" w14:textId="3E3F6D15" w:rsidR="00CD4561" w:rsidRPr="009B4396" w:rsidRDefault="0089479C" w:rsidP="00CD4561">
      <w:pPr>
        <w:spacing w:line="360" w:lineRule="auto"/>
        <w:jc w:val="both"/>
        <w:rPr>
          <w:rFonts w:ascii="Arial" w:hAnsi="Arial" w:cs="Arial"/>
          <w:b/>
          <w:bCs/>
          <w:sz w:val="24"/>
          <w:szCs w:val="24"/>
        </w:rPr>
      </w:pPr>
      <w:r w:rsidRPr="009B4396">
        <w:rPr>
          <w:rFonts w:ascii="Arial" w:hAnsi="Arial" w:cs="Arial"/>
          <w:b/>
          <w:bCs/>
          <w:sz w:val="24"/>
          <w:szCs w:val="24"/>
        </w:rPr>
        <w:lastRenderedPageBreak/>
        <w:t>Required Proxies &amp; Assumptions:</w:t>
      </w:r>
    </w:p>
    <w:p w14:paraId="53566490" w14:textId="2C773003" w:rsidR="0089479C" w:rsidRDefault="00A86D67" w:rsidP="00CD4561">
      <w:pPr>
        <w:spacing w:line="360" w:lineRule="auto"/>
        <w:jc w:val="both"/>
        <w:rPr>
          <w:rFonts w:ascii="Arial" w:hAnsi="Arial" w:cs="Arial"/>
          <w:sz w:val="24"/>
          <w:szCs w:val="24"/>
        </w:rPr>
      </w:pPr>
      <w:r>
        <w:rPr>
          <w:rFonts w:ascii="Arial" w:hAnsi="Arial" w:cs="Arial"/>
          <w:b/>
          <w:bCs/>
          <w:sz w:val="24"/>
          <w:szCs w:val="24"/>
        </w:rPr>
        <w:t xml:space="preserve">1. </w:t>
      </w:r>
      <w:r w:rsidR="009B4396" w:rsidRPr="009B4396">
        <w:rPr>
          <w:rFonts w:ascii="Arial" w:hAnsi="Arial" w:cs="Arial"/>
          <w:b/>
          <w:bCs/>
          <w:sz w:val="24"/>
          <w:szCs w:val="24"/>
        </w:rPr>
        <w:t>EBIT:</w:t>
      </w:r>
      <w:r w:rsidR="009B4396" w:rsidRPr="009B4396">
        <w:rPr>
          <w:rFonts w:ascii="Arial" w:hAnsi="Arial" w:cs="Arial"/>
          <w:sz w:val="24"/>
          <w:szCs w:val="24"/>
        </w:rPr>
        <w:t xml:space="preserve"> Assumed to be Net Income (Loss) - Interest Expense + Tax Expense + Adjustments. Due to lack of full income statement data, we use a conservative proxy:</w:t>
      </w:r>
    </w:p>
    <w:p w14:paraId="2FB7E13B" w14:textId="118D5DE9" w:rsidR="00B96F81" w:rsidRPr="005A26AE" w:rsidRDefault="00B96F81" w:rsidP="005A26AE">
      <w:pPr>
        <w:spacing w:line="360" w:lineRule="auto"/>
        <w:jc w:val="center"/>
        <w:rPr>
          <w:rFonts w:ascii="Arial" w:hAnsi="Arial" w:cs="Arial"/>
          <w:sz w:val="24"/>
          <w:szCs w:val="24"/>
          <w:lang w:val="en-US"/>
        </w:rPr>
      </w:pPr>
      <w:r w:rsidRPr="009B4396">
        <w:rPr>
          <w:rFonts w:ascii="Arial" w:hAnsi="Arial" w:cs="Arial"/>
          <w:b/>
          <w:bCs/>
          <w:sz w:val="24"/>
          <w:szCs w:val="24"/>
        </w:rPr>
        <w:t>EBIT:</w:t>
      </w:r>
      <w:r>
        <w:rPr>
          <w:rFonts w:ascii="Arial" w:hAnsi="Arial" w:cs="Arial"/>
          <w:b/>
          <w:bCs/>
          <w:sz w:val="24"/>
          <w:szCs w:val="24"/>
        </w:rPr>
        <w:t xml:space="preserve"> </w:t>
      </w:r>
      <m:oMath>
        <m:r>
          <m:rPr>
            <m:sty m:val="bi"/>
          </m:rPr>
          <w:rPr>
            <w:rFonts w:ascii="Cambria Math" w:hAnsi="Cambria Math" w:cs="Arial"/>
            <w:sz w:val="24"/>
            <w:szCs w:val="24"/>
          </w:rPr>
          <m:t>≈</m:t>
        </m:r>
      </m:oMath>
      <w:r w:rsidRPr="005A26AE">
        <w:rPr>
          <w:rFonts w:ascii="Arial" w:hAnsi="Arial" w:cs="Arial"/>
          <w:sz w:val="24"/>
          <w:szCs w:val="24"/>
        </w:rPr>
        <w:t>Net Income – Deferred Tax – Accrued Income Tax</w:t>
      </w:r>
    </w:p>
    <w:p w14:paraId="43169D32" w14:textId="46A7CC8F" w:rsidR="009B4396" w:rsidRDefault="00A86D67" w:rsidP="00CD4561">
      <w:pPr>
        <w:spacing w:line="360" w:lineRule="auto"/>
        <w:jc w:val="both"/>
        <w:rPr>
          <w:rFonts w:ascii="Arial" w:hAnsi="Arial" w:cs="Arial"/>
          <w:sz w:val="24"/>
          <w:szCs w:val="24"/>
        </w:rPr>
      </w:pPr>
      <w:r w:rsidRPr="00A86D67">
        <w:rPr>
          <w:rFonts w:ascii="Arial" w:hAnsi="Arial" w:cs="Arial"/>
          <w:b/>
          <w:bCs/>
          <w:sz w:val="24"/>
          <w:szCs w:val="24"/>
        </w:rPr>
        <w:t>2. Working Capital:</w:t>
      </w:r>
      <w:r w:rsidRPr="00A86D67">
        <w:rPr>
          <w:rFonts w:ascii="Arial" w:hAnsi="Arial" w:cs="Arial"/>
          <w:sz w:val="24"/>
          <w:szCs w:val="24"/>
        </w:rPr>
        <w:t xml:space="preserve"> Calculated as Current Assets</w:t>
      </w:r>
      <w:r>
        <w:rPr>
          <w:rFonts w:ascii="Arial" w:hAnsi="Arial" w:cs="Arial"/>
          <w:sz w:val="24"/>
          <w:szCs w:val="24"/>
        </w:rPr>
        <w:t xml:space="preserve"> </w:t>
      </w:r>
      <w:r w:rsidRPr="00A86D67">
        <w:rPr>
          <w:rFonts w:ascii="Arial" w:hAnsi="Arial" w:cs="Arial"/>
          <w:sz w:val="24"/>
          <w:szCs w:val="24"/>
        </w:rPr>
        <w:t>-</w:t>
      </w:r>
      <w:r>
        <w:rPr>
          <w:rFonts w:ascii="Arial" w:hAnsi="Arial" w:cs="Arial"/>
          <w:sz w:val="24"/>
          <w:szCs w:val="24"/>
        </w:rPr>
        <w:t xml:space="preserve"> </w:t>
      </w:r>
      <w:r w:rsidRPr="00A86D67">
        <w:rPr>
          <w:rFonts w:ascii="Arial" w:hAnsi="Arial" w:cs="Arial"/>
          <w:sz w:val="24"/>
          <w:szCs w:val="24"/>
        </w:rPr>
        <w:t>Current Liabilities.</w:t>
      </w:r>
    </w:p>
    <w:tbl>
      <w:tblPr>
        <w:tblStyle w:val="TableGrid"/>
        <w:tblW w:w="0" w:type="auto"/>
        <w:tblLook w:val="04A0" w:firstRow="1" w:lastRow="0" w:firstColumn="1" w:lastColumn="0" w:noHBand="0" w:noVBand="1"/>
      </w:tblPr>
      <w:tblGrid>
        <w:gridCol w:w="706"/>
        <w:gridCol w:w="1093"/>
        <w:gridCol w:w="1032"/>
        <w:gridCol w:w="1228"/>
        <w:gridCol w:w="1374"/>
        <w:gridCol w:w="1300"/>
        <w:gridCol w:w="1175"/>
        <w:gridCol w:w="1108"/>
      </w:tblGrid>
      <w:tr w:rsidR="00D670CC" w:rsidRPr="00D670CC" w14:paraId="2926C4C0" w14:textId="77777777" w:rsidTr="00D670CC">
        <w:tc>
          <w:tcPr>
            <w:tcW w:w="0" w:type="auto"/>
            <w:hideMark/>
          </w:tcPr>
          <w:p w14:paraId="196820FC"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Year</w:t>
            </w:r>
          </w:p>
        </w:tc>
        <w:tc>
          <w:tcPr>
            <w:tcW w:w="0" w:type="auto"/>
            <w:hideMark/>
          </w:tcPr>
          <w:p w14:paraId="4AC626C2"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A (WC/TA)</w:t>
            </w:r>
          </w:p>
        </w:tc>
        <w:tc>
          <w:tcPr>
            <w:tcW w:w="0" w:type="auto"/>
            <w:hideMark/>
          </w:tcPr>
          <w:p w14:paraId="2EC9B7B2"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B (RE/TA)</w:t>
            </w:r>
          </w:p>
        </w:tc>
        <w:tc>
          <w:tcPr>
            <w:tcW w:w="0" w:type="auto"/>
            <w:hideMark/>
          </w:tcPr>
          <w:p w14:paraId="0B98EBA1"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C (EBIT/TA)</w:t>
            </w:r>
          </w:p>
        </w:tc>
        <w:tc>
          <w:tcPr>
            <w:tcW w:w="0" w:type="auto"/>
            <w:hideMark/>
          </w:tcPr>
          <w:p w14:paraId="0494294D"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D (Equity/TL)</w:t>
            </w:r>
          </w:p>
        </w:tc>
        <w:tc>
          <w:tcPr>
            <w:tcW w:w="0" w:type="auto"/>
            <w:hideMark/>
          </w:tcPr>
          <w:p w14:paraId="43013016"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E (Sales/TA)</w:t>
            </w:r>
          </w:p>
        </w:tc>
        <w:tc>
          <w:tcPr>
            <w:tcW w:w="0" w:type="auto"/>
            <w:hideMark/>
          </w:tcPr>
          <w:p w14:paraId="1F9E8FEA"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Z-Score (1.2A+...)</w:t>
            </w:r>
          </w:p>
        </w:tc>
        <w:tc>
          <w:tcPr>
            <w:tcW w:w="0" w:type="auto"/>
            <w:hideMark/>
          </w:tcPr>
          <w:p w14:paraId="2103C845"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Distress Zone</w:t>
            </w:r>
          </w:p>
        </w:tc>
      </w:tr>
      <w:tr w:rsidR="00D670CC" w:rsidRPr="00D670CC" w14:paraId="50E50204" w14:textId="77777777" w:rsidTr="00D670CC">
        <w:tc>
          <w:tcPr>
            <w:tcW w:w="0" w:type="auto"/>
            <w:hideMark/>
          </w:tcPr>
          <w:p w14:paraId="4F56D0BE"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2024</w:t>
            </w:r>
          </w:p>
        </w:tc>
        <w:tc>
          <w:tcPr>
            <w:tcW w:w="0" w:type="auto"/>
            <w:hideMark/>
          </w:tcPr>
          <w:p w14:paraId="5092DE71"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0.20</w:t>
            </w:r>
          </w:p>
        </w:tc>
        <w:tc>
          <w:tcPr>
            <w:tcW w:w="0" w:type="auto"/>
            <w:hideMark/>
          </w:tcPr>
          <w:p w14:paraId="2D6C7197"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0.64</w:t>
            </w:r>
          </w:p>
        </w:tc>
        <w:tc>
          <w:tcPr>
            <w:tcW w:w="0" w:type="auto"/>
            <w:hideMark/>
          </w:tcPr>
          <w:p w14:paraId="344E6DD8" w14:textId="49C8A77F"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-0.09</w:t>
            </w:r>
          </w:p>
        </w:tc>
        <w:tc>
          <w:tcPr>
            <w:tcW w:w="0" w:type="auto"/>
            <w:hideMark/>
          </w:tcPr>
          <w:p w14:paraId="3FD8D5F4"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0.46</w:t>
            </w:r>
          </w:p>
        </w:tc>
        <w:tc>
          <w:tcPr>
            <w:tcW w:w="0" w:type="auto"/>
            <w:hideMark/>
          </w:tcPr>
          <w:p w14:paraId="7C94CD59"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N/A</w:t>
            </w:r>
          </w:p>
        </w:tc>
        <w:tc>
          <w:tcPr>
            <w:tcW w:w="0" w:type="auto"/>
            <w:hideMark/>
          </w:tcPr>
          <w:p w14:paraId="7396DC1F" w14:textId="77777777" w:rsidR="00D670CC" w:rsidRPr="002A56B6" w:rsidRDefault="00D670CC" w:rsidP="00D670CC">
            <w:pPr>
              <w:spacing w:line="360" w:lineRule="auto"/>
              <w:jc w:val="both"/>
              <w:rPr>
                <w:rFonts w:ascii="Arial" w:hAnsi="Arial" w:cs="Arial"/>
                <w:lang w:val="en-US"/>
              </w:rPr>
            </w:pPr>
            <w:r w:rsidRPr="002A56B6">
              <w:rPr>
                <w:rFonts w:ascii="Arial" w:hAnsi="Arial" w:cs="Arial"/>
                <w:lang w:val="en-US"/>
              </w:rPr>
              <w:t>N/A</w:t>
            </w:r>
          </w:p>
        </w:tc>
        <w:tc>
          <w:tcPr>
            <w:tcW w:w="0" w:type="auto"/>
            <w:hideMark/>
          </w:tcPr>
          <w:p w14:paraId="7D8776C9"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N/A</w:t>
            </w:r>
          </w:p>
        </w:tc>
      </w:tr>
      <w:tr w:rsidR="00D670CC" w:rsidRPr="00D670CC" w14:paraId="10C2D890" w14:textId="77777777" w:rsidTr="00D670CC">
        <w:tc>
          <w:tcPr>
            <w:tcW w:w="0" w:type="auto"/>
            <w:hideMark/>
          </w:tcPr>
          <w:p w14:paraId="7C8B3D2C" w14:textId="77777777"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2023</w:t>
            </w:r>
          </w:p>
        </w:tc>
        <w:tc>
          <w:tcPr>
            <w:tcW w:w="0" w:type="auto"/>
            <w:hideMark/>
          </w:tcPr>
          <w:p w14:paraId="04B6CC81"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0.15</w:t>
            </w:r>
          </w:p>
        </w:tc>
        <w:tc>
          <w:tcPr>
            <w:tcW w:w="0" w:type="auto"/>
            <w:hideMark/>
          </w:tcPr>
          <w:p w14:paraId="73D02CBA"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0.77</w:t>
            </w:r>
          </w:p>
        </w:tc>
        <w:tc>
          <w:tcPr>
            <w:tcW w:w="0" w:type="auto"/>
            <w:hideMark/>
          </w:tcPr>
          <w:p w14:paraId="1450E0CC" w14:textId="5987E112" w:rsidR="00D670CC" w:rsidRPr="00D670CC" w:rsidRDefault="00D670CC" w:rsidP="00D670CC">
            <w:pPr>
              <w:spacing w:line="360" w:lineRule="auto"/>
              <w:jc w:val="both"/>
              <w:rPr>
                <w:rFonts w:ascii="Arial" w:hAnsi="Arial" w:cs="Arial"/>
                <w:lang w:val="en-US"/>
              </w:rPr>
            </w:pPr>
            <w:r w:rsidRPr="00D670CC">
              <w:rPr>
                <w:rFonts w:ascii="Arial" w:hAnsi="Arial" w:cs="Arial"/>
                <w:b/>
                <w:bCs/>
                <w:lang w:val="en-US"/>
              </w:rPr>
              <w:t>-0.31</w:t>
            </w:r>
          </w:p>
        </w:tc>
        <w:tc>
          <w:tcPr>
            <w:tcW w:w="0" w:type="auto"/>
            <w:hideMark/>
          </w:tcPr>
          <w:p w14:paraId="7DCCA415"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0.48</w:t>
            </w:r>
          </w:p>
        </w:tc>
        <w:tc>
          <w:tcPr>
            <w:tcW w:w="0" w:type="auto"/>
            <w:hideMark/>
          </w:tcPr>
          <w:p w14:paraId="2EBFBFC0" w14:textId="77777777" w:rsidR="00D670CC" w:rsidRPr="00D670CC" w:rsidRDefault="00D670CC" w:rsidP="00D670CC">
            <w:pPr>
              <w:spacing w:line="360" w:lineRule="auto"/>
              <w:jc w:val="both"/>
              <w:rPr>
                <w:rFonts w:ascii="Arial" w:hAnsi="Arial" w:cs="Arial"/>
                <w:lang w:val="en-US"/>
              </w:rPr>
            </w:pPr>
            <w:r w:rsidRPr="00D670CC">
              <w:rPr>
                <w:rFonts w:ascii="Arial" w:hAnsi="Arial" w:cs="Arial"/>
                <w:lang w:val="en-US"/>
              </w:rPr>
              <w:t>N/A</w:t>
            </w:r>
          </w:p>
        </w:tc>
        <w:tc>
          <w:tcPr>
            <w:tcW w:w="0" w:type="auto"/>
            <w:hideMark/>
          </w:tcPr>
          <w:p w14:paraId="0D2C07FD" w14:textId="77777777" w:rsidR="00D670CC" w:rsidRPr="002A56B6" w:rsidRDefault="00D670CC" w:rsidP="00D670CC">
            <w:pPr>
              <w:spacing w:line="360" w:lineRule="auto"/>
              <w:jc w:val="both"/>
              <w:rPr>
                <w:rFonts w:ascii="Arial" w:hAnsi="Arial" w:cs="Arial"/>
                <w:lang w:val="en-US"/>
              </w:rPr>
            </w:pPr>
            <w:r w:rsidRPr="002A56B6">
              <w:rPr>
                <w:rFonts w:ascii="Arial" w:hAnsi="Arial" w:cs="Arial"/>
                <w:lang w:val="en-US"/>
              </w:rPr>
              <w:t>N/A</w:t>
            </w:r>
          </w:p>
        </w:tc>
        <w:tc>
          <w:tcPr>
            <w:tcW w:w="0" w:type="auto"/>
            <w:hideMark/>
          </w:tcPr>
          <w:p w14:paraId="6D3B2337" w14:textId="77777777" w:rsidR="00D670CC" w:rsidRPr="00D670CC" w:rsidRDefault="00D670CC" w:rsidP="002A56B6">
            <w:pPr>
              <w:keepNext/>
              <w:spacing w:line="360" w:lineRule="auto"/>
              <w:jc w:val="both"/>
              <w:rPr>
                <w:rFonts w:ascii="Arial" w:hAnsi="Arial" w:cs="Arial"/>
                <w:lang w:val="en-US"/>
              </w:rPr>
            </w:pPr>
            <w:r w:rsidRPr="00D670CC">
              <w:rPr>
                <w:rFonts w:ascii="Arial" w:hAnsi="Arial" w:cs="Arial"/>
                <w:lang w:val="en-US"/>
              </w:rPr>
              <w:t>N/A</w:t>
            </w:r>
          </w:p>
        </w:tc>
      </w:tr>
    </w:tbl>
    <w:p w14:paraId="7862948E" w14:textId="39595F33" w:rsidR="00A86D67" w:rsidRDefault="002A56B6" w:rsidP="002A56B6">
      <w:pPr>
        <w:pStyle w:val="Caption"/>
        <w:rPr>
          <w:rFonts w:ascii="Arial" w:hAnsi="Arial" w:cs="Arial"/>
          <w:sz w:val="24"/>
          <w:szCs w:val="24"/>
        </w:rPr>
      </w:pPr>
      <w:bookmarkStart w:id="10" w:name="_Toc214748981"/>
      <w:bookmarkStart w:id="11" w:name="_Toc214749058"/>
      <w:r>
        <w:t xml:space="preserve">Table </w:t>
      </w:r>
      <w:r>
        <w:fldChar w:fldCharType="begin"/>
      </w:r>
      <w:r>
        <w:instrText xml:space="preserve"> SEQ Table \* ARABIC </w:instrText>
      </w:r>
      <w:r>
        <w:fldChar w:fldCharType="separate"/>
      </w:r>
      <w:r w:rsidR="002D7440">
        <w:rPr>
          <w:noProof/>
        </w:rPr>
        <w:t>3</w:t>
      </w:r>
      <w:r>
        <w:fldChar w:fldCharType="end"/>
      </w:r>
      <w:r>
        <w:t xml:space="preserve">: </w:t>
      </w:r>
      <w:r w:rsidRPr="00902EF1">
        <w:t>Working Capital</w:t>
      </w:r>
      <w:r>
        <w:t xml:space="preserve"> Calculation</w:t>
      </w:r>
      <w:bookmarkEnd w:id="10"/>
      <w:bookmarkEnd w:id="11"/>
    </w:p>
    <w:p w14:paraId="4A51D382" w14:textId="06A645B0" w:rsidR="00E818EE" w:rsidRPr="00E818EE" w:rsidRDefault="00EE7478" w:rsidP="00E818EE">
      <w:pPr>
        <w:spacing w:line="360" w:lineRule="auto"/>
        <w:jc w:val="both"/>
        <w:rPr>
          <w:rFonts w:ascii="Arial" w:hAnsi="Arial" w:cs="Arial"/>
          <w:b/>
          <w:bCs/>
          <w:sz w:val="24"/>
          <w:szCs w:val="24"/>
          <w:lang w:val="en-US"/>
        </w:rPr>
      </w:pPr>
      <w:r w:rsidRPr="00EE7478">
        <w:rPr>
          <w:rFonts w:ascii="Arial" w:hAnsi="Arial" w:cs="Arial"/>
          <w:b/>
          <w:bCs/>
          <w:sz w:val="24"/>
          <w:szCs w:val="24"/>
          <w:lang w:val="en-US"/>
        </w:rPr>
        <w:t>Qualitative Altman Analysis (Focus on B &amp; C):</w:t>
      </w:r>
    </w:p>
    <w:p w14:paraId="402C08F4" w14:textId="35261269" w:rsidR="00E818EE" w:rsidRPr="00644E4D" w:rsidRDefault="00E818EE" w:rsidP="00644E4D">
      <w:pPr>
        <w:pStyle w:val="ListParagraph"/>
        <w:numPr>
          <w:ilvl w:val="0"/>
          <w:numId w:val="10"/>
        </w:numPr>
        <w:spacing w:line="360" w:lineRule="auto"/>
        <w:jc w:val="both"/>
        <w:rPr>
          <w:rFonts w:ascii="Arial" w:hAnsi="Arial" w:cs="Arial"/>
          <w:sz w:val="24"/>
          <w:szCs w:val="24"/>
          <w:lang w:val="en-US"/>
        </w:rPr>
      </w:pPr>
      <w:r w:rsidRPr="00644E4D">
        <w:rPr>
          <w:rFonts w:ascii="Arial" w:hAnsi="Arial" w:cs="Arial"/>
          <w:b/>
          <w:bCs/>
          <w:sz w:val="24"/>
          <w:szCs w:val="24"/>
          <w:lang w:val="en-US"/>
        </w:rPr>
        <w:t>Factor B (Retained Earnings</w:t>
      </w:r>
      <w:r w:rsidR="00BF270C" w:rsidRPr="00644E4D">
        <w:rPr>
          <w:rFonts w:ascii="Arial" w:hAnsi="Arial" w:cs="Arial"/>
          <w:b/>
          <w:bCs/>
          <w:sz w:val="24"/>
          <w:szCs w:val="24"/>
          <w:lang w:val="en-US"/>
        </w:rPr>
        <w:t xml:space="preserve"> / </w:t>
      </w:r>
      <w:r w:rsidRPr="00644E4D">
        <w:rPr>
          <w:rFonts w:ascii="Arial" w:hAnsi="Arial" w:cs="Arial"/>
          <w:b/>
          <w:bCs/>
          <w:sz w:val="24"/>
          <w:szCs w:val="24"/>
          <w:lang w:val="en-US"/>
        </w:rPr>
        <w:t>Total Assets):</w:t>
      </w:r>
      <w:r w:rsidRPr="00644E4D">
        <w:rPr>
          <w:rFonts w:ascii="Arial" w:hAnsi="Arial" w:cs="Arial"/>
          <w:sz w:val="24"/>
          <w:szCs w:val="24"/>
          <w:lang w:val="en-US"/>
        </w:rPr>
        <w:t xml:space="preserve"> This factor remains rather high at present due to the high historical profits </w:t>
      </w:r>
      <w:r w:rsidR="00BF270C" w:rsidRPr="00644E4D">
        <w:rPr>
          <w:rFonts w:ascii="Arial" w:hAnsi="Arial" w:cs="Arial"/>
          <w:sz w:val="24"/>
          <w:szCs w:val="24"/>
          <w:lang w:val="en-US"/>
        </w:rPr>
        <w:t>(Retained</w:t>
      </w:r>
      <w:r w:rsidRPr="00644E4D">
        <w:rPr>
          <w:rFonts w:ascii="Arial" w:hAnsi="Arial" w:cs="Arial"/>
          <w:sz w:val="24"/>
          <w:szCs w:val="24"/>
          <w:lang w:val="en-US"/>
        </w:rPr>
        <w:t xml:space="preserve"> Earnings of text 208bn) only. This cushion of history is fast fading away through subsequent losses.</w:t>
      </w:r>
    </w:p>
    <w:p w14:paraId="7460539A" w14:textId="5D8031F7" w:rsidR="00E818EE" w:rsidRPr="00644E4D" w:rsidRDefault="00E818EE" w:rsidP="00644E4D">
      <w:pPr>
        <w:pStyle w:val="ListParagraph"/>
        <w:numPr>
          <w:ilvl w:val="0"/>
          <w:numId w:val="10"/>
        </w:numPr>
        <w:spacing w:line="360" w:lineRule="auto"/>
        <w:jc w:val="both"/>
        <w:rPr>
          <w:rFonts w:ascii="Arial" w:hAnsi="Arial" w:cs="Arial"/>
          <w:sz w:val="24"/>
          <w:szCs w:val="24"/>
          <w:lang w:val="en-US"/>
        </w:rPr>
      </w:pPr>
      <w:r w:rsidRPr="00644E4D">
        <w:rPr>
          <w:rFonts w:ascii="Arial" w:hAnsi="Arial" w:cs="Arial"/>
          <w:b/>
          <w:bCs/>
          <w:sz w:val="24"/>
          <w:szCs w:val="24"/>
          <w:lang w:val="en-US"/>
        </w:rPr>
        <w:t>Factor C (EBIT</w:t>
      </w:r>
      <w:r w:rsidR="002F227A" w:rsidRPr="00644E4D">
        <w:rPr>
          <w:rFonts w:ascii="Arial" w:hAnsi="Arial" w:cs="Arial"/>
          <w:b/>
          <w:bCs/>
          <w:sz w:val="24"/>
          <w:szCs w:val="24"/>
          <w:lang w:val="en-US"/>
        </w:rPr>
        <w:t xml:space="preserve"> </w:t>
      </w:r>
      <w:r w:rsidRPr="00644E4D">
        <w:rPr>
          <w:rFonts w:ascii="Arial" w:hAnsi="Arial" w:cs="Arial"/>
          <w:b/>
          <w:bCs/>
          <w:sz w:val="24"/>
          <w:szCs w:val="24"/>
          <w:lang w:val="en-US"/>
        </w:rPr>
        <w:t>/</w:t>
      </w:r>
      <w:r w:rsidR="002F227A" w:rsidRPr="00644E4D">
        <w:rPr>
          <w:rFonts w:ascii="Arial" w:hAnsi="Arial" w:cs="Arial"/>
          <w:b/>
          <w:bCs/>
          <w:sz w:val="24"/>
          <w:szCs w:val="24"/>
          <w:lang w:val="en-US"/>
        </w:rPr>
        <w:t xml:space="preserve"> </w:t>
      </w:r>
      <w:r w:rsidRPr="00644E4D">
        <w:rPr>
          <w:rFonts w:ascii="Arial" w:hAnsi="Arial" w:cs="Arial"/>
          <w:b/>
          <w:bCs/>
          <w:sz w:val="24"/>
          <w:szCs w:val="24"/>
          <w:lang w:val="en-US"/>
        </w:rPr>
        <w:t>Total Assets)</w:t>
      </w:r>
      <w:r w:rsidR="002F227A" w:rsidRPr="00644E4D">
        <w:rPr>
          <w:rFonts w:ascii="Arial" w:hAnsi="Arial" w:cs="Arial"/>
          <w:b/>
          <w:bCs/>
          <w:sz w:val="24"/>
          <w:szCs w:val="24"/>
          <w:lang w:val="en-US"/>
        </w:rPr>
        <w:t>:</w:t>
      </w:r>
      <w:r w:rsidRPr="00644E4D">
        <w:rPr>
          <w:rFonts w:ascii="Arial" w:hAnsi="Arial" w:cs="Arial"/>
          <w:sz w:val="24"/>
          <w:szCs w:val="24"/>
          <w:lang w:val="en-US"/>
        </w:rPr>
        <w:t xml:space="preserve"> EBIT/TA is the most significant factor that is very negative (-0.09 in 2024 and -0.31 in 2023). The highest weight is on this ratio (3.3 times), which proves that the operations underlying it are value-destroying and this is the major cause of default risk.</w:t>
      </w:r>
    </w:p>
    <w:p w14:paraId="2E74286B" w14:textId="77777777" w:rsidR="00E818EE" w:rsidRDefault="00E818EE" w:rsidP="00E818EE">
      <w:pPr>
        <w:spacing w:line="360" w:lineRule="auto"/>
        <w:jc w:val="both"/>
        <w:rPr>
          <w:rFonts w:ascii="Arial" w:hAnsi="Arial" w:cs="Arial"/>
          <w:sz w:val="24"/>
          <w:szCs w:val="24"/>
          <w:lang w:val="en-US"/>
        </w:rPr>
      </w:pPr>
      <w:r w:rsidRPr="00E818EE">
        <w:rPr>
          <w:rFonts w:ascii="Arial" w:hAnsi="Arial" w:cs="Arial"/>
          <w:b/>
          <w:bCs/>
          <w:sz w:val="24"/>
          <w:szCs w:val="24"/>
          <w:lang w:val="en-US"/>
        </w:rPr>
        <w:t>Z-Score Conclusion:</w:t>
      </w:r>
      <w:r w:rsidRPr="00E818EE">
        <w:rPr>
          <w:rFonts w:ascii="Arial" w:hAnsi="Arial" w:cs="Arial"/>
          <w:sz w:val="24"/>
          <w:szCs w:val="24"/>
          <w:lang w:val="en-US"/>
        </w:rPr>
        <w:t xml:space="preserve"> Assuming the worst-case scenario, where the ratio of Sales to Total Assets (E) equals 1.0, which is typical for large companies, the negative impact of Factor C would significantly lower the score below the distress level of 1.81.</w:t>
      </w:r>
    </w:p>
    <w:p w14:paraId="3E48C7D4" w14:textId="1B248DD7" w:rsidR="00644E4D" w:rsidRDefault="005F2141" w:rsidP="00044D2A">
      <w:pPr>
        <w:spacing w:line="360" w:lineRule="auto"/>
        <w:jc w:val="center"/>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Z-Score</m:t>
            </m:r>
          </m:e>
          <m:sub>
            <m:r>
              <w:rPr>
                <w:rFonts w:ascii="Cambria Math" w:hAnsi="Cambria Math" w:cs="Arial"/>
                <w:sz w:val="24"/>
                <w:szCs w:val="24"/>
                <w:lang w:val="en-US"/>
              </w:rPr>
              <m:t>2024</m:t>
            </m:r>
          </m:sub>
        </m:sSub>
        <m:r>
          <w:rPr>
            <w:rFonts w:ascii="Cambria Math" w:eastAsiaTheme="minorEastAsia" w:hAnsi="Cambria Math" w:cs="Arial"/>
            <w:sz w:val="24"/>
            <w:szCs w:val="24"/>
            <w:lang w:val="en-US"/>
          </w:rPr>
          <m:t>≈</m:t>
        </m:r>
      </m:oMath>
      <w:r w:rsidR="0098183F">
        <w:rPr>
          <w:rFonts w:ascii="Arial" w:eastAsiaTheme="minorEastAsia" w:hAnsi="Arial" w:cs="Arial"/>
          <w:sz w:val="24"/>
          <w:szCs w:val="24"/>
          <w:lang w:val="en-US"/>
        </w:rPr>
        <w:t>1.2</w:t>
      </w:r>
      <w:r w:rsidR="0098161B">
        <w:rPr>
          <w:rFonts w:ascii="Arial" w:eastAsiaTheme="minorEastAsia" w:hAnsi="Arial" w:cs="Arial"/>
          <w:sz w:val="24"/>
          <w:szCs w:val="24"/>
          <w:lang w:val="en-US"/>
        </w:rPr>
        <w:t xml:space="preserve"> (0.20) + 1.4 (0.64) + 3.3 (-0.0</w:t>
      </w:r>
      <w:r w:rsidR="000F5354">
        <w:rPr>
          <w:rFonts w:ascii="Arial" w:eastAsiaTheme="minorEastAsia" w:hAnsi="Arial" w:cs="Arial"/>
          <w:sz w:val="24"/>
          <w:szCs w:val="24"/>
          <w:lang w:val="en-US"/>
        </w:rPr>
        <w:t>9) + 0.6 (0.46) + 1.0 (1.0)</w:t>
      </w:r>
      <w:r w:rsidR="00044D2A">
        <w:rPr>
          <w:rFonts w:ascii="Arial" w:eastAsiaTheme="minorEastAsia" w:hAnsi="Arial" w:cs="Arial"/>
          <w:sz w:val="24"/>
          <w:szCs w:val="24"/>
          <w:lang w:val="en-US"/>
        </w:rPr>
        <w:t xml:space="preserve"> </w:t>
      </w:r>
      <m:oMath>
        <m:r>
          <w:rPr>
            <w:rFonts w:ascii="Cambria Math" w:eastAsiaTheme="minorEastAsia" w:hAnsi="Cambria Math" w:cs="Arial"/>
            <w:sz w:val="24"/>
            <w:szCs w:val="24"/>
            <w:lang w:val="en-US"/>
          </w:rPr>
          <m:t>≈</m:t>
        </m:r>
      </m:oMath>
      <w:r w:rsidR="00044D2A">
        <w:rPr>
          <w:rFonts w:ascii="Arial" w:eastAsiaTheme="minorEastAsia" w:hAnsi="Arial" w:cs="Arial"/>
          <w:sz w:val="24"/>
          <w:szCs w:val="24"/>
          <w:lang w:val="en-US"/>
        </w:rPr>
        <w:t xml:space="preserve"> 1.90</w:t>
      </w:r>
    </w:p>
    <w:p w14:paraId="393F52E2" w14:textId="496C3B2F" w:rsidR="00E818EE" w:rsidRPr="00E818EE" w:rsidRDefault="00E818EE" w:rsidP="00E818EE">
      <w:pPr>
        <w:spacing w:line="360" w:lineRule="auto"/>
        <w:jc w:val="both"/>
        <w:rPr>
          <w:rFonts w:ascii="Arial" w:hAnsi="Arial" w:cs="Arial"/>
          <w:sz w:val="24"/>
          <w:szCs w:val="24"/>
          <w:lang w:val="en-US"/>
        </w:rPr>
      </w:pPr>
      <w:r w:rsidRPr="00E818EE">
        <w:rPr>
          <w:rFonts w:ascii="Arial" w:hAnsi="Arial" w:cs="Arial"/>
          <w:sz w:val="24"/>
          <w:szCs w:val="24"/>
          <w:lang w:val="en-US"/>
        </w:rPr>
        <w:t>GE is in the Grey Zone with a score of about 1.90 having a range of 1.81 to 2.99. This is an indication that the company is on its deathbed and that it has an average to high likelihood of going into bankruptcy in the next two years unless the company's core profitability (Factor C) is raised immediately. This is in line with the huge loss in its ROE as well as the D/E Ratio of the firm, which stands at 1.11.</w:t>
      </w:r>
    </w:p>
    <w:p w14:paraId="52ECC201" w14:textId="77777777" w:rsidR="00741828" w:rsidRDefault="00741828">
      <w:pPr>
        <w:spacing w:after="160" w:line="278" w:lineRule="auto"/>
        <w:rPr>
          <w:rStyle w:val="Heading1Char"/>
        </w:rPr>
      </w:pPr>
      <w:r>
        <w:rPr>
          <w:rStyle w:val="Heading1Char"/>
          <w:b w:val="0"/>
        </w:rPr>
        <w:br w:type="page"/>
      </w:r>
    </w:p>
    <w:p w14:paraId="33F379C8" w14:textId="5E89436E" w:rsidR="00CD4561" w:rsidRPr="003227C7" w:rsidRDefault="00840E24" w:rsidP="00CD4561">
      <w:pPr>
        <w:pStyle w:val="Heading1"/>
      </w:pPr>
      <w:bookmarkStart w:id="12" w:name="_Toc214748965"/>
      <w:r w:rsidRPr="00840E24">
        <w:rPr>
          <w:rStyle w:val="Heading1Char"/>
          <w:b/>
        </w:rPr>
        <w:lastRenderedPageBreak/>
        <w:t>2.</w:t>
      </w:r>
      <w:r>
        <w:rPr>
          <w:rStyle w:val="Heading1Char"/>
          <w:b/>
        </w:rPr>
        <w:t xml:space="preserve"> </w:t>
      </w:r>
      <w:r w:rsidRPr="00840E24">
        <w:rPr>
          <w:rStyle w:val="Heading1Char"/>
          <w:b/>
        </w:rPr>
        <w:t>Working Capital Management Analysis</w:t>
      </w:r>
      <w:bookmarkEnd w:id="12"/>
    </w:p>
    <w:p w14:paraId="097EEF49" w14:textId="77777777" w:rsidR="006D0CF6" w:rsidRPr="006D0CF6" w:rsidRDefault="006D0CF6" w:rsidP="006D0CF6">
      <w:pPr>
        <w:spacing w:before="240" w:line="360" w:lineRule="auto"/>
        <w:jc w:val="both"/>
        <w:rPr>
          <w:rFonts w:ascii="Arial" w:hAnsi="Arial" w:cs="Arial"/>
          <w:bCs/>
          <w:sz w:val="24"/>
          <w:szCs w:val="24"/>
          <w:lang w:val="en-US"/>
        </w:rPr>
      </w:pPr>
      <w:r w:rsidRPr="006D0CF6">
        <w:rPr>
          <w:rFonts w:ascii="Arial" w:hAnsi="Arial" w:cs="Arial"/>
          <w:bCs/>
          <w:sz w:val="24"/>
          <w:szCs w:val="24"/>
          <w:lang w:val="en-US"/>
        </w:rPr>
        <w:t>Working Capital Management (WCM) plays a crucial role in avoiding corporate collapse; the inability to manage liquidity is a key factor that leads to such a collapse, despite the profitability of the firms (ACCA Global, 2024). The financial status of GE requires a vigorous strategy of WCM to raise cash out of its colossal current assets.</w:t>
      </w:r>
    </w:p>
    <w:p w14:paraId="65AE6802" w14:textId="183974C2" w:rsidR="006D0CF6" w:rsidRPr="006D0CF6" w:rsidRDefault="00741828" w:rsidP="00741828">
      <w:pPr>
        <w:pStyle w:val="Heading2"/>
        <w:rPr>
          <w:lang w:val="en-US"/>
        </w:rPr>
      </w:pPr>
      <w:bookmarkStart w:id="13" w:name="_Toc214748966"/>
      <w:r>
        <w:rPr>
          <w:lang w:val="en-US"/>
        </w:rPr>
        <w:t>2.1</w:t>
      </w:r>
      <w:r w:rsidR="006D0CF6" w:rsidRPr="006D0CF6">
        <w:rPr>
          <w:lang w:val="en-US"/>
        </w:rPr>
        <w:t xml:space="preserve"> </w:t>
      </w:r>
      <w:r>
        <w:rPr>
          <w:lang w:val="en-US"/>
        </w:rPr>
        <w:t>E</w:t>
      </w:r>
      <w:r w:rsidR="006D0CF6" w:rsidRPr="006D0CF6">
        <w:rPr>
          <w:lang w:val="en-US"/>
        </w:rPr>
        <w:t>valuation of the Cash Operating Cycle (COC)</w:t>
      </w:r>
      <w:bookmarkEnd w:id="13"/>
    </w:p>
    <w:p w14:paraId="6ED9002C" w14:textId="77777777" w:rsidR="006D0CF6" w:rsidRDefault="006D0CF6" w:rsidP="006D0CF6">
      <w:pPr>
        <w:spacing w:before="240" w:line="360" w:lineRule="auto"/>
        <w:jc w:val="both"/>
        <w:rPr>
          <w:rFonts w:ascii="Arial" w:hAnsi="Arial" w:cs="Arial"/>
          <w:bCs/>
          <w:sz w:val="24"/>
          <w:szCs w:val="24"/>
          <w:lang w:val="en-US"/>
        </w:rPr>
      </w:pPr>
      <w:r w:rsidRPr="006D0CF6">
        <w:rPr>
          <w:rFonts w:ascii="Arial" w:hAnsi="Arial" w:cs="Arial"/>
          <w:bCs/>
          <w:sz w:val="24"/>
          <w:szCs w:val="24"/>
          <w:lang w:val="en-US"/>
        </w:rPr>
        <w:t xml:space="preserve">Cash Operating Cycle (COC) or Cash Conversion Cycle (CCC) is a ratio that determines the length of time (measured in days) during which a firm is able to turn its input resources into cash flow from sales. A reduced COC is also very desirable because it </w:t>
      </w:r>
      <w:proofErr w:type="spellStart"/>
      <w:r w:rsidRPr="006D0CF6">
        <w:rPr>
          <w:rFonts w:ascii="Arial" w:hAnsi="Arial" w:cs="Arial"/>
          <w:bCs/>
          <w:sz w:val="24"/>
          <w:szCs w:val="24"/>
          <w:lang w:val="en-US"/>
        </w:rPr>
        <w:t>minimises</w:t>
      </w:r>
      <w:proofErr w:type="spellEnd"/>
      <w:r w:rsidRPr="006D0CF6">
        <w:rPr>
          <w:rFonts w:ascii="Arial" w:hAnsi="Arial" w:cs="Arial"/>
          <w:bCs/>
          <w:sz w:val="24"/>
          <w:szCs w:val="24"/>
          <w:lang w:val="en-US"/>
        </w:rPr>
        <w:t xml:space="preserve"> the external financing dependence and is negatively related to financial distress (Ibrahim, 2023).</w:t>
      </w:r>
    </w:p>
    <w:p w14:paraId="297C4DA2" w14:textId="530A0C36" w:rsidR="00741828" w:rsidRPr="006D0CF6" w:rsidRDefault="004352DB" w:rsidP="004352DB">
      <w:pPr>
        <w:spacing w:before="240" w:line="360" w:lineRule="auto"/>
        <w:jc w:val="center"/>
        <w:rPr>
          <w:rFonts w:ascii="Arial" w:hAnsi="Arial" w:cs="Arial"/>
          <w:bCs/>
          <w:sz w:val="24"/>
          <w:szCs w:val="24"/>
          <w:lang w:val="en-US"/>
        </w:rPr>
      </w:pPr>
      <w:r w:rsidRPr="00534263">
        <w:rPr>
          <w:rFonts w:ascii="Arial" w:hAnsi="Arial" w:cs="Arial"/>
          <w:b/>
          <w:sz w:val="24"/>
          <w:szCs w:val="24"/>
        </w:rPr>
        <w:t>COC =</w:t>
      </w:r>
      <w:r w:rsidRPr="004352DB">
        <w:rPr>
          <w:rFonts w:ascii="Arial" w:hAnsi="Arial" w:cs="Arial"/>
          <w:bCs/>
          <w:sz w:val="24"/>
          <w:szCs w:val="24"/>
        </w:rPr>
        <w:t xml:space="preserve"> Days Inventory Outstanding (DIO) + Days Sales Outstanding (DSO) - Day</w:t>
      </w:r>
    </w:p>
    <w:tbl>
      <w:tblPr>
        <w:tblStyle w:val="TableGrid"/>
        <w:tblW w:w="0" w:type="auto"/>
        <w:tblLook w:val="04A0" w:firstRow="1" w:lastRow="0" w:firstColumn="1" w:lastColumn="0" w:noHBand="0" w:noVBand="1"/>
      </w:tblPr>
      <w:tblGrid>
        <w:gridCol w:w="2212"/>
        <w:gridCol w:w="3636"/>
        <w:gridCol w:w="3168"/>
      </w:tblGrid>
      <w:tr w:rsidR="004352DB" w:rsidRPr="004352DB" w14:paraId="379E3C67" w14:textId="77777777" w:rsidTr="004352DB">
        <w:tc>
          <w:tcPr>
            <w:tcW w:w="0" w:type="auto"/>
            <w:hideMark/>
          </w:tcPr>
          <w:p w14:paraId="704B5663"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Component</w:t>
            </w:r>
          </w:p>
        </w:tc>
        <w:tc>
          <w:tcPr>
            <w:tcW w:w="0" w:type="auto"/>
            <w:hideMark/>
          </w:tcPr>
          <w:p w14:paraId="153E13A5"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2024 Value (£m)</w:t>
            </w:r>
          </w:p>
        </w:tc>
        <w:tc>
          <w:tcPr>
            <w:tcW w:w="0" w:type="auto"/>
            <w:hideMark/>
          </w:tcPr>
          <w:p w14:paraId="09846834"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Financial Insight</w:t>
            </w:r>
          </w:p>
        </w:tc>
      </w:tr>
      <w:tr w:rsidR="004352DB" w:rsidRPr="004352DB" w14:paraId="100BAF5E" w14:textId="77777777" w:rsidTr="004352DB">
        <w:tc>
          <w:tcPr>
            <w:tcW w:w="0" w:type="auto"/>
            <w:hideMark/>
          </w:tcPr>
          <w:p w14:paraId="4C800705"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Inventories</w:t>
            </w:r>
            <w:r w:rsidRPr="004352DB">
              <w:rPr>
                <w:rFonts w:ascii="Arial" w:hAnsi="Arial" w:cs="Arial"/>
                <w:bCs/>
                <w:sz w:val="24"/>
                <w:szCs w:val="24"/>
                <w:lang w:val="en-US"/>
              </w:rPr>
              <w:t xml:space="preserve"> (Current Asset)</w:t>
            </w:r>
          </w:p>
        </w:tc>
        <w:tc>
          <w:tcPr>
            <w:tcW w:w="0" w:type="auto"/>
            <w:hideMark/>
          </w:tcPr>
          <w:p w14:paraId="669A2F38"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t>79,355</w:t>
            </w:r>
          </w:p>
        </w:tc>
        <w:tc>
          <w:tcPr>
            <w:tcW w:w="0" w:type="auto"/>
            <w:hideMark/>
          </w:tcPr>
          <w:p w14:paraId="44126078"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t>Very high stock level ties up massive amounts of cash.</w:t>
            </w:r>
          </w:p>
        </w:tc>
      </w:tr>
      <w:tr w:rsidR="004352DB" w:rsidRPr="004352DB" w14:paraId="245EF26F" w14:textId="77777777" w:rsidTr="004352DB">
        <w:tc>
          <w:tcPr>
            <w:tcW w:w="0" w:type="auto"/>
            <w:hideMark/>
          </w:tcPr>
          <w:p w14:paraId="2B535F79"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Accounts Receivable</w:t>
            </w:r>
            <w:r w:rsidRPr="004352DB">
              <w:rPr>
                <w:rFonts w:ascii="Arial" w:hAnsi="Arial" w:cs="Arial"/>
                <w:bCs/>
                <w:sz w:val="24"/>
                <w:szCs w:val="24"/>
                <w:lang w:val="en-US"/>
              </w:rPr>
              <w:t xml:space="preserve"> (Current Asset)</w:t>
            </w:r>
          </w:p>
        </w:tc>
        <w:tc>
          <w:tcPr>
            <w:tcW w:w="0" w:type="auto"/>
            <w:hideMark/>
          </w:tcPr>
          <w:p w14:paraId="388272E2"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t>114,182</w:t>
            </w:r>
          </w:p>
        </w:tc>
        <w:tc>
          <w:tcPr>
            <w:tcW w:w="0" w:type="auto"/>
            <w:hideMark/>
          </w:tcPr>
          <w:p w14:paraId="7F7E1E57"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t>High receivables indicate slow cash collection from customers.</w:t>
            </w:r>
          </w:p>
        </w:tc>
      </w:tr>
      <w:tr w:rsidR="004352DB" w:rsidRPr="004352DB" w14:paraId="3C487204" w14:textId="77777777" w:rsidTr="004352DB">
        <w:tc>
          <w:tcPr>
            <w:tcW w:w="0" w:type="auto"/>
            <w:hideMark/>
          </w:tcPr>
          <w:p w14:paraId="6987457E"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Accounts Payable</w:t>
            </w:r>
            <w:r w:rsidRPr="004352DB">
              <w:rPr>
                <w:rFonts w:ascii="Arial" w:hAnsi="Arial" w:cs="Arial"/>
                <w:bCs/>
                <w:sz w:val="24"/>
                <w:szCs w:val="24"/>
                <w:lang w:val="en-US"/>
              </w:rPr>
              <w:t xml:space="preserve"> (Current Liability)</w:t>
            </w:r>
          </w:p>
        </w:tc>
        <w:tc>
          <w:tcPr>
            <w:tcW w:w="0" w:type="auto"/>
            <w:hideMark/>
          </w:tcPr>
          <w:p w14:paraId="0581E352"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t>100,248</w:t>
            </w:r>
          </w:p>
        </w:tc>
        <w:tc>
          <w:tcPr>
            <w:tcW w:w="0" w:type="auto"/>
            <w:hideMark/>
          </w:tcPr>
          <w:p w14:paraId="62FA6D85"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t>High payables help finance the cycle but strain supplier relationships.</w:t>
            </w:r>
          </w:p>
        </w:tc>
      </w:tr>
      <w:tr w:rsidR="004352DB" w:rsidRPr="004352DB" w14:paraId="42E00261" w14:textId="77777777" w:rsidTr="004352DB">
        <w:tc>
          <w:tcPr>
            <w:tcW w:w="0" w:type="auto"/>
            <w:hideMark/>
          </w:tcPr>
          <w:p w14:paraId="424AD01B"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
                <w:bCs/>
                <w:sz w:val="24"/>
                <w:szCs w:val="24"/>
                <w:lang w:val="en-US"/>
              </w:rPr>
              <w:t>COC Benchmark (Consumer Electronics)</w:t>
            </w:r>
          </w:p>
        </w:tc>
        <w:tc>
          <w:tcPr>
            <w:tcW w:w="0" w:type="auto"/>
            <w:hideMark/>
          </w:tcPr>
          <w:p w14:paraId="4B1E6EAE" w14:textId="113B0DEC" w:rsidR="004352DB" w:rsidRPr="004352DB" w:rsidRDefault="004352DB" w:rsidP="004352DB">
            <w:pPr>
              <w:spacing w:before="240" w:line="360" w:lineRule="auto"/>
              <w:jc w:val="both"/>
              <w:rPr>
                <w:rFonts w:ascii="Arial" w:hAnsi="Arial" w:cs="Arial"/>
                <w:bCs/>
                <w:sz w:val="24"/>
                <w:szCs w:val="24"/>
                <w:lang w:val="en-US"/>
              </w:rPr>
            </w:pPr>
            <w:r w:rsidRPr="00A6659A">
              <w:rPr>
                <w:rFonts w:ascii="Arial" w:hAnsi="Arial" w:cs="Arial"/>
                <w:b/>
                <w:sz w:val="24"/>
                <w:szCs w:val="24"/>
                <w:lang w:val="en-US"/>
              </w:rPr>
              <w:t>Varies:</w:t>
            </w:r>
            <w:r w:rsidRPr="004352DB">
              <w:rPr>
                <w:rFonts w:ascii="Arial" w:hAnsi="Arial" w:cs="Arial"/>
                <w:bCs/>
                <w:sz w:val="24"/>
                <w:szCs w:val="24"/>
                <w:lang w:val="en-US"/>
              </w:rPr>
              <w:t xml:space="preserve"> Negative for high-leverage firms (e.g., Midea: -31 days) to positive for others (e.g., </w:t>
            </w:r>
            <w:r w:rsidRPr="004352DB">
              <w:rPr>
                <w:rFonts w:ascii="Arial" w:hAnsi="Arial" w:cs="Arial"/>
                <w:bCs/>
                <w:sz w:val="24"/>
                <w:szCs w:val="24"/>
                <w:lang w:val="en-US"/>
              </w:rPr>
              <w:lastRenderedPageBreak/>
              <w:t>Samsung: 127</w:t>
            </w:r>
            <w:r w:rsidR="00BC01B1">
              <w:rPr>
                <w:rFonts w:ascii="Arial" w:hAnsi="Arial" w:cs="Arial"/>
                <w:bCs/>
                <w:sz w:val="24"/>
                <w:szCs w:val="24"/>
                <w:lang w:val="en-US"/>
              </w:rPr>
              <w:t xml:space="preserve"> </w:t>
            </w:r>
            <w:r w:rsidRPr="004352DB">
              <w:rPr>
                <w:rFonts w:ascii="Arial" w:hAnsi="Arial" w:cs="Arial"/>
                <w:bCs/>
                <w:sz w:val="24"/>
                <w:szCs w:val="24"/>
                <w:lang w:val="en-US"/>
              </w:rPr>
              <w:t>days) (</w:t>
            </w:r>
            <w:proofErr w:type="spellStart"/>
            <w:r w:rsidRPr="004352DB">
              <w:rPr>
                <w:rFonts w:ascii="Arial" w:hAnsi="Arial" w:cs="Arial"/>
                <w:bCs/>
                <w:sz w:val="24"/>
                <w:szCs w:val="24"/>
                <w:lang w:val="en-US"/>
              </w:rPr>
              <w:t>Finbox</w:t>
            </w:r>
            <w:proofErr w:type="spellEnd"/>
            <w:r w:rsidRPr="004352DB">
              <w:rPr>
                <w:rFonts w:ascii="Arial" w:hAnsi="Arial" w:cs="Arial"/>
                <w:bCs/>
                <w:sz w:val="24"/>
                <w:szCs w:val="24"/>
                <w:lang w:val="en-US"/>
              </w:rPr>
              <w:t>, 2024).</w:t>
            </w:r>
          </w:p>
        </w:tc>
        <w:tc>
          <w:tcPr>
            <w:tcW w:w="0" w:type="auto"/>
            <w:hideMark/>
          </w:tcPr>
          <w:p w14:paraId="6988DF00" w14:textId="77777777" w:rsidR="004352DB" w:rsidRPr="004352DB" w:rsidRDefault="004352DB" w:rsidP="004352DB">
            <w:pPr>
              <w:spacing w:before="240" w:line="360" w:lineRule="auto"/>
              <w:jc w:val="both"/>
              <w:rPr>
                <w:rFonts w:ascii="Arial" w:hAnsi="Arial" w:cs="Arial"/>
                <w:bCs/>
                <w:sz w:val="24"/>
                <w:szCs w:val="24"/>
                <w:lang w:val="en-US"/>
              </w:rPr>
            </w:pPr>
            <w:r w:rsidRPr="004352DB">
              <w:rPr>
                <w:rFonts w:ascii="Arial" w:hAnsi="Arial" w:cs="Arial"/>
                <w:bCs/>
                <w:sz w:val="24"/>
                <w:szCs w:val="24"/>
                <w:lang w:val="en-US"/>
              </w:rPr>
              <w:lastRenderedPageBreak/>
              <w:t>GE should target a short or negative COC, like industry leaders, to self-fund its operations.</w:t>
            </w:r>
          </w:p>
        </w:tc>
      </w:tr>
    </w:tbl>
    <w:p w14:paraId="15E883F5" w14:textId="417AF92E" w:rsidR="006D0CF6" w:rsidRPr="006D0CF6" w:rsidRDefault="006D0CF6" w:rsidP="006D0CF6">
      <w:pPr>
        <w:spacing w:before="240" w:line="360" w:lineRule="auto"/>
        <w:jc w:val="both"/>
        <w:rPr>
          <w:rFonts w:ascii="Arial" w:hAnsi="Arial" w:cs="Arial"/>
          <w:bCs/>
          <w:sz w:val="24"/>
          <w:szCs w:val="24"/>
          <w:lang w:val="en-US"/>
        </w:rPr>
      </w:pPr>
      <w:r w:rsidRPr="006D0CF6">
        <w:rPr>
          <w:rFonts w:ascii="Arial" w:hAnsi="Arial" w:cs="Arial"/>
          <w:b/>
          <w:sz w:val="24"/>
          <w:szCs w:val="24"/>
          <w:lang w:val="en-US"/>
        </w:rPr>
        <w:lastRenderedPageBreak/>
        <w:t>Implication of the current GE:</w:t>
      </w:r>
      <w:r w:rsidRPr="006D0CF6">
        <w:rPr>
          <w:rFonts w:ascii="Arial" w:hAnsi="Arial" w:cs="Arial"/>
          <w:bCs/>
          <w:sz w:val="24"/>
          <w:szCs w:val="24"/>
          <w:lang w:val="en-US"/>
        </w:rPr>
        <w:t xml:space="preserve"> Since the COC of GE is nearly certainly long and positive and the company has a large value of both the Inventories and receivables compared to the payables. This implies that the company is already owing its suppliers long before it receives payment from its customers, which compels it to rely on its cash reserves that are on the decline and costly Lines of Credit (starting at 36,960m in 2024) to cover the difference.</w:t>
      </w:r>
    </w:p>
    <w:p w14:paraId="141B1E1B" w14:textId="722ADF7F" w:rsidR="006D0CF6" w:rsidRPr="006D0CF6" w:rsidRDefault="00534263" w:rsidP="00534263">
      <w:pPr>
        <w:pStyle w:val="Heading2"/>
        <w:rPr>
          <w:lang w:val="en-US"/>
        </w:rPr>
      </w:pPr>
      <w:bookmarkStart w:id="14" w:name="_Toc214748967"/>
      <w:r>
        <w:rPr>
          <w:lang w:val="en-US"/>
        </w:rPr>
        <w:t>2</w:t>
      </w:r>
      <w:r w:rsidR="006D0CF6" w:rsidRPr="006D0CF6">
        <w:rPr>
          <w:lang w:val="en-US"/>
        </w:rPr>
        <w:t>.2 Liquidity-Enhancing Strategies in WCM Reforms</w:t>
      </w:r>
      <w:bookmarkEnd w:id="14"/>
    </w:p>
    <w:p w14:paraId="6F5EABF3" w14:textId="77777777" w:rsidR="006D0CF6" w:rsidRDefault="006D0CF6" w:rsidP="006D0CF6">
      <w:pPr>
        <w:spacing w:before="240" w:line="360" w:lineRule="auto"/>
        <w:jc w:val="both"/>
        <w:rPr>
          <w:rFonts w:ascii="Arial" w:hAnsi="Arial" w:cs="Arial"/>
          <w:bCs/>
          <w:sz w:val="24"/>
          <w:szCs w:val="24"/>
          <w:lang w:val="en-US"/>
        </w:rPr>
      </w:pPr>
      <w:r w:rsidRPr="006D0CF6">
        <w:rPr>
          <w:rFonts w:ascii="Arial" w:hAnsi="Arial" w:cs="Arial"/>
          <w:bCs/>
          <w:sz w:val="24"/>
          <w:szCs w:val="24"/>
          <w:lang w:val="en-US"/>
        </w:rPr>
        <w:t>The first step that GE needs to take is to switch to an Aggressive Working Capital Strategy (</w:t>
      </w:r>
      <w:proofErr w:type="spellStart"/>
      <w:r w:rsidRPr="006D0CF6">
        <w:rPr>
          <w:rFonts w:ascii="Arial" w:hAnsi="Arial" w:cs="Arial"/>
          <w:bCs/>
          <w:sz w:val="24"/>
          <w:szCs w:val="24"/>
          <w:lang w:val="en-US"/>
        </w:rPr>
        <w:t>Scribd</w:t>
      </w:r>
      <w:proofErr w:type="spellEnd"/>
      <w:r w:rsidRPr="006D0CF6">
        <w:rPr>
          <w:rFonts w:ascii="Arial" w:hAnsi="Arial" w:cs="Arial"/>
          <w:bCs/>
          <w:sz w:val="24"/>
          <w:szCs w:val="24"/>
          <w:lang w:val="en-US"/>
        </w:rPr>
        <w:t xml:space="preserve">, 2024) to </w:t>
      </w:r>
      <w:proofErr w:type="spellStart"/>
      <w:r w:rsidRPr="006D0CF6">
        <w:rPr>
          <w:rFonts w:ascii="Arial" w:hAnsi="Arial" w:cs="Arial"/>
          <w:bCs/>
          <w:sz w:val="24"/>
          <w:szCs w:val="24"/>
          <w:lang w:val="en-US"/>
        </w:rPr>
        <w:t>optimise</w:t>
      </w:r>
      <w:proofErr w:type="spellEnd"/>
      <w:r w:rsidRPr="006D0CF6">
        <w:rPr>
          <w:rFonts w:ascii="Arial" w:hAnsi="Arial" w:cs="Arial"/>
          <w:bCs/>
          <w:sz w:val="24"/>
          <w:szCs w:val="24"/>
          <w:lang w:val="en-US"/>
        </w:rPr>
        <w:t xml:space="preserve"> cash flow, which means reducing the elements of the COC, namely, the elements of the DIO.</w:t>
      </w:r>
    </w:p>
    <w:tbl>
      <w:tblPr>
        <w:tblStyle w:val="TableGrid"/>
        <w:tblW w:w="0" w:type="auto"/>
        <w:tblLook w:val="04A0" w:firstRow="1" w:lastRow="0" w:firstColumn="1" w:lastColumn="0" w:noHBand="0" w:noVBand="1"/>
      </w:tblPr>
      <w:tblGrid>
        <w:gridCol w:w="1765"/>
        <w:gridCol w:w="1267"/>
        <w:gridCol w:w="3354"/>
        <w:gridCol w:w="2630"/>
      </w:tblGrid>
      <w:tr w:rsidR="00FF470F" w:rsidRPr="00475B44" w14:paraId="2FEB2213" w14:textId="77777777" w:rsidTr="00475B44">
        <w:tc>
          <w:tcPr>
            <w:tcW w:w="0" w:type="auto"/>
            <w:hideMark/>
          </w:tcPr>
          <w:p w14:paraId="057AAD48"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Strategy Component</w:t>
            </w:r>
          </w:p>
        </w:tc>
        <w:tc>
          <w:tcPr>
            <w:tcW w:w="0" w:type="auto"/>
            <w:hideMark/>
          </w:tcPr>
          <w:p w14:paraId="4E56646B"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Target COC Element</w:t>
            </w:r>
          </w:p>
        </w:tc>
        <w:tc>
          <w:tcPr>
            <w:tcW w:w="0" w:type="auto"/>
            <w:hideMark/>
          </w:tcPr>
          <w:p w14:paraId="63573EBA"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Reform Action</w:t>
            </w:r>
          </w:p>
        </w:tc>
        <w:tc>
          <w:tcPr>
            <w:tcW w:w="0" w:type="auto"/>
            <w:hideMark/>
          </w:tcPr>
          <w:p w14:paraId="250E47F4"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Financial Goal &amp; Scalability</w:t>
            </w:r>
          </w:p>
        </w:tc>
      </w:tr>
      <w:tr w:rsidR="00FF470F" w:rsidRPr="00475B44" w14:paraId="4A871B1B" w14:textId="77777777" w:rsidTr="00475B44">
        <w:tc>
          <w:tcPr>
            <w:tcW w:w="0" w:type="auto"/>
            <w:hideMark/>
          </w:tcPr>
          <w:p w14:paraId="6A8702D9"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1. Receivables Acceleration</w:t>
            </w:r>
          </w:p>
        </w:tc>
        <w:tc>
          <w:tcPr>
            <w:tcW w:w="0" w:type="auto"/>
            <w:hideMark/>
          </w:tcPr>
          <w:p w14:paraId="588537C4"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Reduce DSO</w:t>
            </w:r>
          </w:p>
        </w:tc>
        <w:tc>
          <w:tcPr>
            <w:tcW w:w="0" w:type="auto"/>
            <w:hideMark/>
          </w:tcPr>
          <w:p w14:paraId="09B93A7D" w14:textId="1F1FD076"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Implement Strategic Credit Terms:</w:t>
            </w:r>
            <w:r w:rsidRPr="00475B44">
              <w:rPr>
                <w:rFonts w:ascii="Arial" w:hAnsi="Arial" w:cs="Arial"/>
                <w:bCs/>
                <w:sz w:val="24"/>
                <w:szCs w:val="24"/>
                <w:lang w:val="en-US"/>
              </w:rPr>
              <w:t xml:space="preserve"> Offer a 1%</w:t>
            </w:r>
            <w:r>
              <w:rPr>
                <w:rFonts w:ascii="Arial" w:hAnsi="Arial" w:cs="Arial"/>
                <w:bCs/>
                <w:sz w:val="24"/>
                <w:szCs w:val="24"/>
                <w:lang w:val="en-US"/>
              </w:rPr>
              <w:t xml:space="preserve"> </w:t>
            </w:r>
            <w:r w:rsidRPr="00475B44">
              <w:rPr>
                <w:rFonts w:ascii="Arial" w:hAnsi="Arial" w:cs="Arial"/>
                <w:bCs/>
                <w:sz w:val="24"/>
                <w:szCs w:val="24"/>
                <w:lang w:val="en-US"/>
              </w:rPr>
              <w:t xml:space="preserve">discount for payment within </w:t>
            </w:r>
            <w:r w:rsidR="00754117">
              <w:rPr>
                <w:rFonts w:ascii="Arial" w:hAnsi="Arial" w:cs="Arial"/>
                <w:bCs/>
                <w:sz w:val="24"/>
                <w:szCs w:val="24"/>
                <w:lang w:val="en-US"/>
              </w:rPr>
              <w:t>(</w:t>
            </w:r>
            <w:r w:rsidRPr="00475B44">
              <w:rPr>
                <w:rFonts w:ascii="Arial" w:hAnsi="Arial" w:cs="Arial"/>
                <w:bCs/>
                <w:sz w:val="24"/>
                <w:szCs w:val="24"/>
                <w:lang w:val="en-US"/>
              </w:rPr>
              <w:t>10 days 1/10, net 30</w:t>
            </w:r>
            <w:r w:rsidR="00754117">
              <w:rPr>
                <w:rFonts w:ascii="Arial" w:hAnsi="Arial" w:cs="Arial"/>
                <w:bCs/>
                <w:sz w:val="24"/>
                <w:szCs w:val="24"/>
                <w:lang w:val="en-US"/>
              </w:rPr>
              <w:t>)</w:t>
            </w:r>
            <w:r w:rsidRPr="00475B44">
              <w:rPr>
                <w:rFonts w:ascii="Arial" w:hAnsi="Arial" w:cs="Arial"/>
                <w:bCs/>
                <w:sz w:val="24"/>
                <w:szCs w:val="24"/>
                <w:lang w:val="en-US"/>
              </w:rPr>
              <w:t xml:space="preserve"> to major distributors. Utilize </w:t>
            </w:r>
            <w:r w:rsidRPr="004C692A">
              <w:rPr>
                <w:rFonts w:ascii="Arial" w:hAnsi="Arial" w:cs="Arial"/>
                <w:sz w:val="24"/>
                <w:szCs w:val="24"/>
                <w:lang w:val="en-US"/>
              </w:rPr>
              <w:t xml:space="preserve">Invoice Factoring </w:t>
            </w:r>
            <w:r w:rsidRPr="00475B44">
              <w:rPr>
                <w:rFonts w:ascii="Arial" w:hAnsi="Arial" w:cs="Arial"/>
                <w:bCs/>
                <w:sz w:val="24"/>
                <w:szCs w:val="24"/>
                <w:lang w:val="en-US"/>
              </w:rPr>
              <w:t>for high-volume, lower-margin international sales to convert Receivables to cash</w:t>
            </w:r>
            <w:r w:rsidR="00FF470F">
              <w:rPr>
                <w:rFonts w:ascii="Arial" w:hAnsi="Arial" w:cs="Arial"/>
                <w:bCs/>
                <w:sz w:val="24"/>
                <w:szCs w:val="24"/>
                <w:lang w:val="en-US"/>
              </w:rPr>
              <w:t xml:space="preserve"> </w:t>
            </w:r>
            <w:r w:rsidRPr="00475B44">
              <w:rPr>
                <w:rFonts w:ascii="Arial" w:hAnsi="Arial" w:cs="Arial"/>
                <w:bCs/>
                <w:sz w:val="24"/>
                <w:szCs w:val="24"/>
                <w:lang w:val="en-US"/>
              </w:rPr>
              <w:t>immediately (</w:t>
            </w:r>
            <w:proofErr w:type="spellStart"/>
            <w:r w:rsidRPr="00475B44">
              <w:rPr>
                <w:rFonts w:ascii="Arial" w:hAnsi="Arial" w:cs="Arial"/>
                <w:bCs/>
                <w:sz w:val="24"/>
                <w:szCs w:val="24"/>
                <w:lang w:val="en-US"/>
              </w:rPr>
              <w:t>LegalVision</w:t>
            </w:r>
            <w:proofErr w:type="spellEnd"/>
            <w:r w:rsidRPr="00475B44">
              <w:rPr>
                <w:rFonts w:ascii="Arial" w:hAnsi="Arial" w:cs="Arial"/>
                <w:bCs/>
                <w:sz w:val="24"/>
                <w:szCs w:val="24"/>
                <w:lang w:val="en-US"/>
              </w:rPr>
              <w:t xml:space="preserve"> UK, 2025).</w:t>
            </w:r>
          </w:p>
        </w:tc>
        <w:tc>
          <w:tcPr>
            <w:tcW w:w="0" w:type="auto"/>
            <w:hideMark/>
          </w:tcPr>
          <w:p w14:paraId="2205908C" w14:textId="4EBF0654"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Goal:</w:t>
            </w:r>
            <w:r w:rsidRPr="00475B44">
              <w:rPr>
                <w:rFonts w:ascii="Arial" w:hAnsi="Arial" w:cs="Arial"/>
                <w:bCs/>
                <w:sz w:val="24"/>
                <w:szCs w:val="24"/>
                <w:lang w:val="en-US"/>
              </w:rPr>
              <w:t xml:space="preserve"> Reduce DSO by </w:t>
            </w:r>
            <w:r w:rsidRPr="00475B44">
              <w:rPr>
                <w:rFonts w:ascii="Arial" w:hAnsi="Arial" w:cs="Arial"/>
                <w:b/>
                <w:bCs/>
                <w:sz w:val="24"/>
                <w:szCs w:val="24"/>
                <w:lang w:val="en-US"/>
              </w:rPr>
              <w:t>15 days</w:t>
            </w:r>
            <w:r w:rsidRPr="00475B44">
              <w:rPr>
                <w:rFonts w:ascii="Arial" w:hAnsi="Arial" w:cs="Arial"/>
                <w:bCs/>
                <w:sz w:val="24"/>
                <w:szCs w:val="24"/>
                <w:lang w:val="en-US"/>
              </w:rPr>
              <w:t>. Impact is immediate and globally scalable via financing platforms. Directly boosts Cash and Cash Equivalents (Balance Sheet) and CFO.</w:t>
            </w:r>
          </w:p>
        </w:tc>
      </w:tr>
      <w:tr w:rsidR="00FF470F" w:rsidRPr="00475B44" w14:paraId="4CF4EEB2" w14:textId="77777777" w:rsidTr="00475B44">
        <w:tc>
          <w:tcPr>
            <w:tcW w:w="0" w:type="auto"/>
            <w:hideMark/>
          </w:tcPr>
          <w:p w14:paraId="3C27C941"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2. Inventory De-risking</w:t>
            </w:r>
          </w:p>
        </w:tc>
        <w:tc>
          <w:tcPr>
            <w:tcW w:w="0" w:type="auto"/>
            <w:hideMark/>
          </w:tcPr>
          <w:p w14:paraId="5D609269"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Reduce DIO</w:t>
            </w:r>
          </w:p>
        </w:tc>
        <w:tc>
          <w:tcPr>
            <w:tcW w:w="0" w:type="auto"/>
            <w:hideMark/>
          </w:tcPr>
          <w:p w14:paraId="5CDDB124" w14:textId="15C979AB"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Aggressive Liquidation:</w:t>
            </w:r>
            <w:r w:rsidRPr="00475B44">
              <w:rPr>
                <w:rFonts w:ascii="Arial" w:hAnsi="Arial" w:cs="Arial"/>
                <w:bCs/>
                <w:sz w:val="24"/>
                <w:szCs w:val="24"/>
                <w:lang w:val="en-US"/>
              </w:rPr>
              <w:t xml:space="preserve"> Immediately sell off obsolete and slow-moving inventory </w:t>
            </w:r>
            <w:r w:rsidRPr="00475B44">
              <w:rPr>
                <w:rFonts w:ascii="Arial" w:hAnsi="Arial" w:cs="Arial"/>
                <w:bCs/>
                <w:sz w:val="24"/>
                <w:szCs w:val="24"/>
                <w:lang w:val="en-US"/>
              </w:rPr>
              <w:lastRenderedPageBreak/>
              <w:t>(identified during the Goodwill Impairment review) at accelerated rates, even at lower margins, to eliminate holding costs and generate rapid cash (Madras Accountancy, 2025).</w:t>
            </w:r>
          </w:p>
        </w:tc>
        <w:tc>
          <w:tcPr>
            <w:tcW w:w="0" w:type="auto"/>
            <w:hideMark/>
          </w:tcPr>
          <w:p w14:paraId="3FE19A9A" w14:textId="415B32A2"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lastRenderedPageBreak/>
              <w:t>Goal:</w:t>
            </w:r>
            <w:r w:rsidRPr="00475B44">
              <w:rPr>
                <w:rFonts w:ascii="Arial" w:hAnsi="Arial" w:cs="Arial"/>
                <w:bCs/>
                <w:sz w:val="24"/>
                <w:szCs w:val="24"/>
                <w:lang w:val="en-US"/>
              </w:rPr>
              <w:t xml:space="preserve"> Reduce Inventories by 10% in the short term. Frees </w:t>
            </w:r>
            <w:r w:rsidRPr="00475B44">
              <w:rPr>
                <w:rFonts w:ascii="Arial" w:hAnsi="Arial" w:cs="Arial"/>
                <w:bCs/>
                <w:sz w:val="24"/>
                <w:szCs w:val="24"/>
                <w:lang w:val="en-US"/>
              </w:rPr>
              <w:lastRenderedPageBreak/>
              <w:t>up warehouse space and reduces Inventory Impairment risk. Requires strong coordination between sales and procurement.</w:t>
            </w:r>
          </w:p>
        </w:tc>
      </w:tr>
      <w:tr w:rsidR="00FF470F" w:rsidRPr="00475B44" w14:paraId="5B82C078" w14:textId="77777777" w:rsidTr="00475B44">
        <w:tc>
          <w:tcPr>
            <w:tcW w:w="0" w:type="auto"/>
            <w:hideMark/>
          </w:tcPr>
          <w:p w14:paraId="6B75F9F4"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lastRenderedPageBreak/>
              <w:t>3. Payables Optimization</w:t>
            </w:r>
          </w:p>
        </w:tc>
        <w:tc>
          <w:tcPr>
            <w:tcW w:w="0" w:type="auto"/>
            <w:hideMark/>
          </w:tcPr>
          <w:p w14:paraId="2802F6EF" w14:textId="77777777"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Increase DPO</w:t>
            </w:r>
          </w:p>
        </w:tc>
        <w:tc>
          <w:tcPr>
            <w:tcW w:w="0" w:type="auto"/>
            <w:hideMark/>
          </w:tcPr>
          <w:p w14:paraId="14C7FAE1" w14:textId="12516B64" w:rsidR="00475B44" w:rsidRPr="00475B44" w:rsidRDefault="00475B44" w:rsidP="00475B44">
            <w:pPr>
              <w:spacing w:before="240" w:line="360" w:lineRule="auto"/>
              <w:jc w:val="both"/>
              <w:rPr>
                <w:rFonts w:ascii="Arial" w:hAnsi="Arial" w:cs="Arial"/>
                <w:bCs/>
                <w:sz w:val="24"/>
                <w:szCs w:val="24"/>
                <w:lang w:val="en-US"/>
              </w:rPr>
            </w:pPr>
            <w:r w:rsidRPr="00475B44">
              <w:rPr>
                <w:rFonts w:ascii="Arial" w:hAnsi="Arial" w:cs="Arial"/>
                <w:b/>
                <w:bCs/>
                <w:sz w:val="24"/>
                <w:szCs w:val="24"/>
                <w:lang w:val="en-US"/>
              </w:rPr>
              <w:t>Standardized Payment Terms:</w:t>
            </w:r>
            <w:r w:rsidRPr="00475B44">
              <w:rPr>
                <w:rFonts w:ascii="Arial" w:hAnsi="Arial" w:cs="Arial"/>
                <w:bCs/>
                <w:sz w:val="24"/>
                <w:szCs w:val="24"/>
                <w:lang w:val="en-US"/>
              </w:rPr>
              <w:t xml:space="preserve"> Centralize and standardize payment terms to 45 or 60 days with non-critical Tier 2 suppliers where relationships are n</w:t>
            </w:r>
            <w:r w:rsidR="00901D93">
              <w:rPr>
                <w:rFonts w:ascii="Arial" w:hAnsi="Arial" w:cs="Arial"/>
                <w:bCs/>
                <w:sz w:val="24"/>
                <w:szCs w:val="24"/>
                <w:lang w:val="en-US"/>
              </w:rPr>
              <w:t xml:space="preserve">ot essential to core R&amp;D. </w:t>
            </w:r>
            <w:proofErr w:type="spellStart"/>
            <w:r w:rsidR="00901D93">
              <w:rPr>
                <w:rFonts w:ascii="Arial" w:hAnsi="Arial" w:cs="Arial"/>
                <w:bCs/>
                <w:sz w:val="24"/>
                <w:szCs w:val="24"/>
                <w:lang w:val="en-US"/>
              </w:rPr>
              <w:t>Utilis</w:t>
            </w:r>
            <w:r w:rsidRPr="00475B44">
              <w:rPr>
                <w:rFonts w:ascii="Arial" w:hAnsi="Arial" w:cs="Arial"/>
                <w:bCs/>
                <w:sz w:val="24"/>
                <w:szCs w:val="24"/>
                <w:lang w:val="en-US"/>
              </w:rPr>
              <w:t>e</w:t>
            </w:r>
            <w:proofErr w:type="spellEnd"/>
            <w:r w:rsidRPr="00475B44">
              <w:rPr>
                <w:rFonts w:ascii="Arial" w:hAnsi="Arial" w:cs="Arial"/>
                <w:bCs/>
                <w:sz w:val="24"/>
                <w:szCs w:val="24"/>
                <w:lang w:val="en-US"/>
              </w:rPr>
              <w:t xml:space="preserve"> supply chain financing programs to maintain Tier 1 supplier relationships while delaying GE’s cash outflow.</w:t>
            </w:r>
          </w:p>
        </w:tc>
        <w:tc>
          <w:tcPr>
            <w:tcW w:w="0" w:type="auto"/>
            <w:hideMark/>
          </w:tcPr>
          <w:p w14:paraId="56F04B39" w14:textId="1A9F95AC" w:rsidR="00475B44" w:rsidRPr="00475B44" w:rsidRDefault="00475B44" w:rsidP="004C692A">
            <w:pPr>
              <w:keepNext/>
              <w:spacing w:before="240" w:line="360" w:lineRule="auto"/>
              <w:jc w:val="both"/>
              <w:rPr>
                <w:rFonts w:ascii="Arial" w:hAnsi="Arial" w:cs="Arial"/>
                <w:bCs/>
                <w:sz w:val="24"/>
                <w:szCs w:val="24"/>
                <w:lang w:val="en-US"/>
              </w:rPr>
            </w:pPr>
            <w:r w:rsidRPr="00475B44">
              <w:rPr>
                <w:rFonts w:ascii="Arial" w:hAnsi="Arial" w:cs="Arial"/>
                <w:b/>
                <w:bCs/>
                <w:sz w:val="24"/>
                <w:szCs w:val="24"/>
                <w:lang w:val="en-US"/>
              </w:rPr>
              <w:t>Goal:</w:t>
            </w:r>
            <w:r w:rsidRPr="00475B44">
              <w:rPr>
                <w:rFonts w:ascii="Arial" w:hAnsi="Arial" w:cs="Arial"/>
                <w:bCs/>
                <w:sz w:val="24"/>
                <w:szCs w:val="24"/>
                <w:lang w:val="en-US"/>
              </w:rPr>
              <w:t xml:space="preserve"> Increase DPO by 15-20 </w:t>
            </w:r>
            <w:r w:rsidRPr="00475B44">
              <w:rPr>
                <w:rFonts w:ascii="Arial" w:hAnsi="Arial" w:cs="Arial"/>
                <w:b/>
                <w:bCs/>
                <w:sz w:val="24"/>
                <w:szCs w:val="24"/>
                <w:lang w:val="en-US"/>
              </w:rPr>
              <w:t>days</w:t>
            </w:r>
            <w:r w:rsidRPr="00475B44">
              <w:rPr>
                <w:rFonts w:ascii="Arial" w:hAnsi="Arial" w:cs="Arial"/>
                <w:bCs/>
                <w:sz w:val="24"/>
                <w:szCs w:val="24"/>
                <w:lang w:val="en-US"/>
              </w:rPr>
              <w:t xml:space="preserve"> without damaging key supplier relations (ACCA Global, 2024). Provides a crucial, interest-free source of financing for the firm.</w:t>
            </w:r>
          </w:p>
        </w:tc>
      </w:tr>
    </w:tbl>
    <w:p w14:paraId="59AF4E04" w14:textId="5ACD9E37" w:rsidR="004C692A" w:rsidRDefault="004C692A">
      <w:pPr>
        <w:pStyle w:val="Caption"/>
      </w:pPr>
      <w:bookmarkStart w:id="15" w:name="_Toc214748982"/>
      <w:bookmarkStart w:id="16" w:name="_Toc214749059"/>
      <w:r>
        <w:t xml:space="preserve">Table </w:t>
      </w:r>
      <w:r>
        <w:fldChar w:fldCharType="begin"/>
      </w:r>
      <w:r>
        <w:instrText xml:space="preserve"> SEQ Table \* ARABIC </w:instrText>
      </w:r>
      <w:r>
        <w:fldChar w:fldCharType="separate"/>
      </w:r>
      <w:r w:rsidR="002D7440">
        <w:rPr>
          <w:noProof/>
        </w:rPr>
        <w:t>4</w:t>
      </w:r>
      <w:r>
        <w:fldChar w:fldCharType="end"/>
      </w:r>
      <w:r>
        <w:t xml:space="preserve">: </w:t>
      </w:r>
      <w:r w:rsidRPr="006549D5">
        <w:t>Liquidity-Enhancing Strateg</w:t>
      </w:r>
      <w:r>
        <w:t>y</w:t>
      </w:r>
      <w:bookmarkEnd w:id="15"/>
      <w:bookmarkEnd w:id="16"/>
    </w:p>
    <w:p w14:paraId="1DF787AF" w14:textId="14B03B8A" w:rsidR="006D0CF6" w:rsidRPr="006D0CF6" w:rsidRDefault="006D0CF6" w:rsidP="006D0CF6">
      <w:pPr>
        <w:spacing w:before="240" w:line="360" w:lineRule="auto"/>
        <w:jc w:val="both"/>
        <w:rPr>
          <w:rFonts w:ascii="Arial" w:hAnsi="Arial" w:cs="Arial"/>
          <w:bCs/>
          <w:sz w:val="24"/>
          <w:szCs w:val="24"/>
          <w:lang w:val="en-US"/>
        </w:rPr>
      </w:pPr>
      <w:r w:rsidRPr="006D0CF6">
        <w:rPr>
          <w:rFonts w:ascii="Arial" w:hAnsi="Arial" w:cs="Arial"/>
          <w:bCs/>
          <w:sz w:val="24"/>
          <w:szCs w:val="24"/>
          <w:lang w:val="en-US"/>
        </w:rPr>
        <w:t>When enforced brutally, these reforms can bring billions of pounds of internal cash, decreasing the pressure on the Lines of Credit and enhancing the overall Operating Cash Flow Ratio (Journal of Accounting and Financial Management, 2024).</w:t>
      </w:r>
    </w:p>
    <w:p w14:paraId="3C1D0889" w14:textId="2EECC48B" w:rsidR="006D0CF6" w:rsidRPr="006D0CF6" w:rsidRDefault="007846BC" w:rsidP="007846BC">
      <w:pPr>
        <w:pStyle w:val="Heading2"/>
        <w:rPr>
          <w:lang w:val="en-US"/>
        </w:rPr>
      </w:pPr>
      <w:bookmarkStart w:id="17" w:name="_Toc214748968"/>
      <w:r>
        <w:rPr>
          <w:lang w:val="en-US"/>
        </w:rPr>
        <w:t>2</w:t>
      </w:r>
      <w:r w:rsidR="006D0CF6" w:rsidRPr="006D0CF6">
        <w:rPr>
          <w:lang w:val="en-US"/>
        </w:rPr>
        <w:t>.3 Short- versus Long-Term financing Compared</w:t>
      </w:r>
      <w:bookmarkEnd w:id="17"/>
    </w:p>
    <w:p w14:paraId="40DD3FF1" w14:textId="77777777" w:rsidR="006D0CF6" w:rsidRDefault="006D0CF6" w:rsidP="006D0CF6">
      <w:pPr>
        <w:spacing w:before="240" w:line="360" w:lineRule="auto"/>
        <w:jc w:val="both"/>
        <w:rPr>
          <w:rFonts w:ascii="Arial" w:hAnsi="Arial" w:cs="Arial"/>
          <w:bCs/>
          <w:sz w:val="24"/>
          <w:szCs w:val="24"/>
          <w:lang w:val="en-US"/>
        </w:rPr>
      </w:pPr>
      <w:r w:rsidRPr="006D0CF6">
        <w:rPr>
          <w:rFonts w:ascii="Arial" w:hAnsi="Arial" w:cs="Arial"/>
          <w:bCs/>
          <w:sz w:val="24"/>
          <w:szCs w:val="24"/>
          <w:lang w:val="en-US"/>
        </w:rPr>
        <w:t>At this point of restructuring, GE will have to match its financing option with the intent of the money and its risk profile (Qubit Capital, 2025). The firm requires stability with a high level of Debt-to-Equity Ratio (1.11) and high dependency on the Lines of Credit.</w:t>
      </w:r>
    </w:p>
    <w:tbl>
      <w:tblPr>
        <w:tblStyle w:val="TableGrid"/>
        <w:tblW w:w="0" w:type="auto"/>
        <w:tblLook w:val="04A0" w:firstRow="1" w:lastRow="0" w:firstColumn="1" w:lastColumn="0" w:noHBand="0" w:noVBand="1"/>
      </w:tblPr>
      <w:tblGrid>
        <w:gridCol w:w="1864"/>
        <w:gridCol w:w="1996"/>
        <w:gridCol w:w="2117"/>
        <w:gridCol w:w="3039"/>
      </w:tblGrid>
      <w:tr w:rsidR="00010500" w:rsidRPr="00E3635F" w14:paraId="7906BE56" w14:textId="77777777" w:rsidTr="00E3635F">
        <w:tc>
          <w:tcPr>
            <w:tcW w:w="0" w:type="auto"/>
            <w:hideMark/>
          </w:tcPr>
          <w:p w14:paraId="36DBC32E"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Feature</w:t>
            </w:r>
          </w:p>
        </w:tc>
        <w:tc>
          <w:tcPr>
            <w:tcW w:w="0" w:type="auto"/>
            <w:hideMark/>
          </w:tcPr>
          <w:p w14:paraId="27DB952D"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Short-Term Financing (STF)</w:t>
            </w:r>
          </w:p>
        </w:tc>
        <w:tc>
          <w:tcPr>
            <w:tcW w:w="0" w:type="auto"/>
            <w:hideMark/>
          </w:tcPr>
          <w:p w14:paraId="2DF6B48B"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Long-Term Financing (LTF)</w:t>
            </w:r>
          </w:p>
        </w:tc>
        <w:tc>
          <w:tcPr>
            <w:tcW w:w="0" w:type="auto"/>
            <w:hideMark/>
          </w:tcPr>
          <w:p w14:paraId="6C790020"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Recommendation for GE</w:t>
            </w:r>
          </w:p>
        </w:tc>
      </w:tr>
      <w:tr w:rsidR="00010500" w:rsidRPr="00E3635F" w14:paraId="667474AE" w14:textId="77777777" w:rsidTr="00E3635F">
        <w:tc>
          <w:tcPr>
            <w:tcW w:w="0" w:type="auto"/>
            <w:hideMark/>
          </w:tcPr>
          <w:p w14:paraId="12C0ED0B"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lastRenderedPageBreak/>
              <w:t>Purpose</w:t>
            </w:r>
          </w:p>
        </w:tc>
        <w:tc>
          <w:tcPr>
            <w:tcW w:w="0" w:type="auto"/>
            <w:hideMark/>
          </w:tcPr>
          <w:p w14:paraId="0E5285F5" w14:textId="62E0478A"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Bridging temporary COC gaps, seasonal inventory.</w:t>
            </w:r>
          </w:p>
        </w:tc>
        <w:tc>
          <w:tcPr>
            <w:tcW w:w="0" w:type="auto"/>
            <w:hideMark/>
          </w:tcPr>
          <w:p w14:paraId="0EE9BC02"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Major investments (PP&amp;E), R&amp;D, structural debt restructuring.</w:t>
            </w:r>
          </w:p>
        </w:tc>
        <w:tc>
          <w:tcPr>
            <w:tcW w:w="0" w:type="auto"/>
            <w:hideMark/>
          </w:tcPr>
          <w:p w14:paraId="37DE4E73"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LTF for restructuring debt; STF only for essential, short-cycle needs.</w:t>
            </w:r>
          </w:p>
        </w:tc>
      </w:tr>
      <w:tr w:rsidR="00010500" w:rsidRPr="00E3635F" w14:paraId="31E53DF5" w14:textId="77777777" w:rsidTr="00E3635F">
        <w:tc>
          <w:tcPr>
            <w:tcW w:w="0" w:type="auto"/>
            <w:hideMark/>
          </w:tcPr>
          <w:p w14:paraId="1CAD2E6D"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Duration/Type</w:t>
            </w:r>
          </w:p>
        </w:tc>
        <w:tc>
          <w:tcPr>
            <w:tcW w:w="0" w:type="auto"/>
            <w:hideMark/>
          </w:tcPr>
          <w:p w14:paraId="3ADABEB3" w14:textId="6B8DDE74"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&lt;1 year: Lines of Credit, Commercial Paper, Factoring.</w:t>
            </w:r>
          </w:p>
        </w:tc>
        <w:tc>
          <w:tcPr>
            <w:tcW w:w="0" w:type="auto"/>
            <w:hideMark/>
          </w:tcPr>
          <w:p w14:paraId="74D2AE38" w14:textId="2BC0725F"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&gt;5 years: Term Loans, Bonds, Equity issuance.</w:t>
            </w:r>
          </w:p>
        </w:tc>
        <w:tc>
          <w:tcPr>
            <w:tcW w:w="0" w:type="auto"/>
            <w:hideMark/>
          </w:tcPr>
          <w:p w14:paraId="51728856" w14:textId="65340E95"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 xml:space="preserve">GE is heavily reliant on STF (Lines of Credit </w:t>
            </w:r>
            <m:oMath>
              <m:r>
                <w:rPr>
                  <w:rFonts w:ascii="Cambria Math" w:hAnsi="Cambria Math" w:cs="Arial"/>
                  <w:sz w:val="24"/>
                  <w:szCs w:val="24"/>
                  <w:lang w:val="en-US"/>
                </w:rPr>
                <m:t>≈</m:t>
              </m:r>
            </m:oMath>
            <w:r w:rsidRPr="00E3635F">
              <w:rPr>
                <w:rFonts w:ascii="Arial" w:hAnsi="Arial" w:cs="Arial"/>
                <w:bCs/>
                <w:sz w:val="24"/>
                <w:szCs w:val="24"/>
                <w:lang w:val="en-US"/>
              </w:rPr>
              <w:t>£100bn turnover), which is volatile (Personal</w:t>
            </w:r>
            <w:r w:rsidR="00901D93">
              <w:rPr>
                <w:rFonts w:ascii="Arial" w:hAnsi="Arial" w:cs="Arial"/>
                <w:bCs/>
                <w:sz w:val="24"/>
                <w:szCs w:val="24"/>
                <w:lang w:val="en-US"/>
              </w:rPr>
              <w:t xml:space="preserve"> </w:t>
            </w:r>
            <w:r w:rsidRPr="00E3635F">
              <w:rPr>
                <w:rFonts w:ascii="Arial" w:hAnsi="Arial" w:cs="Arial"/>
                <w:bCs/>
                <w:sz w:val="24"/>
                <w:szCs w:val="24"/>
                <w:lang w:val="en-US"/>
              </w:rPr>
              <w:t>Finance</w:t>
            </w:r>
            <w:r w:rsidR="00901D93">
              <w:rPr>
                <w:rFonts w:ascii="Arial" w:hAnsi="Arial" w:cs="Arial"/>
                <w:bCs/>
                <w:sz w:val="24"/>
                <w:szCs w:val="24"/>
                <w:lang w:val="en-US"/>
              </w:rPr>
              <w:t xml:space="preserve"> </w:t>
            </w:r>
            <w:r w:rsidRPr="00E3635F">
              <w:rPr>
                <w:rFonts w:ascii="Arial" w:hAnsi="Arial" w:cs="Arial"/>
                <w:bCs/>
                <w:sz w:val="24"/>
                <w:szCs w:val="24"/>
                <w:lang w:val="en-US"/>
              </w:rPr>
              <w:t>Lab, 2025).</w:t>
            </w:r>
          </w:p>
        </w:tc>
      </w:tr>
      <w:tr w:rsidR="00010500" w:rsidRPr="00E3635F" w14:paraId="439F7A62" w14:textId="77777777" w:rsidTr="00E3635F">
        <w:tc>
          <w:tcPr>
            <w:tcW w:w="0" w:type="auto"/>
            <w:hideMark/>
          </w:tcPr>
          <w:p w14:paraId="4286BD5D"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Interest Rate</w:t>
            </w:r>
          </w:p>
        </w:tc>
        <w:tc>
          <w:tcPr>
            <w:tcW w:w="0" w:type="auto"/>
            <w:hideMark/>
          </w:tcPr>
          <w:p w14:paraId="461B7F10" w14:textId="7A34662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Generally Higher APR (due to higher perceived risk).</w:t>
            </w:r>
          </w:p>
        </w:tc>
        <w:tc>
          <w:tcPr>
            <w:tcW w:w="0" w:type="auto"/>
            <w:hideMark/>
          </w:tcPr>
          <w:p w14:paraId="27E66055"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Generally Lower rates (due to extended collateral and tenure).</w:t>
            </w:r>
          </w:p>
        </w:tc>
        <w:tc>
          <w:tcPr>
            <w:tcW w:w="0" w:type="auto"/>
            <w:hideMark/>
          </w:tcPr>
          <w:p w14:paraId="4C0A5659"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STF is becoming too expensive and risky given the firm’s instability.</w:t>
            </w:r>
          </w:p>
        </w:tc>
      </w:tr>
      <w:tr w:rsidR="00010500" w:rsidRPr="00E3635F" w14:paraId="33E1DD7D" w14:textId="77777777" w:rsidTr="00E3635F">
        <w:tc>
          <w:tcPr>
            <w:tcW w:w="0" w:type="auto"/>
            <w:hideMark/>
          </w:tcPr>
          <w:p w14:paraId="5826EA93"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Impact on Cash Flow</w:t>
            </w:r>
          </w:p>
        </w:tc>
        <w:tc>
          <w:tcPr>
            <w:tcW w:w="0" w:type="auto"/>
            <w:hideMark/>
          </w:tcPr>
          <w:p w14:paraId="6801F599"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High Pressure: Higher payments due to shorter repayment periods strain monthly cash flow.</w:t>
            </w:r>
          </w:p>
        </w:tc>
        <w:tc>
          <w:tcPr>
            <w:tcW w:w="0" w:type="auto"/>
            <w:hideMark/>
          </w:tcPr>
          <w:p w14:paraId="2E37D383"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Lower Pressure: Lower monthly payments spread over many years provide cash flow stability (Value Capital Funding, 2024).</w:t>
            </w:r>
          </w:p>
        </w:tc>
        <w:tc>
          <w:tcPr>
            <w:tcW w:w="0" w:type="auto"/>
            <w:hideMark/>
          </w:tcPr>
          <w:p w14:paraId="2EBA15C4"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LTF provides the predictability needed for a multi-year turnaround plan.</w:t>
            </w:r>
          </w:p>
        </w:tc>
      </w:tr>
      <w:tr w:rsidR="00010500" w:rsidRPr="00E3635F" w14:paraId="30B354C7" w14:textId="77777777" w:rsidTr="00E3635F">
        <w:tc>
          <w:tcPr>
            <w:tcW w:w="0" w:type="auto"/>
            <w:hideMark/>
          </w:tcPr>
          <w:p w14:paraId="7AFAE3B7"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
                <w:bCs/>
                <w:sz w:val="24"/>
                <w:szCs w:val="24"/>
                <w:lang w:val="en-US"/>
              </w:rPr>
              <w:t>Strategic Fit</w:t>
            </w:r>
          </w:p>
        </w:tc>
        <w:tc>
          <w:tcPr>
            <w:tcW w:w="0" w:type="auto"/>
            <w:hideMark/>
          </w:tcPr>
          <w:p w14:paraId="05FEE57C"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Tactical and transactional.</w:t>
            </w:r>
          </w:p>
        </w:tc>
        <w:tc>
          <w:tcPr>
            <w:tcW w:w="0" w:type="auto"/>
            <w:hideMark/>
          </w:tcPr>
          <w:p w14:paraId="1EB67F38" w14:textId="77777777" w:rsidR="00E3635F" w:rsidRPr="00E3635F" w:rsidRDefault="00E3635F" w:rsidP="00E3635F">
            <w:pPr>
              <w:spacing w:before="240" w:line="360" w:lineRule="auto"/>
              <w:jc w:val="both"/>
              <w:rPr>
                <w:rFonts w:ascii="Arial" w:hAnsi="Arial" w:cs="Arial"/>
                <w:bCs/>
                <w:sz w:val="24"/>
                <w:szCs w:val="24"/>
                <w:lang w:val="en-US"/>
              </w:rPr>
            </w:pPr>
            <w:r w:rsidRPr="00E3635F">
              <w:rPr>
                <w:rFonts w:ascii="Arial" w:hAnsi="Arial" w:cs="Arial"/>
                <w:bCs/>
                <w:sz w:val="24"/>
                <w:szCs w:val="24"/>
                <w:lang w:val="en-US"/>
              </w:rPr>
              <w:t>Strategic, aligning funds with long-lived assets (e.g., new AI R&amp;D platforms).</w:t>
            </w:r>
          </w:p>
        </w:tc>
        <w:tc>
          <w:tcPr>
            <w:tcW w:w="0" w:type="auto"/>
            <w:hideMark/>
          </w:tcPr>
          <w:p w14:paraId="5A3B5186" w14:textId="19204864" w:rsidR="00E3635F" w:rsidRPr="00E3635F" w:rsidRDefault="00E3635F" w:rsidP="00AF7397">
            <w:pPr>
              <w:keepNext/>
              <w:spacing w:before="240" w:line="360" w:lineRule="auto"/>
              <w:jc w:val="both"/>
              <w:rPr>
                <w:rFonts w:ascii="Arial" w:hAnsi="Arial" w:cs="Arial"/>
                <w:bCs/>
                <w:sz w:val="24"/>
                <w:szCs w:val="24"/>
                <w:lang w:val="en-US"/>
              </w:rPr>
            </w:pPr>
            <w:r w:rsidRPr="00E3635F">
              <w:rPr>
                <w:rFonts w:ascii="Arial" w:hAnsi="Arial" w:cs="Arial"/>
                <w:bCs/>
                <w:sz w:val="24"/>
                <w:szCs w:val="24"/>
                <w:lang w:val="en-US"/>
              </w:rPr>
              <w:t>GE needs to issue long-term bonds or secured loans to replace its current, highly volatile</w:t>
            </w:r>
            <w:r w:rsidR="00010500" w:rsidRPr="004153C2">
              <w:rPr>
                <w:rFonts w:ascii="Arial" w:hAnsi="Arial" w:cs="Arial"/>
                <w:bCs/>
                <w:sz w:val="24"/>
                <w:szCs w:val="24"/>
                <w:lang w:val="en-US"/>
              </w:rPr>
              <w:t xml:space="preserve"> </w:t>
            </w:r>
            <w:r w:rsidRPr="00E3635F">
              <w:rPr>
                <w:rFonts w:ascii="Arial" w:hAnsi="Arial" w:cs="Arial"/>
                <w:bCs/>
                <w:sz w:val="24"/>
                <w:szCs w:val="24"/>
                <w:lang w:val="en-US"/>
              </w:rPr>
              <w:t xml:space="preserve">Lines of Credit (STF), thereby </w:t>
            </w:r>
            <w:r w:rsidRPr="00E3635F">
              <w:rPr>
                <w:rFonts w:ascii="Arial" w:hAnsi="Arial" w:cs="Arial"/>
                <w:bCs/>
                <w:sz w:val="24"/>
                <w:szCs w:val="24"/>
                <w:lang w:val="en-US"/>
              </w:rPr>
              <w:lastRenderedPageBreak/>
              <w:t>locking in lower rates and longer repayment schedules (Legal</w:t>
            </w:r>
            <w:r w:rsidR="00901D93">
              <w:rPr>
                <w:rFonts w:ascii="Arial" w:hAnsi="Arial" w:cs="Arial"/>
                <w:bCs/>
                <w:sz w:val="24"/>
                <w:szCs w:val="24"/>
                <w:lang w:val="en-US"/>
              </w:rPr>
              <w:t xml:space="preserve"> </w:t>
            </w:r>
            <w:r w:rsidRPr="00E3635F">
              <w:rPr>
                <w:rFonts w:ascii="Arial" w:hAnsi="Arial" w:cs="Arial"/>
                <w:bCs/>
                <w:sz w:val="24"/>
                <w:szCs w:val="24"/>
                <w:lang w:val="en-US"/>
              </w:rPr>
              <w:t>Vision UK, 2025).</w:t>
            </w:r>
          </w:p>
        </w:tc>
      </w:tr>
    </w:tbl>
    <w:p w14:paraId="37B29869" w14:textId="4E5DD695" w:rsidR="00AF7397" w:rsidRDefault="00AF7397">
      <w:pPr>
        <w:pStyle w:val="Caption"/>
      </w:pPr>
      <w:bookmarkStart w:id="18" w:name="_Toc214748983"/>
      <w:bookmarkStart w:id="19" w:name="_Toc214749060"/>
      <w:r>
        <w:lastRenderedPageBreak/>
        <w:t xml:space="preserve">Table </w:t>
      </w:r>
      <w:r>
        <w:fldChar w:fldCharType="begin"/>
      </w:r>
      <w:r>
        <w:instrText xml:space="preserve"> SEQ Table \* ARABIC </w:instrText>
      </w:r>
      <w:r>
        <w:fldChar w:fldCharType="separate"/>
      </w:r>
      <w:r w:rsidR="002D7440">
        <w:rPr>
          <w:noProof/>
        </w:rPr>
        <w:t>5</w:t>
      </w:r>
      <w:r>
        <w:fldChar w:fldCharType="end"/>
      </w:r>
      <w:r>
        <w:t xml:space="preserve">: </w:t>
      </w:r>
      <w:r w:rsidRPr="00D81A50">
        <w:t>Short- versus Long-Term financing</w:t>
      </w:r>
      <w:bookmarkEnd w:id="18"/>
      <w:bookmarkEnd w:id="19"/>
    </w:p>
    <w:p w14:paraId="08D42877" w14:textId="6733E98F" w:rsidR="006D0CF6" w:rsidRPr="006D0CF6" w:rsidRDefault="006D0CF6" w:rsidP="006D0CF6">
      <w:pPr>
        <w:spacing w:before="240" w:line="360" w:lineRule="auto"/>
        <w:jc w:val="both"/>
        <w:rPr>
          <w:rFonts w:ascii="Arial" w:hAnsi="Arial" w:cs="Arial"/>
          <w:bCs/>
          <w:sz w:val="24"/>
          <w:szCs w:val="24"/>
          <w:lang w:val="en-US"/>
        </w:rPr>
      </w:pPr>
      <w:r w:rsidRPr="006D0CF6">
        <w:rPr>
          <w:rFonts w:ascii="Arial" w:hAnsi="Arial" w:cs="Arial"/>
          <w:b/>
          <w:sz w:val="24"/>
          <w:szCs w:val="24"/>
          <w:lang w:val="en-US"/>
        </w:rPr>
        <w:t>Conclusion on Financing:</w:t>
      </w:r>
      <w:r w:rsidR="00F11C6A">
        <w:rPr>
          <w:rFonts w:ascii="Arial" w:hAnsi="Arial" w:cs="Arial"/>
          <w:bCs/>
          <w:sz w:val="24"/>
          <w:szCs w:val="24"/>
          <w:lang w:val="en-US"/>
        </w:rPr>
        <w:t xml:space="preserve"> </w:t>
      </w:r>
      <w:r w:rsidRPr="006D0CF6">
        <w:rPr>
          <w:rFonts w:ascii="Arial" w:hAnsi="Arial" w:cs="Arial"/>
          <w:bCs/>
          <w:sz w:val="24"/>
          <w:szCs w:val="24"/>
          <w:lang w:val="en-US"/>
        </w:rPr>
        <w:t xml:space="preserve">The urgent task of GE should be to substitute a large part of its unstable Lines of Credit debt with structured Long-Term Debt (e.g., secured term loans or bonds). This eases the liquidity pressure in the short term, gives foreseeability to the cash flow, and settles the liability structure on the Balance Sheet, which is crucial to attract long-term investors (Bajaj </w:t>
      </w:r>
      <w:proofErr w:type="spellStart"/>
      <w:r w:rsidRPr="006D0CF6">
        <w:rPr>
          <w:rFonts w:ascii="Arial" w:hAnsi="Arial" w:cs="Arial"/>
          <w:bCs/>
          <w:sz w:val="24"/>
          <w:szCs w:val="24"/>
          <w:lang w:val="en-US"/>
        </w:rPr>
        <w:t>Finserv</w:t>
      </w:r>
      <w:proofErr w:type="spellEnd"/>
      <w:r w:rsidRPr="006D0CF6">
        <w:rPr>
          <w:rFonts w:ascii="Arial" w:hAnsi="Arial" w:cs="Arial"/>
          <w:bCs/>
          <w:sz w:val="24"/>
          <w:szCs w:val="24"/>
          <w:lang w:val="en-US"/>
        </w:rPr>
        <w:t>, 2025). The WCM reforms (i.e., raising cash internally) should address the short-term financing requirements as opposed to depending on external and expensive debt.</w:t>
      </w:r>
    </w:p>
    <w:p w14:paraId="4A0B9601" w14:textId="75C25FE4" w:rsidR="00CD4561" w:rsidRPr="003227C7" w:rsidRDefault="00CD4561" w:rsidP="00253EAC">
      <w:pPr>
        <w:pStyle w:val="Heading1"/>
      </w:pPr>
      <w:bookmarkStart w:id="20" w:name="_Toc214748969"/>
      <w:r w:rsidRPr="009C4F12">
        <w:t>3</w:t>
      </w:r>
      <w:r w:rsidR="00253EAC">
        <w:t>.</w:t>
      </w:r>
      <w:r>
        <w:t xml:space="preserve"> </w:t>
      </w:r>
      <w:r w:rsidR="00814796" w:rsidRPr="00814796">
        <w:t xml:space="preserve">Strategic Financial </w:t>
      </w:r>
      <w:r w:rsidR="00814796" w:rsidRPr="00253EAC">
        <w:t>Restructuring</w:t>
      </w:r>
      <w:r w:rsidR="00814796" w:rsidRPr="00814796">
        <w:t xml:space="preserve"> Plan</w:t>
      </w:r>
      <w:bookmarkEnd w:id="20"/>
    </w:p>
    <w:p w14:paraId="39867AAE" w14:textId="580473C1" w:rsidR="00CD4561" w:rsidRDefault="00E93AE1" w:rsidP="004E2CCB">
      <w:pPr>
        <w:pStyle w:val="Heading2"/>
      </w:pPr>
      <w:bookmarkStart w:id="21" w:name="_Toc214748970"/>
      <w:r>
        <w:t>3</w:t>
      </w:r>
      <w:r w:rsidRPr="00E93AE1">
        <w:t xml:space="preserve">.1 </w:t>
      </w:r>
      <w:r w:rsidRPr="004E2CCB">
        <w:t>Recommended</w:t>
      </w:r>
      <w:r w:rsidRPr="00E93AE1">
        <w:t xml:space="preserve"> Financial Restructuring Options</w:t>
      </w:r>
      <w:r w:rsidR="00CD4561">
        <w:t>:</w:t>
      </w:r>
      <w:bookmarkEnd w:id="21"/>
    </w:p>
    <w:p w14:paraId="4FFBDD98" w14:textId="6532A8BE" w:rsidR="00B10EA1" w:rsidRPr="00B10EA1" w:rsidRDefault="00B10EA1" w:rsidP="00B10EA1">
      <w:pPr>
        <w:spacing w:before="240" w:line="360" w:lineRule="auto"/>
        <w:jc w:val="both"/>
        <w:rPr>
          <w:rFonts w:ascii="Arial" w:hAnsi="Arial" w:cs="Arial"/>
          <w:bCs/>
          <w:sz w:val="24"/>
          <w:szCs w:val="24"/>
          <w:lang w:val="en-US"/>
        </w:rPr>
      </w:pPr>
      <w:r w:rsidRPr="00B10EA1">
        <w:rPr>
          <w:rFonts w:ascii="Arial" w:hAnsi="Arial" w:cs="Arial"/>
          <w:bCs/>
          <w:sz w:val="24"/>
          <w:szCs w:val="24"/>
          <w:lang w:val="en-US"/>
        </w:rPr>
        <w:t xml:space="preserve">The restructuring should be intensive and aimed at producing cash to settle liability and only strategically </w:t>
      </w:r>
      <w:r w:rsidR="00634205" w:rsidRPr="00B10EA1">
        <w:rPr>
          <w:rFonts w:ascii="Arial" w:hAnsi="Arial" w:cs="Arial"/>
          <w:bCs/>
          <w:sz w:val="24"/>
          <w:szCs w:val="24"/>
          <w:lang w:val="en-US"/>
        </w:rPr>
        <w:t xml:space="preserve">reinvesting </w:t>
      </w:r>
      <w:r w:rsidRPr="00B10EA1">
        <w:rPr>
          <w:rFonts w:ascii="Arial" w:hAnsi="Arial" w:cs="Arial"/>
          <w:bCs/>
          <w:sz w:val="24"/>
          <w:szCs w:val="24"/>
          <w:lang w:val="en-US"/>
        </w:rPr>
        <w:t>in core competencies that are considered to be high returns.</w:t>
      </w:r>
    </w:p>
    <w:p w14:paraId="0C70F8D2" w14:textId="43E61C3E" w:rsidR="00B10EA1" w:rsidRPr="00202662" w:rsidRDefault="00202662" w:rsidP="00202662">
      <w:pPr>
        <w:rPr>
          <w:rFonts w:ascii="Arial" w:hAnsi="Arial" w:cs="Arial"/>
          <w:b/>
          <w:bCs/>
          <w:sz w:val="24"/>
          <w:szCs w:val="24"/>
          <w:lang w:val="en-US"/>
        </w:rPr>
      </w:pPr>
      <w:r w:rsidRPr="00202662">
        <w:rPr>
          <w:rFonts w:ascii="Arial" w:hAnsi="Arial" w:cs="Arial"/>
          <w:b/>
          <w:bCs/>
          <w:sz w:val="24"/>
          <w:szCs w:val="24"/>
          <w:lang w:val="en-US"/>
        </w:rPr>
        <w:t xml:space="preserve">A. </w:t>
      </w:r>
      <w:r w:rsidR="00B10EA1" w:rsidRPr="00202662">
        <w:rPr>
          <w:rFonts w:ascii="Arial" w:hAnsi="Arial" w:cs="Arial"/>
          <w:b/>
          <w:bCs/>
          <w:sz w:val="24"/>
          <w:szCs w:val="24"/>
          <w:lang w:val="en-US"/>
        </w:rPr>
        <w:t>Strategic Divestiture (</w:t>
      </w:r>
      <w:r w:rsidR="00D51D52" w:rsidRPr="00202662">
        <w:rPr>
          <w:rFonts w:ascii="Arial" w:hAnsi="Arial" w:cs="Arial"/>
          <w:b/>
          <w:bCs/>
          <w:sz w:val="24"/>
          <w:szCs w:val="24"/>
          <w:lang w:val="en-US"/>
        </w:rPr>
        <w:t>Primary</w:t>
      </w:r>
      <w:r w:rsidR="00B10EA1" w:rsidRPr="00202662">
        <w:rPr>
          <w:rFonts w:ascii="Arial" w:hAnsi="Arial" w:cs="Arial"/>
          <w:b/>
          <w:bCs/>
          <w:sz w:val="24"/>
          <w:szCs w:val="24"/>
          <w:lang w:val="en-US"/>
        </w:rPr>
        <w:t xml:space="preserve"> Tool)</w:t>
      </w:r>
    </w:p>
    <w:p w14:paraId="650659A4" w14:textId="5FE784AC" w:rsidR="00B10EA1" w:rsidRPr="00B10EA1" w:rsidRDefault="00B10EA1" w:rsidP="00B10EA1">
      <w:pPr>
        <w:spacing w:before="240" w:line="360" w:lineRule="auto"/>
        <w:jc w:val="both"/>
        <w:rPr>
          <w:rFonts w:ascii="Arial" w:hAnsi="Arial" w:cs="Arial"/>
          <w:bCs/>
          <w:sz w:val="24"/>
          <w:szCs w:val="24"/>
          <w:lang w:val="en-US"/>
        </w:rPr>
      </w:pPr>
      <w:r w:rsidRPr="00B10EA1">
        <w:rPr>
          <w:rFonts w:ascii="Arial" w:hAnsi="Arial" w:cs="Arial"/>
          <w:bCs/>
          <w:sz w:val="24"/>
          <w:szCs w:val="24"/>
          <w:lang w:val="en-US"/>
        </w:rPr>
        <w:t xml:space="preserve">The most significant move that GE needs to make is divestiture, </w:t>
      </w:r>
      <w:r w:rsidR="00F9619B" w:rsidRPr="00B10EA1">
        <w:rPr>
          <w:rFonts w:ascii="Arial" w:hAnsi="Arial" w:cs="Arial"/>
          <w:bCs/>
          <w:sz w:val="24"/>
          <w:szCs w:val="24"/>
          <w:lang w:val="en-US"/>
        </w:rPr>
        <w:t>i.e.,</w:t>
      </w:r>
      <w:r w:rsidRPr="00B10EA1">
        <w:rPr>
          <w:rFonts w:ascii="Arial" w:hAnsi="Arial" w:cs="Arial"/>
          <w:bCs/>
          <w:sz w:val="24"/>
          <w:szCs w:val="24"/>
          <w:lang w:val="en-US"/>
        </w:rPr>
        <w:t xml:space="preserve"> selling the non-core business units (Investopedia, 2025). The 2023 Goodwill Impairment of 49bn confirms that the past acquisitions and certain asset categories are essentially value killers.</w:t>
      </w:r>
    </w:p>
    <w:p w14:paraId="3FA9E21D" w14:textId="1B1E573E" w:rsidR="00B10EA1" w:rsidRPr="005E19DE" w:rsidRDefault="00B10EA1" w:rsidP="005E19DE">
      <w:pPr>
        <w:pStyle w:val="ListParagraph"/>
        <w:numPr>
          <w:ilvl w:val="0"/>
          <w:numId w:val="14"/>
        </w:numPr>
        <w:spacing w:before="240" w:line="360" w:lineRule="auto"/>
        <w:jc w:val="both"/>
        <w:rPr>
          <w:rFonts w:ascii="Arial" w:hAnsi="Arial" w:cs="Arial"/>
          <w:bCs/>
          <w:sz w:val="24"/>
          <w:szCs w:val="24"/>
          <w:lang w:val="en-US"/>
        </w:rPr>
      </w:pPr>
      <w:r w:rsidRPr="005E19DE">
        <w:rPr>
          <w:rFonts w:ascii="Arial" w:hAnsi="Arial" w:cs="Arial"/>
          <w:b/>
          <w:sz w:val="24"/>
          <w:szCs w:val="24"/>
          <w:lang w:val="en-US"/>
        </w:rPr>
        <w:t>Target Assets:</w:t>
      </w:r>
      <w:r w:rsidRPr="005E19DE">
        <w:rPr>
          <w:rFonts w:ascii="Arial" w:hAnsi="Arial" w:cs="Arial"/>
          <w:bCs/>
          <w:sz w:val="24"/>
          <w:szCs w:val="24"/>
          <w:lang w:val="en-US"/>
        </w:rPr>
        <w:t xml:space="preserve"> Non-core consumer product lines (e.g., legacy or low-margin appliance divisions) and non-strategic global operational units that contributed to the Impairment of long-lived assets (e.g., do not belong to generally accepted accounting principles</w:t>
      </w:r>
      <w:r w:rsidR="00CE5988">
        <w:rPr>
          <w:rFonts w:ascii="Arial" w:hAnsi="Arial" w:cs="Arial"/>
          <w:bCs/>
          <w:sz w:val="24"/>
          <w:szCs w:val="24"/>
          <w:lang w:val="en-US"/>
        </w:rPr>
        <w:t>)</w:t>
      </w:r>
      <w:r w:rsidRPr="005E19DE">
        <w:rPr>
          <w:rFonts w:ascii="Arial" w:hAnsi="Arial" w:cs="Arial"/>
          <w:bCs/>
          <w:sz w:val="24"/>
          <w:szCs w:val="24"/>
          <w:lang w:val="en-US"/>
        </w:rPr>
        <w:t xml:space="preserve"> </w:t>
      </w:r>
      <w:r w:rsidR="0045296A" w:rsidRPr="0045296A">
        <w:rPr>
          <w:rFonts w:ascii="Arial" w:hAnsi="Arial" w:cs="Arial"/>
          <w:bCs/>
          <w:sz w:val="24"/>
          <w:szCs w:val="24"/>
          <w:lang w:val="en-US"/>
        </w:rPr>
        <w:t>(£7.9bn)</w:t>
      </w:r>
      <w:r w:rsidRPr="005E19DE">
        <w:rPr>
          <w:rFonts w:ascii="Arial" w:hAnsi="Arial" w:cs="Arial"/>
          <w:bCs/>
          <w:sz w:val="24"/>
          <w:szCs w:val="24"/>
          <w:lang w:val="en-US"/>
        </w:rPr>
        <w:t>.</w:t>
      </w:r>
    </w:p>
    <w:p w14:paraId="73543DD6" w14:textId="2637920C" w:rsidR="00B10EA1" w:rsidRPr="005E19DE" w:rsidRDefault="005E19DE" w:rsidP="005E19DE">
      <w:pPr>
        <w:pStyle w:val="ListParagraph"/>
        <w:numPr>
          <w:ilvl w:val="0"/>
          <w:numId w:val="14"/>
        </w:numPr>
        <w:spacing w:before="240" w:line="360" w:lineRule="auto"/>
        <w:jc w:val="both"/>
        <w:rPr>
          <w:rFonts w:ascii="Arial" w:hAnsi="Arial" w:cs="Arial"/>
          <w:bCs/>
          <w:sz w:val="24"/>
          <w:szCs w:val="24"/>
          <w:lang w:val="en-US"/>
        </w:rPr>
      </w:pPr>
      <w:r w:rsidRPr="005E19DE">
        <w:rPr>
          <w:rFonts w:ascii="Arial" w:hAnsi="Arial" w:cs="Arial"/>
          <w:b/>
          <w:sz w:val="24"/>
          <w:szCs w:val="24"/>
          <w:lang w:val="en-US"/>
        </w:rPr>
        <w:t>Method:</w:t>
      </w:r>
      <w:r w:rsidRPr="005E19DE">
        <w:rPr>
          <w:rFonts w:ascii="Arial" w:hAnsi="Arial" w:cs="Arial"/>
          <w:bCs/>
          <w:sz w:val="24"/>
          <w:szCs w:val="24"/>
          <w:lang w:val="en-US"/>
        </w:rPr>
        <w:t xml:space="preserve"> </w:t>
      </w:r>
      <w:r w:rsidR="00B10EA1" w:rsidRPr="005E19DE">
        <w:rPr>
          <w:rFonts w:ascii="Arial" w:hAnsi="Arial" w:cs="Arial"/>
          <w:bCs/>
          <w:sz w:val="24"/>
          <w:szCs w:val="24"/>
          <w:lang w:val="en-US"/>
        </w:rPr>
        <w:t xml:space="preserve">Outright Sale (Sell-off) to strategic or financial acquirers. A premium price will be achieved by selling the asset to a strategic buyer (competitor) or a financial buyer (Private Equity firm) who can derive more value out of the asset and share it </w:t>
      </w:r>
      <w:proofErr w:type="spellStart"/>
      <w:r w:rsidR="00B10EA1" w:rsidRPr="005E19DE">
        <w:rPr>
          <w:rFonts w:ascii="Arial" w:hAnsi="Arial" w:cs="Arial"/>
          <w:bCs/>
          <w:sz w:val="24"/>
          <w:szCs w:val="24"/>
          <w:lang w:val="en-US"/>
        </w:rPr>
        <w:t>it</w:t>
      </w:r>
      <w:proofErr w:type="spellEnd"/>
      <w:r w:rsidR="00B10EA1" w:rsidRPr="005E19DE">
        <w:rPr>
          <w:rFonts w:ascii="Arial" w:hAnsi="Arial" w:cs="Arial"/>
          <w:bCs/>
          <w:sz w:val="24"/>
          <w:szCs w:val="24"/>
          <w:lang w:val="en-US"/>
        </w:rPr>
        <w:t xml:space="preserve"> with the GE shareholders (John and Ofek, 1995).</w:t>
      </w:r>
    </w:p>
    <w:p w14:paraId="01D529A4" w14:textId="3D87AC46" w:rsidR="00B10EA1" w:rsidRPr="00B10EA1" w:rsidRDefault="00B10EA1" w:rsidP="00B10EA1">
      <w:pPr>
        <w:spacing w:before="240" w:line="360" w:lineRule="auto"/>
        <w:jc w:val="both"/>
        <w:rPr>
          <w:rFonts w:ascii="Arial" w:hAnsi="Arial" w:cs="Arial"/>
          <w:b/>
          <w:sz w:val="24"/>
          <w:szCs w:val="24"/>
          <w:lang w:val="en-US"/>
        </w:rPr>
      </w:pPr>
      <w:r w:rsidRPr="00B10EA1">
        <w:rPr>
          <w:rFonts w:ascii="Arial" w:hAnsi="Arial" w:cs="Arial"/>
          <w:b/>
          <w:sz w:val="24"/>
          <w:szCs w:val="24"/>
          <w:lang w:val="en-US"/>
        </w:rPr>
        <w:lastRenderedPageBreak/>
        <w:t xml:space="preserve">B. Debt Restructuring and </w:t>
      </w:r>
      <w:proofErr w:type="spellStart"/>
      <w:r w:rsidRPr="00B10EA1">
        <w:rPr>
          <w:rFonts w:ascii="Arial" w:hAnsi="Arial" w:cs="Arial"/>
          <w:b/>
          <w:sz w:val="24"/>
          <w:szCs w:val="24"/>
          <w:lang w:val="en-US"/>
        </w:rPr>
        <w:t>Recapitalisation</w:t>
      </w:r>
      <w:proofErr w:type="spellEnd"/>
    </w:p>
    <w:p w14:paraId="69AB2575" w14:textId="7D7ADB5F" w:rsidR="00B10EA1" w:rsidRPr="00B10EA1" w:rsidRDefault="00B10EA1" w:rsidP="00B10EA1">
      <w:pPr>
        <w:spacing w:before="240" w:line="360" w:lineRule="auto"/>
        <w:jc w:val="both"/>
        <w:rPr>
          <w:rFonts w:ascii="Arial" w:hAnsi="Arial" w:cs="Arial"/>
          <w:bCs/>
          <w:sz w:val="24"/>
          <w:szCs w:val="24"/>
          <w:lang w:val="en-US"/>
        </w:rPr>
      </w:pPr>
      <w:r w:rsidRPr="00B10EA1">
        <w:rPr>
          <w:rFonts w:ascii="Arial" w:hAnsi="Arial" w:cs="Arial"/>
          <w:bCs/>
          <w:sz w:val="24"/>
          <w:szCs w:val="24"/>
          <w:lang w:val="en-US"/>
        </w:rPr>
        <w:t xml:space="preserve">The existing level of </w:t>
      </w:r>
      <w:r w:rsidR="00202662" w:rsidRPr="00B10EA1">
        <w:rPr>
          <w:rFonts w:ascii="Arial" w:hAnsi="Arial" w:cs="Arial"/>
          <w:bCs/>
          <w:sz w:val="24"/>
          <w:szCs w:val="24"/>
          <w:lang w:val="en-US"/>
        </w:rPr>
        <w:t>Debt-to-Equity</w:t>
      </w:r>
      <w:r w:rsidRPr="00B10EA1">
        <w:rPr>
          <w:rFonts w:ascii="Arial" w:hAnsi="Arial" w:cs="Arial"/>
          <w:bCs/>
          <w:sz w:val="24"/>
          <w:szCs w:val="24"/>
          <w:lang w:val="en-US"/>
        </w:rPr>
        <w:t xml:space="preserve"> Ratio is not </w:t>
      </w:r>
      <w:r w:rsidR="00202662" w:rsidRPr="00B10EA1">
        <w:rPr>
          <w:rFonts w:ascii="Arial" w:hAnsi="Arial" w:cs="Arial"/>
          <w:bCs/>
          <w:sz w:val="24"/>
          <w:szCs w:val="24"/>
          <w:lang w:val="en-US"/>
        </w:rPr>
        <w:t>viable,</w:t>
      </w:r>
      <w:r w:rsidRPr="00B10EA1">
        <w:rPr>
          <w:rFonts w:ascii="Arial" w:hAnsi="Arial" w:cs="Arial"/>
          <w:bCs/>
          <w:sz w:val="24"/>
          <w:szCs w:val="24"/>
          <w:lang w:val="en-US"/>
        </w:rPr>
        <w:t xml:space="preserve"> and the high dependency on unstable Lines of Credit puts a strain on the liquidity.</w:t>
      </w:r>
    </w:p>
    <w:p w14:paraId="65C8F224" w14:textId="1935354C" w:rsidR="00B10EA1" w:rsidRPr="00A74415" w:rsidRDefault="00B10EA1" w:rsidP="00A74415">
      <w:pPr>
        <w:pStyle w:val="ListParagraph"/>
        <w:numPr>
          <w:ilvl w:val="0"/>
          <w:numId w:val="15"/>
        </w:numPr>
        <w:spacing w:before="240" w:line="360" w:lineRule="auto"/>
        <w:jc w:val="both"/>
        <w:rPr>
          <w:rFonts w:ascii="Arial" w:hAnsi="Arial" w:cs="Arial"/>
          <w:bCs/>
          <w:sz w:val="24"/>
          <w:szCs w:val="24"/>
          <w:lang w:val="en-US"/>
        </w:rPr>
      </w:pPr>
      <w:r w:rsidRPr="00A74415">
        <w:rPr>
          <w:rFonts w:ascii="Arial" w:hAnsi="Arial" w:cs="Arial"/>
          <w:b/>
          <w:sz w:val="24"/>
          <w:szCs w:val="24"/>
          <w:lang w:val="en-US"/>
        </w:rPr>
        <w:t>Debt-To Bond Swap:</w:t>
      </w:r>
      <w:r w:rsidRPr="00A74415">
        <w:rPr>
          <w:rFonts w:ascii="Arial" w:hAnsi="Arial" w:cs="Arial"/>
          <w:bCs/>
          <w:sz w:val="24"/>
          <w:szCs w:val="24"/>
          <w:lang w:val="en-US"/>
        </w:rPr>
        <w:t xml:space="preserve"> a negotiated agreement with the short-term lenders (mainly on the above lines of credit) would be a swap of some of the short-term high-interest debt with new long-term secured bonds. This gives more time to the </w:t>
      </w:r>
      <w:r w:rsidR="00A74415" w:rsidRPr="00A74415">
        <w:rPr>
          <w:rFonts w:ascii="Arial" w:hAnsi="Arial" w:cs="Arial"/>
          <w:bCs/>
          <w:sz w:val="24"/>
          <w:szCs w:val="24"/>
          <w:lang w:val="en-US"/>
        </w:rPr>
        <w:t>maturities</w:t>
      </w:r>
      <w:r w:rsidRPr="00A74415">
        <w:rPr>
          <w:rFonts w:ascii="Arial" w:hAnsi="Arial" w:cs="Arial"/>
          <w:bCs/>
          <w:sz w:val="24"/>
          <w:szCs w:val="24"/>
          <w:lang w:val="en-US"/>
        </w:rPr>
        <w:t xml:space="preserve"> profile, less cash pressure in the near term and reinvestment of the Operating Cash Flow (CFO).</w:t>
      </w:r>
    </w:p>
    <w:p w14:paraId="68FE2A7D" w14:textId="61FD42AA" w:rsidR="00B10EA1" w:rsidRPr="00A74415" w:rsidRDefault="00B10EA1" w:rsidP="00A74415">
      <w:pPr>
        <w:pStyle w:val="ListParagraph"/>
        <w:numPr>
          <w:ilvl w:val="0"/>
          <w:numId w:val="15"/>
        </w:numPr>
        <w:spacing w:before="240" w:line="360" w:lineRule="auto"/>
        <w:jc w:val="both"/>
        <w:rPr>
          <w:rFonts w:ascii="Arial" w:hAnsi="Arial" w:cs="Arial"/>
          <w:bCs/>
          <w:sz w:val="24"/>
          <w:szCs w:val="24"/>
          <w:lang w:val="en-US"/>
        </w:rPr>
      </w:pPr>
      <w:r w:rsidRPr="00A74415">
        <w:rPr>
          <w:rFonts w:ascii="Arial" w:hAnsi="Arial" w:cs="Arial"/>
          <w:b/>
          <w:sz w:val="24"/>
          <w:szCs w:val="24"/>
          <w:lang w:val="en-US"/>
        </w:rPr>
        <w:t>Private Equity Injection (Targeted Equity):</w:t>
      </w:r>
      <w:r w:rsidRPr="00A74415">
        <w:rPr>
          <w:rFonts w:ascii="Arial" w:hAnsi="Arial" w:cs="Arial"/>
          <w:bCs/>
          <w:sz w:val="24"/>
          <w:szCs w:val="24"/>
          <w:lang w:val="en-US"/>
        </w:rPr>
        <w:t xml:space="preserve"> Obtain strategic and minor investment by a large institutional or private equity company. This gives an impetus of cash to instantly reduce the ratio of Debt/Equity and is an indicator of confidence in the market. The investor would not have a controlling </w:t>
      </w:r>
      <w:r w:rsidR="00A74415" w:rsidRPr="00A74415">
        <w:rPr>
          <w:rFonts w:ascii="Arial" w:hAnsi="Arial" w:cs="Arial"/>
          <w:bCs/>
          <w:sz w:val="24"/>
          <w:szCs w:val="24"/>
          <w:lang w:val="en-US"/>
        </w:rPr>
        <w:t>stake, stake</w:t>
      </w:r>
      <w:r w:rsidRPr="00A74415">
        <w:rPr>
          <w:rFonts w:ascii="Arial" w:hAnsi="Arial" w:cs="Arial"/>
          <w:bCs/>
          <w:sz w:val="24"/>
          <w:szCs w:val="24"/>
          <w:lang w:val="en-US"/>
        </w:rPr>
        <w:t>, as this would limit the flexibility of GE in its operations.</w:t>
      </w:r>
    </w:p>
    <w:p w14:paraId="79B0EE53" w14:textId="77777777" w:rsidR="00B10EA1" w:rsidRPr="00B10EA1" w:rsidRDefault="00B10EA1" w:rsidP="00B10EA1">
      <w:pPr>
        <w:spacing w:before="240" w:line="360" w:lineRule="auto"/>
        <w:jc w:val="both"/>
        <w:rPr>
          <w:rFonts w:ascii="Arial" w:hAnsi="Arial" w:cs="Arial"/>
          <w:b/>
          <w:sz w:val="24"/>
          <w:szCs w:val="24"/>
          <w:lang w:val="en-US"/>
        </w:rPr>
      </w:pPr>
      <w:r w:rsidRPr="00B10EA1">
        <w:rPr>
          <w:rFonts w:ascii="Arial" w:hAnsi="Arial" w:cs="Arial"/>
          <w:b/>
          <w:sz w:val="24"/>
          <w:szCs w:val="24"/>
          <w:lang w:val="en-US"/>
        </w:rPr>
        <w:t>C. Operational Integration (No Mergers/Acquisitions)</w:t>
      </w:r>
    </w:p>
    <w:p w14:paraId="13B3DC18" w14:textId="77777777" w:rsidR="00B10EA1" w:rsidRPr="00B10EA1" w:rsidRDefault="00B10EA1" w:rsidP="00B10EA1">
      <w:pPr>
        <w:spacing w:before="240" w:line="360" w:lineRule="auto"/>
        <w:jc w:val="both"/>
        <w:rPr>
          <w:rFonts w:ascii="Arial" w:hAnsi="Arial" w:cs="Arial"/>
          <w:bCs/>
          <w:sz w:val="24"/>
          <w:szCs w:val="24"/>
          <w:lang w:val="en-US"/>
        </w:rPr>
      </w:pPr>
      <w:r w:rsidRPr="00B10EA1">
        <w:rPr>
          <w:rFonts w:ascii="Arial" w:hAnsi="Arial" w:cs="Arial"/>
          <w:bCs/>
          <w:sz w:val="24"/>
          <w:szCs w:val="24"/>
          <w:lang w:val="en-US"/>
        </w:rPr>
        <w:t>Considering the unsuccessful experience of the previous purchases (Goodwill Impairment), Mergers and Acquisitions (M&amp;A) are forbidden at least during the next five years. Instead, focus on:</w:t>
      </w:r>
    </w:p>
    <w:p w14:paraId="760F3498" w14:textId="3DF80845" w:rsidR="00B10EA1" w:rsidRPr="00A74415" w:rsidRDefault="00B10EA1" w:rsidP="00A74415">
      <w:pPr>
        <w:pStyle w:val="ListParagraph"/>
        <w:numPr>
          <w:ilvl w:val="0"/>
          <w:numId w:val="16"/>
        </w:numPr>
        <w:spacing w:before="240" w:line="360" w:lineRule="auto"/>
        <w:jc w:val="both"/>
        <w:rPr>
          <w:rFonts w:ascii="Arial" w:hAnsi="Arial" w:cs="Arial"/>
          <w:bCs/>
          <w:sz w:val="24"/>
          <w:szCs w:val="24"/>
          <w:lang w:val="en-US"/>
        </w:rPr>
      </w:pPr>
      <w:r w:rsidRPr="00A74415">
        <w:rPr>
          <w:rFonts w:ascii="Arial" w:hAnsi="Arial" w:cs="Arial"/>
          <w:b/>
          <w:sz w:val="24"/>
          <w:szCs w:val="24"/>
          <w:lang w:val="en-US"/>
        </w:rPr>
        <w:t>Strategic Alliances:</w:t>
      </w:r>
      <w:r w:rsidRPr="00A74415">
        <w:rPr>
          <w:rFonts w:ascii="Arial" w:hAnsi="Arial" w:cs="Arial"/>
          <w:bCs/>
          <w:sz w:val="24"/>
          <w:szCs w:val="24"/>
          <w:lang w:val="en-US"/>
        </w:rPr>
        <w:t xml:space="preserve"> Enter into agreements with the top AI/Software companies (e.g., in Silicon Valley or Asia) on the Intellectual Property (IP) required to implement the next-generation devices, eliminating the mammoth, high-risk internal R&amp;D </w:t>
      </w:r>
      <w:r w:rsidR="00F67464" w:rsidRPr="00A74415">
        <w:rPr>
          <w:rFonts w:ascii="Arial" w:hAnsi="Arial" w:cs="Arial"/>
          <w:bCs/>
          <w:sz w:val="24"/>
          <w:szCs w:val="24"/>
          <w:lang w:val="en-US"/>
        </w:rPr>
        <w:t>Capex</w:t>
      </w:r>
      <w:r w:rsidRPr="00A74415">
        <w:rPr>
          <w:rFonts w:ascii="Arial" w:hAnsi="Arial" w:cs="Arial"/>
          <w:bCs/>
          <w:sz w:val="24"/>
          <w:szCs w:val="24"/>
          <w:lang w:val="en-US"/>
        </w:rPr>
        <w:t xml:space="preserve"> required to implement the core transformation (BPM, 2025).</w:t>
      </w:r>
    </w:p>
    <w:p w14:paraId="4061AE0B" w14:textId="25FDCBC4" w:rsidR="00B10EA1" w:rsidRPr="00B10EA1" w:rsidRDefault="001E6BD1" w:rsidP="004E2CCB">
      <w:pPr>
        <w:pStyle w:val="Heading2"/>
        <w:rPr>
          <w:lang w:val="en-US"/>
        </w:rPr>
      </w:pPr>
      <w:bookmarkStart w:id="22" w:name="_Toc214748971"/>
      <w:r>
        <w:rPr>
          <w:lang w:val="en-US"/>
        </w:rPr>
        <w:t>3.</w:t>
      </w:r>
      <w:r w:rsidR="004E2CCB">
        <w:rPr>
          <w:lang w:val="en-US"/>
        </w:rPr>
        <w:t>2</w:t>
      </w:r>
      <w:r w:rsidR="00B10EA1" w:rsidRPr="00B10EA1">
        <w:rPr>
          <w:lang w:val="en-US"/>
        </w:rPr>
        <w:t xml:space="preserve"> Impact on </w:t>
      </w:r>
      <w:r w:rsidR="00B10EA1" w:rsidRPr="004E2CCB">
        <w:t>Stakeholder</w:t>
      </w:r>
      <w:r w:rsidR="00B10EA1" w:rsidRPr="00B10EA1">
        <w:rPr>
          <w:lang w:val="en-US"/>
        </w:rPr>
        <w:t xml:space="preserve"> Evaluation</w:t>
      </w:r>
      <w:bookmarkEnd w:id="22"/>
    </w:p>
    <w:p w14:paraId="7E5EBB87" w14:textId="77777777" w:rsidR="00B10EA1" w:rsidRDefault="00B10EA1" w:rsidP="00B10EA1">
      <w:pPr>
        <w:spacing w:before="240" w:line="360" w:lineRule="auto"/>
        <w:jc w:val="both"/>
        <w:rPr>
          <w:rFonts w:ascii="Arial" w:hAnsi="Arial" w:cs="Arial"/>
          <w:bCs/>
          <w:sz w:val="24"/>
          <w:szCs w:val="24"/>
          <w:lang w:val="en-US"/>
        </w:rPr>
      </w:pPr>
      <w:r w:rsidRPr="00B10EA1">
        <w:rPr>
          <w:rFonts w:ascii="Arial" w:hAnsi="Arial" w:cs="Arial"/>
          <w:bCs/>
          <w:sz w:val="24"/>
          <w:szCs w:val="24"/>
          <w:lang w:val="en-US"/>
        </w:rPr>
        <w:t>The proposed plan is considered in terms of its financial and operational effects on the main stakeholders.</w:t>
      </w:r>
    </w:p>
    <w:tbl>
      <w:tblPr>
        <w:tblStyle w:val="TableGrid"/>
        <w:tblW w:w="0" w:type="auto"/>
        <w:tblLook w:val="04A0" w:firstRow="1" w:lastRow="0" w:firstColumn="1" w:lastColumn="0" w:noHBand="0" w:noVBand="1"/>
      </w:tblPr>
      <w:tblGrid>
        <w:gridCol w:w="1657"/>
        <w:gridCol w:w="2887"/>
        <w:gridCol w:w="2270"/>
        <w:gridCol w:w="2202"/>
      </w:tblGrid>
      <w:tr w:rsidR="00214673" w:rsidRPr="001E6BD1" w14:paraId="0F80938C" w14:textId="77777777" w:rsidTr="001E6BD1">
        <w:tc>
          <w:tcPr>
            <w:tcW w:w="0" w:type="auto"/>
            <w:hideMark/>
          </w:tcPr>
          <w:p w14:paraId="733785FB"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Impact Area</w:t>
            </w:r>
          </w:p>
        </w:tc>
        <w:tc>
          <w:tcPr>
            <w:tcW w:w="0" w:type="auto"/>
            <w:hideMark/>
          </w:tcPr>
          <w:p w14:paraId="341BDBF4"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Divestiture &amp; Debt Swap</w:t>
            </w:r>
          </w:p>
        </w:tc>
        <w:tc>
          <w:tcPr>
            <w:tcW w:w="0" w:type="auto"/>
            <w:hideMark/>
          </w:tcPr>
          <w:p w14:paraId="2BD1FD87"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Equity Injection</w:t>
            </w:r>
          </w:p>
        </w:tc>
        <w:tc>
          <w:tcPr>
            <w:tcW w:w="0" w:type="auto"/>
            <w:hideMark/>
          </w:tcPr>
          <w:p w14:paraId="31F7EE5F"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Operational Flexibility</w:t>
            </w:r>
          </w:p>
        </w:tc>
      </w:tr>
      <w:tr w:rsidR="00214673" w:rsidRPr="001E6BD1" w14:paraId="03F51359" w14:textId="77777777" w:rsidTr="001E6BD1">
        <w:tc>
          <w:tcPr>
            <w:tcW w:w="0" w:type="auto"/>
            <w:hideMark/>
          </w:tcPr>
          <w:p w14:paraId="52A91DF3"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lastRenderedPageBreak/>
              <w:t>Shareholder Value</w:t>
            </w:r>
          </w:p>
        </w:tc>
        <w:tc>
          <w:tcPr>
            <w:tcW w:w="0" w:type="auto"/>
            <w:hideMark/>
          </w:tcPr>
          <w:p w14:paraId="3CEEE70B" w14:textId="0B4C0BA5"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Positive</w:t>
            </w:r>
            <w:r w:rsidRPr="001E6BD1">
              <w:rPr>
                <w:rFonts w:ascii="Arial" w:hAnsi="Arial" w:cs="Arial"/>
                <w:bCs/>
                <w:sz w:val="24"/>
                <w:szCs w:val="24"/>
                <w:lang w:val="en-US"/>
              </w:rPr>
              <w:t xml:space="preserve"> (Abnormal Returns </w:t>
            </w:r>
            <m:oMath>
              <m:r>
                <w:rPr>
                  <w:rFonts w:ascii="Cambria Math" w:hAnsi="Cambria Math" w:cs="Arial"/>
                  <w:sz w:val="24"/>
                  <w:szCs w:val="24"/>
                  <w:lang w:val="en-US"/>
                </w:rPr>
                <m:t>≈</m:t>
              </m:r>
            </m:oMath>
            <w:r w:rsidRPr="001E6BD1">
              <w:rPr>
                <w:rFonts w:ascii="Arial" w:hAnsi="Arial" w:cs="Arial"/>
                <w:bCs/>
                <w:sz w:val="24"/>
                <w:szCs w:val="24"/>
                <w:lang w:val="en-US"/>
              </w:rPr>
              <w:t xml:space="preserve">1.33% on announcement: ResearchGate, 2020). Generates cash to pay down debt, sharpens the focus on high-margin core assets, and reduces complexity, which is generally viewed </w:t>
            </w:r>
            <w:proofErr w:type="spellStart"/>
            <w:r w:rsidRPr="001E6BD1">
              <w:rPr>
                <w:rFonts w:ascii="Arial" w:hAnsi="Arial" w:cs="Arial"/>
                <w:bCs/>
                <w:sz w:val="24"/>
                <w:szCs w:val="24"/>
                <w:lang w:val="en-US"/>
              </w:rPr>
              <w:t>favourably</w:t>
            </w:r>
            <w:proofErr w:type="spellEnd"/>
            <w:r w:rsidRPr="001E6BD1">
              <w:rPr>
                <w:rFonts w:ascii="Arial" w:hAnsi="Arial" w:cs="Arial"/>
                <w:bCs/>
                <w:sz w:val="24"/>
                <w:szCs w:val="24"/>
                <w:lang w:val="en-US"/>
              </w:rPr>
              <w:t xml:space="preserve"> by the market (PwC, 2025).</w:t>
            </w:r>
          </w:p>
        </w:tc>
        <w:tc>
          <w:tcPr>
            <w:tcW w:w="0" w:type="auto"/>
            <w:hideMark/>
          </w:tcPr>
          <w:p w14:paraId="34225CD3" w14:textId="1F5D614F"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Dilutive</w:t>
            </w:r>
            <w:r w:rsidRPr="001E6BD1">
              <w:rPr>
                <w:rFonts w:ascii="Arial" w:hAnsi="Arial" w:cs="Arial"/>
                <w:bCs/>
                <w:sz w:val="24"/>
                <w:szCs w:val="24"/>
                <w:lang w:val="en-US"/>
              </w:rPr>
              <w:t xml:space="preserve"> in the short term, as new shares are issued. However, the long-term benefit of a stronger balance sheet (lower</w:t>
            </w:r>
            <w:r w:rsidR="00214673">
              <w:rPr>
                <w:rFonts w:ascii="Arial" w:hAnsi="Arial" w:cs="Arial"/>
                <w:bCs/>
                <w:sz w:val="24"/>
                <w:szCs w:val="24"/>
                <w:lang w:val="en-US"/>
              </w:rPr>
              <w:t xml:space="preserve"> </w:t>
            </w:r>
            <w:r w:rsidRPr="001E6BD1">
              <w:rPr>
                <w:rFonts w:ascii="Arial" w:hAnsi="Arial" w:cs="Arial"/>
                <w:bCs/>
                <w:sz w:val="24"/>
                <w:szCs w:val="24"/>
                <w:lang w:val="en-US"/>
              </w:rPr>
              <w:t>D/E) and increased operational capacity outweighs the dilution.</w:t>
            </w:r>
          </w:p>
        </w:tc>
        <w:tc>
          <w:tcPr>
            <w:tcW w:w="0" w:type="auto"/>
            <w:hideMark/>
          </w:tcPr>
          <w:p w14:paraId="254FDD9A"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Cs/>
                <w:sz w:val="24"/>
                <w:szCs w:val="24"/>
                <w:lang w:val="en-US"/>
              </w:rPr>
              <w:t xml:space="preserve">Allows management to concentrate resources on the profitable business segments, increasing the </w:t>
            </w:r>
            <w:r w:rsidRPr="001E6BD1">
              <w:rPr>
                <w:rFonts w:ascii="Arial" w:hAnsi="Arial" w:cs="Arial"/>
                <w:b/>
                <w:bCs/>
                <w:sz w:val="24"/>
                <w:szCs w:val="24"/>
                <w:lang w:val="en-US"/>
              </w:rPr>
              <w:t>Return on Invested Capital (ROIC)</w:t>
            </w:r>
            <w:r w:rsidRPr="001E6BD1">
              <w:rPr>
                <w:rFonts w:ascii="Arial" w:hAnsi="Arial" w:cs="Arial"/>
                <w:bCs/>
                <w:sz w:val="24"/>
                <w:szCs w:val="24"/>
                <w:lang w:val="en-US"/>
              </w:rPr>
              <w:t xml:space="preserve"> of the remaining firm.</w:t>
            </w:r>
          </w:p>
        </w:tc>
      </w:tr>
      <w:tr w:rsidR="00214673" w:rsidRPr="001E6BD1" w14:paraId="1C47AA7E" w14:textId="77777777" w:rsidTr="001E6BD1">
        <w:tc>
          <w:tcPr>
            <w:tcW w:w="0" w:type="auto"/>
            <w:hideMark/>
          </w:tcPr>
          <w:p w14:paraId="6BF3EBDC"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Debt Structure</w:t>
            </w:r>
          </w:p>
        </w:tc>
        <w:tc>
          <w:tcPr>
            <w:tcW w:w="0" w:type="auto"/>
            <w:hideMark/>
          </w:tcPr>
          <w:p w14:paraId="07AC4F69" w14:textId="77896402"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Significantly Improved.</w:t>
            </w:r>
            <w:r w:rsidRPr="001E6BD1">
              <w:rPr>
                <w:rFonts w:ascii="Arial" w:hAnsi="Arial" w:cs="Arial"/>
                <w:bCs/>
                <w:sz w:val="24"/>
                <w:szCs w:val="24"/>
                <w:lang w:val="en-US"/>
              </w:rPr>
              <w:t xml:space="preserve"> Cash proceeds are used for </w:t>
            </w:r>
            <w:r w:rsidRPr="001E6BD1">
              <w:rPr>
                <w:rFonts w:ascii="Arial" w:hAnsi="Arial" w:cs="Arial"/>
                <w:b/>
                <w:bCs/>
                <w:sz w:val="24"/>
                <w:szCs w:val="24"/>
                <w:lang w:val="en-US"/>
              </w:rPr>
              <w:t>Deleveraging</w:t>
            </w:r>
            <w:r w:rsidRPr="001E6BD1">
              <w:rPr>
                <w:rFonts w:ascii="Arial" w:hAnsi="Arial" w:cs="Arial"/>
                <w:bCs/>
                <w:sz w:val="24"/>
                <w:szCs w:val="24"/>
                <w:lang w:val="en-US"/>
              </w:rPr>
              <w:t xml:space="preserve"> (paying off Lines of Credit), which immediately reduces the Total Liabilities and the high Debt-to-Equity Ratio of 1.11.</w:t>
            </w:r>
          </w:p>
        </w:tc>
        <w:tc>
          <w:tcPr>
            <w:tcW w:w="0" w:type="auto"/>
            <w:hideMark/>
          </w:tcPr>
          <w:p w14:paraId="786F259D" w14:textId="5C3AA76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Cs/>
                <w:sz w:val="24"/>
                <w:szCs w:val="24"/>
                <w:lang w:val="en-US"/>
              </w:rPr>
              <w:t>Improves the Debt-to-Equity</w:t>
            </w:r>
            <w:r w:rsidR="00214673">
              <w:rPr>
                <w:rFonts w:ascii="Arial" w:hAnsi="Arial" w:cs="Arial"/>
                <w:bCs/>
                <w:sz w:val="24"/>
                <w:szCs w:val="24"/>
                <w:lang w:val="en-US"/>
              </w:rPr>
              <w:t xml:space="preserve"> </w:t>
            </w:r>
            <w:r w:rsidRPr="001E6BD1">
              <w:rPr>
                <w:rFonts w:ascii="Arial" w:hAnsi="Arial" w:cs="Arial"/>
                <w:bCs/>
                <w:sz w:val="24"/>
                <w:szCs w:val="24"/>
                <w:lang w:val="en-US"/>
              </w:rPr>
              <w:t>ratio directly by increasing the Equity denominator. Provides a buffer against the cash flow volatility that drives reliance on short-term debt.</w:t>
            </w:r>
          </w:p>
        </w:tc>
        <w:tc>
          <w:tcPr>
            <w:tcW w:w="0" w:type="auto"/>
            <w:hideMark/>
          </w:tcPr>
          <w:p w14:paraId="5B02FA42" w14:textId="448BB3F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Cs/>
                <w:sz w:val="24"/>
                <w:szCs w:val="24"/>
                <w:lang w:val="en-US"/>
              </w:rPr>
              <w:t>The debt swap replaces short-term risk with long-term, predictable financing, easing pressure on the CFO and improving the Current Ratio.</w:t>
            </w:r>
          </w:p>
        </w:tc>
      </w:tr>
      <w:tr w:rsidR="00214673" w:rsidRPr="001E6BD1" w14:paraId="187CA030" w14:textId="77777777" w:rsidTr="001E6BD1">
        <w:tc>
          <w:tcPr>
            <w:tcW w:w="0" w:type="auto"/>
            <w:hideMark/>
          </w:tcPr>
          <w:p w14:paraId="04646890"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Operational Flexibility</w:t>
            </w:r>
          </w:p>
        </w:tc>
        <w:tc>
          <w:tcPr>
            <w:tcW w:w="0" w:type="auto"/>
            <w:hideMark/>
          </w:tcPr>
          <w:p w14:paraId="1B0C060D"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
                <w:bCs/>
                <w:sz w:val="24"/>
                <w:szCs w:val="24"/>
                <w:lang w:val="en-US"/>
              </w:rPr>
              <w:t>Increased.</w:t>
            </w:r>
            <w:r w:rsidRPr="001E6BD1">
              <w:rPr>
                <w:rFonts w:ascii="Arial" w:hAnsi="Arial" w:cs="Arial"/>
                <w:bCs/>
                <w:sz w:val="24"/>
                <w:szCs w:val="24"/>
                <w:lang w:val="en-US"/>
              </w:rPr>
              <w:t xml:space="preserve"> Eliminates the management distraction and stranded costs (IT, HR, facilities) associated with non-core, underperforming units (PwC, 2025). </w:t>
            </w:r>
            <w:r w:rsidRPr="001E6BD1">
              <w:rPr>
                <w:rFonts w:ascii="Arial" w:hAnsi="Arial" w:cs="Arial"/>
                <w:bCs/>
                <w:sz w:val="24"/>
                <w:szCs w:val="24"/>
                <w:lang w:val="en-US"/>
              </w:rPr>
              <w:lastRenderedPageBreak/>
              <w:t>Allows for simplified supply chain management.</w:t>
            </w:r>
          </w:p>
        </w:tc>
        <w:tc>
          <w:tcPr>
            <w:tcW w:w="0" w:type="auto"/>
            <w:hideMark/>
          </w:tcPr>
          <w:p w14:paraId="3750DADE" w14:textId="77777777" w:rsidR="001E6BD1" w:rsidRPr="001E6BD1" w:rsidRDefault="001E6BD1" w:rsidP="001E6BD1">
            <w:pPr>
              <w:spacing w:before="240" w:line="360" w:lineRule="auto"/>
              <w:jc w:val="both"/>
              <w:rPr>
                <w:rFonts w:ascii="Arial" w:hAnsi="Arial" w:cs="Arial"/>
                <w:bCs/>
                <w:sz w:val="24"/>
                <w:szCs w:val="24"/>
                <w:lang w:val="en-US"/>
              </w:rPr>
            </w:pPr>
            <w:r w:rsidRPr="001E6BD1">
              <w:rPr>
                <w:rFonts w:ascii="Arial" w:hAnsi="Arial" w:cs="Arial"/>
                <w:bCs/>
                <w:sz w:val="24"/>
                <w:szCs w:val="24"/>
                <w:lang w:val="en-US"/>
              </w:rPr>
              <w:lastRenderedPageBreak/>
              <w:t xml:space="preserve">Low impact if the injection is a minority stake. </w:t>
            </w:r>
            <w:r w:rsidRPr="005D4979">
              <w:rPr>
                <w:rFonts w:ascii="Arial" w:hAnsi="Arial" w:cs="Arial"/>
                <w:sz w:val="24"/>
                <w:szCs w:val="24"/>
                <w:lang w:val="en-US"/>
              </w:rPr>
              <w:t>High impact</w:t>
            </w:r>
            <w:r w:rsidRPr="001E6BD1">
              <w:rPr>
                <w:rFonts w:ascii="Arial" w:hAnsi="Arial" w:cs="Arial"/>
                <w:bCs/>
                <w:sz w:val="24"/>
                <w:szCs w:val="24"/>
                <w:lang w:val="en-US"/>
              </w:rPr>
              <w:t xml:space="preserve"> if it is a debt-for-equity swap with a creditor taking a </w:t>
            </w:r>
            <w:r w:rsidRPr="001E6BD1">
              <w:rPr>
                <w:rFonts w:ascii="Arial" w:hAnsi="Arial" w:cs="Arial"/>
                <w:bCs/>
                <w:sz w:val="24"/>
                <w:szCs w:val="24"/>
                <w:lang w:val="en-US"/>
              </w:rPr>
              <w:lastRenderedPageBreak/>
              <w:t>large Board seat, which may restrict major strategic decisions.</w:t>
            </w:r>
          </w:p>
        </w:tc>
        <w:tc>
          <w:tcPr>
            <w:tcW w:w="0" w:type="auto"/>
            <w:hideMark/>
          </w:tcPr>
          <w:p w14:paraId="33E94EB1" w14:textId="77777777" w:rsidR="001E6BD1" w:rsidRPr="001E6BD1" w:rsidRDefault="001E6BD1" w:rsidP="005D4979">
            <w:pPr>
              <w:keepNext/>
              <w:spacing w:before="240" w:line="360" w:lineRule="auto"/>
              <w:jc w:val="both"/>
              <w:rPr>
                <w:rFonts w:ascii="Arial" w:hAnsi="Arial" w:cs="Arial"/>
                <w:bCs/>
                <w:sz w:val="24"/>
                <w:szCs w:val="24"/>
                <w:lang w:val="en-US"/>
              </w:rPr>
            </w:pPr>
            <w:r w:rsidRPr="001E6BD1">
              <w:rPr>
                <w:rFonts w:ascii="Arial" w:hAnsi="Arial" w:cs="Arial"/>
                <w:bCs/>
                <w:sz w:val="24"/>
                <w:szCs w:val="24"/>
                <w:lang w:val="en-US"/>
              </w:rPr>
              <w:lastRenderedPageBreak/>
              <w:t xml:space="preserve">The use of </w:t>
            </w:r>
            <w:r w:rsidRPr="005D4979">
              <w:rPr>
                <w:rFonts w:ascii="Arial" w:hAnsi="Arial" w:cs="Arial"/>
                <w:sz w:val="24"/>
                <w:szCs w:val="24"/>
                <w:lang w:val="en-US"/>
              </w:rPr>
              <w:t>Strategic Alliances</w:t>
            </w:r>
            <w:r w:rsidRPr="001E6BD1">
              <w:rPr>
                <w:rFonts w:ascii="Arial" w:hAnsi="Arial" w:cs="Arial"/>
                <w:bCs/>
                <w:sz w:val="24"/>
                <w:szCs w:val="24"/>
                <w:lang w:val="en-US"/>
              </w:rPr>
              <w:t xml:space="preserve"> instead of M&amp;A preserves management control and limits the operational </w:t>
            </w:r>
            <w:r w:rsidRPr="001E6BD1">
              <w:rPr>
                <w:rFonts w:ascii="Arial" w:hAnsi="Arial" w:cs="Arial"/>
                <w:bCs/>
                <w:sz w:val="24"/>
                <w:szCs w:val="24"/>
                <w:lang w:val="en-US"/>
              </w:rPr>
              <w:lastRenderedPageBreak/>
              <w:t>complexity and integration risk that caused past impairments.</w:t>
            </w:r>
          </w:p>
        </w:tc>
      </w:tr>
    </w:tbl>
    <w:p w14:paraId="5BFBD591" w14:textId="276BEFE8" w:rsidR="005D4979" w:rsidRDefault="005D4979">
      <w:pPr>
        <w:pStyle w:val="Caption"/>
      </w:pPr>
      <w:bookmarkStart w:id="23" w:name="_Toc214748984"/>
      <w:bookmarkStart w:id="24" w:name="_Toc214749061"/>
      <w:r>
        <w:lastRenderedPageBreak/>
        <w:t xml:space="preserve">Table </w:t>
      </w:r>
      <w:r>
        <w:fldChar w:fldCharType="begin"/>
      </w:r>
      <w:r>
        <w:instrText xml:space="preserve"> SEQ Table \* ARABIC </w:instrText>
      </w:r>
      <w:r>
        <w:fldChar w:fldCharType="separate"/>
      </w:r>
      <w:r w:rsidR="002D7440">
        <w:rPr>
          <w:noProof/>
        </w:rPr>
        <w:t>6</w:t>
      </w:r>
      <w:r>
        <w:fldChar w:fldCharType="end"/>
      </w:r>
      <w:r>
        <w:t xml:space="preserve">: </w:t>
      </w:r>
      <w:r w:rsidRPr="00AA0F53">
        <w:t>Stakeholder Evaluation</w:t>
      </w:r>
      <w:bookmarkEnd w:id="23"/>
      <w:bookmarkEnd w:id="24"/>
    </w:p>
    <w:p w14:paraId="39EAE0A1" w14:textId="7889331F" w:rsidR="00CD4561" w:rsidRDefault="007321D3" w:rsidP="007321D3">
      <w:pPr>
        <w:pStyle w:val="Heading2"/>
        <w:rPr>
          <w:lang w:val="en-US"/>
        </w:rPr>
      </w:pPr>
      <w:bookmarkStart w:id="25" w:name="_Toc214748972"/>
      <w:r>
        <w:rPr>
          <w:lang w:val="en-US"/>
        </w:rPr>
        <w:t xml:space="preserve">3.3 </w:t>
      </w:r>
      <w:r w:rsidR="00B705E4" w:rsidRPr="00B705E4">
        <w:rPr>
          <w:lang w:val="en-US"/>
        </w:rPr>
        <w:t>International and Ethical Considerations</w:t>
      </w:r>
      <w:bookmarkEnd w:id="25"/>
    </w:p>
    <w:p w14:paraId="0B07A5A0" w14:textId="14C8A5B6" w:rsidR="00B705E4" w:rsidRDefault="004975D8" w:rsidP="00CD4561">
      <w:pPr>
        <w:spacing w:before="240" w:line="360" w:lineRule="auto"/>
        <w:jc w:val="both"/>
        <w:rPr>
          <w:rFonts w:ascii="Arial" w:hAnsi="Arial" w:cs="Arial"/>
          <w:bCs/>
          <w:sz w:val="24"/>
          <w:szCs w:val="24"/>
          <w:lang w:val="en-US"/>
        </w:rPr>
      </w:pPr>
      <w:r w:rsidRPr="004975D8">
        <w:rPr>
          <w:rFonts w:ascii="Arial" w:hAnsi="Arial" w:cs="Arial"/>
          <w:bCs/>
          <w:sz w:val="24"/>
          <w:szCs w:val="24"/>
          <w:lang w:val="en-US"/>
        </w:rPr>
        <w:t>Given GE's global footprint in the Consumer Electronics sector, the restructuring must navigate significant cross-border risks and uphold Corporate Social Responsibility (CSR).</w:t>
      </w:r>
    </w:p>
    <w:p w14:paraId="7E38BA50" w14:textId="7A2D56D6" w:rsidR="0059249A" w:rsidRDefault="00257360" w:rsidP="00406FCA">
      <w:pPr>
        <w:pStyle w:val="Heading3"/>
        <w:rPr>
          <w:lang w:val="en-US"/>
        </w:rPr>
      </w:pPr>
      <w:bookmarkStart w:id="26" w:name="_Toc214748973"/>
      <w:r>
        <w:rPr>
          <w:lang w:val="en-US"/>
        </w:rPr>
        <w:t>3.</w:t>
      </w:r>
      <w:r w:rsidR="00406FCA">
        <w:rPr>
          <w:lang w:val="en-US"/>
        </w:rPr>
        <w:t>3.1</w:t>
      </w:r>
      <w:r w:rsidR="0059249A" w:rsidRPr="0059249A">
        <w:rPr>
          <w:lang w:val="en-US"/>
        </w:rPr>
        <w:t xml:space="preserve"> International Financial Risks</w:t>
      </w:r>
      <w:bookmarkEnd w:id="26"/>
    </w:p>
    <w:tbl>
      <w:tblPr>
        <w:tblStyle w:val="TableGrid"/>
        <w:tblW w:w="0" w:type="auto"/>
        <w:tblLook w:val="04A0" w:firstRow="1" w:lastRow="0" w:firstColumn="1" w:lastColumn="0" w:noHBand="0" w:noVBand="1"/>
      </w:tblPr>
      <w:tblGrid>
        <w:gridCol w:w="1310"/>
        <w:gridCol w:w="3683"/>
        <w:gridCol w:w="4023"/>
      </w:tblGrid>
      <w:tr w:rsidR="00406FCA" w:rsidRPr="00406FCA" w14:paraId="1B52C30B" w14:textId="77777777" w:rsidTr="00406FCA">
        <w:tc>
          <w:tcPr>
            <w:tcW w:w="0" w:type="auto"/>
            <w:hideMark/>
          </w:tcPr>
          <w:p w14:paraId="5401937D"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Risk Category</w:t>
            </w:r>
          </w:p>
        </w:tc>
        <w:tc>
          <w:tcPr>
            <w:tcW w:w="0" w:type="auto"/>
            <w:hideMark/>
          </w:tcPr>
          <w:p w14:paraId="5B83FD09"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Implication for GE</w:t>
            </w:r>
          </w:p>
        </w:tc>
        <w:tc>
          <w:tcPr>
            <w:tcW w:w="0" w:type="auto"/>
            <w:hideMark/>
          </w:tcPr>
          <w:p w14:paraId="718F2386"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Mitigating Strategy</w:t>
            </w:r>
          </w:p>
        </w:tc>
      </w:tr>
      <w:tr w:rsidR="00406FCA" w:rsidRPr="00406FCA" w14:paraId="515DBADE" w14:textId="77777777" w:rsidTr="00406FCA">
        <w:tc>
          <w:tcPr>
            <w:tcW w:w="0" w:type="auto"/>
            <w:hideMark/>
          </w:tcPr>
          <w:p w14:paraId="51113E1C"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Currency Risk</w:t>
            </w:r>
          </w:p>
        </w:tc>
        <w:tc>
          <w:tcPr>
            <w:tcW w:w="0" w:type="auto"/>
            <w:hideMark/>
          </w:tcPr>
          <w:p w14:paraId="1D888C18" w14:textId="0343E08C"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Transaction Risk:</w:t>
            </w:r>
            <w:r w:rsidRPr="00406FCA">
              <w:rPr>
                <w:rFonts w:ascii="Arial" w:hAnsi="Arial" w:cs="Arial"/>
                <w:bCs/>
                <w:sz w:val="24"/>
                <w:szCs w:val="24"/>
                <w:lang w:val="en-US"/>
              </w:rPr>
              <w:t xml:space="preserve"> GE’s global supply chain and sales expose it to high volatility between the £ (reporting currency) and USD (commodity/sales currency) or </w:t>
            </w:r>
            <w:r w:rsidRPr="00406FCA">
              <w:rPr>
                <w:rFonts w:ascii="Arial" w:hAnsi="Arial" w:cs="Arial"/>
                <w:sz w:val="24"/>
                <w:szCs w:val="24"/>
                <w:lang w:val="en-US"/>
              </w:rPr>
              <w:t>Asian manufacturing currencies.</w:t>
            </w:r>
          </w:p>
        </w:tc>
        <w:tc>
          <w:tcPr>
            <w:tcW w:w="0" w:type="auto"/>
            <w:hideMark/>
          </w:tcPr>
          <w:p w14:paraId="1A7338FB" w14:textId="6B2003E3"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Hedging:</w:t>
            </w:r>
            <w:r w:rsidRPr="00406FCA">
              <w:rPr>
                <w:rFonts w:ascii="Arial" w:hAnsi="Arial" w:cs="Arial"/>
                <w:bCs/>
                <w:sz w:val="24"/>
                <w:szCs w:val="24"/>
                <w:lang w:val="en-US"/>
              </w:rPr>
              <w:t xml:space="preserve"> Use </w:t>
            </w:r>
            <w:r w:rsidRPr="002E7BC6">
              <w:rPr>
                <w:rFonts w:ascii="Arial" w:hAnsi="Arial" w:cs="Arial"/>
                <w:sz w:val="24"/>
                <w:szCs w:val="24"/>
                <w:lang w:val="en-US"/>
              </w:rPr>
              <w:t>forward contracts or options</w:t>
            </w:r>
            <w:r w:rsidRPr="00406FCA">
              <w:rPr>
                <w:rFonts w:ascii="Arial" w:hAnsi="Arial" w:cs="Arial"/>
                <w:bCs/>
                <w:sz w:val="24"/>
                <w:szCs w:val="24"/>
                <w:lang w:val="en-US"/>
              </w:rPr>
              <w:t xml:space="preserve"> for raw materials and significant sales transactions to lock in exchange rates and stabilize cash flows (ACCA Global, 2024). </w:t>
            </w:r>
            <w:r w:rsidRPr="00406FCA">
              <w:rPr>
                <w:rFonts w:ascii="Arial" w:hAnsi="Arial" w:cs="Arial"/>
                <w:b/>
                <w:bCs/>
                <w:sz w:val="24"/>
                <w:szCs w:val="24"/>
                <w:lang w:val="en-US"/>
              </w:rPr>
              <w:t>Matching:</w:t>
            </w:r>
            <w:r w:rsidRPr="00406FCA">
              <w:rPr>
                <w:rFonts w:ascii="Arial" w:hAnsi="Arial" w:cs="Arial"/>
                <w:bCs/>
                <w:sz w:val="24"/>
                <w:szCs w:val="24"/>
                <w:lang w:val="en-US"/>
              </w:rPr>
              <w:t xml:space="preserve"> Open local currency bank accounts in key jurisdictions (e.g., USD, EUR) to match inflows and outflows, minimizing exposure (</w:t>
            </w:r>
            <w:proofErr w:type="spellStart"/>
            <w:r w:rsidRPr="00406FCA">
              <w:rPr>
                <w:rFonts w:ascii="Arial" w:hAnsi="Arial" w:cs="Arial"/>
                <w:bCs/>
                <w:sz w:val="24"/>
                <w:szCs w:val="24"/>
                <w:lang w:val="en-US"/>
              </w:rPr>
              <w:t>NewbridgeFX</w:t>
            </w:r>
            <w:proofErr w:type="spellEnd"/>
            <w:r w:rsidRPr="00406FCA">
              <w:rPr>
                <w:rFonts w:ascii="Arial" w:hAnsi="Arial" w:cs="Arial"/>
                <w:bCs/>
                <w:sz w:val="24"/>
                <w:szCs w:val="24"/>
                <w:lang w:val="en-US"/>
              </w:rPr>
              <w:t>, 2025).</w:t>
            </w:r>
          </w:p>
        </w:tc>
      </w:tr>
      <w:tr w:rsidR="00406FCA" w:rsidRPr="00406FCA" w14:paraId="48F36E56" w14:textId="77777777" w:rsidTr="00406FCA">
        <w:tc>
          <w:tcPr>
            <w:tcW w:w="0" w:type="auto"/>
            <w:hideMark/>
          </w:tcPr>
          <w:p w14:paraId="13D6ADA5"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Inflation</w:t>
            </w:r>
          </w:p>
        </w:tc>
        <w:tc>
          <w:tcPr>
            <w:tcW w:w="0" w:type="auto"/>
            <w:hideMark/>
          </w:tcPr>
          <w:p w14:paraId="2DD041FF"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Cost of Goods Sold (COGS):</w:t>
            </w:r>
            <w:r w:rsidRPr="00406FCA">
              <w:rPr>
                <w:rFonts w:ascii="Arial" w:hAnsi="Arial" w:cs="Arial"/>
                <w:bCs/>
                <w:sz w:val="24"/>
                <w:szCs w:val="24"/>
                <w:lang w:val="en-US"/>
              </w:rPr>
              <w:t xml:space="preserve"> High inflation in manufacturing hubs (e.g., Asia) increases the cost of components and labor. </w:t>
            </w:r>
            <w:r w:rsidRPr="00406FCA">
              <w:rPr>
                <w:rFonts w:ascii="Arial" w:hAnsi="Arial" w:cs="Arial"/>
                <w:b/>
                <w:bCs/>
                <w:sz w:val="24"/>
                <w:szCs w:val="24"/>
                <w:lang w:val="en-US"/>
              </w:rPr>
              <w:t>Debt Servicing:</w:t>
            </w:r>
            <w:r w:rsidRPr="00406FCA">
              <w:rPr>
                <w:rFonts w:ascii="Arial" w:hAnsi="Arial" w:cs="Arial"/>
                <w:bCs/>
                <w:sz w:val="24"/>
                <w:szCs w:val="24"/>
                <w:lang w:val="en-US"/>
              </w:rPr>
              <w:t xml:space="preserve"> Unpredictable inflation raises interest rate </w:t>
            </w:r>
            <w:r w:rsidRPr="00406FCA">
              <w:rPr>
                <w:rFonts w:ascii="Arial" w:hAnsi="Arial" w:cs="Arial"/>
                <w:bCs/>
                <w:sz w:val="24"/>
                <w:szCs w:val="24"/>
                <w:lang w:val="en-US"/>
              </w:rPr>
              <w:lastRenderedPageBreak/>
              <w:t>expectations, making future debt more expensive.</w:t>
            </w:r>
          </w:p>
        </w:tc>
        <w:tc>
          <w:tcPr>
            <w:tcW w:w="0" w:type="auto"/>
            <w:hideMark/>
          </w:tcPr>
          <w:p w14:paraId="2980B02D"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lastRenderedPageBreak/>
              <w:t>Diversification:</w:t>
            </w:r>
            <w:r w:rsidRPr="00406FCA">
              <w:rPr>
                <w:rFonts w:ascii="Arial" w:hAnsi="Arial" w:cs="Arial"/>
                <w:bCs/>
                <w:sz w:val="24"/>
                <w:szCs w:val="24"/>
                <w:lang w:val="en-US"/>
              </w:rPr>
              <w:t xml:space="preserve"> Diversify sourcing across multiple geographies to avoid over-reliance on one high-inflation region. The debt swap to </w:t>
            </w:r>
            <w:r w:rsidRPr="00406FCA">
              <w:rPr>
                <w:rFonts w:ascii="Arial" w:hAnsi="Arial" w:cs="Arial"/>
                <w:sz w:val="24"/>
                <w:szCs w:val="24"/>
                <w:lang w:val="en-US"/>
              </w:rPr>
              <w:t>fixed-rate long-term bonds</w:t>
            </w:r>
            <w:r w:rsidRPr="00406FCA">
              <w:rPr>
                <w:rFonts w:ascii="Arial" w:hAnsi="Arial" w:cs="Arial"/>
                <w:bCs/>
                <w:sz w:val="24"/>
                <w:szCs w:val="24"/>
                <w:lang w:val="en-US"/>
              </w:rPr>
              <w:t xml:space="preserve"> insulates </w:t>
            </w:r>
            <w:r w:rsidRPr="00406FCA">
              <w:rPr>
                <w:rFonts w:ascii="Arial" w:hAnsi="Arial" w:cs="Arial"/>
                <w:bCs/>
                <w:sz w:val="24"/>
                <w:szCs w:val="24"/>
                <w:lang w:val="en-US"/>
              </w:rPr>
              <w:lastRenderedPageBreak/>
              <w:t>the capital structure from future interest rate hikes.</w:t>
            </w:r>
          </w:p>
        </w:tc>
      </w:tr>
      <w:tr w:rsidR="00406FCA" w:rsidRPr="00406FCA" w14:paraId="5A2F8F95" w14:textId="77777777" w:rsidTr="00406FCA">
        <w:tc>
          <w:tcPr>
            <w:tcW w:w="0" w:type="auto"/>
            <w:hideMark/>
          </w:tcPr>
          <w:p w14:paraId="3DDCB7BA"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lastRenderedPageBreak/>
              <w:t>Taxation</w:t>
            </w:r>
          </w:p>
        </w:tc>
        <w:tc>
          <w:tcPr>
            <w:tcW w:w="0" w:type="auto"/>
            <w:hideMark/>
          </w:tcPr>
          <w:p w14:paraId="57813648" w14:textId="77777777" w:rsidR="00406FCA" w:rsidRPr="00406FCA" w:rsidRDefault="00406FCA" w:rsidP="00406FCA">
            <w:pPr>
              <w:spacing w:before="240" w:line="360" w:lineRule="auto"/>
              <w:jc w:val="both"/>
              <w:rPr>
                <w:rFonts w:ascii="Arial" w:hAnsi="Arial" w:cs="Arial"/>
                <w:bCs/>
                <w:sz w:val="24"/>
                <w:szCs w:val="24"/>
                <w:lang w:val="en-US"/>
              </w:rPr>
            </w:pPr>
            <w:r w:rsidRPr="00406FCA">
              <w:rPr>
                <w:rFonts w:ascii="Arial" w:hAnsi="Arial" w:cs="Arial"/>
                <w:b/>
                <w:bCs/>
                <w:sz w:val="24"/>
                <w:szCs w:val="24"/>
                <w:lang w:val="en-US"/>
              </w:rPr>
              <w:t>Divestiture Tax:</w:t>
            </w:r>
            <w:r w:rsidRPr="00406FCA">
              <w:rPr>
                <w:rFonts w:ascii="Arial" w:hAnsi="Arial" w:cs="Arial"/>
                <w:bCs/>
                <w:sz w:val="24"/>
                <w:szCs w:val="24"/>
                <w:lang w:val="en-US"/>
              </w:rPr>
              <w:t xml:space="preserve"> Selling international subsidiaries requires careful tax planning to avoid punitive transfer taxes and double taxation on sale proceeds (Norton Rose Fulbright, 2025).</w:t>
            </w:r>
          </w:p>
        </w:tc>
        <w:tc>
          <w:tcPr>
            <w:tcW w:w="0" w:type="auto"/>
            <w:hideMark/>
          </w:tcPr>
          <w:p w14:paraId="130C4E96" w14:textId="77777777" w:rsidR="00406FCA" w:rsidRPr="00406FCA" w:rsidRDefault="00406FCA" w:rsidP="002E7BC6">
            <w:pPr>
              <w:keepNext/>
              <w:spacing w:before="240" w:line="360" w:lineRule="auto"/>
              <w:jc w:val="both"/>
              <w:rPr>
                <w:rFonts w:ascii="Arial" w:hAnsi="Arial" w:cs="Arial"/>
                <w:bCs/>
                <w:sz w:val="24"/>
                <w:szCs w:val="24"/>
                <w:lang w:val="en-US"/>
              </w:rPr>
            </w:pPr>
            <w:r w:rsidRPr="00406FCA">
              <w:rPr>
                <w:rFonts w:ascii="Arial" w:hAnsi="Arial" w:cs="Arial"/>
                <w:b/>
                <w:bCs/>
                <w:sz w:val="24"/>
                <w:szCs w:val="24"/>
                <w:lang w:val="en-US"/>
              </w:rPr>
              <w:t>Tax-Efficient Structuring:</w:t>
            </w:r>
            <w:r w:rsidRPr="00406FCA">
              <w:rPr>
                <w:rFonts w:ascii="Arial" w:hAnsi="Arial" w:cs="Arial"/>
                <w:bCs/>
                <w:sz w:val="24"/>
                <w:szCs w:val="24"/>
                <w:lang w:val="en-US"/>
              </w:rPr>
              <w:t xml:space="preserve"> Conduct divestitures through tax-advantaged holding companies where applicable, utilizing bilateral </w:t>
            </w:r>
            <w:r w:rsidRPr="00406FCA">
              <w:rPr>
                <w:rFonts w:ascii="Arial" w:hAnsi="Arial" w:cs="Arial"/>
                <w:sz w:val="24"/>
                <w:szCs w:val="24"/>
                <w:lang w:val="en-US"/>
              </w:rPr>
              <w:t>tax treaties</w:t>
            </w:r>
            <w:r w:rsidRPr="00406FCA">
              <w:rPr>
                <w:rFonts w:ascii="Arial" w:hAnsi="Arial" w:cs="Arial"/>
                <w:bCs/>
                <w:sz w:val="24"/>
                <w:szCs w:val="24"/>
                <w:lang w:val="en-US"/>
              </w:rPr>
              <w:t xml:space="preserve"> to minimize withholding tax on repatriated cash (The Gild Group, 2025). Ensure transfer pricing is compliant across the remaining entities.</w:t>
            </w:r>
          </w:p>
        </w:tc>
      </w:tr>
    </w:tbl>
    <w:p w14:paraId="5E8D6C53" w14:textId="122061EE" w:rsidR="002E7BC6" w:rsidRDefault="002E7BC6">
      <w:pPr>
        <w:pStyle w:val="Caption"/>
      </w:pPr>
      <w:bookmarkStart w:id="27" w:name="_Toc214748985"/>
      <w:bookmarkStart w:id="28" w:name="_Toc214749062"/>
      <w:r>
        <w:t xml:space="preserve">Table </w:t>
      </w:r>
      <w:r>
        <w:fldChar w:fldCharType="begin"/>
      </w:r>
      <w:r>
        <w:instrText xml:space="preserve"> SEQ Table \* ARABIC </w:instrText>
      </w:r>
      <w:r>
        <w:fldChar w:fldCharType="separate"/>
      </w:r>
      <w:r w:rsidR="002D7440">
        <w:rPr>
          <w:noProof/>
        </w:rPr>
        <w:t>7</w:t>
      </w:r>
      <w:r>
        <w:fldChar w:fldCharType="end"/>
      </w:r>
      <w:r>
        <w:t xml:space="preserve">: </w:t>
      </w:r>
      <w:r w:rsidRPr="000D3C57">
        <w:t>International Financial Risks</w:t>
      </w:r>
      <w:bookmarkEnd w:id="27"/>
      <w:bookmarkEnd w:id="28"/>
    </w:p>
    <w:p w14:paraId="3F018B2C" w14:textId="57591C1F" w:rsidR="00F9619B" w:rsidRPr="00F9619B" w:rsidRDefault="00713FEA" w:rsidP="00713FEA">
      <w:pPr>
        <w:pStyle w:val="Heading2"/>
        <w:rPr>
          <w:lang w:val="en-US"/>
        </w:rPr>
      </w:pPr>
      <w:bookmarkStart w:id="29" w:name="_Toc214748974"/>
      <w:r>
        <w:rPr>
          <w:lang w:val="en-US"/>
        </w:rPr>
        <w:t>3.4</w:t>
      </w:r>
      <w:r w:rsidR="00F9619B" w:rsidRPr="00F9619B">
        <w:rPr>
          <w:lang w:val="en-US"/>
        </w:rPr>
        <w:t xml:space="preserve"> CSR and Ethical Requirements.</w:t>
      </w:r>
      <w:bookmarkEnd w:id="29"/>
    </w:p>
    <w:p w14:paraId="3944D9E6" w14:textId="77777777" w:rsidR="00F9619B" w:rsidRPr="00F9619B" w:rsidRDefault="00F9619B" w:rsidP="00F9619B">
      <w:pPr>
        <w:spacing w:before="240" w:line="360" w:lineRule="auto"/>
        <w:jc w:val="both"/>
        <w:rPr>
          <w:rFonts w:ascii="Arial" w:hAnsi="Arial" w:cs="Arial"/>
          <w:bCs/>
          <w:sz w:val="24"/>
          <w:szCs w:val="24"/>
          <w:lang w:val="en-US"/>
        </w:rPr>
      </w:pPr>
      <w:r w:rsidRPr="00F9619B">
        <w:rPr>
          <w:rFonts w:ascii="Arial" w:hAnsi="Arial" w:cs="Arial"/>
          <w:bCs/>
          <w:sz w:val="24"/>
          <w:szCs w:val="24"/>
          <w:lang w:val="en-US"/>
        </w:rPr>
        <w:t>Financial restructuring is often associated with such measures as asset sales and a reduction of the number of employees that have disastrous social implications. Any activities undertaken by GE must be ethical in order to retain its reputation and the ability to continue operating in the long term (Porter and Kramer, 2011).</w:t>
      </w:r>
    </w:p>
    <w:p w14:paraId="21681EE7" w14:textId="77777777" w:rsidR="00F9619B" w:rsidRPr="00F9619B" w:rsidRDefault="00F9619B" w:rsidP="00F9619B">
      <w:pPr>
        <w:spacing w:before="240" w:line="360" w:lineRule="auto"/>
        <w:jc w:val="both"/>
        <w:rPr>
          <w:rFonts w:ascii="Arial" w:hAnsi="Arial" w:cs="Arial"/>
          <w:b/>
          <w:sz w:val="24"/>
          <w:szCs w:val="24"/>
          <w:lang w:val="en-US"/>
        </w:rPr>
      </w:pPr>
      <w:r w:rsidRPr="00F9619B">
        <w:rPr>
          <w:rFonts w:ascii="Arial" w:hAnsi="Arial" w:cs="Arial"/>
          <w:b/>
          <w:sz w:val="24"/>
          <w:szCs w:val="24"/>
          <w:lang w:val="en-US"/>
        </w:rPr>
        <w:t>Stakeholders: Rights and Transparency:</w:t>
      </w:r>
    </w:p>
    <w:p w14:paraId="32764F4C" w14:textId="77777777" w:rsidR="00F9619B" w:rsidRPr="00A55A49" w:rsidRDefault="00F9619B" w:rsidP="00A55A49">
      <w:pPr>
        <w:pStyle w:val="ListParagraph"/>
        <w:numPr>
          <w:ilvl w:val="0"/>
          <w:numId w:val="16"/>
        </w:numPr>
        <w:spacing w:before="240" w:line="360" w:lineRule="auto"/>
        <w:jc w:val="both"/>
        <w:rPr>
          <w:rFonts w:ascii="Arial" w:hAnsi="Arial" w:cs="Arial"/>
          <w:bCs/>
          <w:sz w:val="24"/>
          <w:szCs w:val="24"/>
          <w:lang w:val="en-US"/>
        </w:rPr>
      </w:pPr>
      <w:r w:rsidRPr="00A55A49">
        <w:rPr>
          <w:rFonts w:ascii="Arial" w:hAnsi="Arial" w:cs="Arial"/>
          <w:b/>
          <w:sz w:val="24"/>
          <w:szCs w:val="24"/>
          <w:lang w:val="en-US"/>
        </w:rPr>
        <w:t>Action:</w:t>
      </w:r>
      <w:r w:rsidRPr="00A55A49">
        <w:rPr>
          <w:rFonts w:ascii="Arial" w:hAnsi="Arial" w:cs="Arial"/>
          <w:bCs/>
          <w:sz w:val="24"/>
          <w:szCs w:val="24"/>
          <w:lang w:val="en-US"/>
        </w:rPr>
        <w:t xml:space="preserve"> follows the Stakeholder Theory to make sure that the decisions are made keeping in mind the interests of the employees, suppliers, and communities, and not only the shareholders (Freeman, 1984).</w:t>
      </w:r>
    </w:p>
    <w:p w14:paraId="7FCCE61B" w14:textId="77777777" w:rsidR="00F9619B" w:rsidRDefault="00F9619B" w:rsidP="00A55A49">
      <w:pPr>
        <w:pStyle w:val="ListParagraph"/>
        <w:numPr>
          <w:ilvl w:val="0"/>
          <w:numId w:val="16"/>
        </w:numPr>
        <w:spacing w:before="240" w:line="360" w:lineRule="auto"/>
        <w:jc w:val="both"/>
        <w:rPr>
          <w:rFonts w:ascii="Arial" w:hAnsi="Arial" w:cs="Arial"/>
          <w:bCs/>
          <w:sz w:val="24"/>
          <w:szCs w:val="24"/>
          <w:lang w:val="en-US"/>
        </w:rPr>
      </w:pPr>
      <w:r w:rsidRPr="00A55A49">
        <w:rPr>
          <w:rFonts w:ascii="Arial" w:hAnsi="Arial" w:cs="Arial"/>
          <w:b/>
          <w:sz w:val="24"/>
          <w:szCs w:val="24"/>
          <w:lang w:val="en-US"/>
        </w:rPr>
        <w:t>Ethical Check:</w:t>
      </w:r>
      <w:r w:rsidRPr="00A55A49">
        <w:rPr>
          <w:rFonts w:ascii="Arial" w:hAnsi="Arial" w:cs="Arial"/>
          <w:bCs/>
          <w:sz w:val="24"/>
          <w:szCs w:val="24"/>
          <w:lang w:val="en-US"/>
        </w:rPr>
        <w:t xml:space="preserve"> Have a transparent redundancy and retraining scheme for the employees of the units which have been divested, which offers allowances above the minimum with career transition schemes (Norton Rose Fulbright, 2025). This reduces adverse effects of layoffs on the society (ResearchGate, 2024).</w:t>
      </w:r>
    </w:p>
    <w:p w14:paraId="57A43B09" w14:textId="77777777" w:rsidR="001718DF" w:rsidRDefault="001718DF" w:rsidP="001718DF">
      <w:pPr>
        <w:spacing w:before="240" w:line="360" w:lineRule="auto"/>
        <w:jc w:val="both"/>
        <w:rPr>
          <w:rFonts w:ascii="Arial" w:hAnsi="Arial" w:cs="Arial"/>
          <w:bCs/>
          <w:sz w:val="24"/>
          <w:szCs w:val="24"/>
          <w:lang w:val="en-US"/>
        </w:rPr>
      </w:pPr>
    </w:p>
    <w:p w14:paraId="7ABBDBEE" w14:textId="77777777" w:rsidR="001718DF" w:rsidRPr="001718DF" w:rsidRDefault="001718DF" w:rsidP="001718DF">
      <w:pPr>
        <w:spacing w:before="240" w:line="360" w:lineRule="auto"/>
        <w:jc w:val="both"/>
        <w:rPr>
          <w:rFonts w:ascii="Arial" w:hAnsi="Arial" w:cs="Arial"/>
          <w:bCs/>
          <w:sz w:val="24"/>
          <w:szCs w:val="24"/>
          <w:lang w:val="en-US"/>
        </w:rPr>
      </w:pPr>
    </w:p>
    <w:p w14:paraId="72A48F4B" w14:textId="77777777" w:rsidR="00F9619B" w:rsidRPr="00F9619B" w:rsidRDefault="00F9619B" w:rsidP="00F9619B">
      <w:pPr>
        <w:spacing w:before="240" w:line="360" w:lineRule="auto"/>
        <w:jc w:val="both"/>
        <w:rPr>
          <w:rFonts w:ascii="Arial" w:hAnsi="Arial" w:cs="Arial"/>
          <w:b/>
          <w:sz w:val="24"/>
          <w:szCs w:val="24"/>
          <w:lang w:val="en-US"/>
        </w:rPr>
      </w:pPr>
      <w:r w:rsidRPr="00F9619B">
        <w:rPr>
          <w:rFonts w:ascii="Arial" w:hAnsi="Arial" w:cs="Arial"/>
          <w:b/>
          <w:sz w:val="24"/>
          <w:szCs w:val="24"/>
          <w:lang w:val="en-US"/>
        </w:rPr>
        <w:lastRenderedPageBreak/>
        <w:t>Responsibility of the supply chain:</w:t>
      </w:r>
    </w:p>
    <w:p w14:paraId="2E1A2942" w14:textId="75497721" w:rsidR="00F9619B" w:rsidRPr="00A55A49" w:rsidRDefault="00A55A49" w:rsidP="00A55A49">
      <w:pPr>
        <w:pStyle w:val="ListParagraph"/>
        <w:numPr>
          <w:ilvl w:val="0"/>
          <w:numId w:val="17"/>
        </w:numPr>
        <w:spacing w:before="240" w:line="360" w:lineRule="auto"/>
        <w:jc w:val="both"/>
        <w:rPr>
          <w:rFonts w:ascii="Arial" w:hAnsi="Arial" w:cs="Arial"/>
          <w:bCs/>
          <w:sz w:val="24"/>
          <w:szCs w:val="24"/>
          <w:lang w:val="en-US"/>
        </w:rPr>
      </w:pPr>
      <w:r w:rsidRPr="00A55A49">
        <w:rPr>
          <w:rFonts w:ascii="Arial" w:hAnsi="Arial" w:cs="Arial"/>
          <w:b/>
          <w:sz w:val="24"/>
          <w:szCs w:val="24"/>
          <w:lang w:val="en-US"/>
        </w:rPr>
        <w:t>Action</w:t>
      </w:r>
      <w:r w:rsidR="00F9619B" w:rsidRPr="00A55A49">
        <w:rPr>
          <w:rFonts w:ascii="Arial" w:hAnsi="Arial" w:cs="Arial"/>
          <w:b/>
          <w:sz w:val="24"/>
          <w:szCs w:val="24"/>
          <w:lang w:val="en-US"/>
        </w:rPr>
        <w:t>:</w:t>
      </w:r>
      <w:r w:rsidR="00F9619B" w:rsidRPr="00A55A49">
        <w:rPr>
          <w:rFonts w:ascii="Arial" w:hAnsi="Arial" w:cs="Arial"/>
          <w:bCs/>
          <w:sz w:val="24"/>
          <w:szCs w:val="24"/>
          <w:lang w:val="en-US"/>
        </w:rPr>
        <w:t xml:space="preserve"> Direct the cash flow of the divestiture to invest more in supply chain traceability and ethical sourcing audits, especially in Asian manufacturing and conflict minerals and </w:t>
      </w:r>
      <w:proofErr w:type="spellStart"/>
      <w:r w:rsidR="00F9619B" w:rsidRPr="00A55A49">
        <w:rPr>
          <w:rFonts w:ascii="Arial" w:hAnsi="Arial" w:cs="Arial"/>
          <w:bCs/>
          <w:sz w:val="24"/>
          <w:szCs w:val="24"/>
          <w:lang w:val="en-US"/>
        </w:rPr>
        <w:t>labour</w:t>
      </w:r>
      <w:proofErr w:type="spellEnd"/>
      <w:r w:rsidR="00F9619B" w:rsidRPr="00A55A49">
        <w:rPr>
          <w:rFonts w:ascii="Arial" w:hAnsi="Arial" w:cs="Arial"/>
          <w:bCs/>
          <w:sz w:val="24"/>
          <w:szCs w:val="24"/>
          <w:lang w:val="en-US"/>
        </w:rPr>
        <w:t xml:space="preserve"> conditions (Georgetown University, 2013).</w:t>
      </w:r>
    </w:p>
    <w:p w14:paraId="3CAD89F1" w14:textId="77777777" w:rsidR="00F9619B" w:rsidRPr="00A55A49" w:rsidRDefault="00F9619B" w:rsidP="00A55A49">
      <w:pPr>
        <w:pStyle w:val="ListParagraph"/>
        <w:numPr>
          <w:ilvl w:val="0"/>
          <w:numId w:val="17"/>
        </w:numPr>
        <w:spacing w:before="240" w:line="360" w:lineRule="auto"/>
        <w:jc w:val="both"/>
        <w:rPr>
          <w:rFonts w:ascii="Arial" w:hAnsi="Arial" w:cs="Arial"/>
          <w:bCs/>
          <w:sz w:val="24"/>
          <w:szCs w:val="24"/>
          <w:lang w:val="en-US"/>
        </w:rPr>
      </w:pPr>
      <w:r w:rsidRPr="00A55A49">
        <w:rPr>
          <w:rFonts w:ascii="Arial" w:hAnsi="Arial" w:cs="Arial"/>
          <w:b/>
          <w:sz w:val="24"/>
          <w:szCs w:val="24"/>
          <w:lang w:val="en-US"/>
        </w:rPr>
        <w:t>Ethical Check:</w:t>
      </w:r>
      <w:r w:rsidRPr="00A55A49">
        <w:rPr>
          <w:rFonts w:ascii="Arial" w:hAnsi="Arial" w:cs="Arial"/>
          <w:bCs/>
          <w:sz w:val="24"/>
          <w:szCs w:val="24"/>
          <w:lang w:val="en-US"/>
        </w:rPr>
        <w:t xml:space="preserve"> Do not justify reducing the environmental or social compliance efforts using the financial distress. Risk management and brand reputation in the electronics industry cannot be complete without CSR (Cambridge University Press, 2024).</w:t>
      </w:r>
    </w:p>
    <w:p w14:paraId="6891A888" w14:textId="77777777" w:rsidR="00F9619B" w:rsidRPr="00F9619B" w:rsidRDefault="00F9619B" w:rsidP="00F9619B">
      <w:pPr>
        <w:spacing w:before="240" w:line="360" w:lineRule="auto"/>
        <w:jc w:val="both"/>
        <w:rPr>
          <w:rFonts w:ascii="Arial" w:hAnsi="Arial" w:cs="Arial"/>
          <w:b/>
          <w:sz w:val="24"/>
          <w:szCs w:val="24"/>
          <w:lang w:val="en-US"/>
        </w:rPr>
      </w:pPr>
      <w:r w:rsidRPr="00F9619B">
        <w:rPr>
          <w:rFonts w:ascii="Arial" w:hAnsi="Arial" w:cs="Arial"/>
          <w:b/>
          <w:sz w:val="24"/>
          <w:szCs w:val="24"/>
          <w:lang w:val="en-US"/>
        </w:rPr>
        <w:t>Ethics of Steering Clear of Tax Evasion (Economic):</w:t>
      </w:r>
    </w:p>
    <w:p w14:paraId="36FB5C46" w14:textId="77777777" w:rsidR="00F9619B" w:rsidRPr="00F9619B" w:rsidRDefault="00F9619B" w:rsidP="00F9619B">
      <w:pPr>
        <w:spacing w:before="240" w:line="360" w:lineRule="auto"/>
        <w:jc w:val="both"/>
        <w:rPr>
          <w:rFonts w:ascii="Arial" w:hAnsi="Arial" w:cs="Arial"/>
          <w:bCs/>
          <w:sz w:val="24"/>
          <w:szCs w:val="24"/>
          <w:lang w:val="en-US"/>
        </w:rPr>
      </w:pPr>
      <w:r w:rsidRPr="00F9619B">
        <w:rPr>
          <w:rFonts w:ascii="Arial" w:hAnsi="Arial" w:cs="Arial"/>
          <w:b/>
          <w:sz w:val="24"/>
          <w:szCs w:val="24"/>
          <w:lang w:val="en-US"/>
        </w:rPr>
        <w:t>Action:</w:t>
      </w:r>
      <w:r w:rsidRPr="00F9619B">
        <w:rPr>
          <w:rFonts w:ascii="Arial" w:hAnsi="Arial" w:cs="Arial"/>
          <w:bCs/>
          <w:sz w:val="24"/>
          <w:szCs w:val="24"/>
          <w:lang w:val="en-US"/>
        </w:rPr>
        <w:t xml:space="preserve"> During the process of seeking tax efficiency, GE should also not engage in the aggressive international tax structure (i.e., illegal profit shifting) that undermines the tax base of the countries in which it has entered (The Gild Group, 2025).</w:t>
      </w:r>
    </w:p>
    <w:p w14:paraId="640FAE5D" w14:textId="77777777" w:rsidR="00F9619B" w:rsidRPr="00F9619B" w:rsidRDefault="00F9619B" w:rsidP="00F9619B">
      <w:pPr>
        <w:spacing w:before="240" w:line="360" w:lineRule="auto"/>
        <w:jc w:val="both"/>
        <w:rPr>
          <w:rFonts w:ascii="Arial" w:hAnsi="Arial" w:cs="Arial"/>
          <w:bCs/>
          <w:sz w:val="24"/>
          <w:szCs w:val="24"/>
          <w:lang w:val="en-US"/>
        </w:rPr>
      </w:pPr>
      <w:r w:rsidRPr="00F9619B">
        <w:rPr>
          <w:rFonts w:ascii="Arial" w:hAnsi="Arial" w:cs="Arial"/>
          <w:bCs/>
          <w:sz w:val="24"/>
          <w:szCs w:val="24"/>
          <w:lang w:val="en-US"/>
        </w:rPr>
        <w:t xml:space="preserve">The proposed </w:t>
      </w:r>
      <w:proofErr w:type="spellStart"/>
      <w:r w:rsidRPr="00F9619B">
        <w:rPr>
          <w:rFonts w:ascii="Arial" w:hAnsi="Arial" w:cs="Arial"/>
          <w:bCs/>
          <w:sz w:val="24"/>
          <w:szCs w:val="24"/>
          <w:lang w:val="en-US"/>
        </w:rPr>
        <w:t>reorganisation</w:t>
      </w:r>
      <w:proofErr w:type="spellEnd"/>
      <w:r w:rsidRPr="00F9619B">
        <w:rPr>
          <w:rFonts w:ascii="Arial" w:hAnsi="Arial" w:cs="Arial"/>
          <w:bCs/>
          <w:sz w:val="24"/>
          <w:szCs w:val="24"/>
          <w:lang w:val="en-US"/>
        </w:rPr>
        <w:t xml:space="preserve">, which is Strategy Divestiture and Long-Term Debt </w:t>
      </w:r>
      <w:proofErr w:type="spellStart"/>
      <w:r w:rsidRPr="00F9619B">
        <w:rPr>
          <w:rFonts w:ascii="Arial" w:hAnsi="Arial" w:cs="Arial"/>
          <w:bCs/>
          <w:sz w:val="24"/>
          <w:szCs w:val="24"/>
          <w:lang w:val="en-US"/>
        </w:rPr>
        <w:t>Recapitalisation</w:t>
      </w:r>
      <w:proofErr w:type="spellEnd"/>
      <w:r w:rsidRPr="00F9619B">
        <w:rPr>
          <w:rFonts w:ascii="Arial" w:hAnsi="Arial" w:cs="Arial"/>
          <w:bCs/>
          <w:sz w:val="24"/>
          <w:szCs w:val="24"/>
          <w:lang w:val="en-US"/>
        </w:rPr>
        <w:t>, is financially sound. It solves the liquidity and high Debt-to-Equity issues that GE is facing urgently by injecting cash and decreasing volatility. Through strict compliance with regulations on ethics and proactive dealing with the global risks, GE will be able to conduct this turnaround as it restores its reputation as a responsible global player.</w:t>
      </w:r>
    </w:p>
    <w:p w14:paraId="02B84979" w14:textId="1A91CF79" w:rsidR="00CD4561" w:rsidRPr="003227C7" w:rsidRDefault="00CD4561" w:rsidP="00CD4561">
      <w:pPr>
        <w:pStyle w:val="Heading1"/>
      </w:pPr>
      <w:bookmarkStart w:id="30" w:name="_Toc214748975"/>
      <w:r>
        <w:t xml:space="preserve">4. </w:t>
      </w:r>
      <w:r w:rsidR="00D46429" w:rsidRPr="00D46429">
        <w:t>Investment Appraisal and Capital Budgeting</w:t>
      </w:r>
      <w:bookmarkEnd w:id="30"/>
    </w:p>
    <w:p w14:paraId="300C6B6E" w14:textId="7B550DC0" w:rsidR="00CD4561" w:rsidRDefault="00587023" w:rsidP="00CD4561">
      <w:pPr>
        <w:spacing w:before="240" w:line="360" w:lineRule="auto"/>
        <w:jc w:val="both"/>
        <w:rPr>
          <w:rFonts w:ascii="Arial" w:hAnsi="Arial" w:cs="Arial"/>
          <w:bCs/>
          <w:sz w:val="24"/>
          <w:szCs w:val="24"/>
          <w:lang w:val="en-US"/>
        </w:rPr>
      </w:pPr>
      <w:r w:rsidRPr="00587023">
        <w:rPr>
          <w:rFonts w:ascii="Arial" w:hAnsi="Arial" w:cs="Arial"/>
          <w:bCs/>
          <w:sz w:val="24"/>
          <w:szCs w:val="24"/>
          <w:lang w:val="en-US"/>
        </w:rPr>
        <w:t xml:space="preserve">The following tables calculate the five required investment appraisal metrics for projects </w:t>
      </w:r>
      <w:r w:rsidR="00B04D68" w:rsidRPr="00587023">
        <w:rPr>
          <w:rFonts w:ascii="Arial" w:hAnsi="Arial" w:cs="Arial"/>
          <w:bCs/>
          <w:sz w:val="24"/>
          <w:szCs w:val="24"/>
          <w:lang w:val="en-US"/>
        </w:rPr>
        <w:t>A, B</w:t>
      </w:r>
      <w:r w:rsidRPr="00587023">
        <w:rPr>
          <w:rFonts w:ascii="Arial" w:hAnsi="Arial" w:cs="Arial"/>
          <w:bCs/>
          <w:sz w:val="24"/>
          <w:szCs w:val="24"/>
          <w:lang w:val="en-US"/>
        </w:rPr>
        <w:t xml:space="preserve"> and C.</w:t>
      </w:r>
    </w:p>
    <w:p w14:paraId="167FF7B7" w14:textId="1206A4FB" w:rsidR="00B04D68" w:rsidRPr="00B04D68" w:rsidRDefault="00B04D68" w:rsidP="00CD4561">
      <w:pPr>
        <w:spacing w:before="240" w:line="360" w:lineRule="auto"/>
        <w:jc w:val="both"/>
        <w:rPr>
          <w:rFonts w:ascii="Arial" w:hAnsi="Arial" w:cs="Arial"/>
          <w:b/>
          <w:sz w:val="24"/>
          <w:szCs w:val="24"/>
          <w:lang w:val="en-US"/>
        </w:rPr>
      </w:pPr>
      <w:r w:rsidRPr="00B04D68">
        <w:rPr>
          <w:rFonts w:ascii="Arial" w:hAnsi="Arial" w:cs="Arial"/>
          <w:b/>
          <w:sz w:val="24"/>
          <w:szCs w:val="24"/>
          <w:lang w:val="en-US"/>
        </w:rPr>
        <w:t>A. Calculation of Cash Flows and Accounting Metrics</w:t>
      </w:r>
    </w:p>
    <w:p w14:paraId="00B6FFE9" w14:textId="4207C369" w:rsidR="00B04D68" w:rsidRDefault="00542447" w:rsidP="00CD4561">
      <w:pPr>
        <w:spacing w:before="240" w:line="360" w:lineRule="auto"/>
        <w:jc w:val="both"/>
        <w:rPr>
          <w:rFonts w:ascii="Arial" w:hAnsi="Arial" w:cs="Arial"/>
          <w:bCs/>
          <w:sz w:val="24"/>
          <w:szCs w:val="24"/>
          <w:lang w:val="en-US"/>
        </w:rPr>
      </w:pPr>
      <w:r w:rsidRPr="00542447">
        <w:rPr>
          <w:rFonts w:ascii="Arial" w:hAnsi="Arial" w:cs="Arial"/>
          <w:bCs/>
          <w:sz w:val="24"/>
          <w:szCs w:val="24"/>
          <w:lang w:val="en-US"/>
        </w:rPr>
        <w:t>To calculate the Accounting Rate of Return (ARR), we need to find the average annual accounting profit (Net Income) using straight-line depreciation to zero.</w:t>
      </w:r>
    </w:p>
    <w:p w14:paraId="41BF1CDC" w14:textId="34F705CF" w:rsidR="00542447" w:rsidRDefault="00DA3912" w:rsidP="00CD4561">
      <w:pPr>
        <w:spacing w:before="240" w:line="360" w:lineRule="auto"/>
        <w:jc w:val="both"/>
        <w:rPr>
          <w:rFonts w:ascii="Arial" w:eastAsiaTheme="minorEastAsia" w:hAnsi="Arial" w:cs="Arial"/>
          <w:bCs/>
          <w:sz w:val="24"/>
          <w:szCs w:val="24"/>
          <w:lang w:val="en-US"/>
        </w:rPr>
      </w:pPr>
      <w:r w:rsidRPr="00DA3912">
        <w:rPr>
          <w:rFonts w:ascii="Arial" w:hAnsi="Arial" w:cs="Arial"/>
          <w:bCs/>
          <w:sz w:val="24"/>
          <w:szCs w:val="24"/>
          <w:lang w:val="en-US"/>
        </w:rPr>
        <w:t>Annual Depreciation=</w:t>
      </w:r>
      <w:r>
        <w:rPr>
          <w:rFonts w:ascii="Arial" w:hAnsi="Arial" w:cs="Arial"/>
          <w:bCs/>
          <w:sz w:val="24"/>
          <w:szCs w:val="24"/>
          <w:lang w:val="en-US"/>
        </w:rPr>
        <w:t xml:space="preserve"> </w:t>
      </w:r>
      <m:oMath>
        <m:f>
          <m:fPr>
            <m:ctrlPr>
              <w:rPr>
                <w:rFonts w:ascii="Cambria Math" w:hAnsi="Cambria Math" w:cs="Arial"/>
                <w:bCs/>
                <w:i/>
                <w:sz w:val="24"/>
                <w:szCs w:val="24"/>
                <w:lang w:val="en-US"/>
              </w:rPr>
            </m:ctrlPr>
          </m:fPr>
          <m:num>
            <m:r>
              <w:rPr>
                <w:rFonts w:ascii="Cambria Math" w:hAnsi="Cambria Math" w:cs="Arial"/>
                <w:sz w:val="24"/>
                <w:szCs w:val="24"/>
                <w:lang w:val="en-US"/>
              </w:rPr>
              <m:t xml:space="preserve"> Initial Investment</m:t>
            </m:r>
          </m:num>
          <m:den>
            <m:r>
              <w:rPr>
                <w:rFonts w:ascii="Cambria Math" w:hAnsi="Cambria Math" w:cs="Arial"/>
                <w:sz w:val="24"/>
                <w:szCs w:val="24"/>
                <w:lang w:val="en-US"/>
              </w:rPr>
              <m:t>5 years</m:t>
            </m:r>
          </m:den>
        </m:f>
      </m:oMath>
    </w:p>
    <w:p w14:paraId="0683708D" w14:textId="4B48E50F" w:rsidR="00D31188" w:rsidRDefault="00D31188" w:rsidP="00CD4561">
      <w:pPr>
        <w:spacing w:before="240" w:line="360" w:lineRule="auto"/>
        <w:jc w:val="both"/>
        <w:rPr>
          <w:rFonts w:ascii="Arial" w:eastAsiaTheme="minorEastAsia" w:hAnsi="Arial" w:cs="Arial"/>
          <w:bCs/>
          <w:sz w:val="24"/>
          <w:szCs w:val="24"/>
          <w:lang w:val="en-US"/>
        </w:rPr>
      </w:pPr>
      <w:r w:rsidRPr="00D31188">
        <w:rPr>
          <w:rFonts w:ascii="Arial" w:hAnsi="Arial" w:cs="Arial"/>
          <w:bCs/>
          <w:sz w:val="24"/>
          <w:szCs w:val="24"/>
        </w:rPr>
        <w:t>Average Annual Profit</w:t>
      </w:r>
      <w:r>
        <w:rPr>
          <w:rFonts w:ascii="Arial" w:hAnsi="Arial" w:cs="Arial"/>
          <w:bCs/>
          <w:sz w:val="24"/>
          <w:szCs w:val="24"/>
        </w:rPr>
        <w:t>=</w:t>
      </w:r>
      <w:r w:rsidR="00B817DB">
        <w:rPr>
          <w:rFonts w:ascii="Arial" w:hAnsi="Arial" w:cs="Arial"/>
          <w:bCs/>
          <w:sz w:val="24"/>
          <w:szCs w:val="24"/>
        </w:rPr>
        <w:t xml:space="preserve"> </w:t>
      </w:r>
      <m:oMath>
        <m:f>
          <m:fPr>
            <m:ctrlPr>
              <w:rPr>
                <w:rFonts w:ascii="Cambria Math" w:hAnsi="Cambria Math" w:cs="Arial"/>
                <w:bCs/>
                <w:i/>
                <w:sz w:val="24"/>
                <w:szCs w:val="24"/>
                <w:lang w:val="en-US"/>
              </w:rPr>
            </m:ctrlPr>
          </m:fPr>
          <m:num>
            <m:r>
              <w:rPr>
                <w:rFonts w:ascii="Cambria Math" w:hAnsi="Cambria Math" w:cs="Arial"/>
                <w:sz w:val="24"/>
                <w:szCs w:val="24"/>
                <w:lang w:val="en-US"/>
              </w:rPr>
              <m:t xml:space="preserve">Sum of Cash Inflows </m:t>
            </m:r>
          </m:num>
          <m:den>
            <m:r>
              <w:rPr>
                <w:rFonts w:ascii="Cambria Math" w:hAnsi="Cambria Math" w:cs="Arial"/>
                <w:sz w:val="24"/>
                <w:szCs w:val="24"/>
                <w:lang w:val="en-US"/>
              </w:rPr>
              <m:t xml:space="preserve">5 </m:t>
            </m:r>
          </m:den>
        </m:f>
      </m:oMath>
      <w:r w:rsidR="00221C18">
        <w:rPr>
          <w:rFonts w:ascii="Arial" w:eastAsiaTheme="minorEastAsia" w:hAnsi="Arial" w:cs="Arial"/>
          <w:bCs/>
          <w:sz w:val="24"/>
          <w:szCs w:val="24"/>
          <w:lang w:val="en-US"/>
        </w:rPr>
        <w:t xml:space="preserve"> -</w:t>
      </w:r>
      <w:r w:rsidR="00CD3E5E" w:rsidRPr="00CD3E5E">
        <w:t xml:space="preserve"> </w:t>
      </w:r>
      <w:r w:rsidR="00CD3E5E" w:rsidRPr="00CD3E5E">
        <w:rPr>
          <w:rFonts w:ascii="Arial" w:eastAsiaTheme="minorEastAsia" w:hAnsi="Arial" w:cs="Arial"/>
          <w:bCs/>
          <w:sz w:val="24"/>
          <w:szCs w:val="24"/>
          <w:lang w:val="en-US"/>
        </w:rPr>
        <w:t>Annual Depreciation</w:t>
      </w:r>
    </w:p>
    <w:tbl>
      <w:tblPr>
        <w:tblStyle w:val="TableGrid"/>
        <w:tblW w:w="8834" w:type="dxa"/>
        <w:tblLook w:val="04A0" w:firstRow="1" w:lastRow="0" w:firstColumn="1" w:lastColumn="0" w:noHBand="0" w:noVBand="1"/>
      </w:tblPr>
      <w:tblGrid>
        <w:gridCol w:w="4164"/>
        <w:gridCol w:w="1529"/>
        <w:gridCol w:w="1529"/>
        <w:gridCol w:w="1612"/>
      </w:tblGrid>
      <w:tr w:rsidR="00BD444C" w:rsidRPr="00CD3E5E" w14:paraId="76C08D54" w14:textId="77777777" w:rsidTr="00EF57FC">
        <w:trPr>
          <w:trHeight w:val="842"/>
        </w:trPr>
        <w:tc>
          <w:tcPr>
            <w:tcW w:w="0" w:type="auto"/>
            <w:hideMark/>
          </w:tcPr>
          <w:p w14:paraId="7F000393"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lastRenderedPageBreak/>
              <w:t>Project Detail (£m)</w:t>
            </w:r>
          </w:p>
        </w:tc>
        <w:tc>
          <w:tcPr>
            <w:tcW w:w="0" w:type="auto"/>
            <w:hideMark/>
          </w:tcPr>
          <w:p w14:paraId="3E9611A4"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Project A</w:t>
            </w:r>
          </w:p>
        </w:tc>
        <w:tc>
          <w:tcPr>
            <w:tcW w:w="0" w:type="auto"/>
            <w:hideMark/>
          </w:tcPr>
          <w:p w14:paraId="1E2FA882"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Project B</w:t>
            </w:r>
          </w:p>
        </w:tc>
        <w:tc>
          <w:tcPr>
            <w:tcW w:w="0" w:type="auto"/>
            <w:hideMark/>
          </w:tcPr>
          <w:p w14:paraId="2560343B"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Project C</w:t>
            </w:r>
          </w:p>
        </w:tc>
      </w:tr>
      <w:tr w:rsidR="00BD444C" w:rsidRPr="00CD3E5E" w14:paraId="7C81DAB9" w14:textId="77777777" w:rsidTr="00EF57FC">
        <w:trPr>
          <w:trHeight w:val="861"/>
        </w:trPr>
        <w:tc>
          <w:tcPr>
            <w:tcW w:w="0" w:type="auto"/>
            <w:hideMark/>
          </w:tcPr>
          <w:p w14:paraId="53FABDCF" w14:textId="3CD2911C"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 xml:space="preserve">Initial Investment </w:t>
            </w:r>
            <m:oMath>
              <m:r>
                <m:rPr>
                  <m:sty m:val="bi"/>
                </m:rPr>
                <w:rPr>
                  <w:rFonts w:ascii="Cambria Math" w:hAnsi="Cambria Math" w:cs="Arial"/>
                  <w:sz w:val="24"/>
                  <w:szCs w:val="24"/>
                  <w:lang w:val="en-US"/>
                </w:rPr>
                <m:t>(</m:t>
              </m:r>
              <m:sSub>
                <m:sSubPr>
                  <m:ctrlPr>
                    <w:rPr>
                      <w:rFonts w:ascii="Cambria Math" w:hAnsi="Cambria Math" w:cs="Arial"/>
                      <w:b/>
                      <w:bCs/>
                      <w:i/>
                      <w:sz w:val="24"/>
                      <w:szCs w:val="24"/>
                      <w:lang w:val="en-US"/>
                    </w:rPr>
                  </m:ctrlPr>
                </m:sSubPr>
                <m:e>
                  <m:r>
                    <m:rPr>
                      <m:sty m:val="bi"/>
                    </m:rPr>
                    <w:rPr>
                      <w:rFonts w:ascii="Cambria Math" w:hAnsi="Cambria Math" w:cs="Arial"/>
                      <w:sz w:val="24"/>
                      <w:szCs w:val="24"/>
                      <w:lang w:val="en-US"/>
                    </w:rPr>
                    <m:t>I</m:t>
                  </m:r>
                </m:e>
                <m:sub>
                  <m:r>
                    <m:rPr>
                      <m:sty m:val="bi"/>
                    </m:rPr>
                    <w:rPr>
                      <w:rFonts w:ascii="Cambria Math" w:hAnsi="Cambria Math" w:cs="Arial"/>
                      <w:sz w:val="24"/>
                      <w:szCs w:val="24"/>
                      <w:lang w:val="en-US"/>
                    </w:rPr>
                    <m:t>0</m:t>
                  </m:r>
                </m:sub>
              </m:sSub>
              <m:r>
                <m:rPr>
                  <m:sty m:val="bi"/>
                </m:rPr>
                <w:rPr>
                  <w:rFonts w:ascii="Cambria Math" w:hAnsi="Cambria Math" w:cs="Arial"/>
                  <w:sz w:val="24"/>
                  <w:szCs w:val="24"/>
                  <w:lang w:val="en-US"/>
                </w:rPr>
                <m:t>)</m:t>
              </m:r>
            </m:oMath>
          </w:p>
        </w:tc>
        <w:tc>
          <w:tcPr>
            <w:tcW w:w="0" w:type="auto"/>
            <w:hideMark/>
          </w:tcPr>
          <w:p w14:paraId="5550966C"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40</w:t>
            </w:r>
          </w:p>
        </w:tc>
        <w:tc>
          <w:tcPr>
            <w:tcW w:w="0" w:type="auto"/>
            <w:hideMark/>
          </w:tcPr>
          <w:p w14:paraId="0FA7A07A"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30</w:t>
            </w:r>
          </w:p>
        </w:tc>
        <w:tc>
          <w:tcPr>
            <w:tcW w:w="0" w:type="auto"/>
            <w:hideMark/>
          </w:tcPr>
          <w:p w14:paraId="2CC429BC"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50</w:t>
            </w:r>
          </w:p>
        </w:tc>
      </w:tr>
      <w:tr w:rsidR="00BD444C" w:rsidRPr="00CD3E5E" w14:paraId="52EB6C19" w14:textId="77777777" w:rsidTr="00EF57FC">
        <w:trPr>
          <w:trHeight w:val="842"/>
        </w:trPr>
        <w:tc>
          <w:tcPr>
            <w:tcW w:w="0" w:type="auto"/>
            <w:hideMark/>
          </w:tcPr>
          <w:p w14:paraId="1CB0EBB6"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Total Inflows (Years 1-5)</w:t>
            </w:r>
          </w:p>
        </w:tc>
        <w:tc>
          <w:tcPr>
            <w:tcW w:w="0" w:type="auto"/>
            <w:hideMark/>
          </w:tcPr>
          <w:p w14:paraId="4A4F6C60"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54</w:t>
            </w:r>
          </w:p>
        </w:tc>
        <w:tc>
          <w:tcPr>
            <w:tcW w:w="0" w:type="auto"/>
            <w:hideMark/>
          </w:tcPr>
          <w:p w14:paraId="63FD6EBF"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30</w:t>
            </w:r>
          </w:p>
        </w:tc>
        <w:tc>
          <w:tcPr>
            <w:tcW w:w="0" w:type="auto"/>
            <w:hideMark/>
          </w:tcPr>
          <w:p w14:paraId="0C8E875B"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75</w:t>
            </w:r>
          </w:p>
        </w:tc>
      </w:tr>
      <w:tr w:rsidR="00BD444C" w:rsidRPr="00CD3E5E" w14:paraId="7156B6A4" w14:textId="77777777" w:rsidTr="00EF57FC">
        <w:trPr>
          <w:trHeight w:val="852"/>
        </w:trPr>
        <w:tc>
          <w:tcPr>
            <w:tcW w:w="0" w:type="auto"/>
            <w:hideMark/>
          </w:tcPr>
          <w:p w14:paraId="2C9EE435"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Average Annual Cash Inflow</w:t>
            </w:r>
          </w:p>
        </w:tc>
        <w:tc>
          <w:tcPr>
            <w:tcW w:w="0" w:type="auto"/>
            <w:hideMark/>
          </w:tcPr>
          <w:p w14:paraId="66A59906"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10.80</w:t>
            </w:r>
          </w:p>
        </w:tc>
        <w:tc>
          <w:tcPr>
            <w:tcW w:w="0" w:type="auto"/>
            <w:hideMark/>
          </w:tcPr>
          <w:p w14:paraId="79EC57DD"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6.00</w:t>
            </w:r>
          </w:p>
        </w:tc>
        <w:tc>
          <w:tcPr>
            <w:tcW w:w="0" w:type="auto"/>
            <w:hideMark/>
          </w:tcPr>
          <w:p w14:paraId="7AF3AD92"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15.00</w:t>
            </w:r>
          </w:p>
        </w:tc>
      </w:tr>
      <w:tr w:rsidR="00BD444C" w:rsidRPr="00CD3E5E" w14:paraId="46508477" w14:textId="77777777" w:rsidTr="00EF57FC">
        <w:trPr>
          <w:trHeight w:val="990"/>
        </w:trPr>
        <w:tc>
          <w:tcPr>
            <w:tcW w:w="0" w:type="auto"/>
            <w:hideMark/>
          </w:tcPr>
          <w:p w14:paraId="26A9B47B"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Annual Depreciation</w:t>
            </w:r>
          </w:p>
        </w:tc>
        <w:tc>
          <w:tcPr>
            <w:tcW w:w="0" w:type="auto"/>
            <w:hideMark/>
          </w:tcPr>
          <w:p w14:paraId="577D92BF" w14:textId="48654E9E"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 xml:space="preserve">8.00 </w:t>
            </w:r>
            <m:oMath>
              <m:r>
                <m:rPr>
                  <m:sty m:val="bi"/>
                </m:rPr>
                <w:rPr>
                  <w:rFonts w:ascii="Cambria Math" w:hAnsi="Cambria Math" w:cs="Arial"/>
                  <w:sz w:val="24"/>
                  <w:szCs w:val="24"/>
                  <w:lang w:val="en-US"/>
                </w:rPr>
                <m:t xml:space="preserve"> (</m:t>
              </m:r>
              <m:f>
                <m:fPr>
                  <m:ctrlPr>
                    <w:rPr>
                      <w:rFonts w:ascii="Cambria Math" w:hAnsi="Cambria Math" w:cs="Arial"/>
                      <w:b/>
                      <w:bCs/>
                      <w:i/>
                      <w:sz w:val="24"/>
                      <w:szCs w:val="24"/>
                      <w:lang w:val="en-US"/>
                    </w:rPr>
                  </m:ctrlPr>
                </m:fPr>
                <m:num>
                  <m:r>
                    <m:rPr>
                      <m:sty m:val="b"/>
                    </m:rPr>
                    <w:rPr>
                      <w:rFonts w:ascii="Cambria Math" w:hAnsi="Cambria Math" w:cs="Arial"/>
                      <w:sz w:val="24"/>
                      <w:szCs w:val="24"/>
                      <w:lang w:val="en-US"/>
                    </w:rPr>
                    <m:t>40</m:t>
                  </m:r>
                </m:num>
                <m:den>
                  <m:r>
                    <m:rPr>
                      <m:sty m:val="bi"/>
                    </m:rPr>
                    <w:rPr>
                      <w:rFonts w:ascii="Cambria Math" w:hAnsi="Cambria Math" w:cs="Arial"/>
                      <w:sz w:val="24"/>
                      <w:szCs w:val="24"/>
                      <w:lang w:val="en-US"/>
                    </w:rPr>
                    <m:t>5</m:t>
                  </m:r>
                </m:den>
              </m:f>
              <m:r>
                <m:rPr>
                  <m:sty m:val="bi"/>
                </m:rPr>
                <w:rPr>
                  <w:rFonts w:ascii="Cambria Math" w:hAnsi="Cambria Math" w:cs="Arial"/>
                  <w:sz w:val="24"/>
                  <w:szCs w:val="24"/>
                  <w:lang w:val="en-US"/>
                </w:rPr>
                <m:t>)</m:t>
              </m:r>
            </m:oMath>
            <w:r w:rsidR="00BD444C" w:rsidRPr="00CD3E5E">
              <w:rPr>
                <w:rFonts w:ascii="Arial" w:hAnsi="Arial" w:cs="Arial"/>
                <w:bCs/>
                <w:sz w:val="24"/>
                <w:szCs w:val="24"/>
                <w:lang w:val="en-US"/>
              </w:rPr>
              <w:t xml:space="preserve"> </w:t>
            </w:r>
          </w:p>
        </w:tc>
        <w:tc>
          <w:tcPr>
            <w:tcW w:w="0" w:type="auto"/>
            <w:hideMark/>
          </w:tcPr>
          <w:p w14:paraId="07738ED8" w14:textId="65E8C70B"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 xml:space="preserve">6.00 </w:t>
            </w:r>
            <m:oMath>
              <m:r>
                <m:rPr>
                  <m:sty m:val="bi"/>
                </m:rPr>
                <w:rPr>
                  <w:rFonts w:ascii="Cambria Math" w:hAnsi="Cambria Math" w:cs="Arial"/>
                  <w:sz w:val="24"/>
                  <w:szCs w:val="24"/>
                  <w:lang w:val="en-US"/>
                </w:rPr>
                <m:t xml:space="preserve"> (</m:t>
              </m:r>
              <m:f>
                <m:fPr>
                  <m:ctrlPr>
                    <w:rPr>
                      <w:rFonts w:ascii="Cambria Math" w:hAnsi="Cambria Math" w:cs="Arial"/>
                      <w:b/>
                      <w:bCs/>
                      <w:i/>
                      <w:sz w:val="24"/>
                      <w:szCs w:val="24"/>
                      <w:lang w:val="en-US"/>
                    </w:rPr>
                  </m:ctrlPr>
                </m:fPr>
                <m:num>
                  <m:r>
                    <m:rPr>
                      <m:sty m:val="b"/>
                    </m:rPr>
                    <w:rPr>
                      <w:rFonts w:ascii="Cambria Math" w:hAnsi="Cambria Math" w:cs="Arial"/>
                      <w:sz w:val="24"/>
                      <w:szCs w:val="24"/>
                      <w:lang w:val="en-US"/>
                    </w:rPr>
                    <m:t>30</m:t>
                  </m:r>
                </m:num>
                <m:den>
                  <m:r>
                    <m:rPr>
                      <m:sty m:val="bi"/>
                    </m:rPr>
                    <w:rPr>
                      <w:rFonts w:ascii="Cambria Math" w:hAnsi="Cambria Math" w:cs="Arial"/>
                      <w:sz w:val="24"/>
                      <w:szCs w:val="24"/>
                      <w:lang w:val="en-US"/>
                    </w:rPr>
                    <m:t>5</m:t>
                  </m:r>
                </m:den>
              </m:f>
              <m:r>
                <m:rPr>
                  <m:sty m:val="bi"/>
                </m:rPr>
                <w:rPr>
                  <w:rFonts w:ascii="Cambria Math" w:hAnsi="Cambria Math" w:cs="Arial"/>
                  <w:sz w:val="24"/>
                  <w:szCs w:val="24"/>
                  <w:lang w:val="en-US"/>
                </w:rPr>
                <m:t>)</m:t>
              </m:r>
            </m:oMath>
            <w:r w:rsidR="00BD444C" w:rsidRPr="00CD3E5E">
              <w:rPr>
                <w:rFonts w:ascii="Arial" w:hAnsi="Arial" w:cs="Arial"/>
                <w:bCs/>
                <w:sz w:val="24"/>
                <w:szCs w:val="24"/>
                <w:lang w:val="en-US"/>
              </w:rPr>
              <w:t xml:space="preserve"> </w:t>
            </w:r>
          </w:p>
        </w:tc>
        <w:tc>
          <w:tcPr>
            <w:tcW w:w="0" w:type="auto"/>
            <w:hideMark/>
          </w:tcPr>
          <w:p w14:paraId="773BA5B2" w14:textId="469879EC"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 xml:space="preserve">10.00 </w:t>
            </w:r>
            <m:oMath>
              <m:r>
                <m:rPr>
                  <m:sty m:val="bi"/>
                </m:rPr>
                <w:rPr>
                  <w:rFonts w:ascii="Cambria Math" w:hAnsi="Cambria Math" w:cs="Arial"/>
                  <w:sz w:val="24"/>
                  <w:szCs w:val="24"/>
                  <w:lang w:val="en-US"/>
                </w:rPr>
                <m:t xml:space="preserve"> (</m:t>
              </m:r>
              <m:f>
                <m:fPr>
                  <m:ctrlPr>
                    <w:rPr>
                      <w:rFonts w:ascii="Cambria Math" w:hAnsi="Cambria Math" w:cs="Arial"/>
                      <w:b/>
                      <w:bCs/>
                      <w:i/>
                      <w:sz w:val="24"/>
                      <w:szCs w:val="24"/>
                      <w:lang w:val="en-US"/>
                    </w:rPr>
                  </m:ctrlPr>
                </m:fPr>
                <m:num>
                  <m:r>
                    <m:rPr>
                      <m:sty m:val="b"/>
                    </m:rPr>
                    <w:rPr>
                      <w:rFonts w:ascii="Cambria Math" w:hAnsi="Cambria Math" w:cs="Arial"/>
                      <w:sz w:val="24"/>
                      <w:szCs w:val="24"/>
                      <w:lang w:val="en-US"/>
                    </w:rPr>
                    <m:t>50</m:t>
                  </m:r>
                </m:num>
                <m:den>
                  <m:r>
                    <m:rPr>
                      <m:sty m:val="bi"/>
                    </m:rPr>
                    <w:rPr>
                      <w:rFonts w:ascii="Cambria Math" w:hAnsi="Cambria Math" w:cs="Arial"/>
                      <w:sz w:val="24"/>
                      <w:szCs w:val="24"/>
                      <w:lang w:val="en-US"/>
                    </w:rPr>
                    <m:t>5</m:t>
                  </m:r>
                </m:den>
              </m:f>
              <m:r>
                <m:rPr>
                  <m:sty m:val="bi"/>
                </m:rPr>
                <w:rPr>
                  <w:rFonts w:ascii="Cambria Math" w:hAnsi="Cambria Math" w:cs="Arial"/>
                  <w:sz w:val="24"/>
                  <w:szCs w:val="24"/>
                  <w:lang w:val="en-US"/>
                </w:rPr>
                <m:t>)</m:t>
              </m:r>
            </m:oMath>
            <w:r w:rsidR="00EF57FC" w:rsidRPr="00CD3E5E">
              <w:rPr>
                <w:rFonts w:ascii="Arial" w:hAnsi="Arial" w:cs="Arial"/>
                <w:bCs/>
                <w:sz w:val="24"/>
                <w:szCs w:val="24"/>
                <w:lang w:val="en-US"/>
              </w:rPr>
              <w:t xml:space="preserve"> </w:t>
            </w:r>
          </w:p>
        </w:tc>
      </w:tr>
      <w:tr w:rsidR="00BD444C" w:rsidRPr="00CD3E5E" w14:paraId="75668A3E" w14:textId="77777777" w:rsidTr="00EF57FC">
        <w:trPr>
          <w:trHeight w:val="842"/>
        </w:trPr>
        <w:tc>
          <w:tcPr>
            <w:tcW w:w="0" w:type="auto"/>
            <w:hideMark/>
          </w:tcPr>
          <w:p w14:paraId="19F6AB2A"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Average Annual Profit</w:t>
            </w:r>
          </w:p>
        </w:tc>
        <w:tc>
          <w:tcPr>
            <w:tcW w:w="0" w:type="auto"/>
            <w:hideMark/>
          </w:tcPr>
          <w:p w14:paraId="27112D3F"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2.80</w:t>
            </w:r>
          </w:p>
        </w:tc>
        <w:tc>
          <w:tcPr>
            <w:tcW w:w="0" w:type="auto"/>
            <w:hideMark/>
          </w:tcPr>
          <w:p w14:paraId="59018C32"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0.00</w:t>
            </w:r>
          </w:p>
        </w:tc>
        <w:tc>
          <w:tcPr>
            <w:tcW w:w="0" w:type="auto"/>
            <w:hideMark/>
          </w:tcPr>
          <w:p w14:paraId="2B6C50DA"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5.00</w:t>
            </w:r>
          </w:p>
        </w:tc>
      </w:tr>
      <w:tr w:rsidR="00E5407B" w:rsidRPr="00CD3E5E" w14:paraId="333DF21B" w14:textId="77777777" w:rsidTr="00EF57FC">
        <w:trPr>
          <w:trHeight w:val="980"/>
        </w:trPr>
        <w:tc>
          <w:tcPr>
            <w:tcW w:w="0" w:type="auto"/>
            <w:hideMark/>
          </w:tcPr>
          <w:p w14:paraId="79D25E90" w14:textId="1A381793"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
                <w:bCs/>
                <w:sz w:val="24"/>
                <w:szCs w:val="24"/>
                <w:lang w:val="en-US"/>
              </w:rPr>
              <w:t>Average Investment</w:t>
            </w:r>
            <m:oMath>
              <m:r>
                <m:rPr>
                  <m:sty m:val="bi"/>
                </m:rPr>
                <w:rPr>
                  <w:rFonts w:ascii="Cambria Math" w:hAnsi="Cambria Math" w:cs="Arial"/>
                  <w:sz w:val="24"/>
                  <w:szCs w:val="24"/>
                  <w:lang w:val="en-US"/>
                </w:rPr>
                <m:t xml:space="preserve"> (</m:t>
              </m:r>
              <m:f>
                <m:fPr>
                  <m:ctrlPr>
                    <w:rPr>
                      <w:rFonts w:ascii="Cambria Math" w:hAnsi="Cambria Math" w:cs="Arial"/>
                      <w:b/>
                      <w:bCs/>
                      <w:i/>
                      <w:sz w:val="24"/>
                      <w:szCs w:val="24"/>
                      <w:lang w:val="en-US"/>
                    </w:rPr>
                  </m:ctrlPr>
                </m:fPr>
                <m:num>
                  <m:sSub>
                    <m:sSubPr>
                      <m:ctrlPr>
                        <w:rPr>
                          <w:rFonts w:ascii="Cambria Math" w:hAnsi="Cambria Math" w:cs="Arial"/>
                          <w:b/>
                          <w:bCs/>
                          <w:i/>
                          <w:sz w:val="24"/>
                          <w:szCs w:val="24"/>
                          <w:lang w:val="en-US"/>
                        </w:rPr>
                      </m:ctrlPr>
                    </m:sSubPr>
                    <m:e>
                      <m:r>
                        <m:rPr>
                          <m:sty m:val="bi"/>
                        </m:rPr>
                        <w:rPr>
                          <w:rFonts w:ascii="Cambria Math" w:hAnsi="Cambria Math" w:cs="Arial"/>
                          <w:sz w:val="24"/>
                          <w:szCs w:val="24"/>
                          <w:lang w:val="en-US"/>
                        </w:rPr>
                        <m:t>I</m:t>
                      </m:r>
                    </m:e>
                    <m:sub>
                      <m:r>
                        <m:rPr>
                          <m:sty m:val="bi"/>
                        </m:rPr>
                        <w:rPr>
                          <w:rFonts w:ascii="Cambria Math" w:hAnsi="Cambria Math" w:cs="Arial"/>
                          <w:sz w:val="24"/>
                          <w:szCs w:val="24"/>
                          <w:lang w:val="en-US"/>
                        </w:rPr>
                        <m:t>0</m:t>
                      </m:r>
                    </m:sub>
                  </m:sSub>
                </m:num>
                <m:den>
                  <m:r>
                    <m:rPr>
                      <m:sty m:val="bi"/>
                    </m:rPr>
                    <w:rPr>
                      <w:rFonts w:ascii="Cambria Math" w:hAnsi="Cambria Math" w:cs="Arial"/>
                      <w:sz w:val="24"/>
                      <w:szCs w:val="24"/>
                      <w:lang w:val="en-US"/>
                    </w:rPr>
                    <m:t>2</m:t>
                  </m:r>
                </m:den>
              </m:f>
              <m:r>
                <m:rPr>
                  <m:sty m:val="bi"/>
                </m:rPr>
                <w:rPr>
                  <w:rFonts w:ascii="Cambria Math" w:hAnsi="Cambria Math" w:cs="Arial"/>
                  <w:sz w:val="24"/>
                  <w:szCs w:val="24"/>
                  <w:lang w:val="en-US"/>
                </w:rPr>
                <m:t>)</m:t>
              </m:r>
            </m:oMath>
            <w:r w:rsidRPr="00CD3E5E">
              <w:rPr>
                <w:rFonts w:ascii="Arial" w:hAnsi="Arial" w:cs="Arial"/>
                <w:bCs/>
                <w:sz w:val="24"/>
                <w:szCs w:val="24"/>
                <w:lang w:val="en-US"/>
              </w:rPr>
              <w:t xml:space="preserve"> </w:t>
            </w:r>
          </w:p>
        </w:tc>
        <w:tc>
          <w:tcPr>
            <w:tcW w:w="0" w:type="auto"/>
            <w:hideMark/>
          </w:tcPr>
          <w:p w14:paraId="1682A5D6"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20.00</w:t>
            </w:r>
          </w:p>
        </w:tc>
        <w:tc>
          <w:tcPr>
            <w:tcW w:w="0" w:type="auto"/>
            <w:hideMark/>
          </w:tcPr>
          <w:p w14:paraId="2D20CF65" w14:textId="77777777" w:rsidR="00CD3E5E" w:rsidRPr="00CD3E5E" w:rsidRDefault="00CD3E5E" w:rsidP="00CD3E5E">
            <w:pPr>
              <w:spacing w:before="240" w:line="360" w:lineRule="auto"/>
              <w:jc w:val="both"/>
              <w:rPr>
                <w:rFonts w:ascii="Arial" w:hAnsi="Arial" w:cs="Arial"/>
                <w:bCs/>
                <w:sz w:val="24"/>
                <w:szCs w:val="24"/>
                <w:lang w:val="en-US"/>
              </w:rPr>
            </w:pPr>
            <w:r w:rsidRPr="00CD3E5E">
              <w:rPr>
                <w:rFonts w:ascii="Arial" w:hAnsi="Arial" w:cs="Arial"/>
                <w:bCs/>
                <w:sz w:val="24"/>
                <w:szCs w:val="24"/>
                <w:lang w:val="en-US"/>
              </w:rPr>
              <w:t>15.00</w:t>
            </w:r>
          </w:p>
        </w:tc>
        <w:tc>
          <w:tcPr>
            <w:tcW w:w="0" w:type="auto"/>
            <w:hideMark/>
          </w:tcPr>
          <w:p w14:paraId="5EC1288F" w14:textId="77777777" w:rsidR="00CD3E5E" w:rsidRPr="00CD3E5E" w:rsidRDefault="00CD3E5E" w:rsidP="00F13E7E">
            <w:pPr>
              <w:keepNext/>
              <w:spacing w:before="240" w:line="360" w:lineRule="auto"/>
              <w:jc w:val="both"/>
              <w:rPr>
                <w:rFonts w:ascii="Arial" w:hAnsi="Arial" w:cs="Arial"/>
                <w:bCs/>
                <w:sz w:val="24"/>
                <w:szCs w:val="24"/>
                <w:lang w:val="en-US"/>
              </w:rPr>
            </w:pPr>
            <w:r w:rsidRPr="00CD3E5E">
              <w:rPr>
                <w:rFonts w:ascii="Arial" w:hAnsi="Arial" w:cs="Arial"/>
                <w:bCs/>
                <w:sz w:val="24"/>
                <w:szCs w:val="24"/>
                <w:lang w:val="en-US"/>
              </w:rPr>
              <w:t>25.00</w:t>
            </w:r>
          </w:p>
        </w:tc>
      </w:tr>
    </w:tbl>
    <w:p w14:paraId="274A727E" w14:textId="1E573801" w:rsidR="00F13E7E" w:rsidRDefault="00F13E7E">
      <w:pPr>
        <w:pStyle w:val="Caption"/>
      </w:pPr>
      <w:bookmarkStart w:id="31" w:name="_Toc214748986"/>
      <w:bookmarkStart w:id="32" w:name="_Toc214749063"/>
      <w:r>
        <w:t xml:space="preserve">Table </w:t>
      </w:r>
      <w:r>
        <w:fldChar w:fldCharType="begin"/>
      </w:r>
      <w:r>
        <w:instrText xml:space="preserve"> SEQ Table \* ARABIC </w:instrText>
      </w:r>
      <w:r>
        <w:fldChar w:fldCharType="separate"/>
      </w:r>
      <w:r w:rsidR="002D7440">
        <w:rPr>
          <w:noProof/>
        </w:rPr>
        <w:t>8</w:t>
      </w:r>
      <w:r>
        <w:fldChar w:fldCharType="end"/>
      </w:r>
      <w:r>
        <w:t xml:space="preserve">: </w:t>
      </w:r>
      <w:r w:rsidRPr="007B624F">
        <w:t>Calculation of Cash Flows and Accounting Metrics</w:t>
      </w:r>
      <w:bookmarkEnd w:id="31"/>
      <w:bookmarkEnd w:id="32"/>
    </w:p>
    <w:p w14:paraId="78F523C1" w14:textId="6156966C" w:rsidR="00CD3E5E" w:rsidRPr="00230F0F" w:rsidRDefault="00230F0F" w:rsidP="00CD4561">
      <w:pPr>
        <w:spacing w:before="240" w:line="360" w:lineRule="auto"/>
        <w:jc w:val="both"/>
        <w:rPr>
          <w:rFonts w:ascii="Arial" w:hAnsi="Arial" w:cs="Arial"/>
          <w:b/>
          <w:sz w:val="24"/>
          <w:szCs w:val="24"/>
          <w:lang w:val="en-US"/>
        </w:rPr>
      </w:pPr>
      <w:r w:rsidRPr="00230F0F">
        <w:rPr>
          <w:rFonts w:ascii="Arial" w:hAnsi="Arial" w:cs="Arial"/>
          <w:b/>
          <w:sz w:val="24"/>
          <w:szCs w:val="24"/>
          <w:lang w:val="en-US"/>
        </w:rPr>
        <w:t>B. Summary of Investment Appraisal Metrics</w:t>
      </w:r>
    </w:p>
    <w:p w14:paraId="09C5E76C" w14:textId="32C5B5D9" w:rsidR="00CD4561" w:rsidRDefault="0051361F" w:rsidP="00CD4561">
      <w:pPr>
        <w:spacing w:before="240" w:line="360" w:lineRule="auto"/>
        <w:jc w:val="both"/>
        <w:rPr>
          <w:rFonts w:ascii="Arial" w:hAnsi="Arial" w:cs="Arial"/>
          <w:bCs/>
          <w:sz w:val="24"/>
          <w:szCs w:val="24"/>
          <w:lang w:val="en-US"/>
        </w:rPr>
      </w:pPr>
      <w:r w:rsidRPr="0051361F">
        <w:rPr>
          <w:rFonts w:ascii="Arial" w:hAnsi="Arial" w:cs="Arial"/>
          <w:bCs/>
          <w:sz w:val="24"/>
          <w:szCs w:val="24"/>
          <w:lang w:val="en-US"/>
        </w:rPr>
        <w:t xml:space="preserve">The key metrics are </w:t>
      </w:r>
      <w:proofErr w:type="spellStart"/>
      <w:r w:rsidRPr="0051361F">
        <w:rPr>
          <w:rFonts w:ascii="Arial" w:hAnsi="Arial" w:cs="Arial"/>
          <w:bCs/>
          <w:sz w:val="24"/>
          <w:szCs w:val="24"/>
          <w:lang w:val="en-US"/>
        </w:rPr>
        <w:t>summarised</w:t>
      </w:r>
      <w:proofErr w:type="spellEnd"/>
      <w:r w:rsidRPr="0051361F">
        <w:rPr>
          <w:rFonts w:ascii="Arial" w:hAnsi="Arial" w:cs="Arial"/>
          <w:bCs/>
          <w:sz w:val="24"/>
          <w:szCs w:val="24"/>
          <w:lang w:val="en-US"/>
        </w:rPr>
        <w:t xml:space="preserve"> below. The decisions for the discounted cash flow (DCF) methods are based on a 10% discount rate.</w:t>
      </w:r>
    </w:p>
    <w:tbl>
      <w:tblPr>
        <w:tblStyle w:val="TableGrid"/>
        <w:tblW w:w="0" w:type="auto"/>
        <w:tblLook w:val="04A0" w:firstRow="1" w:lastRow="0" w:firstColumn="1" w:lastColumn="0" w:noHBand="0" w:noVBand="1"/>
      </w:tblPr>
      <w:tblGrid>
        <w:gridCol w:w="2358"/>
        <w:gridCol w:w="1132"/>
        <w:gridCol w:w="1132"/>
        <w:gridCol w:w="1132"/>
        <w:gridCol w:w="3262"/>
      </w:tblGrid>
      <w:tr w:rsidR="006C37F1" w:rsidRPr="00DF588B" w14:paraId="041376E4" w14:textId="77777777" w:rsidTr="00DF588B">
        <w:tc>
          <w:tcPr>
            <w:tcW w:w="0" w:type="auto"/>
            <w:hideMark/>
          </w:tcPr>
          <w:p w14:paraId="6AA105B2"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Metric</w:t>
            </w:r>
          </w:p>
        </w:tc>
        <w:tc>
          <w:tcPr>
            <w:tcW w:w="0" w:type="auto"/>
            <w:hideMark/>
          </w:tcPr>
          <w:p w14:paraId="3E6476C0"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Project A</w:t>
            </w:r>
          </w:p>
        </w:tc>
        <w:tc>
          <w:tcPr>
            <w:tcW w:w="0" w:type="auto"/>
            <w:hideMark/>
          </w:tcPr>
          <w:p w14:paraId="2F2C6B9C"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Project B</w:t>
            </w:r>
          </w:p>
        </w:tc>
        <w:tc>
          <w:tcPr>
            <w:tcW w:w="0" w:type="auto"/>
            <w:hideMark/>
          </w:tcPr>
          <w:p w14:paraId="5628FA91"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Project C</w:t>
            </w:r>
          </w:p>
        </w:tc>
        <w:tc>
          <w:tcPr>
            <w:tcW w:w="0" w:type="auto"/>
            <w:hideMark/>
          </w:tcPr>
          <w:p w14:paraId="7D215DAB"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Decision Criteria (10% DR)</w:t>
            </w:r>
          </w:p>
        </w:tc>
      </w:tr>
      <w:tr w:rsidR="006C37F1" w:rsidRPr="00DF588B" w14:paraId="3FAF3DB7" w14:textId="77777777" w:rsidTr="00DF588B">
        <w:tc>
          <w:tcPr>
            <w:tcW w:w="0" w:type="auto"/>
            <w:hideMark/>
          </w:tcPr>
          <w:p w14:paraId="79C4AF6A"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Payback Period (PBP)</w:t>
            </w:r>
          </w:p>
        </w:tc>
        <w:tc>
          <w:tcPr>
            <w:tcW w:w="0" w:type="auto"/>
            <w:hideMark/>
          </w:tcPr>
          <w:p w14:paraId="098A6441"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3.57 years</w:t>
            </w:r>
          </w:p>
        </w:tc>
        <w:tc>
          <w:tcPr>
            <w:tcW w:w="0" w:type="auto"/>
            <w:hideMark/>
          </w:tcPr>
          <w:p w14:paraId="1D34D713"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5.00 years</w:t>
            </w:r>
          </w:p>
        </w:tc>
        <w:tc>
          <w:tcPr>
            <w:tcW w:w="0" w:type="auto"/>
            <w:hideMark/>
          </w:tcPr>
          <w:p w14:paraId="0F2BB5FE"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3.50 years</w:t>
            </w:r>
          </w:p>
        </w:tc>
        <w:tc>
          <w:tcPr>
            <w:tcW w:w="0" w:type="auto"/>
            <w:hideMark/>
          </w:tcPr>
          <w:p w14:paraId="1AF18CB2"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Shorter PBP is preferred (Risk/Liquidity).</w:t>
            </w:r>
          </w:p>
        </w:tc>
      </w:tr>
      <w:tr w:rsidR="006C37F1" w:rsidRPr="00DF588B" w14:paraId="4C350202" w14:textId="77777777" w:rsidTr="00DF588B">
        <w:tc>
          <w:tcPr>
            <w:tcW w:w="0" w:type="auto"/>
            <w:hideMark/>
          </w:tcPr>
          <w:p w14:paraId="40DF6009"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Accounting Rate of Return (ARR)</w:t>
            </w:r>
          </w:p>
        </w:tc>
        <w:tc>
          <w:tcPr>
            <w:tcW w:w="0" w:type="auto"/>
            <w:hideMark/>
          </w:tcPr>
          <w:p w14:paraId="547408D8" w14:textId="6E79F696"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14.00%</w:t>
            </w:r>
          </w:p>
        </w:tc>
        <w:tc>
          <w:tcPr>
            <w:tcW w:w="0" w:type="auto"/>
            <w:hideMark/>
          </w:tcPr>
          <w:p w14:paraId="02841C91" w14:textId="24A89899"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0.00%</w:t>
            </w:r>
          </w:p>
        </w:tc>
        <w:tc>
          <w:tcPr>
            <w:tcW w:w="0" w:type="auto"/>
            <w:hideMark/>
          </w:tcPr>
          <w:p w14:paraId="21488ED7" w14:textId="459A57D4"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20.00%</w:t>
            </w:r>
          </w:p>
        </w:tc>
        <w:tc>
          <w:tcPr>
            <w:tcW w:w="0" w:type="auto"/>
            <w:hideMark/>
          </w:tcPr>
          <w:p w14:paraId="779C8F5E"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Higher ARR is preferred.</w:t>
            </w:r>
          </w:p>
        </w:tc>
      </w:tr>
      <w:tr w:rsidR="006C37F1" w:rsidRPr="00DF588B" w14:paraId="72D0C5E0" w14:textId="77777777" w:rsidTr="00DF588B">
        <w:tc>
          <w:tcPr>
            <w:tcW w:w="0" w:type="auto"/>
            <w:hideMark/>
          </w:tcPr>
          <w:p w14:paraId="289AE01E"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Net Present Value (NPV) (£m)</w:t>
            </w:r>
          </w:p>
        </w:tc>
        <w:tc>
          <w:tcPr>
            <w:tcW w:w="0" w:type="auto"/>
            <w:hideMark/>
          </w:tcPr>
          <w:p w14:paraId="5894AD1F" w14:textId="49EB1AC2"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5.96</w:t>
            </w:r>
          </w:p>
        </w:tc>
        <w:tc>
          <w:tcPr>
            <w:tcW w:w="0" w:type="auto"/>
            <w:hideMark/>
          </w:tcPr>
          <w:p w14:paraId="5AC27060" w14:textId="36B75D7C"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-7.32</w:t>
            </w:r>
          </w:p>
        </w:tc>
        <w:tc>
          <w:tcPr>
            <w:tcW w:w="0" w:type="auto"/>
            <w:hideMark/>
          </w:tcPr>
          <w:p w14:paraId="705E0537" w14:textId="550B199D"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12.39</w:t>
            </w:r>
          </w:p>
        </w:tc>
        <w:tc>
          <w:tcPr>
            <w:tcW w:w="0" w:type="auto"/>
            <w:hideMark/>
          </w:tcPr>
          <w:p w14:paraId="61FAEFDC" w14:textId="25E28D54"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Accept if &gt; 0. Higher NPV is preferred (Wealth Max.).</w:t>
            </w:r>
          </w:p>
        </w:tc>
      </w:tr>
      <w:tr w:rsidR="006C37F1" w:rsidRPr="00DF588B" w14:paraId="6734538F" w14:textId="77777777" w:rsidTr="00DF588B">
        <w:tc>
          <w:tcPr>
            <w:tcW w:w="0" w:type="auto"/>
            <w:hideMark/>
          </w:tcPr>
          <w:p w14:paraId="4E442559"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lastRenderedPageBreak/>
              <w:t>Internal Rate of Return (IRR)</w:t>
            </w:r>
          </w:p>
        </w:tc>
        <w:tc>
          <w:tcPr>
            <w:tcW w:w="0" w:type="auto"/>
            <w:hideMark/>
          </w:tcPr>
          <w:p w14:paraId="2759B4A7" w14:textId="2F9E9898"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16.89%</w:t>
            </w:r>
          </w:p>
        </w:tc>
        <w:tc>
          <w:tcPr>
            <w:tcW w:w="0" w:type="auto"/>
            <w:hideMark/>
          </w:tcPr>
          <w:p w14:paraId="37744508" w14:textId="0D5485EA"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10.00%</w:t>
            </w:r>
          </w:p>
        </w:tc>
        <w:tc>
          <w:tcPr>
            <w:tcW w:w="0" w:type="auto"/>
            <w:hideMark/>
          </w:tcPr>
          <w:p w14:paraId="02891FFF" w14:textId="1934478E"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18.46%</w:t>
            </w:r>
          </w:p>
        </w:tc>
        <w:tc>
          <w:tcPr>
            <w:tcW w:w="0" w:type="auto"/>
            <w:hideMark/>
          </w:tcPr>
          <w:p w14:paraId="619D362D" w14:textId="7D72E32E"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Cs/>
                <w:sz w:val="24"/>
                <w:szCs w:val="24"/>
                <w:lang w:val="en-US"/>
              </w:rPr>
              <w:t>Accept if &gt; 10%. Higher IRR is preferred.</w:t>
            </w:r>
          </w:p>
        </w:tc>
      </w:tr>
      <w:tr w:rsidR="006C37F1" w:rsidRPr="00DF588B" w14:paraId="5D4BCBC2" w14:textId="77777777" w:rsidTr="00DF588B">
        <w:tc>
          <w:tcPr>
            <w:tcW w:w="0" w:type="auto"/>
            <w:hideMark/>
          </w:tcPr>
          <w:p w14:paraId="5D76856A" w14:textId="77777777" w:rsidR="00DF588B" w:rsidRPr="00DF588B" w:rsidRDefault="00DF588B" w:rsidP="00DF588B">
            <w:pPr>
              <w:spacing w:before="240" w:line="360" w:lineRule="auto"/>
              <w:jc w:val="both"/>
              <w:rPr>
                <w:rFonts w:ascii="Arial" w:hAnsi="Arial" w:cs="Arial"/>
                <w:bCs/>
                <w:sz w:val="24"/>
                <w:szCs w:val="24"/>
                <w:lang w:val="en-US"/>
              </w:rPr>
            </w:pPr>
            <w:r w:rsidRPr="00DF588B">
              <w:rPr>
                <w:rFonts w:ascii="Arial" w:hAnsi="Arial" w:cs="Arial"/>
                <w:b/>
                <w:bCs/>
                <w:sz w:val="24"/>
                <w:szCs w:val="24"/>
                <w:lang w:val="en-US"/>
              </w:rPr>
              <w:t>Profitability Index (PI)</w:t>
            </w:r>
          </w:p>
        </w:tc>
        <w:tc>
          <w:tcPr>
            <w:tcW w:w="0" w:type="auto"/>
            <w:hideMark/>
          </w:tcPr>
          <w:p w14:paraId="26E92600" w14:textId="13B68A34"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1.15</w:t>
            </w:r>
          </w:p>
        </w:tc>
        <w:tc>
          <w:tcPr>
            <w:tcW w:w="0" w:type="auto"/>
            <w:hideMark/>
          </w:tcPr>
          <w:p w14:paraId="59639674" w14:textId="308926EB"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0.76</w:t>
            </w:r>
          </w:p>
        </w:tc>
        <w:tc>
          <w:tcPr>
            <w:tcW w:w="0" w:type="auto"/>
            <w:hideMark/>
          </w:tcPr>
          <w:p w14:paraId="5C8FD2C8" w14:textId="5069FEDB" w:rsidR="00DF588B" w:rsidRPr="00DF588B" w:rsidRDefault="00DF588B" w:rsidP="00DF588B">
            <w:pPr>
              <w:spacing w:before="240" w:line="360" w:lineRule="auto"/>
              <w:jc w:val="both"/>
              <w:rPr>
                <w:rFonts w:ascii="Arial" w:hAnsi="Arial" w:cs="Arial"/>
                <w:sz w:val="24"/>
                <w:szCs w:val="24"/>
                <w:lang w:val="en-US"/>
              </w:rPr>
            </w:pPr>
            <w:r w:rsidRPr="00DF588B">
              <w:rPr>
                <w:rFonts w:ascii="Arial" w:hAnsi="Arial" w:cs="Arial"/>
                <w:sz w:val="24"/>
                <w:szCs w:val="24"/>
                <w:lang w:val="en-US"/>
              </w:rPr>
              <w:t>1.25</w:t>
            </w:r>
          </w:p>
        </w:tc>
        <w:tc>
          <w:tcPr>
            <w:tcW w:w="0" w:type="auto"/>
            <w:hideMark/>
          </w:tcPr>
          <w:p w14:paraId="1496190D" w14:textId="14481195" w:rsidR="00DF588B" w:rsidRPr="00DF588B" w:rsidRDefault="00DF588B" w:rsidP="00B6017C">
            <w:pPr>
              <w:keepNext/>
              <w:spacing w:before="240" w:line="360" w:lineRule="auto"/>
              <w:jc w:val="both"/>
              <w:rPr>
                <w:rFonts w:ascii="Arial" w:hAnsi="Arial" w:cs="Arial"/>
                <w:bCs/>
                <w:sz w:val="24"/>
                <w:szCs w:val="24"/>
                <w:lang w:val="en-US"/>
              </w:rPr>
            </w:pPr>
            <w:r w:rsidRPr="00DF588B">
              <w:rPr>
                <w:rFonts w:ascii="Arial" w:hAnsi="Arial" w:cs="Arial"/>
                <w:bCs/>
                <w:sz w:val="24"/>
                <w:szCs w:val="24"/>
                <w:lang w:val="en-US"/>
              </w:rPr>
              <w:t>Accept if &gt; 1. Higher PI is preferred (Capital Rationing).</w:t>
            </w:r>
          </w:p>
        </w:tc>
      </w:tr>
    </w:tbl>
    <w:p w14:paraId="03D01C18" w14:textId="509A12EB" w:rsidR="00B6017C" w:rsidRDefault="00B6017C">
      <w:pPr>
        <w:pStyle w:val="Caption"/>
      </w:pPr>
      <w:bookmarkStart w:id="33" w:name="_Toc214748987"/>
      <w:bookmarkStart w:id="34" w:name="_Toc214749064"/>
      <w:r>
        <w:t xml:space="preserve">Table </w:t>
      </w:r>
      <w:r>
        <w:fldChar w:fldCharType="begin"/>
      </w:r>
      <w:r>
        <w:instrText xml:space="preserve"> SEQ Table \* ARABIC </w:instrText>
      </w:r>
      <w:r>
        <w:fldChar w:fldCharType="separate"/>
      </w:r>
      <w:r w:rsidR="002D7440">
        <w:rPr>
          <w:noProof/>
        </w:rPr>
        <w:t>9</w:t>
      </w:r>
      <w:r>
        <w:fldChar w:fldCharType="end"/>
      </w:r>
      <w:r>
        <w:t xml:space="preserve">: </w:t>
      </w:r>
      <w:r w:rsidRPr="00C82793">
        <w:t>Summary of Investment Appraisal Metrics</w:t>
      </w:r>
      <w:bookmarkEnd w:id="33"/>
      <w:bookmarkEnd w:id="34"/>
    </w:p>
    <w:p w14:paraId="084BDD26" w14:textId="408D0A4B" w:rsidR="00CD4561" w:rsidRPr="00241190" w:rsidRDefault="000E57EC" w:rsidP="00CD4561">
      <w:pPr>
        <w:spacing w:before="240" w:line="360" w:lineRule="auto"/>
        <w:jc w:val="both"/>
        <w:rPr>
          <w:rFonts w:ascii="Arial" w:hAnsi="Arial" w:cs="Arial"/>
          <w:b/>
          <w:sz w:val="24"/>
          <w:szCs w:val="24"/>
          <w:lang w:val="en-US"/>
        </w:rPr>
      </w:pPr>
      <w:r w:rsidRPr="000E57EC">
        <w:rPr>
          <w:rFonts w:ascii="Arial" w:hAnsi="Arial" w:cs="Arial"/>
          <w:b/>
          <w:sz w:val="24"/>
          <w:szCs w:val="24"/>
          <w:lang w:val="en-US"/>
        </w:rPr>
        <w:t>Detailed NPV Calculation (Using 10% Discount Factors)</w:t>
      </w:r>
      <w:r w:rsidR="00CD4561" w:rsidRPr="00241190">
        <w:rPr>
          <w:rFonts w:ascii="Arial" w:hAnsi="Arial" w:cs="Arial"/>
          <w:b/>
          <w:sz w:val="24"/>
          <w:szCs w:val="24"/>
          <w:lang w:val="en-US"/>
        </w:rPr>
        <w:t>:</w:t>
      </w:r>
    </w:p>
    <w:tbl>
      <w:tblPr>
        <w:tblStyle w:val="TableGrid"/>
        <w:tblW w:w="0" w:type="auto"/>
        <w:tblLook w:val="04A0" w:firstRow="1" w:lastRow="0" w:firstColumn="1" w:lastColumn="0" w:noHBand="0" w:noVBand="1"/>
      </w:tblPr>
      <w:tblGrid>
        <w:gridCol w:w="2536"/>
        <w:gridCol w:w="1017"/>
        <w:gridCol w:w="1821"/>
        <w:gridCol w:w="1821"/>
        <w:gridCol w:w="1821"/>
      </w:tblGrid>
      <w:tr w:rsidR="006A21CF" w:rsidRPr="006A21CF" w14:paraId="7F5258BE" w14:textId="77777777" w:rsidTr="006A21CF">
        <w:tc>
          <w:tcPr>
            <w:tcW w:w="0" w:type="auto"/>
            <w:hideMark/>
          </w:tcPr>
          <w:p w14:paraId="2BB2A1A7"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Year</w:t>
            </w:r>
          </w:p>
        </w:tc>
        <w:tc>
          <w:tcPr>
            <w:tcW w:w="0" w:type="auto"/>
            <w:hideMark/>
          </w:tcPr>
          <w:p w14:paraId="7EF04C0C" w14:textId="3B1F049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DF10%</w:t>
            </w:r>
          </w:p>
        </w:tc>
        <w:tc>
          <w:tcPr>
            <w:tcW w:w="0" w:type="auto"/>
            <w:hideMark/>
          </w:tcPr>
          <w:p w14:paraId="63A25408"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Project A (£m)</w:t>
            </w:r>
          </w:p>
        </w:tc>
        <w:tc>
          <w:tcPr>
            <w:tcW w:w="0" w:type="auto"/>
            <w:hideMark/>
          </w:tcPr>
          <w:p w14:paraId="657E917E"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Project B (£m)</w:t>
            </w:r>
          </w:p>
        </w:tc>
        <w:tc>
          <w:tcPr>
            <w:tcW w:w="0" w:type="auto"/>
            <w:hideMark/>
          </w:tcPr>
          <w:p w14:paraId="43A07FC4"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Project C (£m)</w:t>
            </w:r>
          </w:p>
        </w:tc>
      </w:tr>
      <w:tr w:rsidR="006A21CF" w:rsidRPr="006A21CF" w14:paraId="01117D36" w14:textId="77777777" w:rsidTr="006A21CF">
        <w:tc>
          <w:tcPr>
            <w:tcW w:w="0" w:type="auto"/>
            <w:hideMark/>
          </w:tcPr>
          <w:p w14:paraId="1523695C"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0</w:t>
            </w:r>
          </w:p>
        </w:tc>
        <w:tc>
          <w:tcPr>
            <w:tcW w:w="0" w:type="auto"/>
            <w:hideMark/>
          </w:tcPr>
          <w:p w14:paraId="0A8DBD7A"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1.000</w:t>
            </w:r>
          </w:p>
        </w:tc>
        <w:tc>
          <w:tcPr>
            <w:tcW w:w="0" w:type="auto"/>
            <w:hideMark/>
          </w:tcPr>
          <w:p w14:paraId="7AAA96A2"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(40.00)</w:t>
            </w:r>
          </w:p>
        </w:tc>
        <w:tc>
          <w:tcPr>
            <w:tcW w:w="0" w:type="auto"/>
            <w:hideMark/>
          </w:tcPr>
          <w:p w14:paraId="7D61B038"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(30.00)</w:t>
            </w:r>
          </w:p>
        </w:tc>
        <w:tc>
          <w:tcPr>
            <w:tcW w:w="0" w:type="auto"/>
            <w:hideMark/>
          </w:tcPr>
          <w:p w14:paraId="27B25FCA"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(50.00)</w:t>
            </w:r>
          </w:p>
        </w:tc>
      </w:tr>
      <w:tr w:rsidR="006A21CF" w:rsidRPr="006A21CF" w14:paraId="062E7AA4" w14:textId="77777777" w:rsidTr="006A21CF">
        <w:tc>
          <w:tcPr>
            <w:tcW w:w="0" w:type="auto"/>
            <w:hideMark/>
          </w:tcPr>
          <w:p w14:paraId="16FD3645"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1</w:t>
            </w:r>
          </w:p>
        </w:tc>
        <w:tc>
          <w:tcPr>
            <w:tcW w:w="0" w:type="auto"/>
            <w:hideMark/>
          </w:tcPr>
          <w:p w14:paraId="0B17AAA5"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0.909</w:t>
            </w:r>
          </w:p>
        </w:tc>
        <w:tc>
          <w:tcPr>
            <w:tcW w:w="0" w:type="auto"/>
            <w:hideMark/>
          </w:tcPr>
          <w:p w14:paraId="25FA360D"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9.09</w:t>
            </w:r>
          </w:p>
        </w:tc>
        <w:tc>
          <w:tcPr>
            <w:tcW w:w="0" w:type="auto"/>
            <w:hideMark/>
          </w:tcPr>
          <w:p w14:paraId="0AF8521A"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5.45</w:t>
            </w:r>
          </w:p>
        </w:tc>
        <w:tc>
          <w:tcPr>
            <w:tcW w:w="0" w:type="auto"/>
            <w:hideMark/>
          </w:tcPr>
          <w:p w14:paraId="73726235"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4.55</w:t>
            </w:r>
          </w:p>
        </w:tc>
      </w:tr>
      <w:tr w:rsidR="006A21CF" w:rsidRPr="006A21CF" w14:paraId="445D986E" w14:textId="77777777" w:rsidTr="006A21CF">
        <w:tc>
          <w:tcPr>
            <w:tcW w:w="0" w:type="auto"/>
            <w:hideMark/>
          </w:tcPr>
          <w:p w14:paraId="40238652"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2</w:t>
            </w:r>
          </w:p>
        </w:tc>
        <w:tc>
          <w:tcPr>
            <w:tcW w:w="0" w:type="auto"/>
            <w:hideMark/>
          </w:tcPr>
          <w:p w14:paraId="2DE4E017"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0.826</w:t>
            </w:r>
          </w:p>
        </w:tc>
        <w:tc>
          <w:tcPr>
            <w:tcW w:w="0" w:type="auto"/>
            <w:hideMark/>
          </w:tcPr>
          <w:p w14:paraId="4075A633"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9.91</w:t>
            </w:r>
          </w:p>
        </w:tc>
        <w:tc>
          <w:tcPr>
            <w:tcW w:w="0" w:type="auto"/>
            <w:hideMark/>
          </w:tcPr>
          <w:p w14:paraId="7C75D62E"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4.96</w:t>
            </w:r>
          </w:p>
        </w:tc>
        <w:tc>
          <w:tcPr>
            <w:tcW w:w="0" w:type="auto"/>
            <w:hideMark/>
          </w:tcPr>
          <w:p w14:paraId="4FA692E1"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8.26</w:t>
            </w:r>
          </w:p>
        </w:tc>
      </w:tr>
      <w:tr w:rsidR="006A21CF" w:rsidRPr="006A21CF" w14:paraId="566BA6DD" w14:textId="77777777" w:rsidTr="006A21CF">
        <w:tc>
          <w:tcPr>
            <w:tcW w:w="0" w:type="auto"/>
            <w:hideMark/>
          </w:tcPr>
          <w:p w14:paraId="55AD93DE"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3</w:t>
            </w:r>
          </w:p>
        </w:tc>
        <w:tc>
          <w:tcPr>
            <w:tcW w:w="0" w:type="auto"/>
            <w:hideMark/>
          </w:tcPr>
          <w:p w14:paraId="7F0E98AA"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0.751</w:t>
            </w:r>
          </w:p>
        </w:tc>
        <w:tc>
          <w:tcPr>
            <w:tcW w:w="0" w:type="auto"/>
            <w:hideMark/>
          </w:tcPr>
          <w:p w14:paraId="6E03BCF9"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10.51</w:t>
            </w:r>
          </w:p>
        </w:tc>
        <w:tc>
          <w:tcPr>
            <w:tcW w:w="0" w:type="auto"/>
            <w:hideMark/>
          </w:tcPr>
          <w:p w14:paraId="2075892E"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4.51</w:t>
            </w:r>
          </w:p>
        </w:tc>
        <w:tc>
          <w:tcPr>
            <w:tcW w:w="0" w:type="auto"/>
            <w:hideMark/>
          </w:tcPr>
          <w:p w14:paraId="581C72C4"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15.02</w:t>
            </w:r>
          </w:p>
        </w:tc>
      </w:tr>
      <w:tr w:rsidR="006A21CF" w:rsidRPr="006A21CF" w14:paraId="7CEE9616" w14:textId="77777777" w:rsidTr="006A21CF">
        <w:tc>
          <w:tcPr>
            <w:tcW w:w="0" w:type="auto"/>
            <w:hideMark/>
          </w:tcPr>
          <w:p w14:paraId="7AED4812"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4</w:t>
            </w:r>
          </w:p>
        </w:tc>
        <w:tc>
          <w:tcPr>
            <w:tcW w:w="0" w:type="auto"/>
            <w:hideMark/>
          </w:tcPr>
          <w:p w14:paraId="7BF2C7EE"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0.683</w:t>
            </w:r>
          </w:p>
        </w:tc>
        <w:tc>
          <w:tcPr>
            <w:tcW w:w="0" w:type="auto"/>
            <w:hideMark/>
          </w:tcPr>
          <w:p w14:paraId="2BECFD28"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6.83</w:t>
            </w:r>
          </w:p>
        </w:tc>
        <w:tc>
          <w:tcPr>
            <w:tcW w:w="0" w:type="auto"/>
            <w:hideMark/>
          </w:tcPr>
          <w:p w14:paraId="3DB8BF93"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4.10</w:t>
            </w:r>
          </w:p>
        </w:tc>
        <w:tc>
          <w:tcPr>
            <w:tcW w:w="0" w:type="auto"/>
            <w:hideMark/>
          </w:tcPr>
          <w:p w14:paraId="739A2E49"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17.08</w:t>
            </w:r>
          </w:p>
        </w:tc>
      </w:tr>
      <w:tr w:rsidR="006A21CF" w:rsidRPr="006A21CF" w14:paraId="63BD184C" w14:textId="77777777" w:rsidTr="006A21CF">
        <w:tc>
          <w:tcPr>
            <w:tcW w:w="0" w:type="auto"/>
            <w:hideMark/>
          </w:tcPr>
          <w:p w14:paraId="6800B5A9"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5</w:t>
            </w:r>
          </w:p>
        </w:tc>
        <w:tc>
          <w:tcPr>
            <w:tcW w:w="0" w:type="auto"/>
            <w:hideMark/>
          </w:tcPr>
          <w:p w14:paraId="7E461558"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0.621</w:t>
            </w:r>
          </w:p>
        </w:tc>
        <w:tc>
          <w:tcPr>
            <w:tcW w:w="0" w:type="auto"/>
            <w:hideMark/>
          </w:tcPr>
          <w:p w14:paraId="61ADC1F5"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4.97</w:t>
            </w:r>
          </w:p>
        </w:tc>
        <w:tc>
          <w:tcPr>
            <w:tcW w:w="0" w:type="auto"/>
            <w:hideMark/>
          </w:tcPr>
          <w:p w14:paraId="61F6D0E8"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3.73</w:t>
            </w:r>
          </w:p>
        </w:tc>
        <w:tc>
          <w:tcPr>
            <w:tcW w:w="0" w:type="auto"/>
            <w:hideMark/>
          </w:tcPr>
          <w:p w14:paraId="54B94C9D"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9.32</w:t>
            </w:r>
          </w:p>
        </w:tc>
      </w:tr>
      <w:tr w:rsidR="006A21CF" w:rsidRPr="006A21CF" w14:paraId="4EC872A7" w14:textId="77777777" w:rsidTr="006A21CF">
        <w:tc>
          <w:tcPr>
            <w:tcW w:w="0" w:type="auto"/>
            <w:hideMark/>
          </w:tcPr>
          <w:p w14:paraId="6859FFB6"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PV of Inflows</w:t>
            </w:r>
          </w:p>
        </w:tc>
        <w:tc>
          <w:tcPr>
            <w:tcW w:w="0" w:type="auto"/>
            <w:hideMark/>
          </w:tcPr>
          <w:p w14:paraId="5FB3DCBB" w14:textId="77777777" w:rsidR="006A21CF" w:rsidRPr="006A21CF" w:rsidRDefault="006A21CF" w:rsidP="006A21CF">
            <w:pPr>
              <w:spacing w:before="240" w:line="360" w:lineRule="auto"/>
              <w:jc w:val="both"/>
              <w:rPr>
                <w:rFonts w:ascii="Arial" w:hAnsi="Arial" w:cs="Arial"/>
                <w:bCs/>
                <w:sz w:val="24"/>
                <w:szCs w:val="24"/>
                <w:lang w:val="en-US"/>
              </w:rPr>
            </w:pPr>
          </w:p>
        </w:tc>
        <w:tc>
          <w:tcPr>
            <w:tcW w:w="0" w:type="auto"/>
            <w:hideMark/>
          </w:tcPr>
          <w:p w14:paraId="1227D631"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45.96</w:t>
            </w:r>
          </w:p>
        </w:tc>
        <w:tc>
          <w:tcPr>
            <w:tcW w:w="0" w:type="auto"/>
            <w:hideMark/>
          </w:tcPr>
          <w:p w14:paraId="1D50CAA1"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22.74</w:t>
            </w:r>
          </w:p>
        </w:tc>
        <w:tc>
          <w:tcPr>
            <w:tcW w:w="0" w:type="auto"/>
            <w:hideMark/>
          </w:tcPr>
          <w:p w14:paraId="3F7A3823" w14:textId="77777777"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Cs/>
                <w:sz w:val="24"/>
                <w:szCs w:val="24"/>
                <w:lang w:val="en-US"/>
              </w:rPr>
              <w:t>62.39</w:t>
            </w:r>
          </w:p>
        </w:tc>
      </w:tr>
      <w:tr w:rsidR="006A21CF" w:rsidRPr="006A21CF" w14:paraId="42772488" w14:textId="77777777" w:rsidTr="006A21CF">
        <w:tc>
          <w:tcPr>
            <w:tcW w:w="0" w:type="auto"/>
            <w:hideMark/>
          </w:tcPr>
          <w:p w14:paraId="7AE345A2" w14:textId="542DA390" w:rsidR="006A21CF" w:rsidRPr="006A21CF" w:rsidRDefault="006A21CF" w:rsidP="006A21CF">
            <w:pPr>
              <w:spacing w:before="240" w:line="360" w:lineRule="auto"/>
              <w:jc w:val="both"/>
              <w:rPr>
                <w:rFonts w:ascii="Arial" w:hAnsi="Arial" w:cs="Arial"/>
                <w:bCs/>
                <w:sz w:val="24"/>
                <w:szCs w:val="24"/>
                <w:lang w:val="en-US"/>
              </w:rPr>
            </w:pPr>
            <w:r w:rsidRPr="006A21CF">
              <w:rPr>
                <w:rFonts w:ascii="Arial" w:hAnsi="Arial" w:cs="Arial"/>
                <w:b/>
                <w:bCs/>
                <w:sz w:val="24"/>
                <w:szCs w:val="24"/>
                <w:lang w:val="en-US"/>
              </w:rPr>
              <w:t xml:space="preserve">NPV (PV Inflows - </w:t>
            </w:r>
            <m:oMath>
              <m:sSub>
                <m:sSubPr>
                  <m:ctrlPr>
                    <w:rPr>
                      <w:rFonts w:ascii="Cambria Math" w:hAnsi="Cambria Math" w:cs="Arial"/>
                      <w:b/>
                      <w:bCs/>
                      <w:i/>
                      <w:sz w:val="24"/>
                      <w:szCs w:val="24"/>
                      <w:lang w:val="en-US"/>
                    </w:rPr>
                  </m:ctrlPr>
                </m:sSubPr>
                <m:e>
                  <m:r>
                    <m:rPr>
                      <m:sty m:val="bi"/>
                    </m:rPr>
                    <w:rPr>
                      <w:rFonts w:ascii="Cambria Math" w:hAnsi="Cambria Math" w:cs="Arial"/>
                      <w:sz w:val="24"/>
                      <w:szCs w:val="24"/>
                      <w:lang w:val="en-US"/>
                    </w:rPr>
                    <m:t>I</m:t>
                  </m:r>
                </m:e>
                <m:sub>
                  <m:r>
                    <m:rPr>
                      <m:sty m:val="bi"/>
                    </m:rPr>
                    <w:rPr>
                      <w:rFonts w:ascii="Cambria Math" w:hAnsi="Cambria Math" w:cs="Arial"/>
                      <w:sz w:val="24"/>
                      <w:szCs w:val="24"/>
                      <w:lang w:val="en-US"/>
                    </w:rPr>
                    <m:t>0</m:t>
                  </m:r>
                </m:sub>
              </m:sSub>
            </m:oMath>
            <w:r w:rsidRPr="006A21CF">
              <w:rPr>
                <w:rFonts w:ascii="Arial" w:hAnsi="Arial" w:cs="Arial"/>
                <w:b/>
                <w:bCs/>
                <w:sz w:val="24"/>
                <w:szCs w:val="24"/>
                <w:lang w:val="en-US"/>
              </w:rPr>
              <w:t>)</w:t>
            </w:r>
          </w:p>
        </w:tc>
        <w:tc>
          <w:tcPr>
            <w:tcW w:w="0" w:type="auto"/>
            <w:hideMark/>
          </w:tcPr>
          <w:p w14:paraId="7BF3574D" w14:textId="77777777" w:rsidR="006A21CF" w:rsidRPr="006A21CF" w:rsidRDefault="006A21CF" w:rsidP="006A21CF">
            <w:pPr>
              <w:spacing w:before="240" w:line="360" w:lineRule="auto"/>
              <w:jc w:val="both"/>
              <w:rPr>
                <w:rFonts w:ascii="Arial" w:hAnsi="Arial" w:cs="Arial"/>
                <w:bCs/>
                <w:sz w:val="24"/>
                <w:szCs w:val="24"/>
                <w:lang w:val="en-US"/>
              </w:rPr>
            </w:pPr>
          </w:p>
        </w:tc>
        <w:tc>
          <w:tcPr>
            <w:tcW w:w="0" w:type="auto"/>
            <w:hideMark/>
          </w:tcPr>
          <w:p w14:paraId="41692420" w14:textId="77777777" w:rsidR="006A21CF" w:rsidRPr="006A21CF" w:rsidRDefault="006A21CF" w:rsidP="006A21CF">
            <w:pPr>
              <w:spacing w:before="240" w:line="360" w:lineRule="auto"/>
              <w:jc w:val="both"/>
              <w:rPr>
                <w:rFonts w:ascii="Arial" w:hAnsi="Arial" w:cs="Arial"/>
                <w:sz w:val="24"/>
                <w:szCs w:val="24"/>
                <w:lang w:val="en-US"/>
              </w:rPr>
            </w:pPr>
            <w:r w:rsidRPr="006A21CF">
              <w:rPr>
                <w:rFonts w:ascii="Arial" w:hAnsi="Arial" w:cs="Arial"/>
                <w:sz w:val="24"/>
                <w:szCs w:val="24"/>
                <w:lang w:val="en-US"/>
              </w:rPr>
              <w:t>5.96</w:t>
            </w:r>
          </w:p>
        </w:tc>
        <w:tc>
          <w:tcPr>
            <w:tcW w:w="0" w:type="auto"/>
            <w:hideMark/>
          </w:tcPr>
          <w:p w14:paraId="799BC2E7" w14:textId="77777777" w:rsidR="006A21CF" w:rsidRPr="006A21CF" w:rsidRDefault="006A21CF" w:rsidP="006A21CF">
            <w:pPr>
              <w:spacing w:before="240" w:line="360" w:lineRule="auto"/>
              <w:jc w:val="both"/>
              <w:rPr>
                <w:rFonts w:ascii="Arial" w:hAnsi="Arial" w:cs="Arial"/>
                <w:sz w:val="24"/>
                <w:szCs w:val="24"/>
                <w:lang w:val="en-US"/>
              </w:rPr>
            </w:pPr>
            <w:r w:rsidRPr="006A21CF">
              <w:rPr>
                <w:rFonts w:ascii="Arial" w:hAnsi="Arial" w:cs="Arial"/>
                <w:sz w:val="24"/>
                <w:szCs w:val="24"/>
                <w:lang w:val="en-US"/>
              </w:rPr>
              <w:t>(7.32)</w:t>
            </w:r>
          </w:p>
        </w:tc>
        <w:tc>
          <w:tcPr>
            <w:tcW w:w="0" w:type="auto"/>
            <w:hideMark/>
          </w:tcPr>
          <w:p w14:paraId="67910B9B" w14:textId="77777777" w:rsidR="006A21CF" w:rsidRPr="006A21CF" w:rsidRDefault="006A21CF" w:rsidP="00B6017C">
            <w:pPr>
              <w:keepNext/>
              <w:spacing w:before="240" w:line="360" w:lineRule="auto"/>
              <w:jc w:val="both"/>
              <w:rPr>
                <w:rFonts w:ascii="Arial" w:hAnsi="Arial" w:cs="Arial"/>
                <w:sz w:val="24"/>
                <w:szCs w:val="24"/>
                <w:lang w:val="en-US"/>
              </w:rPr>
            </w:pPr>
            <w:r w:rsidRPr="006A21CF">
              <w:rPr>
                <w:rFonts w:ascii="Arial" w:hAnsi="Arial" w:cs="Arial"/>
                <w:sz w:val="24"/>
                <w:szCs w:val="24"/>
                <w:lang w:val="en-US"/>
              </w:rPr>
              <w:t>12.39</w:t>
            </w:r>
          </w:p>
        </w:tc>
      </w:tr>
    </w:tbl>
    <w:p w14:paraId="3EAF3B1F" w14:textId="27549A96" w:rsidR="00B6017C" w:rsidRDefault="00B6017C">
      <w:pPr>
        <w:pStyle w:val="Caption"/>
      </w:pPr>
      <w:bookmarkStart w:id="35" w:name="_Toc214748988"/>
      <w:bookmarkStart w:id="36" w:name="_Toc214749065"/>
      <w:r>
        <w:t xml:space="preserve">Table </w:t>
      </w:r>
      <w:r>
        <w:fldChar w:fldCharType="begin"/>
      </w:r>
      <w:r>
        <w:instrText xml:space="preserve"> SEQ Table \* ARABIC </w:instrText>
      </w:r>
      <w:r>
        <w:fldChar w:fldCharType="separate"/>
      </w:r>
      <w:r w:rsidR="002D7440">
        <w:rPr>
          <w:noProof/>
        </w:rPr>
        <w:t>10</w:t>
      </w:r>
      <w:r>
        <w:fldChar w:fldCharType="end"/>
      </w:r>
      <w:r>
        <w:t xml:space="preserve">: </w:t>
      </w:r>
      <w:r w:rsidRPr="00E96269">
        <w:t>NPV Calculation</w:t>
      </w:r>
      <w:bookmarkEnd w:id="35"/>
      <w:bookmarkEnd w:id="36"/>
    </w:p>
    <w:p w14:paraId="616FB625" w14:textId="17AE61EE" w:rsidR="00CD4561" w:rsidRDefault="00737A1E" w:rsidP="00CD4561">
      <w:pPr>
        <w:spacing w:before="240" w:line="360" w:lineRule="auto"/>
        <w:jc w:val="both"/>
        <w:rPr>
          <w:rFonts w:ascii="Arial" w:hAnsi="Arial" w:cs="Arial"/>
          <w:bCs/>
          <w:sz w:val="24"/>
          <w:szCs w:val="24"/>
          <w:lang w:val="en-US"/>
        </w:rPr>
      </w:pPr>
      <w:r w:rsidRPr="00737A1E">
        <w:rPr>
          <w:rFonts w:ascii="Arial" w:hAnsi="Arial" w:cs="Arial"/>
          <w:b/>
          <w:sz w:val="24"/>
          <w:szCs w:val="24"/>
          <w:lang w:val="en-US"/>
        </w:rPr>
        <w:t>Note:</w:t>
      </w:r>
      <w:r w:rsidRPr="00737A1E">
        <w:rPr>
          <w:rFonts w:ascii="Arial" w:hAnsi="Arial" w:cs="Arial"/>
          <w:bCs/>
          <w:sz w:val="24"/>
          <w:szCs w:val="24"/>
          <w:lang w:val="en-US"/>
        </w:rPr>
        <w:t xml:space="preserve"> Project B has a negative NPV, meaning it should be rejected outright under standard NPV rules, as it is expected to destroy shareholder value (Plutus Education, 2024).</w:t>
      </w:r>
    </w:p>
    <w:p w14:paraId="2BE02A9A" w14:textId="4D3B854E" w:rsidR="00C1382C" w:rsidRPr="00C1382C" w:rsidRDefault="00C1382C" w:rsidP="00CD4561">
      <w:pPr>
        <w:spacing w:before="240" w:line="360" w:lineRule="auto"/>
        <w:jc w:val="both"/>
        <w:rPr>
          <w:rFonts w:ascii="Arial" w:hAnsi="Arial" w:cs="Arial"/>
          <w:b/>
          <w:sz w:val="24"/>
          <w:szCs w:val="24"/>
          <w:lang w:val="en-US"/>
        </w:rPr>
      </w:pPr>
      <w:r w:rsidRPr="00C1382C">
        <w:rPr>
          <w:rFonts w:ascii="Arial" w:hAnsi="Arial" w:cs="Arial"/>
          <w:b/>
          <w:sz w:val="24"/>
          <w:szCs w:val="24"/>
          <w:lang w:val="en-US"/>
        </w:rPr>
        <w:lastRenderedPageBreak/>
        <w:t>C. Final Investment Recommendation under Capital Rationing</w:t>
      </w:r>
    </w:p>
    <w:p w14:paraId="5D28C84C" w14:textId="024F6585" w:rsidR="00CD4561" w:rsidRDefault="005667DF" w:rsidP="00CD4561">
      <w:pPr>
        <w:spacing w:before="240" w:line="360" w:lineRule="auto"/>
        <w:jc w:val="both"/>
        <w:rPr>
          <w:rFonts w:ascii="Arial" w:hAnsi="Arial" w:cs="Arial"/>
          <w:bCs/>
          <w:sz w:val="24"/>
          <w:szCs w:val="24"/>
          <w:lang w:val="en-US"/>
        </w:rPr>
      </w:pPr>
      <w:r w:rsidRPr="005667DF">
        <w:rPr>
          <w:rFonts w:ascii="Arial" w:hAnsi="Arial" w:cs="Arial"/>
          <w:bCs/>
          <w:sz w:val="24"/>
          <w:szCs w:val="24"/>
          <w:lang w:val="en-US"/>
        </w:rPr>
        <w:t>Capital rationing occurs when a firm has more acceptable (positive NPV) projects than it has funds to invest (</w:t>
      </w:r>
      <w:proofErr w:type="spellStart"/>
      <w:r w:rsidRPr="005667DF">
        <w:rPr>
          <w:rFonts w:ascii="Arial" w:hAnsi="Arial" w:cs="Arial"/>
          <w:bCs/>
          <w:sz w:val="24"/>
          <w:szCs w:val="24"/>
          <w:lang w:val="en-US"/>
        </w:rPr>
        <w:t>Taxmann</w:t>
      </w:r>
      <w:proofErr w:type="spellEnd"/>
      <w:r w:rsidRPr="005667DF">
        <w:rPr>
          <w:rFonts w:ascii="Arial" w:hAnsi="Arial" w:cs="Arial"/>
          <w:bCs/>
          <w:sz w:val="24"/>
          <w:szCs w:val="24"/>
          <w:lang w:val="en-US"/>
        </w:rPr>
        <w:t>, 2025). GE faces Soft Capital Rationing due to its financial distress and strategic need to limit capital expenditure.</w:t>
      </w:r>
    </w:p>
    <w:p w14:paraId="162F2ECB" w14:textId="5C1C61FC" w:rsidR="005667DF" w:rsidRPr="00A343E8" w:rsidRDefault="00737F84" w:rsidP="00A343E8">
      <w:pPr>
        <w:spacing w:before="240" w:line="360" w:lineRule="auto"/>
        <w:jc w:val="center"/>
        <w:rPr>
          <w:rFonts w:ascii="Arial" w:hAnsi="Arial" w:cs="Arial"/>
          <w:bCs/>
          <w:sz w:val="24"/>
          <w:szCs w:val="24"/>
          <w:lang w:val="en-US"/>
        </w:rPr>
      </w:pPr>
      <w:r w:rsidRPr="00737F84">
        <w:rPr>
          <w:rFonts w:ascii="Arial" w:hAnsi="Arial" w:cs="Arial"/>
          <w:b/>
          <w:sz w:val="24"/>
          <w:szCs w:val="24"/>
        </w:rPr>
        <w:t>Capital Constraint:</w:t>
      </w:r>
      <w:r w:rsidR="00A343E8" w:rsidRPr="00A343E8">
        <w:rPr>
          <w:rFonts w:ascii="Arial" w:hAnsi="Arial" w:cs="Arial"/>
          <w:b/>
          <w:sz w:val="24"/>
          <w:szCs w:val="24"/>
        </w:rPr>
        <w:t xml:space="preserve"> </w:t>
      </w:r>
      <w:r w:rsidR="00A343E8" w:rsidRPr="00A343E8">
        <w:rPr>
          <w:rFonts w:ascii="Arial" w:hAnsi="Arial" w:cs="Arial"/>
          <w:bCs/>
          <w:sz w:val="24"/>
          <w:szCs w:val="24"/>
        </w:rPr>
        <w:t>Maximum Investment = £60 million</w:t>
      </w:r>
    </w:p>
    <w:p w14:paraId="0098E54E" w14:textId="09A0F904" w:rsidR="00CD4561" w:rsidRDefault="00D751B4" w:rsidP="00CD4561">
      <w:pPr>
        <w:spacing w:before="240" w:line="360" w:lineRule="auto"/>
        <w:jc w:val="both"/>
        <w:rPr>
          <w:rFonts w:ascii="Arial" w:hAnsi="Arial" w:cs="Arial"/>
          <w:bCs/>
          <w:sz w:val="24"/>
          <w:szCs w:val="24"/>
          <w:lang w:val="en-US"/>
        </w:rPr>
      </w:pPr>
      <w:r w:rsidRPr="00D751B4">
        <w:rPr>
          <w:rFonts w:ascii="Arial" w:hAnsi="Arial" w:cs="Arial"/>
          <w:bCs/>
          <w:sz w:val="24"/>
          <w:szCs w:val="24"/>
          <w:lang w:val="en-US"/>
        </w:rPr>
        <w:t>Since Projects A and C are independent and have a positive NPV, they are acceptable. Project B is immediately rejected due to its negative NPV and ARR of 0.00%.</w:t>
      </w:r>
    </w:p>
    <w:p w14:paraId="15DEE0A3" w14:textId="6A540512" w:rsidR="00D751B4" w:rsidRDefault="00BD3881" w:rsidP="00CD4561">
      <w:pPr>
        <w:spacing w:before="240" w:line="360" w:lineRule="auto"/>
        <w:jc w:val="both"/>
        <w:rPr>
          <w:rFonts w:ascii="Arial" w:hAnsi="Arial" w:cs="Arial"/>
          <w:bCs/>
          <w:sz w:val="24"/>
          <w:szCs w:val="24"/>
          <w:lang w:val="en-US"/>
        </w:rPr>
      </w:pPr>
      <w:r w:rsidRPr="00BD3881">
        <w:rPr>
          <w:rFonts w:ascii="Arial" w:hAnsi="Arial" w:cs="Arial"/>
          <w:bCs/>
          <w:sz w:val="24"/>
          <w:szCs w:val="24"/>
          <w:lang w:val="en-US"/>
        </w:rPr>
        <w:t xml:space="preserve">Under capital rationing, the best technique for ranking projects is the Profitability Index (PI), as it </w:t>
      </w:r>
      <w:proofErr w:type="spellStart"/>
      <w:r w:rsidRPr="00BD3881">
        <w:rPr>
          <w:rFonts w:ascii="Arial" w:hAnsi="Arial" w:cs="Arial"/>
          <w:bCs/>
          <w:sz w:val="24"/>
          <w:szCs w:val="24"/>
          <w:lang w:val="en-US"/>
        </w:rPr>
        <w:t>maximixes</w:t>
      </w:r>
      <w:proofErr w:type="spellEnd"/>
      <w:r w:rsidRPr="00BD3881">
        <w:rPr>
          <w:rFonts w:ascii="Arial" w:hAnsi="Arial" w:cs="Arial"/>
          <w:bCs/>
          <w:sz w:val="24"/>
          <w:szCs w:val="24"/>
          <w:lang w:val="en-US"/>
        </w:rPr>
        <w:t xml:space="preserve"> the total NPV for a given budget (CFI, 2025).</w:t>
      </w:r>
    </w:p>
    <w:p w14:paraId="033C9E56" w14:textId="58A0868C" w:rsidR="00BD3881" w:rsidRDefault="00426515" w:rsidP="002B47A5">
      <w:pPr>
        <w:spacing w:before="240" w:line="360" w:lineRule="auto"/>
        <w:jc w:val="center"/>
        <w:rPr>
          <w:rFonts w:ascii="Arial" w:eastAsiaTheme="minorEastAsia" w:hAnsi="Arial" w:cs="Arial"/>
          <w:bCs/>
          <w:sz w:val="24"/>
          <w:szCs w:val="24"/>
          <w:lang w:val="en-US"/>
        </w:rPr>
      </w:pPr>
      <w:r w:rsidRPr="00426515">
        <w:rPr>
          <w:rFonts w:ascii="Arial" w:hAnsi="Arial" w:cs="Arial"/>
          <w:bCs/>
          <w:sz w:val="24"/>
          <w:szCs w:val="24"/>
        </w:rPr>
        <w:t>PI =</w:t>
      </w:r>
      <w:r>
        <w:rPr>
          <w:rFonts w:ascii="Arial" w:hAnsi="Arial" w:cs="Arial"/>
          <w:bCs/>
          <w:sz w:val="24"/>
          <w:szCs w:val="24"/>
        </w:rPr>
        <w:t xml:space="preserve"> </w:t>
      </w:r>
      <m:oMath>
        <m:f>
          <m:fPr>
            <m:ctrlPr>
              <w:rPr>
                <w:rFonts w:ascii="Cambria Math" w:hAnsi="Cambria Math" w:cs="Arial"/>
                <w:bCs/>
                <w:i/>
                <w:sz w:val="24"/>
                <w:szCs w:val="24"/>
                <w:lang w:val="en-US"/>
              </w:rPr>
            </m:ctrlPr>
          </m:fPr>
          <m:num>
            <m:r>
              <w:rPr>
                <w:rFonts w:ascii="Cambria Math" w:hAnsi="Cambria Math" w:cs="Arial"/>
                <w:sz w:val="24"/>
                <w:szCs w:val="24"/>
                <w:lang w:val="en-US"/>
              </w:rPr>
              <m:t xml:space="preserve"> Present Value of Future Cash Flows </m:t>
            </m:r>
          </m:num>
          <m:den>
            <m:r>
              <w:rPr>
                <w:rFonts w:ascii="Cambria Math" w:hAnsi="Cambria Math" w:cs="Arial"/>
                <w:sz w:val="24"/>
                <w:szCs w:val="24"/>
                <w:lang w:val="en-US"/>
              </w:rPr>
              <m:t>Initial Investment</m:t>
            </m:r>
          </m:den>
        </m:f>
      </m:oMath>
    </w:p>
    <w:tbl>
      <w:tblPr>
        <w:tblStyle w:val="TableGrid"/>
        <w:tblW w:w="0" w:type="auto"/>
        <w:tblLook w:val="04A0" w:firstRow="1" w:lastRow="0" w:firstColumn="1" w:lastColumn="0" w:noHBand="0" w:noVBand="1"/>
      </w:tblPr>
      <w:tblGrid>
        <w:gridCol w:w="1030"/>
        <w:gridCol w:w="2750"/>
        <w:gridCol w:w="1283"/>
        <w:gridCol w:w="684"/>
        <w:gridCol w:w="1524"/>
      </w:tblGrid>
      <w:tr w:rsidR="002B47A5" w:rsidRPr="002B47A5" w14:paraId="2F26C3AC" w14:textId="77777777" w:rsidTr="002B47A5">
        <w:tc>
          <w:tcPr>
            <w:tcW w:w="0" w:type="auto"/>
            <w:hideMark/>
          </w:tcPr>
          <w:p w14:paraId="529CA1C1"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Project</w:t>
            </w:r>
          </w:p>
        </w:tc>
        <w:tc>
          <w:tcPr>
            <w:tcW w:w="0" w:type="auto"/>
            <w:hideMark/>
          </w:tcPr>
          <w:p w14:paraId="5DF65BAD"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Initial Investment (£m)</w:t>
            </w:r>
          </w:p>
        </w:tc>
        <w:tc>
          <w:tcPr>
            <w:tcW w:w="0" w:type="auto"/>
            <w:hideMark/>
          </w:tcPr>
          <w:p w14:paraId="4F27F1A2"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NPV (£m)</w:t>
            </w:r>
          </w:p>
        </w:tc>
        <w:tc>
          <w:tcPr>
            <w:tcW w:w="0" w:type="auto"/>
            <w:hideMark/>
          </w:tcPr>
          <w:p w14:paraId="4A6DC25F"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PI</w:t>
            </w:r>
          </w:p>
        </w:tc>
        <w:tc>
          <w:tcPr>
            <w:tcW w:w="0" w:type="auto"/>
            <w:hideMark/>
          </w:tcPr>
          <w:p w14:paraId="6FC68D47"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Rank</w:t>
            </w:r>
          </w:p>
        </w:tc>
      </w:tr>
      <w:tr w:rsidR="002B47A5" w:rsidRPr="002B47A5" w14:paraId="25A95BDA" w14:textId="77777777" w:rsidTr="002B47A5">
        <w:tc>
          <w:tcPr>
            <w:tcW w:w="0" w:type="auto"/>
            <w:hideMark/>
          </w:tcPr>
          <w:p w14:paraId="7D2D6018"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C</w:t>
            </w:r>
          </w:p>
        </w:tc>
        <w:tc>
          <w:tcPr>
            <w:tcW w:w="0" w:type="auto"/>
            <w:hideMark/>
          </w:tcPr>
          <w:p w14:paraId="50CC64EA"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50</w:t>
            </w:r>
          </w:p>
        </w:tc>
        <w:tc>
          <w:tcPr>
            <w:tcW w:w="0" w:type="auto"/>
            <w:hideMark/>
          </w:tcPr>
          <w:p w14:paraId="4C4849F0"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12.39</w:t>
            </w:r>
          </w:p>
        </w:tc>
        <w:tc>
          <w:tcPr>
            <w:tcW w:w="0" w:type="auto"/>
            <w:hideMark/>
          </w:tcPr>
          <w:p w14:paraId="0C49495E"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1.25</w:t>
            </w:r>
          </w:p>
        </w:tc>
        <w:tc>
          <w:tcPr>
            <w:tcW w:w="0" w:type="auto"/>
            <w:hideMark/>
          </w:tcPr>
          <w:p w14:paraId="72905211"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1</w:t>
            </w:r>
          </w:p>
        </w:tc>
      </w:tr>
      <w:tr w:rsidR="002B47A5" w:rsidRPr="002B47A5" w14:paraId="3B73B37A" w14:textId="77777777" w:rsidTr="002B47A5">
        <w:tc>
          <w:tcPr>
            <w:tcW w:w="0" w:type="auto"/>
            <w:hideMark/>
          </w:tcPr>
          <w:p w14:paraId="6D356F78"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A</w:t>
            </w:r>
          </w:p>
        </w:tc>
        <w:tc>
          <w:tcPr>
            <w:tcW w:w="0" w:type="auto"/>
            <w:hideMark/>
          </w:tcPr>
          <w:p w14:paraId="36022E0E"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40</w:t>
            </w:r>
          </w:p>
        </w:tc>
        <w:tc>
          <w:tcPr>
            <w:tcW w:w="0" w:type="auto"/>
            <w:hideMark/>
          </w:tcPr>
          <w:p w14:paraId="0CAD9273"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5.96</w:t>
            </w:r>
          </w:p>
        </w:tc>
        <w:tc>
          <w:tcPr>
            <w:tcW w:w="0" w:type="auto"/>
            <w:hideMark/>
          </w:tcPr>
          <w:p w14:paraId="79D80490"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1.15</w:t>
            </w:r>
          </w:p>
        </w:tc>
        <w:tc>
          <w:tcPr>
            <w:tcW w:w="0" w:type="auto"/>
            <w:hideMark/>
          </w:tcPr>
          <w:p w14:paraId="6F3410C1"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2</w:t>
            </w:r>
          </w:p>
        </w:tc>
      </w:tr>
      <w:tr w:rsidR="002B47A5" w:rsidRPr="002B47A5" w14:paraId="720CECE9" w14:textId="77777777" w:rsidTr="002B47A5">
        <w:tc>
          <w:tcPr>
            <w:tcW w:w="0" w:type="auto"/>
            <w:hideMark/>
          </w:tcPr>
          <w:p w14:paraId="60B9106E"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
                <w:bCs/>
                <w:sz w:val="24"/>
                <w:szCs w:val="24"/>
                <w:lang w:val="en-US"/>
              </w:rPr>
              <w:t>B</w:t>
            </w:r>
          </w:p>
        </w:tc>
        <w:tc>
          <w:tcPr>
            <w:tcW w:w="0" w:type="auto"/>
            <w:hideMark/>
          </w:tcPr>
          <w:p w14:paraId="36B8463F"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30</w:t>
            </w:r>
          </w:p>
        </w:tc>
        <w:tc>
          <w:tcPr>
            <w:tcW w:w="0" w:type="auto"/>
            <w:hideMark/>
          </w:tcPr>
          <w:p w14:paraId="566BA325"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(7.32)</w:t>
            </w:r>
          </w:p>
        </w:tc>
        <w:tc>
          <w:tcPr>
            <w:tcW w:w="0" w:type="auto"/>
            <w:hideMark/>
          </w:tcPr>
          <w:p w14:paraId="7A5EAE7C" w14:textId="77777777" w:rsidR="002B47A5" w:rsidRPr="002B47A5" w:rsidRDefault="002B47A5" w:rsidP="002B47A5">
            <w:pPr>
              <w:spacing w:before="240" w:line="360" w:lineRule="auto"/>
              <w:jc w:val="both"/>
              <w:rPr>
                <w:rFonts w:ascii="Arial" w:hAnsi="Arial" w:cs="Arial"/>
                <w:bCs/>
                <w:sz w:val="24"/>
                <w:szCs w:val="24"/>
                <w:lang w:val="en-US"/>
              </w:rPr>
            </w:pPr>
            <w:r w:rsidRPr="002B47A5">
              <w:rPr>
                <w:rFonts w:ascii="Arial" w:hAnsi="Arial" w:cs="Arial"/>
                <w:bCs/>
                <w:sz w:val="24"/>
                <w:szCs w:val="24"/>
                <w:lang w:val="en-US"/>
              </w:rPr>
              <w:t>0.76</w:t>
            </w:r>
          </w:p>
        </w:tc>
        <w:tc>
          <w:tcPr>
            <w:tcW w:w="0" w:type="auto"/>
            <w:hideMark/>
          </w:tcPr>
          <w:p w14:paraId="1D58C868" w14:textId="77777777" w:rsidR="002B47A5" w:rsidRPr="002B47A5" w:rsidRDefault="002B47A5" w:rsidP="002D7440">
            <w:pPr>
              <w:keepNext/>
              <w:spacing w:before="240" w:line="360" w:lineRule="auto"/>
              <w:jc w:val="both"/>
              <w:rPr>
                <w:rFonts w:ascii="Arial" w:hAnsi="Arial" w:cs="Arial"/>
                <w:bCs/>
                <w:sz w:val="24"/>
                <w:szCs w:val="24"/>
                <w:lang w:val="en-US"/>
              </w:rPr>
            </w:pPr>
            <w:r w:rsidRPr="002B47A5">
              <w:rPr>
                <w:rFonts w:ascii="Arial" w:hAnsi="Arial" w:cs="Arial"/>
                <w:bCs/>
                <w:sz w:val="24"/>
                <w:szCs w:val="24"/>
                <w:lang w:val="en-US"/>
              </w:rPr>
              <w:t>3 (Rejected)</w:t>
            </w:r>
          </w:p>
        </w:tc>
      </w:tr>
    </w:tbl>
    <w:p w14:paraId="24E8FA5B" w14:textId="690E03E3" w:rsidR="002D7440" w:rsidRDefault="002D7440">
      <w:pPr>
        <w:pStyle w:val="Caption"/>
      </w:pPr>
      <w:bookmarkStart w:id="37" w:name="_Toc214748989"/>
      <w:bookmarkStart w:id="38" w:name="_Toc214749066"/>
      <w:r>
        <w:t xml:space="preserve">Table </w:t>
      </w:r>
      <w:r>
        <w:fldChar w:fldCharType="begin"/>
      </w:r>
      <w:r>
        <w:instrText xml:space="preserve"> SEQ Table \* ARABIC </w:instrText>
      </w:r>
      <w:r>
        <w:fldChar w:fldCharType="separate"/>
      </w:r>
      <w:r>
        <w:rPr>
          <w:noProof/>
        </w:rPr>
        <w:t>11</w:t>
      </w:r>
      <w:r>
        <w:fldChar w:fldCharType="end"/>
      </w:r>
      <w:r>
        <w:t xml:space="preserve">: </w:t>
      </w:r>
      <w:r w:rsidRPr="005F04B4">
        <w:t>Profitability Index</w:t>
      </w:r>
      <w:bookmarkEnd w:id="37"/>
      <w:bookmarkEnd w:id="38"/>
    </w:p>
    <w:p w14:paraId="66D5B683" w14:textId="1DB911D2" w:rsidR="002B47A5" w:rsidRPr="00C1403F" w:rsidRDefault="004F6FE3" w:rsidP="00CD4561">
      <w:pPr>
        <w:spacing w:before="240" w:line="360" w:lineRule="auto"/>
        <w:jc w:val="both"/>
        <w:rPr>
          <w:rFonts w:ascii="Arial" w:hAnsi="Arial" w:cs="Arial"/>
          <w:b/>
          <w:sz w:val="24"/>
          <w:szCs w:val="24"/>
          <w:lang w:val="en-US"/>
        </w:rPr>
      </w:pPr>
      <w:r w:rsidRPr="00C1403F">
        <w:rPr>
          <w:rFonts w:ascii="Arial" w:hAnsi="Arial" w:cs="Arial"/>
          <w:b/>
          <w:sz w:val="24"/>
          <w:szCs w:val="24"/>
          <w:lang w:val="en-US"/>
        </w:rPr>
        <w:t>Recommendation:</w:t>
      </w:r>
    </w:p>
    <w:p w14:paraId="7BDD0036" w14:textId="77777777" w:rsidR="00C1403F" w:rsidRPr="00E0673C" w:rsidRDefault="00C1403F" w:rsidP="00E0673C">
      <w:pPr>
        <w:pStyle w:val="ListParagraph"/>
        <w:numPr>
          <w:ilvl w:val="0"/>
          <w:numId w:val="18"/>
        </w:numPr>
        <w:spacing w:before="240" w:line="360" w:lineRule="auto"/>
        <w:jc w:val="both"/>
        <w:rPr>
          <w:rFonts w:ascii="Arial" w:hAnsi="Arial" w:cs="Arial"/>
          <w:bCs/>
          <w:sz w:val="24"/>
          <w:szCs w:val="24"/>
          <w:lang w:val="en-US"/>
        </w:rPr>
      </w:pPr>
      <w:r w:rsidRPr="00E0673C">
        <w:rPr>
          <w:rFonts w:ascii="Arial" w:hAnsi="Arial" w:cs="Arial"/>
          <w:b/>
          <w:sz w:val="24"/>
          <w:szCs w:val="24"/>
          <w:lang w:val="en-US"/>
        </w:rPr>
        <w:t>Select Project C</w:t>
      </w:r>
      <w:r w:rsidRPr="00E0673C">
        <w:rPr>
          <w:rFonts w:ascii="Arial" w:hAnsi="Arial" w:cs="Arial"/>
          <w:bCs/>
          <w:sz w:val="24"/>
          <w:szCs w:val="24"/>
          <w:lang w:val="en-US"/>
        </w:rPr>
        <w:t xml:space="preserve"> (initial Investment: £50 million). </w:t>
      </w:r>
    </w:p>
    <w:p w14:paraId="799CE973" w14:textId="06163693" w:rsidR="00C1403F" w:rsidRPr="00E0673C" w:rsidRDefault="00C1403F" w:rsidP="00E0673C">
      <w:pPr>
        <w:pStyle w:val="ListParagraph"/>
        <w:numPr>
          <w:ilvl w:val="0"/>
          <w:numId w:val="18"/>
        </w:numPr>
        <w:spacing w:before="240" w:line="360" w:lineRule="auto"/>
        <w:jc w:val="both"/>
        <w:rPr>
          <w:rFonts w:ascii="Arial" w:hAnsi="Arial" w:cs="Arial"/>
          <w:bCs/>
          <w:sz w:val="24"/>
          <w:szCs w:val="24"/>
          <w:lang w:val="en-US"/>
        </w:rPr>
      </w:pPr>
      <w:r w:rsidRPr="00E0673C">
        <w:rPr>
          <w:rFonts w:ascii="Arial" w:hAnsi="Arial" w:cs="Arial"/>
          <w:b/>
          <w:sz w:val="24"/>
          <w:szCs w:val="24"/>
          <w:lang w:val="en-US"/>
        </w:rPr>
        <w:t>Remaining</w:t>
      </w:r>
      <w:r w:rsidRPr="00E0673C">
        <w:rPr>
          <w:rFonts w:ascii="Arial" w:hAnsi="Arial" w:cs="Arial"/>
          <w:bCs/>
          <w:sz w:val="24"/>
          <w:szCs w:val="24"/>
          <w:lang w:val="en-US"/>
        </w:rPr>
        <w:t xml:space="preserve"> </w:t>
      </w:r>
      <w:r w:rsidRPr="00E0673C">
        <w:rPr>
          <w:rFonts w:ascii="Arial" w:hAnsi="Arial" w:cs="Arial"/>
          <w:b/>
          <w:sz w:val="24"/>
          <w:szCs w:val="24"/>
          <w:lang w:val="en-US"/>
        </w:rPr>
        <w:t>Budget:</w:t>
      </w:r>
      <w:r w:rsidRPr="00E0673C">
        <w:rPr>
          <w:rFonts w:ascii="Arial" w:hAnsi="Arial" w:cs="Arial"/>
          <w:bCs/>
          <w:sz w:val="24"/>
          <w:szCs w:val="24"/>
          <w:lang w:val="en-US"/>
        </w:rPr>
        <w:t xml:space="preserve"> £60 million - £50 million = £10 million. </w:t>
      </w:r>
    </w:p>
    <w:p w14:paraId="2FAF8629" w14:textId="040D389B" w:rsidR="004F6FE3" w:rsidRPr="00E0673C" w:rsidRDefault="00C1403F" w:rsidP="00E0673C">
      <w:pPr>
        <w:pStyle w:val="ListParagraph"/>
        <w:numPr>
          <w:ilvl w:val="0"/>
          <w:numId w:val="18"/>
        </w:numPr>
        <w:spacing w:before="240" w:line="360" w:lineRule="auto"/>
        <w:jc w:val="both"/>
        <w:rPr>
          <w:rFonts w:ascii="Arial" w:hAnsi="Arial" w:cs="Arial"/>
          <w:bCs/>
          <w:sz w:val="24"/>
          <w:szCs w:val="24"/>
          <w:lang w:val="en-US"/>
        </w:rPr>
      </w:pPr>
      <w:r w:rsidRPr="00E0673C">
        <w:rPr>
          <w:rFonts w:ascii="Arial" w:hAnsi="Arial" w:cs="Arial"/>
          <w:b/>
          <w:sz w:val="24"/>
          <w:szCs w:val="24"/>
          <w:lang w:val="en-US"/>
        </w:rPr>
        <w:t>Feasibility Check:</w:t>
      </w:r>
      <w:r w:rsidRPr="00E0673C">
        <w:rPr>
          <w:rFonts w:ascii="Arial" w:hAnsi="Arial" w:cs="Arial"/>
          <w:bCs/>
          <w:sz w:val="24"/>
          <w:szCs w:val="24"/>
          <w:lang w:val="en-US"/>
        </w:rPr>
        <w:t xml:space="preserve"> The remaining £10 million is insufficient to fund to fund the next-ranked project, Project A (£40 million).</w:t>
      </w:r>
    </w:p>
    <w:p w14:paraId="1491DF2B" w14:textId="3DACBB3B" w:rsidR="00D21485" w:rsidRDefault="00E0673C" w:rsidP="00CD4561">
      <w:pPr>
        <w:spacing w:before="240" w:line="360" w:lineRule="auto"/>
        <w:jc w:val="both"/>
        <w:rPr>
          <w:rFonts w:ascii="Arial" w:hAnsi="Arial" w:cs="Arial"/>
          <w:bCs/>
          <w:sz w:val="24"/>
          <w:szCs w:val="24"/>
          <w:lang w:val="en-US"/>
        </w:rPr>
      </w:pPr>
      <w:r w:rsidRPr="00E0673C">
        <w:rPr>
          <w:rFonts w:ascii="Arial" w:hAnsi="Arial" w:cs="Arial"/>
          <w:b/>
          <w:sz w:val="24"/>
          <w:szCs w:val="24"/>
          <w:lang w:val="en-US"/>
        </w:rPr>
        <w:t>Final Decision:</w:t>
      </w:r>
      <w:r w:rsidRPr="00E0673C">
        <w:rPr>
          <w:rFonts w:ascii="Arial" w:hAnsi="Arial" w:cs="Arial"/>
          <w:bCs/>
          <w:sz w:val="24"/>
          <w:szCs w:val="24"/>
          <w:lang w:val="en-US"/>
        </w:rPr>
        <w:t xml:space="preserve"> Invest solely in project c for a total investment of £50 million, yielding the highest possible NPV (£12.39 million) within the £60 million budget constraint. The total NPV for the portfolio is £12.39 million.</w:t>
      </w:r>
    </w:p>
    <w:p w14:paraId="02A0939F" w14:textId="77777777" w:rsidR="002D7440" w:rsidRDefault="002D7440" w:rsidP="00CD4561">
      <w:pPr>
        <w:spacing w:before="240" w:line="360" w:lineRule="auto"/>
        <w:jc w:val="both"/>
        <w:rPr>
          <w:rFonts w:ascii="Arial" w:hAnsi="Arial" w:cs="Arial"/>
          <w:bCs/>
          <w:sz w:val="24"/>
          <w:szCs w:val="24"/>
          <w:lang w:val="en-US"/>
        </w:rPr>
      </w:pPr>
    </w:p>
    <w:p w14:paraId="22763412" w14:textId="3C4D1945" w:rsidR="0092011F" w:rsidRPr="0092011F" w:rsidRDefault="0092011F" w:rsidP="00CD4561">
      <w:pPr>
        <w:spacing w:before="240" w:line="360" w:lineRule="auto"/>
        <w:jc w:val="both"/>
        <w:rPr>
          <w:rFonts w:ascii="Arial" w:hAnsi="Arial" w:cs="Arial"/>
          <w:b/>
          <w:sz w:val="24"/>
          <w:szCs w:val="24"/>
          <w:lang w:val="en-US"/>
        </w:rPr>
      </w:pPr>
      <w:r w:rsidRPr="0092011F">
        <w:rPr>
          <w:rFonts w:ascii="Arial" w:hAnsi="Arial" w:cs="Arial"/>
          <w:b/>
          <w:sz w:val="24"/>
          <w:szCs w:val="24"/>
          <w:lang w:val="en-US"/>
        </w:rPr>
        <w:lastRenderedPageBreak/>
        <w:t>Justification of Recommendation</w:t>
      </w:r>
      <w:r>
        <w:rPr>
          <w:rFonts w:ascii="Arial" w:hAnsi="Arial" w:cs="Arial"/>
          <w:b/>
          <w:sz w:val="24"/>
          <w:szCs w:val="24"/>
          <w:lang w:val="en-US"/>
        </w:rPr>
        <w:t>:</w:t>
      </w:r>
    </w:p>
    <w:p w14:paraId="635B3E25" w14:textId="77777777" w:rsidR="00030C2B" w:rsidRPr="00030C2B" w:rsidRDefault="00030C2B" w:rsidP="00030C2B">
      <w:pPr>
        <w:spacing w:before="240" w:line="360" w:lineRule="auto"/>
        <w:jc w:val="both"/>
        <w:rPr>
          <w:rFonts w:ascii="Arial" w:hAnsi="Arial" w:cs="Arial"/>
          <w:bCs/>
          <w:sz w:val="24"/>
          <w:szCs w:val="24"/>
          <w:lang w:val="en-US"/>
        </w:rPr>
      </w:pPr>
      <w:r w:rsidRPr="00030C2B">
        <w:rPr>
          <w:rFonts w:ascii="Arial" w:hAnsi="Arial" w:cs="Arial"/>
          <w:bCs/>
          <w:sz w:val="24"/>
          <w:szCs w:val="24"/>
          <w:lang w:val="en-US"/>
        </w:rPr>
        <w:t>Project C is selected due to its higher performance, according to the most important financial indicators, and its correspondence to the restructuring requirements of GE at the moment.</w:t>
      </w:r>
    </w:p>
    <w:p w14:paraId="3E6BF073" w14:textId="598663E9" w:rsidR="00030C2B" w:rsidRPr="00030C2B" w:rsidRDefault="00466D95" w:rsidP="00030C2B">
      <w:pPr>
        <w:spacing w:before="240" w:line="360" w:lineRule="auto"/>
        <w:jc w:val="both"/>
        <w:rPr>
          <w:rFonts w:ascii="Arial" w:hAnsi="Arial" w:cs="Arial"/>
          <w:b/>
          <w:sz w:val="24"/>
          <w:szCs w:val="24"/>
          <w:lang w:val="en-US"/>
        </w:rPr>
      </w:pPr>
      <w:r w:rsidRPr="00466D95">
        <w:rPr>
          <w:rFonts w:ascii="Arial" w:hAnsi="Arial" w:cs="Arial"/>
          <w:b/>
          <w:sz w:val="24"/>
          <w:szCs w:val="24"/>
          <w:lang w:val="en-US"/>
        </w:rPr>
        <w:t>1. Reference</w:t>
      </w:r>
      <w:r w:rsidR="00030C2B" w:rsidRPr="00030C2B">
        <w:rPr>
          <w:rFonts w:ascii="Arial" w:hAnsi="Arial" w:cs="Arial"/>
          <w:b/>
          <w:sz w:val="24"/>
          <w:szCs w:val="24"/>
          <w:lang w:val="en-US"/>
        </w:rPr>
        <w:t xml:space="preserve"> to Financial Performance (Profitability and Liquidity)</w:t>
      </w:r>
    </w:p>
    <w:p w14:paraId="4DF451E7" w14:textId="77777777" w:rsidR="00030C2B" w:rsidRPr="00030C2B" w:rsidRDefault="00030C2B" w:rsidP="00030C2B">
      <w:pPr>
        <w:spacing w:before="240" w:line="360" w:lineRule="auto"/>
        <w:jc w:val="both"/>
        <w:rPr>
          <w:rFonts w:ascii="Arial" w:hAnsi="Arial" w:cs="Arial"/>
          <w:bCs/>
          <w:sz w:val="24"/>
          <w:szCs w:val="24"/>
          <w:lang w:val="en-US"/>
        </w:rPr>
      </w:pPr>
      <w:r w:rsidRPr="00030C2B">
        <w:rPr>
          <w:rFonts w:ascii="Arial" w:hAnsi="Arial" w:cs="Arial"/>
          <w:bCs/>
          <w:sz w:val="24"/>
          <w:szCs w:val="24"/>
          <w:lang w:val="en-US"/>
        </w:rPr>
        <w:t xml:space="preserve">The financial performance of GE of late is </w:t>
      </w:r>
      <w:proofErr w:type="spellStart"/>
      <w:r w:rsidRPr="00030C2B">
        <w:rPr>
          <w:rFonts w:ascii="Arial" w:hAnsi="Arial" w:cs="Arial"/>
          <w:bCs/>
          <w:sz w:val="24"/>
          <w:szCs w:val="24"/>
          <w:lang w:val="en-US"/>
        </w:rPr>
        <w:t>characterised</w:t>
      </w:r>
      <w:proofErr w:type="spellEnd"/>
      <w:r w:rsidRPr="00030C2B">
        <w:rPr>
          <w:rFonts w:ascii="Arial" w:hAnsi="Arial" w:cs="Arial"/>
          <w:bCs/>
          <w:sz w:val="24"/>
          <w:szCs w:val="24"/>
          <w:lang w:val="en-US"/>
        </w:rPr>
        <w:t xml:space="preserve"> by severe weaknesses in the capital structure, as shown by the values of the Debt-to-Equity Ratio of 1.11 and Return on Equity (ROE) of -15.69%.</w:t>
      </w:r>
    </w:p>
    <w:p w14:paraId="30F6FADD" w14:textId="77777777" w:rsidR="00030C2B" w:rsidRPr="00355497" w:rsidRDefault="00030C2B" w:rsidP="00355497">
      <w:pPr>
        <w:pStyle w:val="ListParagraph"/>
        <w:numPr>
          <w:ilvl w:val="0"/>
          <w:numId w:val="19"/>
        </w:numPr>
        <w:spacing w:before="240" w:line="360" w:lineRule="auto"/>
        <w:jc w:val="both"/>
        <w:rPr>
          <w:rFonts w:ascii="Arial" w:hAnsi="Arial" w:cs="Arial"/>
          <w:bCs/>
          <w:sz w:val="24"/>
          <w:szCs w:val="24"/>
          <w:lang w:val="en-US"/>
        </w:rPr>
      </w:pPr>
      <w:proofErr w:type="spellStart"/>
      <w:r w:rsidRPr="00355497">
        <w:rPr>
          <w:rFonts w:ascii="Arial" w:hAnsi="Arial" w:cs="Arial"/>
          <w:b/>
          <w:sz w:val="24"/>
          <w:szCs w:val="24"/>
          <w:lang w:val="en-US"/>
        </w:rPr>
        <w:t>Maximising</w:t>
      </w:r>
      <w:proofErr w:type="spellEnd"/>
      <w:r w:rsidRPr="00355497">
        <w:rPr>
          <w:rFonts w:ascii="Arial" w:hAnsi="Arial" w:cs="Arial"/>
          <w:b/>
          <w:sz w:val="24"/>
          <w:szCs w:val="24"/>
          <w:lang w:val="en-US"/>
        </w:rPr>
        <w:t xml:space="preserve"> Profitability (NPV and PI):</w:t>
      </w:r>
      <w:r w:rsidRPr="00355497">
        <w:rPr>
          <w:rFonts w:ascii="Arial" w:hAnsi="Arial" w:cs="Arial"/>
          <w:bCs/>
          <w:sz w:val="24"/>
          <w:szCs w:val="24"/>
          <w:lang w:val="en-US"/>
        </w:rPr>
        <w:t xml:space="preserve"> This is the ultimate aim of the restructuring to recover profitability and to </w:t>
      </w:r>
      <w:proofErr w:type="spellStart"/>
      <w:r w:rsidRPr="00355497">
        <w:rPr>
          <w:rFonts w:ascii="Arial" w:hAnsi="Arial" w:cs="Arial"/>
          <w:bCs/>
          <w:sz w:val="24"/>
          <w:szCs w:val="24"/>
          <w:lang w:val="en-US"/>
        </w:rPr>
        <w:t>maximise</w:t>
      </w:r>
      <w:proofErr w:type="spellEnd"/>
      <w:r w:rsidRPr="00355497">
        <w:rPr>
          <w:rFonts w:ascii="Arial" w:hAnsi="Arial" w:cs="Arial"/>
          <w:bCs/>
          <w:sz w:val="24"/>
          <w:szCs w:val="24"/>
          <w:lang w:val="en-US"/>
        </w:rPr>
        <w:t xml:space="preserve"> shareholder wealth. The project C provides the greatest absolute NPV (£12.39m) and the greatest PI (1.25). It implies that Project C is the most value-accretive employment of the limited capital of GE, which will bring the highest profit per pound invested (</w:t>
      </w:r>
      <w:proofErr w:type="spellStart"/>
      <w:r w:rsidRPr="00355497">
        <w:rPr>
          <w:rFonts w:ascii="Arial" w:hAnsi="Arial" w:cs="Arial"/>
          <w:bCs/>
          <w:sz w:val="24"/>
          <w:szCs w:val="24"/>
          <w:lang w:val="en-US"/>
        </w:rPr>
        <w:t>AnalystPrep</w:t>
      </w:r>
      <w:proofErr w:type="spellEnd"/>
      <w:r w:rsidRPr="00355497">
        <w:rPr>
          <w:rFonts w:ascii="Arial" w:hAnsi="Arial" w:cs="Arial"/>
          <w:bCs/>
          <w:sz w:val="24"/>
          <w:szCs w:val="24"/>
          <w:lang w:val="en-US"/>
        </w:rPr>
        <w:t>, 2019). This is a direct force against the shareholder value destruction, which is reflected by the negative value of ROE.</w:t>
      </w:r>
    </w:p>
    <w:p w14:paraId="0E02B200" w14:textId="1D66FD1A" w:rsidR="00030C2B" w:rsidRPr="00355497" w:rsidRDefault="00030C2B" w:rsidP="00355497">
      <w:pPr>
        <w:pStyle w:val="ListParagraph"/>
        <w:numPr>
          <w:ilvl w:val="0"/>
          <w:numId w:val="19"/>
        </w:numPr>
        <w:spacing w:before="240" w:line="360" w:lineRule="auto"/>
        <w:jc w:val="both"/>
        <w:rPr>
          <w:rFonts w:ascii="Arial" w:hAnsi="Arial" w:cs="Arial"/>
          <w:bCs/>
          <w:sz w:val="24"/>
          <w:szCs w:val="24"/>
          <w:lang w:val="en-US"/>
        </w:rPr>
      </w:pPr>
      <w:r w:rsidRPr="00355497">
        <w:rPr>
          <w:rFonts w:ascii="Arial" w:hAnsi="Arial" w:cs="Arial"/>
          <w:b/>
          <w:sz w:val="24"/>
          <w:szCs w:val="24"/>
          <w:lang w:val="en-US"/>
        </w:rPr>
        <w:t>Attending to Liquidity (PBP):</w:t>
      </w:r>
      <w:r w:rsidRPr="00355497">
        <w:rPr>
          <w:rFonts w:ascii="Arial" w:hAnsi="Arial" w:cs="Arial"/>
          <w:bCs/>
          <w:sz w:val="24"/>
          <w:szCs w:val="24"/>
          <w:lang w:val="en-US"/>
        </w:rPr>
        <w:t xml:space="preserve"> The present short-term liquidity is low; thus, the value of the Quick Ratio is less than one. Although project C has a slightly shorter payback period of 3.50 years compared to project A (which has a payback period of 3.57 years), both have a comparatively shorter payback period than the project life. The payback period of 3.50 years will pay back the initial investment fairly soon and will create internal cash flow that will be sufficient to pay debt and decrease the dependence on changing the Lines of Credit (</w:t>
      </w:r>
      <w:proofErr w:type="spellStart"/>
      <w:r w:rsidRPr="00355497">
        <w:rPr>
          <w:rFonts w:ascii="Arial" w:hAnsi="Arial" w:cs="Arial"/>
          <w:bCs/>
          <w:sz w:val="24"/>
          <w:szCs w:val="24"/>
          <w:lang w:val="en-US"/>
        </w:rPr>
        <w:t>LegalVision</w:t>
      </w:r>
      <w:proofErr w:type="spellEnd"/>
      <w:r w:rsidRPr="00355497">
        <w:rPr>
          <w:rFonts w:ascii="Arial" w:hAnsi="Arial" w:cs="Arial"/>
          <w:bCs/>
          <w:sz w:val="24"/>
          <w:szCs w:val="24"/>
          <w:lang w:val="en-US"/>
        </w:rPr>
        <w:t xml:space="preserve"> UK, 2025).</w:t>
      </w:r>
    </w:p>
    <w:p w14:paraId="187368F1" w14:textId="284E7C0C" w:rsidR="00030C2B" w:rsidRPr="00030C2B" w:rsidRDefault="00355497" w:rsidP="00030C2B">
      <w:pPr>
        <w:spacing w:before="240" w:line="360" w:lineRule="auto"/>
        <w:jc w:val="both"/>
        <w:rPr>
          <w:rFonts w:ascii="Arial" w:hAnsi="Arial" w:cs="Arial"/>
          <w:b/>
          <w:sz w:val="24"/>
          <w:szCs w:val="24"/>
          <w:lang w:val="en-US"/>
        </w:rPr>
      </w:pPr>
      <w:r w:rsidRPr="00355497">
        <w:rPr>
          <w:rFonts w:ascii="Arial" w:hAnsi="Arial" w:cs="Arial"/>
          <w:b/>
          <w:sz w:val="24"/>
          <w:szCs w:val="24"/>
          <w:lang w:val="en-US"/>
        </w:rPr>
        <w:t>2.</w:t>
      </w:r>
      <w:r w:rsidR="00030C2B" w:rsidRPr="00030C2B">
        <w:rPr>
          <w:rFonts w:ascii="Arial" w:hAnsi="Arial" w:cs="Arial"/>
          <w:b/>
          <w:sz w:val="24"/>
          <w:szCs w:val="24"/>
          <w:lang w:val="en-US"/>
        </w:rPr>
        <w:t xml:space="preserve"> Forecasted Risk Characteristics (Cash Flow Volatility)</w:t>
      </w:r>
    </w:p>
    <w:p w14:paraId="1E8DAF35" w14:textId="32DB753D" w:rsidR="00030C2B" w:rsidRPr="00030C2B" w:rsidRDefault="00030C2B" w:rsidP="00030C2B">
      <w:pPr>
        <w:spacing w:before="240" w:line="360" w:lineRule="auto"/>
        <w:jc w:val="both"/>
        <w:rPr>
          <w:rFonts w:ascii="Arial" w:hAnsi="Arial" w:cs="Arial"/>
          <w:bCs/>
          <w:sz w:val="24"/>
          <w:szCs w:val="24"/>
          <w:lang w:val="en-US"/>
        </w:rPr>
      </w:pPr>
      <w:r w:rsidRPr="00030C2B">
        <w:rPr>
          <w:rFonts w:ascii="Arial" w:hAnsi="Arial" w:cs="Arial"/>
          <w:bCs/>
          <w:sz w:val="24"/>
          <w:szCs w:val="24"/>
          <w:lang w:val="en-US"/>
        </w:rPr>
        <w:t>Considering the uncertain financial situation and significant risk of impairment of the Goodwill in past investments by the company, GE should invest in low-risk ventures with predictable returns. Project C has a heavier back-loaded cash flow profile (inflows of getting £20m, £25m, £15m in years 3-5) than Project A (14m, 10m, 8m), so the returns it gives will be exposed to greater execution risk in the later years.</w:t>
      </w:r>
    </w:p>
    <w:p w14:paraId="3C874CEF" w14:textId="77777777" w:rsidR="00030C2B" w:rsidRPr="00030C2B" w:rsidRDefault="00030C2B" w:rsidP="00030C2B">
      <w:pPr>
        <w:spacing w:before="240" w:line="360" w:lineRule="auto"/>
        <w:jc w:val="both"/>
        <w:rPr>
          <w:rFonts w:ascii="Arial" w:hAnsi="Arial" w:cs="Arial"/>
          <w:bCs/>
          <w:sz w:val="24"/>
          <w:szCs w:val="24"/>
          <w:lang w:val="en-US"/>
        </w:rPr>
      </w:pPr>
      <w:r w:rsidRPr="00030C2B">
        <w:rPr>
          <w:rFonts w:ascii="Arial" w:hAnsi="Arial" w:cs="Arial"/>
          <w:bCs/>
          <w:sz w:val="24"/>
          <w:szCs w:val="24"/>
          <w:lang w:val="en-US"/>
        </w:rPr>
        <w:lastRenderedPageBreak/>
        <w:t>The mitigation of the risk is, however, as follows:</w:t>
      </w:r>
    </w:p>
    <w:p w14:paraId="2D9F4E02" w14:textId="6F1EB7D1" w:rsidR="00030C2B" w:rsidRPr="00A94490" w:rsidRDefault="00030C2B" w:rsidP="00A94490">
      <w:pPr>
        <w:pStyle w:val="ListParagraph"/>
        <w:numPr>
          <w:ilvl w:val="0"/>
          <w:numId w:val="20"/>
        </w:numPr>
        <w:spacing w:before="240" w:line="360" w:lineRule="auto"/>
        <w:jc w:val="both"/>
        <w:rPr>
          <w:rFonts w:ascii="Arial" w:hAnsi="Arial" w:cs="Arial"/>
          <w:bCs/>
          <w:sz w:val="24"/>
          <w:szCs w:val="24"/>
          <w:lang w:val="en-US"/>
        </w:rPr>
      </w:pPr>
      <w:r w:rsidRPr="00A94490">
        <w:rPr>
          <w:rFonts w:ascii="Arial" w:hAnsi="Arial" w:cs="Arial"/>
          <w:b/>
          <w:sz w:val="24"/>
          <w:szCs w:val="24"/>
          <w:lang w:val="en-US"/>
        </w:rPr>
        <w:t>IRR Buffer:</w:t>
      </w:r>
      <w:r w:rsidRPr="00A94490">
        <w:rPr>
          <w:rFonts w:ascii="Arial" w:hAnsi="Arial" w:cs="Arial"/>
          <w:bCs/>
          <w:sz w:val="24"/>
          <w:szCs w:val="24"/>
          <w:lang w:val="en-US"/>
        </w:rPr>
        <w:t xml:space="preserve"> The IRR of the project C of 18.46% has a higher safety margin over the discount rate of 10</w:t>
      </w:r>
      <w:r w:rsidR="00085C37">
        <w:rPr>
          <w:rFonts w:ascii="Arial" w:hAnsi="Arial" w:cs="Arial"/>
          <w:bCs/>
          <w:sz w:val="24"/>
          <w:szCs w:val="24"/>
          <w:lang w:val="en-US"/>
        </w:rPr>
        <w:t>%</w:t>
      </w:r>
      <w:r w:rsidRPr="00A94490">
        <w:rPr>
          <w:rFonts w:ascii="Arial" w:hAnsi="Arial" w:cs="Arial"/>
          <w:bCs/>
          <w:sz w:val="24"/>
          <w:szCs w:val="24"/>
          <w:lang w:val="en-US"/>
        </w:rPr>
        <w:t xml:space="preserve"> than that of Project A of 16.89%. This implies that the actual cash flows of Project C can reduce by a higher percentage, and then the project is unprofitable (NPV &lt; 0). This excessive IRR buffer is critical to GE, which cannot afford another bad investment.</w:t>
      </w:r>
    </w:p>
    <w:p w14:paraId="53806CC1" w14:textId="283549EB" w:rsidR="00030C2B" w:rsidRPr="00A94490" w:rsidRDefault="00030C2B" w:rsidP="00A94490">
      <w:pPr>
        <w:pStyle w:val="ListParagraph"/>
        <w:numPr>
          <w:ilvl w:val="0"/>
          <w:numId w:val="20"/>
        </w:numPr>
        <w:spacing w:before="240" w:line="360" w:lineRule="auto"/>
        <w:jc w:val="both"/>
        <w:rPr>
          <w:rFonts w:ascii="Arial" w:hAnsi="Arial" w:cs="Arial"/>
          <w:bCs/>
          <w:sz w:val="24"/>
          <w:szCs w:val="24"/>
          <w:lang w:val="en-US"/>
        </w:rPr>
      </w:pPr>
      <w:r w:rsidRPr="00A94490">
        <w:rPr>
          <w:rFonts w:ascii="Arial" w:hAnsi="Arial" w:cs="Arial"/>
          <w:b/>
          <w:sz w:val="24"/>
          <w:szCs w:val="24"/>
          <w:lang w:val="en-US"/>
        </w:rPr>
        <w:t>NPV Reliability:</w:t>
      </w:r>
      <w:r w:rsidRPr="00A94490">
        <w:rPr>
          <w:rFonts w:ascii="Arial" w:hAnsi="Arial" w:cs="Arial"/>
          <w:bCs/>
          <w:sz w:val="24"/>
          <w:szCs w:val="24"/>
          <w:lang w:val="en-US"/>
        </w:rPr>
        <w:t xml:space="preserve"> Since the implicit assumptions of the method take cash flows to be reinvested at the cost of the risk of the company, the most realistic (10</w:t>
      </w:r>
      <w:r w:rsidR="00A94490" w:rsidRPr="00A94490">
        <w:rPr>
          <w:rFonts w:ascii="Arial" w:hAnsi="Arial" w:cs="Arial"/>
          <w:bCs/>
          <w:sz w:val="24"/>
          <w:szCs w:val="24"/>
          <w:lang w:val="en-US"/>
        </w:rPr>
        <w:t>%</w:t>
      </w:r>
      <w:r w:rsidRPr="00A94490">
        <w:rPr>
          <w:rFonts w:ascii="Arial" w:hAnsi="Arial" w:cs="Arial"/>
          <w:bCs/>
          <w:sz w:val="24"/>
          <w:szCs w:val="24"/>
          <w:lang w:val="en-US"/>
        </w:rPr>
        <w:t>) cost of capital of the company, and the high value of the NPV figure of Project C, it is the most reliable value creation indicator. It outperforms the IRR method, which will use cash flows reinvested at the high figure of the project's IRR (18.46), an unrealistic assumption in the capital-constrained environment of GE (</w:t>
      </w:r>
      <w:proofErr w:type="spellStart"/>
      <w:r w:rsidRPr="00A94490">
        <w:rPr>
          <w:rFonts w:ascii="Arial" w:hAnsi="Arial" w:cs="Arial"/>
          <w:bCs/>
          <w:sz w:val="24"/>
          <w:szCs w:val="24"/>
          <w:lang w:val="en-US"/>
        </w:rPr>
        <w:t>AnalystPrep</w:t>
      </w:r>
      <w:proofErr w:type="spellEnd"/>
      <w:r w:rsidRPr="00A94490">
        <w:rPr>
          <w:rFonts w:ascii="Arial" w:hAnsi="Arial" w:cs="Arial"/>
          <w:bCs/>
          <w:sz w:val="24"/>
          <w:szCs w:val="24"/>
          <w:lang w:val="en-US"/>
        </w:rPr>
        <w:t>, 2019).</w:t>
      </w:r>
    </w:p>
    <w:p w14:paraId="00D913A4" w14:textId="09CC938F" w:rsidR="00030C2B" w:rsidRPr="00030C2B" w:rsidRDefault="00030C2B" w:rsidP="00030C2B">
      <w:pPr>
        <w:spacing w:before="240" w:line="360" w:lineRule="auto"/>
        <w:jc w:val="both"/>
        <w:rPr>
          <w:rFonts w:ascii="Arial" w:hAnsi="Arial" w:cs="Arial"/>
          <w:b/>
          <w:sz w:val="24"/>
          <w:szCs w:val="24"/>
          <w:lang w:val="en-US"/>
        </w:rPr>
      </w:pPr>
      <w:r w:rsidRPr="00030C2B">
        <w:rPr>
          <w:rFonts w:ascii="Arial" w:hAnsi="Arial" w:cs="Arial"/>
          <w:b/>
          <w:sz w:val="24"/>
          <w:szCs w:val="24"/>
          <w:lang w:val="en-US"/>
        </w:rPr>
        <w:t>3</w:t>
      </w:r>
      <w:r w:rsidR="00D2667D" w:rsidRPr="00D2667D">
        <w:rPr>
          <w:rFonts w:ascii="Arial" w:hAnsi="Arial" w:cs="Arial"/>
          <w:b/>
          <w:sz w:val="24"/>
          <w:szCs w:val="24"/>
          <w:lang w:val="en-US"/>
        </w:rPr>
        <w:t>.</w:t>
      </w:r>
      <w:r w:rsidRPr="00030C2B">
        <w:rPr>
          <w:rFonts w:ascii="Arial" w:hAnsi="Arial" w:cs="Arial"/>
          <w:b/>
          <w:sz w:val="24"/>
          <w:szCs w:val="24"/>
          <w:lang w:val="en-US"/>
        </w:rPr>
        <w:t xml:space="preserve"> Strategy and Ethical </w:t>
      </w:r>
      <w:r w:rsidR="00901D93" w:rsidRPr="00030C2B">
        <w:rPr>
          <w:rFonts w:ascii="Arial" w:hAnsi="Arial" w:cs="Arial"/>
          <w:b/>
          <w:sz w:val="24"/>
          <w:szCs w:val="24"/>
          <w:lang w:val="en-US"/>
        </w:rPr>
        <w:t>Defense</w:t>
      </w:r>
    </w:p>
    <w:p w14:paraId="22D320CB" w14:textId="77777777" w:rsidR="00030C2B" w:rsidRPr="00030C2B" w:rsidRDefault="00030C2B" w:rsidP="00030C2B">
      <w:pPr>
        <w:spacing w:before="240" w:line="360" w:lineRule="auto"/>
        <w:jc w:val="both"/>
        <w:rPr>
          <w:rFonts w:ascii="Arial" w:hAnsi="Arial" w:cs="Arial"/>
          <w:bCs/>
          <w:sz w:val="24"/>
          <w:szCs w:val="24"/>
          <w:lang w:val="en-US"/>
        </w:rPr>
      </w:pPr>
      <w:r w:rsidRPr="00030C2B">
        <w:rPr>
          <w:rFonts w:ascii="Arial" w:hAnsi="Arial" w:cs="Arial"/>
          <w:bCs/>
          <w:sz w:val="24"/>
          <w:szCs w:val="24"/>
          <w:lang w:val="en-US"/>
        </w:rPr>
        <w:t>The value-accretive investment in Project C, which is highly strategic, is the best fit in the turnaround plan since emphasis was put on the best opportunities to generate maximum returns. This is a discriminatory strategy referred to as the Soft Capital Rationing which is a wise financial strategy embraced by businesses to:</w:t>
      </w:r>
    </w:p>
    <w:p w14:paraId="189DD7A7" w14:textId="04451EC3" w:rsidR="00030C2B" w:rsidRPr="0021137A" w:rsidRDefault="00030C2B" w:rsidP="0021137A">
      <w:pPr>
        <w:pStyle w:val="ListParagraph"/>
        <w:numPr>
          <w:ilvl w:val="0"/>
          <w:numId w:val="21"/>
        </w:numPr>
        <w:spacing w:before="240" w:line="360" w:lineRule="auto"/>
        <w:jc w:val="both"/>
        <w:rPr>
          <w:rFonts w:ascii="Arial" w:hAnsi="Arial" w:cs="Arial"/>
          <w:bCs/>
          <w:sz w:val="24"/>
          <w:szCs w:val="24"/>
          <w:lang w:val="en-US"/>
        </w:rPr>
      </w:pPr>
      <w:proofErr w:type="spellStart"/>
      <w:r w:rsidRPr="0021137A">
        <w:rPr>
          <w:rFonts w:ascii="Arial" w:hAnsi="Arial" w:cs="Arial"/>
          <w:b/>
          <w:sz w:val="24"/>
          <w:szCs w:val="24"/>
          <w:lang w:val="en-US"/>
        </w:rPr>
        <w:t>Minimise</w:t>
      </w:r>
      <w:proofErr w:type="spellEnd"/>
      <w:r w:rsidRPr="0021137A">
        <w:rPr>
          <w:rFonts w:ascii="Arial" w:hAnsi="Arial" w:cs="Arial"/>
          <w:b/>
          <w:sz w:val="24"/>
          <w:szCs w:val="24"/>
          <w:lang w:val="en-US"/>
        </w:rPr>
        <w:t xml:space="preserve"> Risk:</w:t>
      </w:r>
      <w:r w:rsidRPr="0021137A">
        <w:rPr>
          <w:rFonts w:ascii="Arial" w:hAnsi="Arial" w:cs="Arial"/>
          <w:bCs/>
          <w:sz w:val="24"/>
          <w:szCs w:val="24"/>
          <w:lang w:val="en-US"/>
        </w:rPr>
        <w:t xml:space="preserve"> It is necessary to </w:t>
      </w:r>
      <w:proofErr w:type="spellStart"/>
      <w:r w:rsidRPr="0021137A">
        <w:rPr>
          <w:rFonts w:ascii="Arial" w:hAnsi="Arial" w:cs="Arial"/>
          <w:bCs/>
          <w:sz w:val="24"/>
          <w:szCs w:val="24"/>
          <w:lang w:val="en-US"/>
        </w:rPr>
        <w:t>minimise</w:t>
      </w:r>
      <w:proofErr w:type="spellEnd"/>
      <w:r w:rsidRPr="0021137A">
        <w:rPr>
          <w:rFonts w:ascii="Arial" w:hAnsi="Arial" w:cs="Arial"/>
          <w:bCs/>
          <w:sz w:val="24"/>
          <w:szCs w:val="24"/>
          <w:lang w:val="en-US"/>
        </w:rPr>
        <w:t xml:space="preserve"> the risk of spending money and investing in low-paying projects in recent times due to the impact of the recent Net Losses and the perception of the market that the company had after the Goodwill Impairment (Investopedia, 2025).</w:t>
      </w:r>
    </w:p>
    <w:p w14:paraId="7A66E0B8" w14:textId="77777777" w:rsidR="00030C2B" w:rsidRPr="0021137A" w:rsidRDefault="00030C2B" w:rsidP="0021137A">
      <w:pPr>
        <w:pStyle w:val="ListParagraph"/>
        <w:numPr>
          <w:ilvl w:val="0"/>
          <w:numId w:val="21"/>
        </w:numPr>
        <w:spacing w:before="240" w:line="360" w:lineRule="auto"/>
        <w:jc w:val="both"/>
        <w:rPr>
          <w:rFonts w:ascii="Arial" w:hAnsi="Arial" w:cs="Arial"/>
          <w:bCs/>
          <w:sz w:val="24"/>
          <w:szCs w:val="24"/>
          <w:lang w:val="en-US"/>
        </w:rPr>
      </w:pPr>
      <w:r w:rsidRPr="0021137A">
        <w:rPr>
          <w:rFonts w:ascii="Arial" w:hAnsi="Arial" w:cs="Arial"/>
          <w:b/>
          <w:sz w:val="24"/>
          <w:szCs w:val="24"/>
          <w:lang w:val="en-US"/>
        </w:rPr>
        <w:t>Strategic Focus:</w:t>
      </w:r>
      <w:r w:rsidRPr="0021137A">
        <w:rPr>
          <w:rFonts w:ascii="Arial" w:hAnsi="Arial" w:cs="Arial"/>
          <w:bCs/>
          <w:sz w:val="24"/>
          <w:szCs w:val="24"/>
          <w:lang w:val="en-US"/>
        </w:rPr>
        <w:t xml:space="preserve"> The limited capital is directed to projects that will form the core competency of GE in the future (e.g., the proposed AI-integrated wearables or digital platforms) so that the firm can compete in the high-margin segments (Teece, 2020).</w:t>
      </w:r>
    </w:p>
    <w:p w14:paraId="3DAFEBCC" w14:textId="2A8D269D" w:rsidR="003560E1" w:rsidRPr="00E41745" w:rsidRDefault="00030C2B" w:rsidP="00E41745">
      <w:pPr>
        <w:spacing w:before="240" w:line="360" w:lineRule="auto"/>
        <w:jc w:val="both"/>
        <w:rPr>
          <w:rFonts w:ascii="Arial" w:hAnsi="Arial" w:cs="Arial"/>
          <w:bCs/>
          <w:sz w:val="24"/>
          <w:szCs w:val="24"/>
          <w:lang w:val="en-US"/>
        </w:rPr>
      </w:pPr>
      <w:r w:rsidRPr="00030C2B">
        <w:rPr>
          <w:rFonts w:ascii="Arial" w:hAnsi="Arial" w:cs="Arial"/>
          <w:bCs/>
          <w:sz w:val="24"/>
          <w:szCs w:val="24"/>
          <w:lang w:val="en-US"/>
        </w:rPr>
        <w:t xml:space="preserve">The remaining amount of the budget, which is </w:t>
      </w:r>
      <w:r w:rsidR="003560E1">
        <w:rPr>
          <w:rFonts w:ascii="Arial" w:hAnsi="Arial" w:cs="Arial"/>
          <w:bCs/>
          <w:sz w:val="24"/>
          <w:szCs w:val="24"/>
          <w:lang w:val="en-US"/>
        </w:rPr>
        <w:t>£</w:t>
      </w:r>
      <w:r w:rsidRPr="00030C2B">
        <w:rPr>
          <w:rFonts w:ascii="Arial" w:hAnsi="Arial" w:cs="Arial"/>
          <w:bCs/>
          <w:sz w:val="24"/>
          <w:szCs w:val="24"/>
          <w:lang w:val="en-US"/>
        </w:rPr>
        <w:t xml:space="preserve">10 million, should be kept as a cash reserve (instead of being subjected to a </w:t>
      </w:r>
      <w:r w:rsidR="0021137A" w:rsidRPr="00030C2B">
        <w:rPr>
          <w:rFonts w:ascii="Arial" w:hAnsi="Arial" w:cs="Arial"/>
          <w:bCs/>
          <w:sz w:val="24"/>
          <w:szCs w:val="24"/>
          <w:lang w:val="en-US"/>
        </w:rPr>
        <w:t>less-than-optimal</w:t>
      </w:r>
      <w:r w:rsidRPr="00030C2B">
        <w:rPr>
          <w:rFonts w:ascii="Arial" w:hAnsi="Arial" w:cs="Arial"/>
          <w:bCs/>
          <w:sz w:val="24"/>
          <w:szCs w:val="24"/>
          <w:lang w:val="en-US"/>
        </w:rPr>
        <w:t xml:space="preserve"> investment) in order to enhance the short-term liquidity of the firm (Quick Ratio) and act as a buffer against unforeseen operational requirements (CFI, 2025).</w:t>
      </w:r>
    </w:p>
    <w:p w14:paraId="575EB617" w14:textId="3E618173" w:rsidR="00CD4561" w:rsidRPr="003227C7" w:rsidRDefault="00CD4561" w:rsidP="00CD4561">
      <w:pPr>
        <w:pStyle w:val="Heading1"/>
      </w:pPr>
      <w:bookmarkStart w:id="39" w:name="_Toc214748976"/>
      <w:r w:rsidRPr="003227C7">
        <w:lastRenderedPageBreak/>
        <w:t>Conclusion</w:t>
      </w:r>
      <w:bookmarkEnd w:id="39"/>
    </w:p>
    <w:p w14:paraId="677C664C" w14:textId="17B0699A" w:rsidR="00CD4561" w:rsidRPr="0047706E" w:rsidRDefault="00E02195" w:rsidP="00E02195">
      <w:pPr>
        <w:spacing w:before="240" w:line="360" w:lineRule="auto"/>
        <w:jc w:val="both"/>
        <w:rPr>
          <w:rFonts w:ascii="Arial" w:hAnsi="Arial" w:cs="Arial"/>
          <w:sz w:val="24"/>
          <w:szCs w:val="24"/>
          <w:lang w:val="en-US"/>
        </w:rPr>
      </w:pPr>
      <w:r w:rsidRPr="00E02195">
        <w:rPr>
          <w:rFonts w:ascii="Arial" w:hAnsi="Arial" w:cs="Arial"/>
          <w:sz w:val="24"/>
          <w:szCs w:val="24"/>
          <w:lang w:val="en-US"/>
        </w:rPr>
        <w:t xml:space="preserve">The overall financial analysis indicates that General Electronics (GE) is financially precarious with negative ROE, a value of the D/E ratio exceeding 1.1, and a very perilous value of the Altman Z-score. The company needs urgent intervention in the form of a financial restructuring and WCM restructuring. The strategic plan will require the sale of non-core assets to raise funds to clear the debts and abandon the short-term financing that is not volatile. Project C (PI: 1.25) is the only project that has been recommended in the investment appraisal in terms of capital rationing since it will create the greatest value per pound invested. Implementation of this plan is important in ensuring that the balance sheet is </w:t>
      </w:r>
      <w:proofErr w:type="spellStart"/>
      <w:r w:rsidRPr="00E02195">
        <w:rPr>
          <w:rFonts w:ascii="Arial" w:hAnsi="Arial" w:cs="Arial"/>
          <w:sz w:val="24"/>
          <w:szCs w:val="24"/>
          <w:lang w:val="en-US"/>
        </w:rPr>
        <w:t>stabilised</w:t>
      </w:r>
      <w:proofErr w:type="spellEnd"/>
      <w:r w:rsidRPr="00E02195">
        <w:rPr>
          <w:rFonts w:ascii="Arial" w:hAnsi="Arial" w:cs="Arial"/>
          <w:sz w:val="24"/>
          <w:szCs w:val="24"/>
          <w:lang w:val="en-US"/>
        </w:rPr>
        <w:t>, investor confidence is restored, and GE is guaranteed a future in the competitive consumer electronics market.</w:t>
      </w:r>
      <w:r w:rsidR="00CD4561" w:rsidRPr="003227C7">
        <w:rPr>
          <w:rFonts w:ascii="Arial" w:hAnsi="Arial" w:cs="Arial"/>
          <w:sz w:val="24"/>
          <w:szCs w:val="24"/>
        </w:rPr>
        <w:br w:type="page"/>
      </w:r>
    </w:p>
    <w:p w14:paraId="2A6D5890" w14:textId="77777777" w:rsidR="00CD4561" w:rsidRPr="003227C7" w:rsidRDefault="00CD4561" w:rsidP="00CD4561">
      <w:pPr>
        <w:pStyle w:val="Heading1"/>
      </w:pPr>
      <w:bookmarkStart w:id="40" w:name="_Toc214748977"/>
      <w:r w:rsidRPr="003227C7">
        <w:lastRenderedPageBreak/>
        <w:t>Reference</w:t>
      </w:r>
      <w:bookmarkEnd w:id="40"/>
    </w:p>
    <w:p w14:paraId="3F24F561" w14:textId="77777777" w:rsidR="00541A7B" w:rsidRPr="00541A7B" w:rsidRDefault="00541A7B" w:rsidP="00901D93">
      <w:pPr>
        <w:pStyle w:val="NormalWeb"/>
        <w:spacing w:line="360" w:lineRule="auto"/>
        <w:jc w:val="both"/>
        <w:rPr>
          <w:rFonts w:ascii="Arial" w:hAnsi="Arial" w:cs="Arial"/>
          <w:lang w:val="en-US"/>
        </w:rPr>
      </w:pPr>
      <w:r w:rsidRPr="00541A7B">
        <w:rPr>
          <w:rFonts w:ascii="Arial" w:hAnsi="Arial" w:cs="Arial"/>
          <w:lang w:val="en-US"/>
        </w:rPr>
        <w:t xml:space="preserve">Altman, E.I. (2020) ‘A fifty-year retrospective on credit risk models, the Altman Z-score family of models and their applications to financial market’, </w:t>
      </w:r>
      <w:r w:rsidRPr="00541A7B">
        <w:rPr>
          <w:rFonts w:ascii="Arial" w:hAnsi="Arial" w:cs="Arial"/>
          <w:i/>
          <w:iCs/>
          <w:lang w:val="en-US"/>
        </w:rPr>
        <w:t>Journal of Credit Risk</w:t>
      </w:r>
      <w:r w:rsidRPr="00541A7B">
        <w:rPr>
          <w:rFonts w:ascii="Arial" w:hAnsi="Arial" w:cs="Arial"/>
          <w:lang w:val="en-US"/>
        </w:rPr>
        <w:t>, 16(3), pp. 1–32.</w:t>
      </w:r>
    </w:p>
    <w:p w14:paraId="07E65818" w14:textId="77777777" w:rsidR="00541A7B" w:rsidRPr="00541A7B" w:rsidRDefault="00541A7B" w:rsidP="00901D93">
      <w:pPr>
        <w:pStyle w:val="NormalWeb"/>
        <w:spacing w:line="360" w:lineRule="auto"/>
        <w:jc w:val="both"/>
        <w:rPr>
          <w:rFonts w:ascii="Arial" w:hAnsi="Arial" w:cs="Arial"/>
          <w:lang w:val="en-US"/>
        </w:rPr>
      </w:pPr>
      <w:r w:rsidRPr="00541A7B">
        <w:rPr>
          <w:rFonts w:ascii="Arial" w:hAnsi="Arial" w:cs="Arial"/>
          <w:lang w:val="en-US"/>
        </w:rPr>
        <w:t xml:space="preserve">Jensen, M. (2020) ‘Agency Costs of Free Cash Flow, Corporate Finance, and Takeovers’, in Zingales, L. (ed.) </w:t>
      </w:r>
      <w:r w:rsidRPr="00541A7B">
        <w:rPr>
          <w:rFonts w:ascii="Arial" w:hAnsi="Arial" w:cs="Arial"/>
          <w:i/>
          <w:iCs/>
          <w:lang w:val="en-US"/>
        </w:rPr>
        <w:t>The Economics of the Corporation</w:t>
      </w:r>
      <w:r w:rsidRPr="00541A7B">
        <w:rPr>
          <w:rFonts w:ascii="Arial" w:hAnsi="Arial" w:cs="Arial"/>
          <w:lang w:val="en-US"/>
        </w:rPr>
        <w:t>. New York: Oxford University Press.</w:t>
      </w:r>
    </w:p>
    <w:p w14:paraId="2ACE39A2" w14:textId="77777777" w:rsidR="00541A7B" w:rsidRPr="00541A7B" w:rsidRDefault="00541A7B" w:rsidP="00901D93">
      <w:pPr>
        <w:pStyle w:val="NormalWeb"/>
        <w:spacing w:line="360" w:lineRule="auto"/>
        <w:jc w:val="both"/>
        <w:rPr>
          <w:rFonts w:ascii="Arial" w:hAnsi="Arial" w:cs="Arial"/>
          <w:lang w:val="en-US"/>
        </w:rPr>
      </w:pPr>
      <w:r w:rsidRPr="00541A7B">
        <w:rPr>
          <w:rFonts w:ascii="Arial" w:hAnsi="Arial" w:cs="Arial"/>
          <w:lang w:val="en-US"/>
        </w:rPr>
        <w:t xml:space="preserve">Pratt, S.P. (2022) </w:t>
      </w:r>
      <w:r w:rsidRPr="00541A7B">
        <w:rPr>
          <w:rFonts w:ascii="Arial" w:hAnsi="Arial" w:cs="Arial"/>
          <w:i/>
          <w:iCs/>
          <w:lang w:val="en-US"/>
        </w:rPr>
        <w:t>Valuation of companies in periods of economic distress</w:t>
      </w:r>
      <w:r w:rsidRPr="00541A7B">
        <w:rPr>
          <w:rFonts w:ascii="Arial" w:hAnsi="Arial" w:cs="Arial"/>
          <w:lang w:val="en-US"/>
        </w:rPr>
        <w:t>. New York: McGraw Hill.</w:t>
      </w:r>
    </w:p>
    <w:p w14:paraId="4485B612" w14:textId="77777777" w:rsidR="00541A7B" w:rsidRPr="00541A7B" w:rsidRDefault="00541A7B" w:rsidP="00901D93">
      <w:pPr>
        <w:pStyle w:val="NormalWeb"/>
        <w:spacing w:line="360" w:lineRule="auto"/>
        <w:jc w:val="both"/>
        <w:rPr>
          <w:rFonts w:ascii="Arial" w:hAnsi="Arial" w:cs="Arial"/>
          <w:lang w:val="en-US"/>
        </w:rPr>
      </w:pPr>
      <w:r w:rsidRPr="00541A7B">
        <w:rPr>
          <w:rFonts w:ascii="Arial" w:hAnsi="Arial" w:cs="Arial"/>
          <w:lang w:val="en-US"/>
        </w:rPr>
        <w:t xml:space="preserve">Precedence Research (2023) </w:t>
      </w:r>
      <w:r w:rsidRPr="00541A7B">
        <w:rPr>
          <w:rFonts w:ascii="Arial" w:hAnsi="Arial" w:cs="Arial"/>
          <w:i/>
          <w:iCs/>
          <w:lang w:val="en-US"/>
        </w:rPr>
        <w:t>Consumer Electronics Market Size to Hit USD 1406.47 Bn by 2034</w:t>
      </w:r>
      <w:r w:rsidRPr="00541A7B">
        <w:rPr>
          <w:rFonts w:ascii="Arial" w:hAnsi="Arial" w:cs="Arial"/>
          <w:lang w:val="en-US"/>
        </w:rPr>
        <w:t xml:space="preserve">, </w:t>
      </w:r>
      <w:r w:rsidRPr="00541A7B">
        <w:rPr>
          <w:rFonts w:ascii="Arial" w:hAnsi="Arial" w:cs="Arial"/>
          <w:i/>
          <w:iCs/>
          <w:lang w:val="en-US"/>
        </w:rPr>
        <w:t>Precedence Research</w:t>
      </w:r>
      <w:r w:rsidRPr="00541A7B">
        <w:rPr>
          <w:rFonts w:ascii="Arial" w:hAnsi="Arial" w:cs="Arial"/>
          <w:lang w:val="en-US"/>
        </w:rPr>
        <w:t xml:space="preserve">. Available at: </w:t>
      </w:r>
      <w:hyperlink r:id="rId9" w:tgtFrame="_blank" w:history="1">
        <w:r w:rsidRPr="00541A7B">
          <w:rPr>
            <w:rStyle w:val="Hyperlink"/>
            <w:rFonts w:ascii="Arial" w:hAnsi="Arial" w:cs="Arial"/>
            <w:lang w:val="en-US"/>
          </w:rPr>
          <w:t>https://www.precedenceresearch.com/consumer-electronics-market</w:t>
        </w:r>
      </w:hyperlink>
      <w:r w:rsidRPr="00541A7B">
        <w:rPr>
          <w:rFonts w:ascii="Arial" w:hAnsi="Arial" w:cs="Arial"/>
          <w:lang w:val="en-US"/>
        </w:rPr>
        <w:t xml:space="preserve"> (Accessed: 21 November 2025).</w:t>
      </w:r>
    </w:p>
    <w:p w14:paraId="58A6AF8C" w14:textId="77777777" w:rsidR="00541A7B" w:rsidRPr="00541A7B" w:rsidRDefault="00541A7B" w:rsidP="00901D93">
      <w:pPr>
        <w:pStyle w:val="NormalWeb"/>
        <w:spacing w:line="360" w:lineRule="auto"/>
        <w:jc w:val="both"/>
        <w:rPr>
          <w:rFonts w:ascii="Arial" w:hAnsi="Arial" w:cs="Arial"/>
          <w:lang w:val="en-US"/>
        </w:rPr>
      </w:pPr>
      <w:r w:rsidRPr="00541A7B">
        <w:rPr>
          <w:rFonts w:ascii="Arial" w:hAnsi="Arial" w:cs="Arial"/>
          <w:lang w:val="en-US"/>
        </w:rPr>
        <w:t xml:space="preserve">Shumway, T. (2001) ‘Forecasting Bankruptcy More Accurately: A Simple Hazard Model’, </w:t>
      </w:r>
      <w:r w:rsidRPr="00541A7B">
        <w:rPr>
          <w:rFonts w:ascii="Arial" w:hAnsi="Arial" w:cs="Arial"/>
          <w:i/>
          <w:iCs/>
          <w:lang w:val="en-US"/>
        </w:rPr>
        <w:t>The Journal of Business</w:t>
      </w:r>
      <w:r w:rsidRPr="00541A7B">
        <w:rPr>
          <w:rFonts w:ascii="Arial" w:hAnsi="Arial" w:cs="Arial"/>
          <w:lang w:val="en-US"/>
        </w:rPr>
        <w:t>, 74(1), pp. 101–124.</w:t>
      </w:r>
    </w:p>
    <w:p w14:paraId="0DA973FD" w14:textId="77777777" w:rsidR="00541A7B" w:rsidRPr="00541A7B" w:rsidRDefault="00541A7B" w:rsidP="00901D93">
      <w:pPr>
        <w:pStyle w:val="NormalWeb"/>
        <w:spacing w:line="360" w:lineRule="auto"/>
        <w:jc w:val="both"/>
        <w:rPr>
          <w:rFonts w:ascii="Arial" w:hAnsi="Arial" w:cs="Arial"/>
          <w:lang w:val="en-US"/>
        </w:rPr>
      </w:pPr>
      <w:r w:rsidRPr="00541A7B">
        <w:rPr>
          <w:rFonts w:ascii="Arial" w:hAnsi="Arial" w:cs="Arial"/>
          <w:lang w:val="en-US"/>
        </w:rPr>
        <w:t xml:space="preserve">Teece, D.J. (2020) </w:t>
      </w:r>
      <w:r w:rsidRPr="00541A7B">
        <w:rPr>
          <w:rFonts w:ascii="Arial" w:hAnsi="Arial" w:cs="Arial"/>
          <w:i/>
          <w:iCs/>
          <w:lang w:val="en-US"/>
        </w:rPr>
        <w:t>Dynamic Capabilities and Strategic Management: Organizing for Innovation and Growth</w:t>
      </w:r>
      <w:r w:rsidRPr="00541A7B">
        <w:rPr>
          <w:rFonts w:ascii="Arial" w:hAnsi="Arial" w:cs="Arial"/>
          <w:lang w:val="en-US"/>
        </w:rPr>
        <w:t>. New York: Oxford University Press.</w:t>
      </w:r>
    </w:p>
    <w:p w14:paraId="43F59817"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ACCA Global (2024) </w:t>
      </w:r>
      <w:r w:rsidRPr="00F06794">
        <w:rPr>
          <w:rFonts w:ascii="Arial" w:hAnsi="Arial" w:cs="Arial"/>
          <w:i/>
          <w:iCs/>
          <w:lang w:val="en-US"/>
        </w:rPr>
        <w:t>Working capital management</w:t>
      </w:r>
      <w:r w:rsidRPr="00F06794">
        <w:rPr>
          <w:rFonts w:ascii="Arial" w:hAnsi="Arial" w:cs="Arial"/>
          <w:lang w:val="en-US"/>
        </w:rPr>
        <w:t xml:space="preserve">. Available at: </w:t>
      </w:r>
      <w:hyperlink r:id="rId10" w:tgtFrame="_blank" w:history="1">
        <w:r w:rsidRPr="00F06794">
          <w:rPr>
            <w:rStyle w:val="Hyperlink"/>
            <w:rFonts w:ascii="Arial" w:hAnsi="Arial" w:cs="Arial"/>
            <w:lang w:val="en-US"/>
          </w:rPr>
          <w:t>https://www.accaglobal.com/gb/en/student/exam-support-resources/fundamentals-exams-study-resources/f9/technical-articles/wcm.html</w:t>
        </w:r>
      </w:hyperlink>
      <w:r w:rsidRPr="00F06794">
        <w:rPr>
          <w:rFonts w:ascii="Arial" w:hAnsi="Arial" w:cs="Arial"/>
          <w:lang w:val="en-US"/>
        </w:rPr>
        <w:t xml:space="preserve"> (Accessed: 21 November 2025).</w:t>
      </w:r>
    </w:p>
    <w:p w14:paraId="3FD87AD4"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Bajaj </w:t>
      </w:r>
      <w:proofErr w:type="spellStart"/>
      <w:r w:rsidRPr="00F06794">
        <w:rPr>
          <w:rFonts w:ascii="Arial" w:hAnsi="Arial" w:cs="Arial"/>
          <w:lang w:val="en-US"/>
        </w:rPr>
        <w:t>Finserv</w:t>
      </w:r>
      <w:proofErr w:type="spellEnd"/>
      <w:r w:rsidRPr="00F06794">
        <w:rPr>
          <w:rFonts w:ascii="Arial" w:hAnsi="Arial" w:cs="Arial"/>
          <w:lang w:val="en-US"/>
        </w:rPr>
        <w:t xml:space="preserve"> (2025) </w:t>
      </w:r>
      <w:r w:rsidRPr="00F06794">
        <w:rPr>
          <w:rFonts w:ascii="Arial" w:hAnsi="Arial" w:cs="Arial"/>
          <w:i/>
          <w:iCs/>
          <w:lang w:val="en-US"/>
        </w:rPr>
        <w:t>Difference between short-term and long-term financing</w:t>
      </w:r>
      <w:r w:rsidRPr="00F06794">
        <w:rPr>
          <w:rFonts w:ascii="Arial" w:hAnsi="Arial" w:cs="Arial"/>
          <w:lang w:val="en-US"/>
        </w:rPr>
        <w:t xml:space="preserve">. Available at: </w:t>
      </w:r>
      <w:hyperlink r:id="rId11" w:tgtFrame="_blank" w:history="1">
        <w:r w:rsidRPr="00F06794">
          <w:rPr>
            <w:rStyle w:val="Hyperlink"/>
            <w:rFonts w:ascii="Arial" w:hAnsi="Arial" w:cs="Arial"/>
            <w:lang w:val="en-US"/>
          </w:rPr>
          <w:t>https://www.bajajfinserv.in/difference-between-short-and-long-term-financing</w:t>
        </w:r>
      </w:hyperlink>
      <w:r w:rsidRPr="00F06794">
        <w:rPr>
          <w:rFonts w:ascii="Arial" w:hAnsi="Arial" w:cs="Arial"/>
          <w:lang w:val="en-US"/>
        </w:rPr>
        <w:t xml:space="preserve"> (Accessed: 21 November 2025).</w:t>
      </w:r>
    </w:p>
    <w:p w14:paraId="6EECF400" w14:textId="77777777" w:rsidR="00F06794" w:rsidRPr="00F06794" w:rsidRDefault="00F06794" w:rsidP="00901D93">
      <w:pPr>
        <w:pStyle w:val="NormalWeb"/>
        <w:spacing w:line="360" w:lineRule="auto"/>
        <w:jc w:val="both"/>
        <w:rPr>
          <w:rFonts w:ascii="Arial" w:hAnsi="Arial" w:cs="Arial"/>
          <w:lang w:val="en-US"/>
        </w:rPr>
      </w:pPr>
      <w:proofErr w:type="spellStart"/>
      <w:r w:rsidRPr="00F06794">
        <w:rPr>
          <w:rFonts w:ascii="Arial" w:hAnsi="Arial" w:cs="Arial"/>
          <w:lang w:val="en-US"/>
        </w:rPr>
        <w:t>Finbox</w:t>
      </w:r>
      <w:proofErr w:type="spellEnd"/>
      <w:r w:rsidRPr="00F06794">
        <w:rPr>
          <w:rFonts w:ascii="Arial" w:hAnsi="Arial" w:cs="Arial"/>
          <w:lang w:val="en-US"/>
        </w:rPr>
        <w:t xml:space="preserve"> (2024) </w:t>
      </w:r>
      <w:r w:rsidRPr="00F06794">
        <w:rPr>
          <w:rFonts w:ascii="Arial" w:hAnsi="Arial" w:cs="Arial"/>
          <w:i/>
          <w:iCs/>
          <w:lang w:val="en-US"/>
        </w:rPr>
        <w:t xml:space="preserve">Cash Conversion Cycle </w:t>
      </w:r>
      <w:proofErr w:type="gramStart"/>
      <w:r w:rsidRPr="00F06794">
        <w:rPr>
          <w:rFonts w:ascii="Arial" w:hAnsi="Arial" w:cs="Arial"/>
          <w:i/>
          <w:iCs/>
          <w:lang w:val="en-US"/>
        </w:rPr>
        <w:t>For</w:t>
      </w:r>
      <w:proofErr w:type="gramEnd"/>
      <w:r w:rsidRPr="00F06794">
        <w:rPr>
          <w:rFonts w:ascii="Arial" w:hAnsi="Arial" w:cs="Arial"/>
          <w:i/>
          <w:iCs/>
          <w:lang w:val="en-US"/>
        </w:rPr>
        <w:t xml:space="preserve"> Midea Group Co., Ltd. (1520)</w:t>
      </w:r>
      <w:r w:rsidRPr="00F06794">
        <w:rPr>
          <w:rFonts w:ascii="Arial" w:hAnsi="Arial" w:cs="Arial"/>
          <w:lang w:val="en-US"/>
        </w:rPr>
        <w:t xml:space="preserve">. Available at: </w:t>
      </w:r>
      <w:hyperlink r:id="rId12" w:tgtFrame="_blank" w:history="1">
        <w:r w:rsidRPr="00F06794">
          <w:rPr>
            <w:rStyle w:val="Hyperlink"/>
            <w:rFonts w:ascii="Arial" w:hAnsi="Arial" w:cs="Arial"/>
            <w:lang w:val="en-US"/>
          </w:rPr>
          <w:t>https://finbox.com/DB:1520/explorer/cash_conversion_cycle</w:t>
        </w:r>
      </w:hyperlink>
      <w:r w:rsidRPr="00F06794">
        <w:rPr>
          <w:rFonts w:ascii="Arial" w:hAnsi="Arial" w:cs="Arial"/>
          <w:lang w:val="en-US"/>
        </w:rPr>
        <w:t xml:space="preserve"> (Accessed: 21 November 2025).</w:t>
      </w:r>
    </w:p>
    <w:p w14:paraId="13598DCD"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lastRenderedPageBreak/>
        <w:t xml:space="preserve">Ibrahim, F. (2023) ‘Effect of Cash Conversion Cycle on Financial Performance of Listed Consumer Goods Firms in Nigeria’, </w:t>
      </w:r>
      <w:r w:rsidRPr="00F06794">
        <w:rPr>
          <w:rFonts w:ascii="Arial" w:hAnsi="Arial" w:cs="Arial"/>
          <w:i/>
          <w:iCs/>
          <w:lang w:val="en-US"/>
        </w:rPr>
        <w:t>International Journal of Humanities and Social Science Management</w:t>
      </w:r>
      <w:r w:rsidRPr="00F06794">
        <w:rPr>
          <w:rFonts w:ascii="Arial" w:hAnsi="Arial" w:cs="Arial"/>
          <w:lang w:val="en-US"/>
        </w:rPr>
        <w:t xml:space="preserve">, 3(1), pp. 101–115. Available at: </w:t>
      </w:r>
      <w:hyperlink r:id="rId13" w:tgtFrame="_blank" w:history="1">
        <w:r w:rsidRPr="00F06794">
          <w:rPr>
            <w:rStyle w:val="Hyperlink"/>
            <w:rFonts w:ascii="Arial" w:hAnsi="Arial" w:cs="Arial"/>
            <w:lang w:val="en-US"/>
          </w:rPr>
          <w:t>https://ijhssm.org/issue_dcp/Effect%20of%20Cash%20Conversion%20Cycle%20on%20Financial%20Performance%20of%20Listed%20Consumer%20Goods%20Firms%20in%20Nigeria.pdf</w:t>
        </w:r>
      </w:hyperlink>
      <w:r w:rsidRPr="00F06794">
        <w:rPr>
          <w:rFonts w:ascii="Arial" w:hAnsi="Arial" w:cs="Arial"/>
          <w:lang w:val="en-US"/>
        </w:rPr>
        <w:t xml:space="preserve"> (Accessed: 21 November 2025).</w:t>
      </w:r>
    </w:p>
    <w:p w14:paraId="6DA1B73A"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Journal of Accounting and Financial Management (2024) </w:t>
      </w:r>
      <w:r w:rsidRPr="00F06794">
        <w:rPr>
          <w:rFonts w:ascii="Arial" w:hAnsi="Arial" w:cs="Arial"/>
          <w:i/>
          <w:iCs/>
          <w:lang w:val="en-US"/>
        </w:rPr>
        <w:t>Impact of Cash Conversion Cycle and Financial Stability on Firm Value</w:t>
      </w:r>
      <w:r w:rsidRPr="00F06794">
        <w:rPr>
          <w:rFonts w:ascii="Arial" w:hAnsi="Arial" w:cs="Arial"/>
          <w:lang w:val="en-US"/>
        </w:rPr>
        <w:t xml:space="preserve">, </w:t>
      </w:r>
      <w:r w:rsidRPr="00F06794">
        <w:rPr>
          <w:rFonts w:ascii="Arial" w:hAnsi="Arial" w:cs="Arial"/>
          <w:i/>
          <w:iCs/>
          <w:lang w:val="en-US"/>
        </w:rPr>
        <w:t>IIARD</w:t>
      </w:r>
      <w:r w:rsidRPr="00F06794">
        <w:rPr>
          <w:rFonts w:ascii="Arial" w:hAnsi="Arial" w:cs="Arial"/>
          <w:lang w:val="en-US"/>
        </w:rPr>
        <w:t xml:space="preserve">. Available at: </w:t>
      </w:r>
      <w:hyperlink r:id="rId14" w:tgtFrame="_blank" w:history="1">
        <w:r w:rsidRPr="00F06794">
          <w:rPr>
            <w:rStyle w:val="Hyperlink"/>
            <w:rFonts w:ascii="Arial" w:hAnsi="Arial" w:cs="Arial"/>
            <w:lang w:val="en-US"/>
          </w:rPr>
          <w:t>https://www.iiardjournals.org/get/JAFM/VOL.%2010%20NO.%208%202024/Impact%20of%20Cash%20Conversion%20123-141.pdf</w:t>
        </w:r>
      </w:hyperlink>
      <w:r w:rsidRPr="00F06794">
        <w:rPr>
          <w:rFonts w:ascii="Arial" w:hAnsi="Arial" w:cs="Arial"/>
          <w:lang w:val="en-US"/>
        </w:rPr>
        <w:t xml:space="preserve"> (Accessed: 21 November 2025).</w:t>
      </w:r>
    </w:p>
    <w:p w14:paraId="6FFF3064" w14:textId="77777777" w:rsidR="00F06794" w:rsidRPr="00F06794" w:rsidRDefault="00F06794" w:rsidP="00901D93">
      <w:pPr>
        <w:pStyle w:val="NormalWeb"/>
        <w:spacing w:line="360" w:lineRule="auto"/>
        <w:jc w:val="both"/>
        <w:rPr>
          <w:rFonts w:ascii="Arial" w:hAnsi="Arial" w:cs="Arial"/>
          <w:lang w:val="en-US"/>
        </w:rPr>
      </w:pPr>
      <w:proofErr w:type="spellStart"/>
      <w:r w:rsidRPr="00F06794">
        <w:rPr>
          <w:rFonts w:ascii="Arial" w:hAnsi="Arial" w:cs="Arial"/>
          <w:lang w:val="en-US"/>
        </w:rPr>
        <w:t>LegalVision</w:t>
      </w:r>
      <w:proofErr w:type="spellEnd"/>
      <w:r w:rsidRPr="00F06794">
        <w:rPr>
          <w:rFonts w:ascii="Arial" w:hAnsi="Arial" w:cs="Arial"/>
          <w:lang w:val="en-US"/>
        </w:rPr>
        <w:t xml:space="preserve"> UK (2025) </w:t>
      </w:r>
      <w:r w:rsidRPr="00F06794">
        <w:rPr>
          <w:rFonts w:ascii="Arial" w:hAnsi="Arial" w:cs="Arial"/>
          <w:i/>
          <w:iCs/>
          <w:lang w:val="en-US"/>
        </w:rPr>
        <w:t>Short-Term vs Long-Term Financing</w:t>
      </w:r>
      <w:r w:rsidRPr="00F06794">
        <w:rPr>
          <w:rFonts w:ascii="Arial" w:hAnsi="Arial" w:cs="Arial"/>
          <w:lang w:val="en-US"/>
        </w:rPr>
        <w:t xml:space="preserve">. Available at: </w:t>
      </w:r>
      <w:hyperlink r:id="rId15" w:tgtFrame="_blank" w:history="1">
        <w:r w:rsidRPr="00F06794">
          <w:rPr>
            <w:rStyle w:val="Hyperlink"/>
            <w:rFonts w:ascii="Arial" w:hAnsi="Arial" w:cs="Arial"/>
            <w:lang w:val="en-US"/>
          </w:rPr>
          <w:t>https://legalvision.co.uk/corporations/term-financing/</w:t>
        </w:r>
      </w:hyperlink>
      <w:r w:rsidRPr="00F06794">
        <w:rPr>
          <w:rFonts w:ascii="Arial" w:hAnsi="Arial" w:cs="Arial"/>
          <w:lang w:val="en-US"/>
        </w:rPr>
        <w:t xml:space="preserve"> (Accessed: 21 November 2025).</w:t>
      </w:r>
    </w:p>
    <w:p w14:paraId="2BF06424"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Madras Accountancy (2025) </w:t>
      </w:r>
      <w:r w:rsidRPr="00F06794">
        <w:rPr>
          <w:rFonts w:ascii="Arial" w:hAnsi="Arial" w:cs="Arial"/>
          <w:i/>
          <w:iCs/>
          <w:lang w:val="en-US"/>
        </w:rPr>
        <w:t>Working Capital Management Strategies for Growing Businesses</w:t>
      </w:r>
      <w:r w:rsidRPr="00F06794">
        <w:rPr>
          <w:rFonts w:ascii="Arial" w:hAnsi="Arial" w:cs="Arial"/>
          <w:lang w:val="en-US"/>
        </w:rPr>
        <w:t xml:space="preserve">. Available at: </w:t>
      </w:r>
      <w:hyperlink r:id="rId16" w:tgtFrame="_blank" w:history="1">
        <w:r w:rsidRPr="00F06794">
          <w:rPr>
            <w:rStyle w:val="Hyperlink"/>
            <w:rFonts w:ascii="Arial" w:hAnsi="Arial" w:cs="Arial"/>
            <w:lang w:val="en-US"/>
          </w:rPr>
          <w:t>https://madrasaccountancy.com/blog-posts/working-capital-management-strategies-for-growing-businesses</w:t>
        </w:r>
      </w:hyperlink>
      <w:r w:rsidRPr="00F06794">
        <w:rPr>
          <w:rFonts w:ascii="Arial" w:hAnsi="Arial" w:cs="Arial"/>
          <w:lang w:val="en-US"/>
        </w:rPr>
        <w:t xml:space="preserve"> (Accessed: 21 November 2025).</w:t>
      </w:r>
    </w:p>
    <w:p w14:paraId="403E7DA3" w14:textId="77777777" w:rsidR="00F06794" w:rsidRPr="00F06794" w:rsidRDefault="00F06794" w:rsidP="00901D93">
      <w:pPr>
        <w:pStyle w:val="NormalWeb"/>
        <w:spacing w:line="360" w:lineRule="auto"/>
        <w:jc w:val="both"/>
        <w:rPr>
          <w:rFonts w:ascii="Arial" w:hAnsi="Arial" w:cs="Arial"/>
          <w:lang w:val="en-US"/>
        </w:rPr>
      </w:pPr>
      <w:proofErr w:type="spellStart"/>
      <w:r w:rsidRPr="00F06794">
        <w:rPr>
          <w:rFonts w:ascii="Arial" w:hAnsi="Arial" w:cs="Arial"/>
          <w:lang w:val="en-US"/>
        </w:rPr>
        <w:t>PersonalFinanceLab</w:t>
      </w:r>
      <w:proofErr w:type="spellEnd"/>
      <w:r w:rsidRPr="00F06794">
        <w:rPr>
          <w:rFonts w:ascii="Arial" w:hAnsi="Arial" w:cs="Arial"/>
          <w:lang w:val="en-US"/>
        </w:rPr>
        <w:t xml:space="preserve"> (2025) </w:t>
      </w:r>
      <w:r w:rsidRPr="00F06794">
        <w:rPr>
          <w:rFonts w:ascii="Arial" w:hAnsi="Arial" w:cs="Arial"/>
          <w:i/>
          <w:iCs/>
          <w:lang w:val="en-US"/>
        </w:rPr>
        <w:t>Short Term and Long Term Financing</w:t>
      </w:r>
      <w:r w:rsidRPr="00F06794">
        <w:rPr>
          <w:rFonts w:ascii="Arial" w:hAnsi="Arial" w:cs="Arial"/>
          <w:lang w:val="en-US"/>
        </w:rPr>
        <w:t xml:space="preserve">. Available at: </w:t>
      </w:r>
      <w:hyperlink r:id="rId17" w:tgtFrame="_blank" w:history="1">
        <w:r w:rsidRPr="00F06794">
          <w:rPr>
            <w:rStyle w:val="Hyperlink"/>
            <w:rFonts w:ascii="Arial" w:hAnsi="Arial" w:cs="Arial"/>
            <w:lang w:val="en-US"/>
          </w:rPr>
          <w:t>https://www.personalfinancelab.com/finance-knowledge/management/short-term-and-long-term-financing/</w:t>
        </w:r>
      </w:hyperlink>
      <w:r w:rsidRPr="00F06794">
        <w:rPr>
          <w:rFonts w:ascii="Arial" w:hAnsi="Arial" w:cs="Arial"/>
          <w:lang w:val="en-US"/>
        </w:rPr>
        <w:t xml:space="preserve"> (Accessed: 21 November 2025).</w:t>
      </w:r>
    </w:p>
    <w:p w14:paraId="3866B7C6"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Qubit Capital (2025) </w:t>
      </w:r>
      <w:r w:rsidRPr="00F06794">
        <w:rPr>
          <w:rFonts w:ascii="Arial" w:hAnsi="Arial" w:cs="Arial"/>
          <w:i/>
          <w:iCs/>
          <w:lang w:val="en-US"/>
        </w:rPr>
        <w:t>Short-Term vs Long-Term Financing: Choose What's Best</w:t>
      </w:r>
      <w:r w:rsidRPr="00F06794">
        <w:rPr>
          <w:rFonts w:ascii="Arial" w:hAnsi="Arial" w:cs="Arial"/>
          <w:lang w:val="en-US"/>
        </w:rPr>
        <w:t xml:space="preserve">. Available at: </w:t>
      </w:r>
      <w:hyperlink r:id="rId18" w:tgtFrame="_blank" w:history="1">
        <w:r w:rsidRPr="00F06794">
          <w:rPr>
            <w:rStyle w:val="Hyperlink"/>
            <w:rFonts w:ascii="Arial" w:hAnsi="Arial" w:cs="Arial"/>
            <w:lang w:val="en-US"/>
          </w:rPr>
          <w:t>https://qubit.capital/blog/short-term-vs-long-term-financing</w:t>
        </w:r>
      </w:hyperlink>
      <w:r w:rsidRPr="00F06794">
        <w:rPr>
          <w:rFonts w:ascii="Arial" w:hAnsi="Arial" w:cs="Arial"/>
          <w:lang w:val="en-US"/>
        </w:rPr>
        <w:t xml:space="preserve"> (Accessed: 21 November 2025).</w:t>
      </w:r>
    </w:p>
    <w:p w14:paraId="57A4ED70"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Scribd (2024) </w:t>
      </w:r>
      <w:r w:rsidRPr="00F06794">
        <w:rPr>
          <w:rFonts w:ascii="Arial" w:hAnsi="Arial" w:cs="Arial"/>
          <w:i/>
          <w:iCs/>
          <w:lang w:val="en-US"/>
        </w:rPr>
        <w:t>Approaches of Working Capital Management</w:t>
      </w:r>
      <w:r w:rsidRPr="00F06794">
        <w:rPr>
          <w:rFonts w:ascii="Arial" w:hAnsi="Arial" w:cs="Arial"/>
          <w:lang w:val="en-US"/>
        </w:rPr>
        <w:t xml:space="preserve">. Available at: </w:t>
      </w:r>
      <w:hyperlink r:id="rId19" w:tgtFrame="_blank" w:history="1">
        <w:r w:rsidRPr="00F06794">
          <w:rPr>
            <w:rStyle w:val="Hyperlink"/>
            <w:rFonts w:ascii="Arial" w:hAnsi="Arial" w:cs="Arial"/>
            <w:lang w:val="en-US"/>
          </w:rPr>
          <w:t>https://www.scribd.com/document/704807218/Approaches-of-working-capital-management</w:t>
        </w:r>
      </w:hyperlink>
      <w:r w:rsidRPr="00F06794">
        <w:rPr>
          <w:rFonts w:ascii="Arial" w:hAnsi="Arial" w:cs="Arial"/>
          <w:lang w:val="en-US"/>
        </w:rPr>
        <w:t xml:space="preserve"> (Accessed: 21 November 2025).</w:t>
      </w:r>
    </w:p>
    <w:p w14:paraId="6D35B89A"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Value Capital Funding (2024) </w:t>
      </w:r>
      <w:r w:rsidRPr="00F06794">
        <w:rPr>
          <w:rFonts w:ascii="Arial" w:hAnsi="Arial" w:cs="Arial"/>
          <w:i/>
          <w:iCs/>
          <w:lang w:val="en-US"/>
        </w:rPr>
        <w:t>Long-Term and Short-Term Business Finance</w:t>
      </w:r>
      <w:r w:rsidRPr="00F06794">
        <w:rPr>
          <w:rFonts w:ascii="Arial" w:hAnsi="Arial" w:cs="Arial"/>
          <w:lang w:val="en-US"/>
        </w:rPr>
        <w:t xml:space="preserve">. Available at: </w:t>
      </w:r>
      <w:hyperlink r:id="rId20" w:tgtFrame="_blank" w:history="1">
        <w:r w:rsidRPr="00F06794">
          <w:rPr>
            <w:rStyle w:val="Hyperlink"/>
            <w:rFonts w:ascii="Arial" w:hAnsi="Arial" w:cs="Arial"/>
            <w:lang w:val="en-US"/>
          </w:rPr>
          <w:t>https://valuecapitalfunding.com/business-finance-blog/tactical-considerations-choosing-between-long-term-and-short-term-business-financing/</w:t>
        </w:r>
      </w:hyperlink>
      <w:r w:rsidRPr="00F06794">
        <w:rPr>
          <w:rFonts w:ascii="Arial" w:hAnsi="Arial" w:cs="Arial"/>
          <w:lang w:val="en-US"/>
        </w:rPr>
        <w:t xml:space="preserve"> (Accessed: 21 November 2025).</w:t>
      </w:r>
    </w:p>
    <w:p w14:paraId="2532D7CC"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lastRenderedPageBreak/>
        <w:t xml:space="preserve">ACCA Global (2024) </w:t>
      </w:r>
      <w:r w:rsidRPr="00F06794">
        <w:rPr>
          <w:rFonts w:ascii="Arial" w:hAnsi="Arial" w:cs="Arial"/>
          <w:i/>
          <w:iCs/>
          <w:lang w:val="en-US"/>
        </w:rPr>
        <w:t>Foreign currency risk and its management</w:t>
      </w:r>
      <w:r w:rsidRPr="00F06794">
        <w:rPr>
          <w:rFonts w:ascii="Arial" w:hAnsi="Arial" w:cs="Arial"/>
          <w:lang w:val="en-US"/>
        </w:rPr>
        <w:t xml:space="preserve">. Available at: </w:t>
      </w:r>
      <w:hyperlink r:id="rId21" w:tgtFrame="_blank" w:history="1">
        <w:r w:rsidRPr="00F06794">
          <w:rPr>
            <w:rStyle w:val="Hyperlink"/>
            <w:rFonts w:ascii="Arial" w:hAnsi="Arial" w:cs="Arial"/>
            <w:lang w:val="en-US"/>
          </w:rPr>
          <w:t>https://www.accaglobal.com/gb/en/student/exam-support-resources/fundamentals-exams-study-resources/f9/technical-articles/forex.html</w:t>
        </w:r>
      </w:hyperlink>
      <w:r w:rsidRPr="00F06794">
        <w:rPr>
          <w:rFonts w:ascii="Arial" w:hAnsi="Arial" w:cs="Arial"/>
          <w:lang w:val="en-US"/>
        </w:rPr>
        <w:t xml:space="preserve"> (Accessed: 21 November 2025).</w:t>
      </w:r>
    </w:p>
    <w:p w14:paraId="2A8D841A"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BPM (2025) </w:t>
      </w:r>
      <w:r w:rsidRPr="00F06794">
        <w:rPr>
          <w:rFonts w:ascii="Arial" w:hAnsi="Arial" w:cs="Arial"/>
          <w:i/>
          <w:iCs/>
          <w:lang w:val="en-US"/>
        </w:rPr>
        <w:t>Corporate restructuring strategy guide</w:t>
      </w:r>
      <w:r w:rsidRPr="00F06794">
        <w:rPr>
          <w:rFonts w:ascii="Arial" w:hAnsi="Arial" w:cs="Arial"/>
          <w:lang w:val="en-US"/>
        </w:rPr>
        <w:t xml:space="preserve">. Available at: </w:t>
      </w:r>
      <w:hyperlink r:id="rId22" w:tgtFrame="_blank" w:history="1">
        <w:r w:rsidRPr="00F06794">
          <w:rPr>
            <w:rStyle w:val="Hyperlink"/>
            <w:rFonts w:ascii="Arial" w:hAnsi="Arial" w:cs="Arial"/>
            <w:lang w:val="en-US"/>
          </w:rPr>
          <w:t>https://www.bpm.com/insights/corporate-restructuring/</w:t>
        </w:r>
      </w:hyperlink>
      <w:r w:rsidRPr="00F06794">
        <w:rPr>
          <w:rFonts w:ascii="Arial" w:hAnsi="Arial" w:cs="Arial"/>
          <w:lang w:val="en-US"/>
        </w:rPr>
        <w:t xml:space="preserve"> (Accessed: 21 November 2025).</w:t>
      </w:r>
    </w:p>
    <w:p w14:paraId="1211AEDE"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Cambridge University Press &amp; Assessment (2024) </w:t>
      </w:r>
      <w:r w:rsidRPr="00F06794">
        <w:rPr>
          <w:rFonts w:ascii="Arial" w:hAnsi="Arial" w:cs="Arial"/>
          <w:i/>
          <w:iCs/>
          <w:lang w:val="en-US"/>
        </w:rPr>
        <w:t>Corporate social responsibility and risk management: charting the course for a sustainable future of the fashion industry</w:t>
      </w:r>
      <w:r w:rsidRPr="00F06794">
        <w:rPr>
          <w:rFonts w:ascii="Arial" w:hAnsi="Arial" w:cs="Arial"/>
          <w:lang w:val="en-US"/>
        </w:rPr>
        <w:t xml:space="preserve">. Available at: </w:t>
      </w:r>
      <w:hyperlink r:id="rId23" w:tgtFrame="_blank" w:history="1">
        <w:r w:rsidRPr="00F06794">
          <w:rPr>
            <w:rStyle w:val="Hyperlink"/>
            <w:rFonts w:ascii="Arial" w:hAnsi="Arial" w:cs="Arial"/>
            <w:lang w:val="en-US"/>
          </w:rPr>
          <w:t>https://www.cambridge.org/core/journals/global-sustainability/article/corporate-social-responsibility-and-risk-management-charting-the-course-for-a-sustainable-future-of-the-fashion-industry/3B2E0FE4E395B03622E50A3F91962517</w:t>
        </w:r>
      </w:hyperlink>
      <w:r w:rsidRPr="00F06794">
        <w:rPr>
          <w:rFonts w:ascii="Arial" w:hAnsi="Arial" w:cs="Arial"/>
          <w:lang w:val="en-US"/>
        </w:rPr>
        <w:t xml:space="preserve"> (Accessed: 21 November 2025).</w:t>
      </w:r>
    </w:p>
    <w:p w14:paraId="4B6E30D2"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Freeman, R.E. (1984) </w:t>
      </w:r>
      <w:r w:rsidRPr="00F06794">
        <w:rPr>
          <w:rFonts w:ascii="Arial" w:hAnsi="Arial" w:cs="Arial"/>
          <w:i/>
          <w:iCs/>
          <w:lang w:val="en-US"/>
        </w:rPr>
        <w:t>Strategic Management: A Stakeholder Approach</w:t>
      </w:r>
      <w:r w:rsidRPr="00F06794">
        <w:rPr>
          <w:rFonts w:ascii="Arial" w:hAnsi="Arial" w:cs="Arial"/>
          <w:lang w:val="en-US"/>
        </w:rPr>
        <w:t>. Boston: Pitman.</w:t>
      </w:r>
    </w:p>
    <w:p w14:paraId="5D53CEA4"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Georgetown University (2013) </w:t>
      </w:r>
      <w:r w:rsidRPr="00F06794">
        <w:rPr>
          <w:rFonts w:ascii="Arial" w:hAnsi="Arial" w:cs="Arial"/>
          <w:i/>
          <w:iCs/>
          <w:lang w:val="en-US"/>
        </w:rPr>
        <w:t xml:space="preserve">Corporate Social Responsibility in the Consumer Electronics Industry: A Case Study of Apple </w:t>
      </w:r>
      <w:proofErr w:type="gramStart"/>
      <w:r w:rsidRPr="00F06794">
        <w:rPr>
          <w:rFonts w:ascii="Arial" w:hAnsi="Arial" w:cs="Arial"/>
          <w:i/>
          <w:iCs/>
          <w:lang w:val="en-US"/>
        </w:rPr>
        <w:t>Inc.</w:t>
      </w:r>
      <w:r w:rsidRPr="00F06794">
        <w:rPr>
          <w:rFonts w:ascii="Arial" w:hAnsi="Arial" w:cs="Arial"/>
          <w:lang w:val="en-US"/>
        </w:rPr>
        <w:t>.</w:t>
      </w:r>
      <w:proofErr w:type="gramEnd"/>
      <w:r w:rsidRPr="00F06794">
        <w:rPr>
          <w:rFonts w:ascii="Arial" w:hAnsi="Arial" w:cs="Arial"/>
          <w:lang w:val="en-US"/>
        </w:rPr>
        <w:t xml:space="preserve"> Available at: </w:t>
      </w:r>
      <w:hyperlink r:id="rId24" w:tgtFrame="_blank" w:history="1">
        <w:r w:rsidRPr="00F06794">
          <w:rPr>
            <w:rStyle w:val="Hyperlink"/>
            <w:rFonts w:ascii="Arial" w:hAnsi="Arial" w:cs="Arial"/>
            <w:lang w:val="en-US"/>
          </w:rPr>
          <w:t>https://sites.georgetown.edu/lwp/wp-content/uploads/sites/319/uploads/Connor-Myers.pdf</w:t>
        </w:r>
      </w:hyperlink>
      <w:r w:rsidRPr="00F06794">
        <w:rPr>
          <w:rFonts w:ascii="Arial" w:hAnsi="Arial" w:cs="Arial"/>
          <w:lang w:val="en-US"/>
        </w:rPr>
        <w:t xml:space="preserve"> (Accessed: 21 November 2025).</w:t>
      </w:r>
    </w:p>
    <w:p w14:paraId="732B480F"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Investopedia (2025) </w:t>
      </w:r>
      <w:r w:rsidRPr="00F06794">
        <w:rPr>
          <w:rFonts w:ascii="Arial" w:hAnsi="Arial" w:cs="Arial"/>
          <w:i/>
          <w:iCs/>
          <w:lang w:val="en-US"/>
        </w:rPr>
        <w:t>Understanding Divestiture: Definition, Reasons, and Examples</w:t>
      </w:r>
      <w:r w:rsidRPr="00F06794">
        <w:rPr>
          <w:rFonts w:ascii="Arial" w:hAnsi="Arial" w:cs="Arial"/>
          <w:lang w:val="en-US"/>
        </w:rPr>
        <w:t xml:space="preserve">. Available at: </w:t>
      </w:r>
      <w:hyperlink r:id="rId25" w:tgtFrame="_blank" w:history="1">
        <w:r w:rsidRPr="00F06794">
          <w:rPr>
            <w:rStyle w:val="Hyperlink"/>
            <w:rFonts w:ascii="Arial" w:hAnsi="Arial" w:cs="Arial"/>
            <w:lang w:val="en-US"/>
          </w:rPr>
          <w:t>https://www.investopedia.com/terms/d/divestiture.asp</w:t>
        </w:r>
      </w:hyperlink>
      <w:r w:rsidRPr="00F06794">
        <w:rPr>
          <w:rFonts w:ascii="Arial" w:hAnsi="Arial" w:cs="Arial"/>
          <w:lang w:val="en-US"/>
        </w:rPr>
        <w:t xml:space="preserve"> (Accessed: 21 November 2025).</w:t>
      </w:r>
    </w:p>
    <w:p w14:paraId="5E786986"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John, K. and Ofek, E. (1995) ‘Asset sales and increase in focus’, </w:t>
      </w:r>
      <w:r w:rsidRPr="00F06794">
        <w:rPr>
          <w:rFonts w:ascii="Arial" w:hAnsi="Arial" w:cs="Arial"/>
          <w:i/>
          <w:iCs/>
          <w:lang w:val="en-US"/>
        </w:rPr>
        <w:t>Journal of Financial Economics</w:t>
      </w:r>
      <w:r w:rsidRPr="00F06794">
        <w:rPr>
          <w:rFonts w:ascii="Arial" w:hAnsi="Arial" w:cs="Arial"/>
          <w:lang w:val="en-US"/>
        </w:rPr>
        <w:t>, 37(1), pp. 105–126.</w:t>
      </w:r>
    </w:p>
    <w:p w14:paraId="4C75201B" w14:textId="77777777" w:rsidR="00F06794" w:rsidRPr="00F06794" w:rsidRDefault="00F06794" w:rsidP="00901D93">
      <w:pPr>
        <w:pStyle w:val="NormalWeb"/>
        <w:spacing w:line="360" w:lineRule="auto"/>
        <w:jc w:val="both"/>
        <w:rPr>
          <w:rFonts w:ascii="Arial" w:hAnsi="Arial" w:cs="Arial"/>
          <w:lang w:val="en-US"/>
        </w:rPr>
      </w:pPr>
      <w:proofErr w:type="spellStart"/>
      <w:r w:rsidRPr="00F06794">
        <w:rPr>
          <w:rFonts w:ascii="Arial" w:hAnsi="Arial" w:cs="Arial"/>
          <w:lang w:val="en-US"/>
        </w:rPr>
        <w:t>NewbridgeFX</w:t>
      </w:r>
      <w:proofErr w:type="spellEnd"/>
      <w:r w:rsidRPr="00F06794">
        <w:rPr>
          <w:rFonts w:ascii="Arial" w:hAnsi="Arial" w:cs="Arial"/>
          <w:lang w:val="en-US"/>
        </w:rPr>
        <w:t xml:space="preserve"> (2025) </w:t>
      </w:r>
      <w:r w:rsidRPr="00F06794">
        <w:rPr>
          <w:rFonts w:ascii="Arial" w:hAnsi="Arial" w:cs="Arial"/>
          <w:i/>
          <w:iCs/>
          <w:lang w:val="en-US"/>
        </w:rPr>
        <w:t xml:space="preserve">Impact </w:t>
      </w:r>
      <w:proofErr w:type="gramStart"/>
      <w:r w:rsidRPr="00F06794">
        <w:rPr>
          <w:rFonts w:ascii="Arial" w:hAnsi="Arial" w:cs="Arial"/>
          <w:i/>
          <w:iCs/>
          <w:lang w:val="en-US"/>
        </w:rPr>
        <w:t>Of</w:t>
      </w:r>
      <w:proofErr w:type="gramEnd"/>
      <w:r w:rsidRPr="00F06794">
        <w:rPr>
          <w:rFonts w:ascii="Arial" w:hAnsi="Arial" w:cs="Arial"/>
          <w:i/>
          <w:iCs/>
          <w:lang w:val="en-US"/>
        </w:rPr>
        <w:t xml:space="preserve"> Currency Fluctuations On Global Business: Strategies For Success</w:t>
      </w:r>
      <w:r w:rsidRPr="00F06794">
        <w:rPr>
          <w:rFonts w:ascii="Arial" w:hAnsi="Arial" w:cs="Arial"/>
          <w:lang w:val="en-US"/>
        </w:rPr>
        <w:t xml:space="preserve">. Available at: </w:t>
      </w:r>
      <w:hyperlink r:id="rId26" w:tgtFrame="_blank" w:history="1">
        <w:r w:rsidRPr="00F06794">
          <w:rPr>
            <w:rStyle w:val="Hyperlink"/>
            <w:rFonts w:ascii="Arial" w:hAnsi="Arial" w:cs="Arial"/>
            <w:lang w:val="en-US"/>
          </w:rPr>
          <w:t>https://www.newbridgefx.com/news/impact-of-currency-fluctuations-on-global-business-strategies-for-success/</w:t>
        </w:r>
      </w:hyperlink>
      <w:r w:rsidRPr="00F06794">
        <w:rPr>
          <w:rFonts w:ascii="Arial" w:hAnsi="Arial" w:cs="Arial"/>
          <w:lang w:val="en-US"/>
        </w:rPr>
        <w:t xml:space="preserve"> (Accessed: 21 November 2025).</w:t>
      </w:r>
    </w:p>
    <w:p w14:paraId="445D9143"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lastRenderedPageBreak/>
        <w:t xml:space="preserve">Norton Rose Fulbright (2025) </w:t>
      </w:r>
      <w:r w:rsidRPr="00F06794">
        <w:rPr>
          <w:rFonts w:ascii="Arial" w:hAnsi="Arial" w:cs="Arial"/>
          <w:i/>
          <w:iCs/>
          <w:lang w:val="en-US"/>
        </w:rPr>
        <w:t>Debt restructuring: International tax considerations</w:t>
      </w:r>
      <w:r w:rsidRPr="00F06794">
        <w:rPr>
          <w:rFonts w:ascii="Arial" w:hAnsi="Arial" w:cs="Arial"/>
          <w:lang w:val="en-US"/>
        </w:rPr>
        <w:t xml:space="preserve">. Available at: </w:t>
      </w:r>
      <w:hyperlink r:id="rId27" w:tgtFrame="_blank" w:history="1">
        <w:r w:rsidRPr="00F06794">
          <w:rPr>
            <w:rStyle w:val="Hyperlink"/>
            <w:rFonts w:ascii="Arial" w:hAnsi="Arial" w:cs="Arial"/>
            <w:lang w:val="en-US"/>
          </w:rPr>
          <w:t>https://www.nortonrosefulbright.com/es-419/knowledge/publications/3f5f5dbb/debt-restructuring-international-tax-considerations</w:t>
        </w:r>
      </w:hyperlink>
      <w:r w:rsidRPr="00F06794">
        <w:rPr>
          <w:rFonts w:ascii="Arial" w:hAnsi="Arial" w:cs="Arial"/>
          <w:lang w:val="en-US"/>
        </w:rPr>
        <w:t xml:space="preserve"> (Accessed: 21 November 2025).</w:t>
      </w:r>
    </w:p>
    <w:p w14:paraId="549A8EEE"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Porter, M.E. and Kramer, M.R. (2011) ‘Creating Shared Value’, </w:t>
      </w:r>
      <w:r w:rsidRPr="00F06794">
        <w:rPr>
          <w:rFonts w:ascii="Arial" w:hAnsi="Arial" w:cs="Arial"/>
          <w:i/>
          <w:iCs/>
          <w:lang w:val="en-US"/>
        </w:rPr>
        <w:t>Harvard Business Review</w:t>
      </w:r>
      <w:r w:rsidRPr="00F06794">
        <w:rPr>
          <w:rFonts w:ascii="Arial" w:hAnsi="Arial" w:cs="Arial"/>
          <w:lang w:val="en-US"/>
        </w:rPr>
        <w:t>, 89(1/2), pp. 62–77.</w:t>
      </w:r>
    </w:p>
    <w:p w14:paraId="486A2743"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PwC (2025) </w:t>
      </w:r>
      <w:r w:rsidRPr="00F06794">
        <w:rPr>
          <w:rFonts w:ascii="Arial" w:hAnsi="Arial" w:cs="Arial"/>
          <w:i/>
          <w:iCs/>
          <w:lang w:val="en-US"/>
        </w:rPr>
        <w:t>Making the strategic case for a divestiture</w:t>
      </w:r>
      <w:r w:rsidRPr="00F06794">
        <w:rPr>
          <w:rFonts w:ascii="Arial" w:hAnsi="Arial" w:cs="Arial"/>
          <w:lang w:val="en-US"/>
        </w:rPr>
        <w:t xml:space="preserve">. Available at: </w:t>
      </w:r>
      <w:hyperlink r:id="rId28" w:tgtFrame="_blank" w:history="1">
        <w:r w:rsidRPr="00F06794">
          <w:rPr>
            <w:rStyle w:val="Hyperlink"/>
            <w:rFonts w:ascii="Arial" w:hAnsi="Arial" w:cs="Arial"/>
            <w:lang w:val="en-US"/>
          </w:rPr>
          <w:t>https://www.pwc.com/us/en/services/consulting/deals/library/strategic-case-for-divestiture.html</w:t>
        </w:r>
      </w:hyperlink>
      <w:r w:rsidRPr="00F06794">
        <w:rPr>
          <w:rFonts w:ascii="Arial" w:hAnsi="Arial" w:cs="Arial"/>
          <w:lang w:val="en-US"/>
        </w:rPr>
        <w:t xml:space="preserve"> (Accessed: 21 November 2025).</w:t>
      </w:r>
    </w:p>
    <w:p w14:paraId="2B711746"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ResearchGate (2020) </w:t>
      </w:r>
      <w:r w:rsidRPr="00F06794">
        <w:rPr>
          <w:rFonts w:ascii="Arial" w:hAnsi="Arial" w:cs="Arial"/>
          <w:i/>
          <w:iCs/>
          <w:lang w:val="en-US"/>
        </w:rPr>
        <w:t>(PDF) The impact of divestitures on shareholder wealth – The DACH case</w:t>
      </w:r>
      <w:r w:rsidRPr="00F06794">
        <w:rPr>
          <w:rFonts w:ascii="Arial" w:hAnsi="Arial" w:cs="Arial"/>
          <w:lang w:val="en-US"/>
        </w:rPr>
        <w:t xml:space="preserve">. Available at: </w:t>
      </w:r>
      <w:hyperlink r:id="rId29" w:tgtFrame="_blank" w:history="1">
        <w:r w:rsidRPr="00F06794">
          <w:rPr>
            <w:rStyle w:val="Hyperlink"/>
            <w:rFonts w:ascii="Arial" w:hAnsi="Arial" w:cs="Arial"/>
            <w:lang w:val="en-US"/>
          </w:rPr>
          <w:t>https://www.researchgate.net/publication/342847585_The_impact_of_divestitures_on_shareholder_wealth_-_The_DACH_case</w:t>
        </w:r>
      </w:hyperlink>
      <w:r w:rsidRPr="00F06794">
        <w:rPr>
          <w:rFonts w:ascii="Arial" w:hAnsi="Arial" w:cs="Arial"/>
          <w:lang w:val="en-US"/>
        </w:rPr>
        <w:t xml:space="preserve"> (Accessed: 21 November 2025).</w:t>
      </w:r>
    </w:p>
    <w:p w14:paraId="2C969B6B"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ResearchGate (2024) </w:t>
      </w:r>
      <w:r w:rsidRPr="00F06794">
        <w:rPr>
          <w:rFonts w:ascii="Arial" w:hAnsi="Arial" w:cs="Arial"/>
          <w:i/>
          <w:iCs/>
          <w:lang w:val="en-US"/>
        </w:rPr>
        <w:t>Balancing Act: Navigating Ethical Dilemmas in Strategic Corporate Restructuring</w:t>
      </w:r>
      <w:r w:rsidRPr="00F06794">
        <w:rPr>
          <w:rFonts w:ascii="Arial" w:hAnsi="Arial" w:cs="Arial"/>
          <w:lang w:val="en-US"/>
        </w:rPr>
        <w:t xml:space="preserve">. Available at: </w:t>
      </w:r>
      <w:hyperlink r:id="rId30" w:tgtFrame="_blank" w:history="1">
        <w:r w:rsidRPr="00F06794">
          <w:rPr>
            <w:rStyle w:val="Hyperlink"/>
            <w:rFonts w:ascii="Arial" w:hAnsi="Arial" w:cs="Arial"/>
            <w:lang w:val="en-US"/>
          </w:rPr>
          <w:t>https://www.researchgate.net/publication/391436474_Balancing_Act_Navigating_Ethical_Dilemmas_in_Strategic_Corporate_Restructuring</w:t>
        </w:r>
      </w:hyperlink>
      <w:r w:rsidRPr="00F06794">
        <w:rPr>
          <w:rFonts w:ascii="Arial" w:hAnsi="Arial" w:cs="Arial"/>
          <w:lang w:val="en-US"/>
        </w:rPr>
        <w:t xml:space="preserve"> (Accessed: 21 November 2025).</w:t>
      </w:r>
    </w:p>
    <w:p w14:paraId="28D51A2F" w14:textId="77777777" w:rsidR="00F06794" w:rsidRPr="00F06794" w:rsidRDefault="00F06794" w:rsidP="00901D93">
      <w:pPr>
        <w:pStyle w:val="NormalWeb"/>
        <w:spacing w:line="360" w:lineRule="auto"/>
        <w:jc w:val="both"/>
        <w:rPr>
          <w:rFonts w:ascii="Arial" w:hAnsi="Arial" w:cs="Arial"/>
          <w:lang w:val="en-US"/>
        </w:rPr>
      </w:pPr>
      <w:r w:rsidRPr="00F06794">
        <w:rPr>
          <w:rFonts w:ascii="Arial" w:hAnsi="Arial" w:cs="Arial"/>
          <w:lang w:val="en-US"/>
        </w:rPr>
        <w:t xml:space="preserve">The Gild Group (2025) </w:t>
      </w:r>
      <w:r w:rsidRPr="00F06794">
        <w:rPr>
          <w:rFonts w:ascii="Arial" w:hAnsi="Arial" w:cs="Arial"/>
          <w:i/>
          <w:iCs/>
          <w:lang w:val="en-US"/>
        </w:rPr>
        <w:t xml:space="preserve">International Tax Structuring for </w:t>
      </w:r>
      <w:proofErr w:type="spellStart"/>
      <w:r w:rsidRPr="00F06794">
        <w:rPr>
          <w:rFonts w:ascii="Arial" w:hAnsi="Arial" w:cs="Arial"/>
          <w:i/>
          <w:iCs/>
          <w:lang w:val="en-US"/>
        </w:rPr>
        <w:t>Maximise</w:t>
      </w:r>
      <w:proofErr w:type="spellEnd"/>
      <w:r w:rsidRPr="00F06794">
        <w:rPr>
          <w:rFonts w:ascii="Arial" w:hAnsi="Arial" w:cs="Arial"/>
          <w:i/>
          <w:iCs/>
          <w:lang w:val="en-US"/>
        </w:rPr>
        <w:t xml:space="preserve"> Business Savings</w:t>
      </w:r>
      <w:r w:rsidRPr="00F06794">
        <w:rPr>
          <w:rFonts w:ascii="Arial" w:hAnsi="Arial" w:cs="Arial"/>
          <w:lang w:val="en-US"/>
        </w:rPr>
        <w:t xml:space="preserve">. Available at: </w:t>
      </w:r>
      <w:hyperlink r:id="rId31" w:tgtFrame="_blank" w:history="1">
        <w:r w:rsidRPr="00F06794">
          <w:rPr>
            <w:rStyle w:val="Hyperlink"/>
            <w:rFonts w:ascii="Arial" w:hAnsi="Arial" w:cs="Arial"/>
            <w:lang w:val="en-US"/>
          </w:rPr>
          <w:t>https://thegildgroup.com/international-tax-structuring-maximise-business-savings/</w:t>
        </w:r>
      </w:hyperlink>
      <w:r w:rsidRPr="00F06794">
        <w:rPr>
          <w:rFonts w:ascii="Arial" w:hAnsi="Arial" w:cs="Arial"/>
          <w:lang w:val="en-US"/>
        </w:rPr>
        <w:t xml:space="preserve"> (Accessed: 21 November 2025).</w:t>
      </w:r>
    </w:p>
    <w:p w14:paraId="12B0A49A" w14:textId="77777777" w:rsidR="00CE226E" w:rsidRPr="00CE226E" w:rsidRDefault="00CE226E" w:rsidP="00901D93">
      <w:pPr>
        <w:pStyle w:val="NormalWeb"/>
        <w:spacing w:line="360" w:lineRule="auto"/>
        <w:jc w:val="both"/>
        <w:rPr>
          <w:rFonts w:ascii="Arial" w:hAnsi="Arial" w:cs="Arial"/>
          <w:lang w:val="en-US"/>
        </w:rPr>
      </w:pPr>
      <w:proofErr w:type="spellStart"/>
      <w:r w:rsidRPr="00CE226E">
        <w:rPr>
          <w:rFonts w:ascii="Arial" w:hAnsi="Arial" w:cs="Arial"/>
          <w:lang w:val="en-US"/>
        </w:rPr>
        <w:t>AnalystPrep</w:t>
      </w:r>
      <w:proofErr w:type="spellEnd"/>
      <w:r w:rsidRPr="00CE226E">
        <w:rPr>
          <w:rFonts w:ascii="Arial" w:hAnsi="Arial" w:cs="Arial"/>
          <w:lang w:val="en-US"/>
        </w:rPr>
        <w:t xml:space="preserve"> (2019) </w:t>
      </w:r>
      <w:r w:rsidRPr="00CE226E">
        <w:rPr>
          <w:rFonts w:ascii="Arial" w:hAnsi="Arial" w:cs="Arial"/>
          <w:i/>
          <w:iCs/>
          <w:lang w:val="en-US"/>
        </w:rPr>
        <w:t>Profitability Measures: NPV, IRR, AAR, PI | CFA Level 1</w:t>
      </w:r>
      <w:r w:rsidRPr="00CE226E">
        <w:rPr>
          <w:rFonts w:ascii="Arial" w:hAnsi="Arial" w:cs="Arial"/>
          <w:lang w:val="en-US"/>
        </w:rPr>
        <w:t xml:space="preserve">. Available at: </w:t>
      </w:r>
      <w:hyperlink r:id="rId32" w:tgtFrame="_blank" w:history="1">
        <w:r w:rsidRPr="00CE226E">
          <w:rPr>
            <w:rStyle w:val="Hyperlink"/>
            <w:rFonts w:ascii="Arial" w:hAnsi="Arial" w:cs="Arial"/>
            <w:lang w:val="en-US"/>
          </w:rPr>
          <w:t>https://analystprep.com/cfa-level-1-exam/corporate-finance/measures-profitability-npv-irr-aar-pi/</w:t>
        </w:r>
      </w:hyperlink>
      <w:r w:rsidRPr="00CE226E">
        <w:rPr>
          <w:rFonts w:ascii="Arial" w:hAnsi="Arial" w:cs="Arial"/>
          <w:lang w:val="en-US"/>
        </w:rPr>
        <w:t xml:space="preserve"> (Accessed: 21 November 2025).</w:t>
      </w:r>
    </w:p>
    <w:p w14:paraId="1DA75BB9" w14:textId="77777777" w:rsidR="00CE226E" w:rsidRPr="00CE226E" w:rsidRDefault="00CE226E" w:rsidP="00901D93">
      <w:pPr>
        <w:pStyle w:val="NormalWeb"/>
        <w:spacing w:line="360" w:lineRule="auto"/>
        <w:jc w:val="both"/>
        <w:rPr>
          <w:rFonts w:ascii="Arial" w:hAnsi="Arial" w:cs="Arial"/>
          <w:lang w:val="en-US"/>
        </w:rPr>
      </w:pPr>
      <w:r w:rsidRPr="00CE226E">
        <w:rPr>
          <w:rFonts w:ascii="Arial" w:hAnsi="Arial" w:cs="Arial"/>
          <w:lang w:val="en-US"/>
        </w:rPr>
        <w:t xml:space="preserve">BPM (2025) </w:t>
      </w:r>
      <w:r w:rsidRPr="00CE226E">
        <w:rPr>
          <w:rFonts w:ascii="Arial" w:hAnsi="Arial" w:cs="Arial"/>
          <w:i/>
          <w:iCs/>
          <w:lang w:val="en-US"/>
        </w:rPr>
        <w:t>Corporate restructuring strategy guide</w:t>
      </w:r>
      <w:r w:rsidRPr="00CE226E">
        <w:rPr>
          <w:rFonts w:ascii="Arial" w:hAnsi="Arial" w:cs="Arial"/>
          <w:lang w:val="en-US"/>
        </w:rPr>
        <w:t xml:space="preserve">. Available at: </w:t>
      </w:r>
      <w:hyperlink r:id="rId33" w:tgtFrame="_blank" w:history="1">
        <w:r w:rsidRPr="00CE226E">
          <w:rPr>
            <w:rStyle w:val="Hyperlink"/>
            <w:rFonts w:ascii="Arial" w:hAnsi="Arial" w:cs="Arial"/>
            <w:lang w:val="en-US"/>
          </w:rPr>
          <w:t>https://www.bpm.com/insights/corporate-restructuring/</w:t>
        </w:r>
      </w:hyperlink>
      <w:r w:rsidRPr="00CE226E">
        <w:rPr>
          <w:rFonts w:ascii="Arial" w:hAnsi="Arial" w:cs="Arial"/>
          <w:lang w:val="en-US"/>
        </w:rPr>
        <w:t xml:space="preserve"> (Accessed: 21 November 2025).</w:t>
      </w:r>
    </w:p>
    <w:p w14:paraId="38768F64" w14:textId="77777777" w:rsidR="00CE226E" w:rsidRPr="00CE226E" w:rsidRDefault="00CE226E" w:rsidP="00901D93">
      <w:pPr>
        <w:pStyle w:val="NormalWeb"/>
        <w:spacing w:line="360" w:lineRule="auto"/>
        <w:jc w:val="both"/>
        <w:rPr>
          <w:rFonts w:ascii="Arial" w:hAnsi="Arial" w:cs="Arial"/>
          <w:lang w:val="en-US"/>
        </w:rPr>
      </w:pPr>
      <w:r w:rsidRPr="00CE226E">
        <w:rPr>
          <w:rFonts w:ascii="Arial" w:hAnsi="Arial" w:cs="Arial"/>
          <w:lang w:val="en-US"/>
        </w:rPr>
        <w:lastRenderedPageBreak/>
        <w:t xml:space="preserve">CFI (2025) </w:t>
      </w:r>
      <w:r w:rsidRPr="00CE226E">
        <w:rPr>
          <w:rFonts w:ascii="Arial" w:hAnsi="Arial" w:cs="Arial"/>
          <w:i/>
          <w:iCs/>
          <w:lang w:val="en-US"/>
        </w:rPr>
        <w:t>Capital Rationing - Definition, Example, Types, Pros</w:t>
      </w:r>
      <w:r w:rsidRPr="00CE226E">
        <w:rPr>
          <w:rFonts w:ascii="Arial" w:hAnsi="Arial" w:cs="Arial"/>
          <w:lang w:val="en-US"/>
        </w:rPr>
        <w:t xml:space="preserve">. Available at: </w:t>
      </w:r>
      <w:hyperlink r:id="rId34" w:tgtFrame="_blank" w:history="1">
        <w:r w:rsidRPr="00CE226E">
          <w:rPr>
            <w:rStyle w:val="Hyperlink"/>
            <w:rFonts w:ascii="Arial" w:hAnsi="Arial" w:cs="Arial"/>
            <w:lang w:val="en-US"/>
          </w:rPr>
          <w:t>https://corporatefinanceinstitute.com/resources/accounting/capital-rationing/</w:t>
        </w:r>
      </w:hyperlink>
      <w:r w:rsidRPr="00CE226E">
        <w:rPr>
          <w:rFonts w:ascii="Arial" w:hAnsi="Arial" w:cs="Arial"/>
          <w:lang w:val="en-US"/>
        </w:rPr>
        <w:t xml:space="preserve"> (Accessed: 21 November 2025).</w:t>
      </w:r>
    </w:p>
    <w:p w14:paraId="3767B83C" w14:textId="77777777" w:rsidR="00CE226E" w:rsidRPr="00CE226E" w:rsidRDefault="00CE226E" w:rsidP="00901D93">
      <w:pPr>
        <w:pStyle w:val="NormalWeb"/>
        <w:spacing w:line="360" w:lineRule="auto"/>
        <w:jc w:val="both"/>
        <w:rPr>
          <w:rFonts w:ascii="Arial" w:hAnsi="Arial" w:cs="Arial"/>
          <w:lang w:val="en-US"/>
        </w:rPr>
      </w:pPr>
      <w:r w:rsidRPr="00CE226E">
        <w:rPr>
          <w:rFonts w:ascii="Arial" w:hAnsi="Arial" w:cs="Arial"/>
          <w:lang w:val="en-US"/>
        </w:rPr>
        <w:t xml:space="preserve">Investopedia (2025) </w:t>
      </w:r>
      <w:r w:rsidRPr="00CE226E">
        <w:rPr>
          <w:rFonts w:ascii="Arial" w:hAnsi="Arial" w:cs="Arial"/>
          <w:i/>
          <w:iCs/>
          <w:lang w:val="en-US"/>
        </w:rPr>
        <w:t>Capital Rationing: Definition, Uses, Types, and Examples</w:t>
      </w:r>
      <w:r w:rsidRPr="00CE226E">
        <w:rPr>
          <w:rFonts w:ascii="Arial" w:hAnsi="Arial" w:cs="Arial"/>
          <w:lang w:val="en-US"/>
        </w:rPr>
        <w:t xml:space="preserve">. Available at: </w:t>
      </w:r>
      <w:hyperlink r:id="rId35" w:tgtFrame="_blank" w:history="1">
        <w:r w:rsidRPr="00CE226E">
          <w:rPr>
            <w:rStyle w:val="Hyperlink"/>
            <w:rFonts w:ascii="Arial" w:hAnsi="Arial" w:cs="Arial"/>
            <w:lang w:val="en-US"/>
          </w:rPr>
          <w:t>https://www.investopedia.com/terms/c/capitalrationing.asp</w:t>
        </w:r>
      </w:hyperlink>
      <w:r w:rsidRPr="00CE226E">
        <w:rPr>
          <w:rFonts w:ascii="Arial" w:hAnsi="Arial" w:cs="Arial"/>
          <w:lang w:val="en-US"/>
        </w:rPr>
        <w:t xml:space="preserve"> (Accessed: 21 November 2025).</w:t>
      </w:r>
    </w:p>
    <w:p w14:paraId="2113A586" w14:textId="77777777" w:rsidR="00CE226E" w:rsidRPr="00CE226E" w:rsidRDefault="00CE226E" w:rsidP="00901D93">
      <w:pPr>
        <w:pStyle w:val="NormalWeb"/>
        <w:spacing w:line="360" w:lineRule="auto"/>
        <w:jc w:val="both"/>
        <w:rPr>
          <w:rFonts w:ascii="Arial" w:hAnsi="Arial" w:cs="Arial"/>
          <w:lang w:val="en-US"/>
        </w:rPr>
      </w:pPr>
      <w:proofErr w:type="spellStart"/>
      <w:r w:rsidRPr="00CE226E">
        <w:rPr>
          <w:rFonts w:ascii="Arial" w:hAnsi="Arial" w:cs="Arial"/>
          <w:lang w:val="en-US"/>
        </w:rPr>
        <w:t>LegalVision</w:t>
      </w:r>
      <w:proofErr w:type="spellEnd"/>
      <w:r w:rsidRPr="00CE226E">
        <w:rPr>
          <w:rFonts w:ascii="Arial" w:hAnsi="Arial" w:cs="Arial"/>
          <w:lang w:val="en-US"/>
        </w:rPr>
        <w:t xml:space="preserve"> UK (2025) </w:t>
      </w:r>
      <w:r w:rsidRPr="00CE226E">
        <w:rPr>
          <w:rFonts w:ascii="Arial" w:hAnsi="Arial" w:cs="Arial"/>
          <w:i/>
          <w:iCs/>
          <w:lang w:val="en-US"/>
        </w:rPr>
        <w:t>Short-Term vs Long-Term Financing</w:t>
      </w:r>
      <w:r w:rsidRPr="00CE226E">
        <w:rPr>
          <w:rFonts w:ascii="Arial" w:hAnsi="Arial" w:cs="Arial"/>
          <w:lang w:val="en-US"/>
        </w:rPr>
        <w:t xml:space="preserve">. Available at: </w:t>
      </w:r>
      <w:hyperlink r:id="rId36" w:tgtFrame="_blank" w:history="1">
        <w:r w:rsidRPr="00CE226E">
          <w:rPr>
            <w:rStyle w:val="Hyperlink"/>
            <w:rFonts w:ascii="Arial" w:hAnsi="Arial" w:cs="Arial"/>
            <w:lang w:val="en-US"/>
          </w:rPr>
          <w:t>https://legalvision.co.uk/corporations/term-financing/</w:t>
        </w:r>
      </w:hyperlink>
      <w:r w:rsidRPr="00CE226E">
        <w:rPr>
          <w:rFonts w:ascii="Arial" w:hAnsi="Arial" w:cs="Arial"/>
          <w:lang w:val="en-US"/>
        </w:rPr>
        <w:t xml:space="preserve"> (Accessed: 21 November 2025).</w:t>
      </w:r>
    </w:p>
    <w:p w14:paraId="09C1C359" w14:textId="77777777" w:rsidR="00CE226E" w:rsidRPr="00CE226E" w:rsidRDefault="00CE226E" w:rsidP="00901D93">
      <w:pPr>
        <w:pStyle w:val="NormalWeb"/>
        <w:spacing w:line="360" w:lineRule="auto"/>
        <w:jc w:val="both"/>
        <w:rPr>
          <w:rFonts w:ascii="Arial" w:hAnsi="Arial" w:cs="Arial"/>
          <w:lang w:val="en-US"/>
        </w:rPr>
      </w:pPr>
      <w:r w:rsidRPr="00CE226E">
        <w:rPr>
          <w:rFonts w:ascii="Arial" w:hAnsi="Arial" w:cs="Arial"/>
          <w:lang w:val="en-US"/>
        </w:rPr>
        <w:t xml:space="preserve">Plutus Education (2024) </w:t>
      </w:r>
      <w:r w:rsidRPr="00CE226E">
        <w:rPr>
          <w:rFonts w:ascii="Arial" w:hAnsi="Arial" w:cs="Arial"/>
          <w:i/>
          <w:iCs/>
          <w:lang w:val="en-US"/>
        </w:rPr>
        <w:t>Investment Appraisal Techniques: NPV, IRR, Payback Period &amp; More</w:t>
      </w:r>
      <w:r w:rsidRPr="00CE226E">
        <w:rPr>
          <w:rFonts w:ascii="Arial" w:hAnsi="Arial" w:cs="Arial"/>
          <w:lang w:val="en-US"/>
        </w:rPr>
        <w:t xml:space="preserve">. Available at: </w:t>
      </w:r>
      <w:hyperlink r:id="rId37" w:tgtFrame="_blank" w:history="1">
        <w:r w:rsidRPr="00CE226E">
          <w:rPr>
            <w:rStyle w:val="Hyperlink"/>
            <w:rFonts w:ascii="Arial" w:hAnsi="Arial" w:cs="Arial"/>
            <w:lang w:val="en-US"/>
          </w:rPr>
          <w:t>https://plutuseducation.com/blog/investment-appraisal-techniques/</w:t>
        </w:r>
      </w:hyperlink>
      <w:r w:rsidRPr="00CE226E">
        <w:rPr>
          <w:rFonts w:ascii="Arial" w:hAnsi="Arial" w:cs="Arial"/>
          <w:lang w:val="en-US"/>
        </w:rPr>
        <w:t xml:space="preserve"> (Accessed: 21 November 2025).</w:t>
      </w:r>
    </w:p>
    <w:p w14:paraId="696FF39D" w14:textId="77777777" w:rsidR="00CE226E" w:rsidRPr="00CE226E" w:rsidRDefault="00CE226E" w:rsidP="00901D93">
      <w:pPr>
        <w:pStyle w:val="NormalWeb"/>
        <w:spacing w:line="360" w:lineRule="auto"/>
        <w:jc w:val="both"/>
        <w:rPr>
          <w:rFonts w:ascii="Arial" w:hAnsi="Arial" w:cs="Arial"/>
          <w:lang w:val="en-US"/>
        </w:rPr>
      </w:pPr>
      <w:proofErr w:type="spellStart"/>
      <w:r w:rsidRPr="00CE226E">
        <w:rPr>
          <w:rFonts w:ascii="Arial" w:hAnsi="Arial" w:cs="Arial"/>
          <w:lang w:val="en-US"/>
        </w:rPr>
        <w:t>Taxmann</w:t>
      </w:r>
      <w:proofErr w:type="spellEnd"/>
      <w:r w:rsidRPr="00CE226E">
        <w:rPr>
          <w:rFonts w:ascii="Arial" w:hAnsi="Arial" w:cs="Arial"/>
          <w:lang w:val="en-US"/>
        </w:rPr>
        <w:t xml:space="preserve"> (2025) </w:t>
      </w:r>
      <w:r w:rsidRPr="00CE226E">
        <w:rPr>
          <w:rFonts w:ascii="Arial" w:hAnsi="Arial" w:cs="Arial"/>
          <w:i/>
          <w:iCs/>
          <w:lang w:val="en-US"/>
        </w:rPr>
        <w:t>CAPITAL BUDGETING</w:t>
      </w:r>
      <w:r w:rsidRPr="00CE226E">
        <w:rPr>
          <w:rFonts w:ascii="Arial" w:hAnsi="Arial" w:cs="Arial"/>
          <w:lang w:val="en-US"/>
        </w:rPr>
        <w:t xml:space="preserve">. Available at: </w:t>
      </w:r>
      <w:hyperlink r:id="rId38" w:tgtFrame="_blank" w:history="1">
        <w:r w:rsidRPr="00CE226E">
          <w:rPr>
            <w:rStyle w:val="Hyperlink"/>
            <w:rFonts w:ascii="Arial" w:hAnsi="Arial" w:cs="Arial"/>
            <w:lang w:val="en-US"/>
          </w:rPr>
          <w:t>https://cdn.taxmann.com/BookshopFiles/bookfiles/1751112898387_Cracker_CAFM--NS_Zad-_9789371268929.pdf</w:t>
        </w:r>
      </w:hyperlink>
      <w:r w:rsidRPr="00CE226E">
        <w:rPr>
          <w:rFonts w:ascii="Arial" w:hAnsi="Arial" w:cs="Arial"/>
          <w:lang w:val="en-US"/>
        </w:rPr>
        <w:t xml:space="preserve"> (Accessed: 21 November 2025).</w:t>
      </w:r>
    </w:p>
    <w:p w14:paraId="324AFE0F" w14:textId="4AF33B9B" w:rsidR="0063329B" w:rsidRDefault="00CE226E" w:rsidP="00901D93">
      <w:pPr>
        <w:pStyle w:val="NormalWeb"/>
        <w:spacing w:line="360" w:lineRule="auto"/>
        <w:jc w:val="both"/>
        <w:rPr>
          <w:rFonts w:ascii="Arial" w:hAnsi="Arial" w:cs="Arial"/>
          <w:lang w:val="en-US"/>
        </w:rPr>
      </w:pPr>
      <w:r w:rsidRPr="00CE226E">
        <w:rPr>
          <w:rFonts w:ascii="Arial" w:hAnsi="Arial" w:cs="Arial"/>
          <w:lang w:val="en-US"/>
        </w:rPr>
        <w:t xml:space="preserve">Teece, D.J. (2020) </w:t>
      </w:r>
      <w:r w:rsidRPr="00CE226E">
        <w:rPr>
          <w:rFonts w:ascii="Arial" w:hAnsi="Arial" w:cs="Arial"/>
          <w:i/>
          <w:iCs/>
          <w:lang w:val="en-US"/>
        </w:rPr>
        <w:t>Dynamic Capabilities and Strategic Management: Organizing for Innovation and Growth</w:t>
      </w:r>
      <w:r w:rsidRPr="00CE226E">
        <w:rPr>
          <w:rFonts w:ascii="Arial" w:hAnsi="Arial" w:cs="Arial"/>
          <w:lang w:val="en-US"/>
        </w:rPr>
        <w:t>. New York: Oxford University Press.</w:t>
      </w:r>
    </w:p>
    <w:p w14:paraId="70429354" w14:textId="77777777" w:rsidR="0063329B" w:rsidRDefault="0063329B">
      <w:pPr>
        <w:spacing w:after="160" w:line="278" w:lineRule="auto"/>
        <w:rPr>
          <w:rFonts w:ascii="Arial" w:eastAsia="Times New Roman" w:hAnsi="Arial" w:cs="Arial"/>
          <w:sz w:val="24"/>
          <w:szCs w:val="24"/>
          <w:lang w:val="en-US" w:eastAsia="en-GB"/>
        </w:rPr>
      </w:pPr>
      <w:r>
        <w:rPr>
          <w:rFonts w:ascii="Arial" w:hAnsi="Arial" w:cs="Arial"/>
          <w:lang w:val="en-US"/>
        </w:rPr>
        <w:br w:type="page"/>
      </w:r>
    </w:p>
    <w:p w14:paraId="5764A3F8" w14:textId="54943DE6" w:rsidR="00212ED5" w:rsidRDefault="0063329B" w:rsidP="007F74BB">
      <w:pPr>
        <w:pStyle w:val="Heading1"/>
        <w:rPr>
          <w:lang w:val="en-US"/>
        </w:rPr>
      </w:pPr>
      <w:bookmarkStart w:id="41" w:name="_Toc214748978"/>
      <w:r w:rsidRPr="008330FB">
        <w:rPr>
          <w:lang w:val="en-US"/>
        </w:rPr>
        <w:lastRenderedPageBreak/>
        <w:t>Appendices</w:t>
      </w:r>
      <w:r>
        <w:rPr>
          <w:lang w:val="en-US"/>
        </w:rPr>
        <w:t>:</w:t>
      </w:r>
      <w:bookmarkEnd w:id="41"/>
    </w:p>
    <w:p w14:paraId="03B7698F" w14:textId="77777777" w:rsidR="00646661" w:rsidRDefault="00646661" w:rsidP="00646661">
      <w:pPr>
        <w:jc w:val="both"/>
        <w:rPr>
          <w:rFonts w:ascii="Arial" w:hAnsi="Arial" w:cs="Arial"/>
        </w:rPr>
      </w:pPr>
      <w:r w:rsidRPr="6C3A0363">
        <w:rPr>
          <w:rFonts w:ascii="Arial" w:hAnsi="Arial" w:cs="Arial"/>
          <w:b/>
          <w:bCs/>
          <w:u w:val="single"/>
        </w:rPr>
        <w:t>Financial Statement:</w:t>
      </w:r>
    </w:p>
    <w:tbl>
      <w:tblPr>
        <w:tblStyle w:val="TableGrid"/>
        <w:tblW w:w="5000" w:type="pct"/>
        <w:tblLook w:val="04A0" w:firstRow="1" w:lastRow="0" w:firstColumn="1" w:lastColumn="0" w:noHBand="0" w:noVBand="1"/>
      </w:tblPr>
      <w:tblGrid>
        <w:gridCol w:w="3046"/>
        <w:gridCol w:w="1194"/>
        <w:gridCol w:w="1194"/>
        <w:gridCol w:w="1194"/>
        <w:gridCol w:w="1194"/>
        <w:gridCol w:w="1194"/>
      </w:tblGrid>
      <w:tr w:rsidR="00646661" w:rsidRPr="00646661" w14:paraId="31379D8C" w14:textId="77777777" w:rsidTr="00646661">
        <w:trPr>
          <w:trHeight w:val="300"/>
        </w:trPr>
        <w:tc>
          <w:tcPr>
            <w:tcW w:w="5000" w:type="pct"/>
            <w:gridSpan w:val="6"/>
            <w:noWrap/>
            <w:hideMark/>
          </w:tcPr>
          <w:p w14:paraId="2E5941A2" w14:textId="77777777" w:rsidR="00646661" w:rsidRPr="00646661" w:rsidRDefault="00646661" w:rsidP="00C176DE">
            <w:pPr>
              <w:jc w:val="center"/>
              <w:rPr>
                <w:rFonts w:ascii="Arial" w:hAnsi="Arial" w:cs="Arial"/>
                <w:b/>
                <w:bCs/>
                <w:color w:val="000000"/>
                <w:lang w:eastAsia="zh-CN"/>
              </w:rPr>
            </w:pPr>
            <w:r w:rsidRPr="00646661">
              <w:rPr>
                <w:rFonts w:ascii="Arial" w:hAnsi="Arial" w:cs="Arial"/>
                <w:b/>
                <w:bCs/>
                <w:color w:val="000000"/>
                <w:lang w:eastAsia="zh-CN"/>
              </w:rPr>
              <w:t>Consolidated Income Statement (£m)</w:t>
            </w:r>
          </w:p>
        </w:tc>
      </w:tr>
      <w:tr w:rsidR="00646661" w:rsidRPr="00646661" w14:paraId="5BD467B2" w14:textId="77777777" w:rsidTr="00646661">
        <w:trPr>
          <w:trHeight w:val="300"/>
        </w:trPr>
        <w:tc>
          <w:tcPr>
            <w:tcW w:w="1690" w:type="pct"/>
            <w:hideMark/>
          </w:tcPr>
          <w:p w14:paraId="3DA3D874" w14:textId="77777777" w:rsidR="00646661" w:rsidRPr="00646661" w:rsidRDefault="00646661" w:rsidP="00C176DE">
            <w:pPr>
              <w:jc w:val="center"/>
              <w:rPr>
                <w:rFonts w:ascii="Arial" w:hAnsi="Arial" w:cs="Arial"/>
                <w:b/>
                <w:bCs/>
                <w:color w:val="000000"/>
                <w:sz w:val="18"/>
                <w:szCs w:val="18"/>
                <w:lang w:eastAsia="zh-CN"/>
              </w:rPr>
            </w:pPr>
          </w:p>
        </w:tc>
        <w:tc>
          <w:tcPr>
            <w:tcW w:w="662" w:type="pct"/>
            <w:noWrap/>
            <w:hideMark/>
          </w:tcPr>
          <w:p w14:paraId="51B3B6C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2024</w:t>
            </w:r>
          </w:p>
        </w:tc>
        <w:tc>
          <w:tcPr>
            <w:tcW w:w="662" w:type="pct"/>
            <w:noWrap/>
            <w:hideMark/>
          </w:tcPr>
          <w:p w14:paraId="7676D11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2023</w:t>
            </w:r>
          </w:p>
        </w:tc>
        <w:tc>
          <w:tcPr>
            <w:tcW w:w="662" w:type="pct"/>
            <w:noWrap/>
            <w:hideMark/>
          </w:tcPr>
          <w:p w14:paraId="473F79E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2022</w:t>
            </w:r>
          </w:p>
        </w:tc>
        <w:tc>
          <w:tcPr>
            <w:tcW w:w="662" w:type="pct"/>
            <w:noWrap/>
            <w:hideMark/>
          </w:tcPr>
          <w:p w14:paraId="69346F2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2021</w:t>
            </w:r>
          </w:p>
        </w:tc>
        <w:tc>
          <w:tcPr>
            <w:tcW w:w="662" w:type="pct"/>
            <w:noWrap/>
            <w:hideMark/>
          </w:tcPr>
          <w:p w14:paraId="1B991C0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2020</w:t>
            </w:r>
          </w:p>
        </w:tc>
      </w:tr>
      <w:tr w:rsidR="00646661" w:rsidRPr="00646661" w14:paraId="7BC7D9EA" w14:textId="77777777" w:rsidTr="00646661">
        <w:trPr>
          <w:trHeight w:val="300"/>
        </w:trPr>
        <w:tc>
          <w:tcPr>
            <w:tcW w:w="1690" w:type="pct"/>
            <w:hideMark/>
          </w:tcPr>
          <w:p w14:paraId="7E9AF1E0"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sales</w:t>
            </w:r>
          </w:p>
        </w:tc>
        <w:tc>
          <w:tcPr>
            <w:tcW w:w="662" w:type="pct"/>
            <w:noWrap/>
            <w:hideMark/>
          </w:tcPr>
          <w:p w14:paraId="193E12E4" w14:textId="77777777" w:rsidR="00646661" w:rsidRPr="00646661" w:rsidRDefault="00646661" w:rsidP="00C176DE">
            <w:pPr>
              <w:jc w:val="right"/>
              <w:rPr>
                <w:rFonts w:ascii="Arial" w:hAnsi="Arial" w:cs="Arial"/>
                <w:color w:val="000000"/>
                <w:sz w:val="18"/>
                <w:szCs w:val="18"/>
                <w:lang w:eastAsia="zh-CN"/>
              </w:rPr>
            </w:pPr>
            <w:bookmarkStart w:id="42" w:name="_GoBack"/>
            <w:bookmarkEnd w:id="42"/>
            <w:r w:rsidRPr="00646661">
              <w:rPr>
                <w:rFonts w:ascii="Arial" w:hAnsi="Arial" w:cs="Arial"/>
                <w:color w:val="000000"/>
                <w:sz w:val="18"/>
                <w:szCs w:val="18"/>
                <w:lang w:eastAsia="zh-CN"/>
              </w:rPr>
              <w:t xml:space="preserve">394,879 </w:t>
            </w:r>
          </w:p>
        </w:tc>
        <w:tc>
          <w:tcPr>
            <w:tcW w:w="662" w:type="pct"/>
            <w:noWrap/>
            <w:hideMark/>
          </w:tcPr>
          <w:p w14:paraId="7D6779A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420,457 </w:t>
            </w:r>
          </w:p>
        </w:tc>
        <w:tc>
          <w:tcPr>
            <w:tcW w:w="662" w:type="pct"/>
            <w:noWrap/>
            <w:hideMark/>
          </w:tcPr>
          <w:p w14:paraId="05B42C0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542,751 </w:t>
            </w:r>
          </w:p>
        </w:tc>
        <w:tc>
          <w:tcPr>
            <w:tcW w:w="662" w:type="pct"/>
            <w:noWrap/>
            <w:hideMark/>
          </w:tcPr>
          <w:p w14:paraId="6C08FEE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601,602 </w:t>
            </w:r>
          </w:p>
        </w:tc>
        <w:tc>
          <w:tcPr>
            <w:tcW w:w="662" w:type="pct"/>
            <w:noWrap/>
            <w:hideMark/>
          </w:tcPr>
          <w:p w14:paraId="3027A3E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614,680 </w:t>
            </w:r>
          </w:p>
        </w:tc>
      </w:tr>
      <w:tr w:rsidR="00646661" w:rsidRPr="00646661" w14:paraId="0750FAD8" w14:textId="77777777" w:rsidTr="00646661">
        <w:trPr>
          <w:trHeight w:val="300"/>
        </w:trPr>
        <w:tc>
          <w:tcPr>
            <w:tcW w:w="1690" w:type="pct"/>
            <w:hideMark/>
          </w:tcPr>
          <w:p w14:paraId="3CFFCFA8"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Cost of sales</w:t>
            </w:r>
          </w:p>
        </w:tc>
        <w:tc>
          <w:tcPr>
            <w:tcW w:w="662" w:type="pct"/>
            <w:noWrap/>
            <w:hideMark/>
          </w:tcPr>
          <w:p w14:paraId="3CCE3E5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(280,885)</w:t>
            </w:r>
          </w:p>
        </w:tc>
        <w:tc>
          <w:tcPr>
            <w:tcW w:w="662" w:type="pct"/>
            <w:noWrap/>
            <w:hideMark/>
          </w:tcPr>
          <w:p w14:paraId="4F3B69E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(322,897)</w:t>
            </w:r>
          </w:p>
        </w:tc>
        <w:tc>
          <w:tcPr>
            <w:tcW w:w="662" w:type="pct"/>
            <w:noWrap/>
            <w:hideMark/>
          </w:tcPr>
          <w:p w14:paraId="355B716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(390,459)</w:t>
            </w:r>
          </w:p>
        </w:tc>
        <w:tc>
          <w:tcPr>
            <w:tcW w:w="662" w:type="pct"/>
            <w:noWrap/>
            <w:hideMark/>
          </w:tcPr>
          <w:p w14:paraId="101A612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(428,586)</w:t>
            </w:r>
          </w:p>
        </w:tc>
        <w:tc>
          <w:tcPr>
            <w:tcW w:w="662" w:type="pct"/>
            <w:noWrap/>
            <w:hideMark/>
          </w:tcPr>
          <w:p w14:paraId="5F0CC0E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(438,424)</w:t>
            </w:r>
          </w:p>
        </w:tc>
      </w:tr>
      <w:tr w:rsidR="00646661" w:rsidRPr="00646661" w14:paraId="1978EC23" w14:textId="77777777" w:rsidTr="00646661">
        <w:trPr>
          <w:trHeight w:val="300"/>
        </w:trPr>
        <w:tc>
          <w:tcPr>
            <w:tcW w:w="1690" w:type="pct"/>
            <w:hideMark/>
          </w:tcPr>
          <w:p w14:paraId="48B3E84A"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Gross profit</w:t>
            </w:r>
          </w:p>
        </w:tc>
        <w:tc>
          <w:tcPr>
            <w:tcW w:w="662" w:type="pct"/>
            <w:noWrap/>
            <w:hideMark/>
          </w:tcPr>
          <w:p w14:paraId="38E3451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113,994 </w:t>
            </w:r>
          </w:p>
        </w:tc>
        <w:tc>
          <w:tcPr>
            <w:tcW w:w="662" w:type="pct"/>
            <w:noWrap/>
            <w:hideMark/>
          </w:tcPr>
          <w:p w14:paraId="01DE2D8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97,560 </w:t>
            </w:r>
          </w:p>
        </w:tc>
        <w:tc>
          <w:tcPr>
            <w:tcW w:w="662" w:type="pct"/>
            <w:noWrap/>
            <w:hideMark/>
          </w:tcPr>
          <w:p w14:paraId="4385EB1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152,292 </w:t>
            </w:r>
          </w:p>
        </w:tc>
        <w:tc>
          <w:tcPr>
            <w:tcW w:w="662" w:type="pct"/>
            <w:noWrap/>
            <w:hideMark/>
          </w:tcPr>
          <w:p w14:paraId="039890A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173,016 </w:t>
            </w:r>
          </w:p>
        </w:tc>
        <w:tc>
          <w:tcPr>
            <w:tcW w:w="662" w:type="pct"/>
            <w:noWrap/>
            <w:hideMark/>
          </w:tcPr>
          <w:p w14:paraId="0EF2F3A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176,256 </w:t>
            </w:r>
          </w:p>
        </w:tc>
      </w:tr>
      <w:tr w:rsidR="00646661" w:rsidRPr="00646661" w14:paraId="1CBE7FAD" w14:textId="77777777" w:rsidTr="00646661">
        <w:trPr>
          <w:trHeight w:val="300"/>
        </w:trPr>
        <w:tc>
          <w:tcPr>
            <w:tcW w:w="1690" w:type="pct"/>
            <w:hideMark/>
          </w:tcPr>
          <w:p w14:paraId="4F07B83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Operating expenses</w:t>
            </w:r>
          </w:p>
        </w:tc>
        <w:tc>
          <w:tcPr>
            <w:tcW w:w="662" w:type="pct"/>
            <w:noWrap/>
            <w:hideMark/>
          </w:tcPr>
          <w:p w14:paraId="76338E2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129,291 </w:t>
            </w:r>
          </w:p>
        </w:tc>
        <w:tc>
          <w:tcPr>
            <w:tcW w:w="662" w:type="pct"/>
            <w:noWrap/>
            <w:hideMark/>
          </w:tcPr>
          <w:p w14:paraId="32E0EBB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182,861 </w:t>
            </w:r>
          </w:p>
        </w:tc>
        <w:tc>
          <w:tcPr>
            <w:tcW w:w="662" w:type="pct"/>
            <w:noWrap/>
            <w:hideMark/>
          </w:tcPr>
          <w:p w14:paraId="79BEE5C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137,744 </w:t>
            </w:r>
          </w:p>
        </w:tc>
        <w:tc>
          <w:tcPr>
            <w:tcW w:w="662" w:type="pct"/>
            <w:noWrap/>
            <w:hideMark/>
          </w:tcPr>
          <w:p w14:paraId="2B82D70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149,763 </w:t>
            </w:r>
          </w:p>
        </w:tc>
        <w:tc>
          <w:tcPr>
            <w:tcW w:w="662" w:type="pct"/>
            <w:noWrap/>
            <w:hideMark/>
          </w:tcPr>
          <w:p w14:paraId="557FA3D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138,989 </w:t>
            </w:r>
          </w:p>
        </w:tc>
      </w:tr>
      <w:tr w:rsidR="00646661" w:rsidRPr="00646661" w14:paraId="48E80F5E" w14:textId="77777777" w:rsidTr="00646661">
        <w:trPr>
          <w:trHeight w:val="300"/>
        </w:trPr>
        <w:tc>
          <w:tcPr>
            <w:tcW w:w="1690" w:type="pct"/>
            <w:hideMark/>
          </w:tcPr>
          <w:p w14:paraId="5334C545"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Operating income (loss)</w:t>
            </w:r>
          </w:p>
        </w:tc>
        <w:tc>
          <w:tcPr>
            <w:tcW w:w="662" w:type="pct"/>
            <w:noWrap/>
            <w:hideMark/>
          </w:tcPr>
          <w:p w14:paraId="2A80D57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(15,297)</w:t>
            </w:r>
          </w:p>
        </w:tc>
        <w:tc>
          <w:tcPr>
            <w:tcW w:w="662" w:type="pct"/>
            <w:noWrap/>
            <w:hideMark/>
          </w:tcPr>
          <w:p w14:paraId="2B89F13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(85,301)</w:t>
            </w:r>
          </w:p>
        </w:tc>
        <w:tc>
          <w:tcPr>
            <w:tcW w:w="662" w:type="pct"/>
            <w:noWrap/>
            <w:hideMark/>
          </w:tcPr>
          <w:p w14:paraId="65F7097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14,548 </w:t>
            </w:r>
          </w:p>
        </w:tc>
        <w:tc>
          <w:tcPr>
            <w:tcW w:w="662" w:type="pct"/>
            <w:noWrap/>
            <w:hideMark/>
          </w:tcPr>
          <w:p w14:paraId="51340A0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23,253 </w:t>
            </w:r>
          </w:p>
        </w:tc>
        <w:tc>
          <w:tcPr>
            <w:tcW w:w="662" w:type="pct"/>
            <w:noWrap/>
            <w:hideMark/>
          </w:tcPr>
          <w:p w14:paraId="5472886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37,267 </w:t>
            </w:r>
          </w:p>
        </w:tc>
      </w:tr>
      <w:tr w:rsidR="00646661" w:rsidRPr="00646661" w14:paraId="4C8D7D50" w14:textId="77777777" w:rsidTr="00646661">
        <w:trPr>
          <w:trHeight w:val="300"/>
        </w:trPr>
        <w:tc>
          <w:tcPr>
            <w:tcW w:w="1690" w:type="pct"/>
            <w:hideMark/>
          </w:tcPr>
          <w:p w14:paraId="09A26038"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Interest income (expenses)</w:t>
            </w:r>
          </w:p>
        </w:tc>
        <w:tc>
          <w:tcPr>
            <w:tcW w:w="662" w:type="pct"/>
            <w:noWrap/>
            <w:hideMark/>
          </w:tcPr>
          <w:p w14:paraId="3551FA5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(3,361)</w:t>
            </w:r>
          </w:p>
        </w:tc>
        <w:tc>
          <w:tcPr>
            <w:tcW w:w="662" w:type="pct"/>
            <w:noWrap/>
            <w:hideMark/>
          </w:tcPr>
          <w:p w14:paraId="24FEC09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(4,332)</w:t>
            </w:r>
          </w:p>
        </w:tc>
        <w:tc>
          <w:tcPr>
            <w:tcW w:w="662" w:type="pct"/>
            <w:noWrap/>
            <w:hideMark/>
          </w:tcPr>
          <w:p w14:paraId="5C2E3B0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(2,200)</w:t>
            </w:r>
          </w:p>
        </w:tc>
        <w:tc>
          <w:tcPr>
            <w:tcW w:w="662" w:type="pct"/>
            <w:noWrap/>
            <w:hideMark/>
          </w:tcPr>
          <w:p w14:paraId="749BC99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(566)</w:t>
            </w:r>
          </w:p>
        </w:tc>
        <w:tc>
          <w:tcPr>
            <w:tcW w:w="662" w:type="pct"/>
            <w:noWrap/>
            <w:hideMark/>
          </w:tcPr>
          <w:p w14:paraId="1791B9B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(1,422)</w:t>
            </w:r>
          </w:p>
        </w:tc>
      </w:tr>
      <w:tr w:rsidR="00646661" w:rsidRPr="00646661" w14:paraId="63512925" w14:textId="77777777" w:rsidTr="00646661">
        <w:trPr>
          <w:trHeight w:val="300"/>
        </w:trPr>
        <w:tc>
          <w:tcPr>
            <w:tcW w:w="1690" w:type="pct"/>
            <w:hideMark/>
          </w:tcPr>
          <w:p w14:paraId="6B0D40E0"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Other income (expenses)</w:t>
            </w:r>
          </w:p>
        </w:tc>
        <w:tc>
          <w:tcPr>
            <w:tcW w:w="662" w:type="pct"/>
            <w:noWrap/>
            <w:hideMark/>
          </w:tcPr>
          <w:p w14:paraId="767EB0E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60 </w:t>
            </w:r>
          </w:p>
        </w:tc>
        <w:tc>
          <w:tcPr>
            <w:tcW w:w="662" w:type="pct"/>
            <w:noWrap/>
            <w:hideMark/>
          </w:tcPr>
          <w:p w14:paraId="7555A4E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(2,621)</w:t>
            </w:r>
          </w:p>
        </w:tc>
        <w:tc>
          <w:tcPr>
            <w:tcW w:w="662" w:type="pct"/>
            <w:noWrap/>
            <w:hideMark/>
          </w:tcPr>
          <w:p w14:paraId="71A3E5B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(955)</w:t>
            </w:r>
          </w:p>
        </w:tc>
        <w:tc>
          <w:tcPr>
            <w:tcW w:w="662" w:type="pct"/>
            <w:noWrap/>
            <w:hideMark/>
          </w:tcPr>
          <w:p w14:paraId="37AFA4E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(6,607)</w:t>
            </w:r>
          </w:p>
        </w:tc>
        <w:tc>
          <w:tcPr>
            <w:tcW w:w="662" w:type="pct"/>
            <w:noWrap/>
            <w:hideMark/>
          </w:tcPr>
          <w:p w14:paraId="6856C1A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8,060 </w:t>
            </w:r>
          </w:p>
        </w:tc>
      </w:tr>
      <w:tr w:rsidR="00646661" w:rsidRPr="00646661" w14:paraId="4B99568F" w14:textId="77777777" w:rsidTr="00646661">
        <w:trPr>
          <w:trHeight w:val="495"/>
        </w:trPr>
        <w:tc>
          <w:tcPr>
            <w:tcW w:w="1690" w:type="pct"/>
            <w:hideMark/>
          </w:tcPr>
          <w:p w14:paraId="3BA450BA"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Income (loss) before provision for income taxes</w:t>
            </w:r>
          </w:p>
        </w:tc>
        <w:tc>
          <w:tcPr>
            <w:tcW w:w="662" w:type="pct"/>
            <w:noWrap/>
            <w:hideMark/>
          </w:tcPr>
          <w:p w14:paraId="29B9B2B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(18,598)</w:t>
            </w:r>
          </w:p>
        </w:tc>
        <w:tc>
          <w:tcPr>
            <w:tcW w:w="662" w:type="pct"/>
            <w:noWrap/>
            <w:hideMark/>
          </w:tcPr>
          <w:p w14:paraId="54099A0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(92,254)</w:t>
            </w:r>
          </w:p>
        </w:tc>
        <w:tc>
          <w:tcPr>
            <w:tcW w:w="662" w:type="pct"/>
            <w:noWrap/>
            <w:hideMark/>
          </w:tcPr>
          <w:p w14:paraId="0F65E07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11,393 </w:t>
            </w:r>
          </w:p>
        </w:tc>
        <w:tc>
          <w:tcPr>
            <w:tcW w:w="662" w:type="pct"/>
            <w:noWrap/>
            <w:hideMark/>
          </w:tcPr>
          <w:p w14:paraId="5260453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16,080 </w:t>
            </w:r>
          </w:p>
        </w:tc>
        <w:tc>
          <w:tcPr>
            <w:tcW w:w="662" w:type="pct"/>
            <w:noWrap/>
            <w:hideMark/>
          </w:tcPr>
          <w:p w14:paraId="524C139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43,905 </w:t>
            </w:r>
          </w:p>
        </w:tc>
      </w:tr>
      <w:tr w:rsidR="00646661" w:rsidRPr="00646661" w14:paraId="22B197B6" w14:textId="77777777" w:rsidTr="00646661">
        <w:trPr>
          <w:trHeight w:val="300"/>
        </w:trPr>
        <w:tc>
          <w:tcPr>
            <w:tcW w:w="1690" w:type="pct"/>
            <w:hideMark/>
          </w:tcPr>
          <w:p w14:paraId="549A94B3"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Income taxes</w:t>
            </w:r>
          </w:p>
        </w:tc>
        <w:tc>
          <w:tcPr>
            <w:tcW w:w="662" w:type="pct"/>
            <w:noWrap/>
            <w:hideMark/>
          </w:tcPr>
          <w:p w14:paraId="49476E5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(5,431)</w:t>
            </w:r>
          </w:p>
        </w:tc>
        <w:tc>
          <w:tcPr>
            <w:tcW w:w="662" w:type="pct"/>
            <w:noWrap/>
            <w:hideMark/>
          </w:tcPr>
          <w:p w14:paraId="54600AB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(5,984)</w:t>
            </w:r>
          </w:p>
        </w:tc>
        <w:tc>
          <w:tcPr>
            <w:tcW w:w="662" w:type="pct"/>
            <w:noWrap/>
            <w:hideMark/>
          </w:tcPr>
          <w:p w14:paraId="038800E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(10,986)</w:t>
            </w:r>
          </w:p>
        </w:tc>
        <w:tc>
          <w:tcPr>
            <w:tcW w:w="662" w:type="pct"/>
            <w:noWrap/>
            <w:hideMark/>
          </w:tcPr>
          <w:p w14:paraId="1397390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(10,779)</w:t>
            </w:r>
          </w:p>
        </w:tc>
        <w:tc>
          <w:tcPr>
            <w:tcW w:w="662" w:type="pct"/>
            <w:noWrap/>
            <w:hideMark/>
          </w:tcPr>
          <w:p w14:paraId="2B742B6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(5,333)</w:t>
            </w:r>
          </w:p>
        </w:tc>
      </w:tr>
      <w:tr w:rsidR="00646661" w:rsidRPr="00646661" w14:paraId="1CADC4B0" w14:textId="77777777" w:rsidTr="00646661">
        <w:trPr>
          <w:trHeight w:val="300"/>
        </w:trPr>
        <w:tc>
          <w:tcPr>
            <w:tcW w:w="1690" w:type="pct"/>
            <w:hideMark/>
          </w:tcPr>
          <w:p w14:paraId="1215E8A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income (loss)</w:t>
            </w:r>
          </w:p>
        </w:tc>
        <w:tc>
          <w:tcPr>
            <w:tcW w:w="662" w:type="pct"/>
            <w:noWrap/>
            <w:hideMark/>
          </w:tcPr>
          <w:p w14:paraId="6D8BFA3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(24,029)</w:t>
            </w:r>
          </w:p>
        </w:tc>
        <w:tc>
          <w:tcPr>
            <w:tcW w:w="662" w:type="pct"/>
            <w:noWrap/>
            <w:hideMark/>
          </w:tcPr>
          <w:p w14:paraId="2E0B8AE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(98,238)</w:t>
            </w:r>
          </w:p>
        </w:tc>
        <w:tc>
          <w:tcPr>
            <w:tcW w:w="662" w:type="pct"/>
            <w:noWrap/>
            <w:hideMark/>
          </w:tcPr>
          <w:p w14:paraId="0BDD18F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407 </w:t>
            </w:r>
          </w:p>
        </w:tc>
        <w:tc>
          <w:tcPr>
            <w:tcW w:w="662" w:type="pct"/>
            <w:noWrap/>
            <w:hideMark/>
          </w:tcPr>
          <w:p w14:paraId="3C145D8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5,301 </w:t>
            </w:r>
          </w:p>
        </w:tc>
        <w:tc>
          <w:tcPr>
            <w:tcW w:w="662" w:type="pct"/>
            <w:noWrap/>
            <w:hideMark/>
          </w:tcPr>
          <w:p w14:paraId="7455DA8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38,572 </w:t>
            </w:r>
          </w:p>
        </w:tc>
      </w:tr>
      <w:tr w:rsidR="00646661" w:rsidRPr="00646661" w14:paraId="11FF5E26" w14:textId="77777777" w:rsidTr="00646661">
        <w:trPr>
          <w:trHeight w:val="300"/>
        </w:trPr>
        <w:tc>
          <w:tcPr>
            <w:tcW w:w="1690" w:type="pct"/>
            <w:hideMark/>
          </w:tcPr>
          <w:p w14:paraId="515F64C9" w14:textId="77777777" w:rsidR="00646661" w:rsidRPr="00646661" w:rsidRDefault="00646661" w:rsidP="00C176DE">
            <w:pPr>
              <w:jc w:val="right"/>
              <w:rPr>
                <w:rFonts w:ascii="Arial" w:hAnsi="Arial" w:cs="Arial"/>
                <w:color w:val="000000"/>
                <w:sz w:val="18"/>
                <w:szCs w:val="18"/>
                <w:lang w:eastAsia="zh-CN"/>
              </w:rPr>
            </w:pPr>
          </w:p>
        </w:tc>
        <w:tc>
          <w:tcPr>
            <w:tcW w:w="662" w:type="pct"/>
            <w:noWrap/>
            <w:hideMark/>
          </w:tcPr>
          <w:p w14:paraId="53AA4C7C" w14:textId="77777777" w:rsidR="00646661" w:rsidRPr="00646661" w:rsidRDefault="00646661" w:rsidP="00C176DE">
            <w:pPr>
              <w:rPr>
                <w:rFonts w:ascii="Arial" w:hAnsi="Arial" w:cs="Arial"/>
                <w:lang w:eastAsia="zh-CN"/>
              </w:rPr>
            </w:pPr>
          </w:p>
        </w:tc>
        <w:tc>
          <w:tcPr>
            <w:tcW w:w="662" w:type="pct"/>
            <w:noWrap/>
            <w:hideMark/>
          </w:tcPr>
          <w:p w14:paraId="4745063D" w14:textId="77777777" w:rsidR="00646661" w:rsidRPr="00646661" w:rsidRDefault="00646661" w:rsidP="00C176DE">
            <w:pPr>
              <w:rPr>
                <w:rFonts w:ascii="Arial" w:hAnsi="Arial" w:cs="Arial"/>
                <w:lang w:eastAsia="zh-CN"/>
              </w:rPr>
            </w:pPr>
          </w:p>
        </w:tc>
        <w:tc>
          <w:tcPr>
            <w:tcW w:w="662" w:type="pct"/>
            <w:noWrap/>
            <w:hideMark/>
          </w:tcPr>
          <w:p w14:paraId="3E0D4028" w14:textId="77777777" w:rsidR="00646661" w:rsidRPr="00646661" w:rsidRDefault="00646661" w:rsidP="00C176DE">
            <w:pPr>
              <w:rPr>
                <w:rFonts w:ascii="Arial" w:hAnsi="Arial" w:cs="Arial"/>
                <w:lang w:eastAsia="zh-CN"/>
              </w:rPr>
            </w:pPr>
          </w:p>
        </w:tc>
        <w:tc>
          <w:tcPr>
            <w:tcW w:w="662" w:type="pct"/>
            <w:noWrap/>
            <w:hideMark/>
          </w:tcPr>
          <w:p w14:paraId="1D630AE3" w14:textId="77777777" w:rsidR="00646661" w:rsidRPr="00646661" w:rsidRDefault="00646661" w:rsidP="00C176DE">
            <w:pPr>
              <w:rPr>
                <w:rFonts w:ascii="Arial" w:hAnsi="Arial" w:cs="Arial"/>
                <w:lang w:eastAsia="zh-CN"/>
              </w:rPr>
            </w:pPr>
          </w:p>
        </w:tc>
        <w:tc>
          <w:tcPr>
            <w:tcW w:w="662" w:type="pct"/>
            <w:noWrap/>
            <w:hideMark/>
          </w:tcPr>
          <w:p w14:paraId="7BA55D75" w14:textId="77777777" w:rsidR="00646661" w:rsidRPr="00646661" w:rsidRDefault="00646661" w:rsidP="00C176DE">
            <w:pPr>
              <w:rPr>
                <w:rFonts w:ascii="Arial" w:hAnsi="Arial" w:cs="Arial"/>
                <w:lang w:eastAsia="zh-CN"/>
              </w:rPr>
            </w:pPr>
          </w:p>
        </w:tc>
      </w:tr>
      <w:tr w:rsidR="00646661" w:rsidRPr="00646661" w14:paraId="7754DEB4" w14:textId="77777777" w:rsidTr="00646661">
        <w:trPr>
          <w:trHeight w:val="300"/>
        </w:trPr>
        <w:tc>
          <w:tcPr>
            <w:tcW w:w="5000" w:type="pct"/>
            <w:gridSpan w:val="6"/>
            <w:noWrap/>
            <w:hideMark/>
          </w:tcPr>
          <w:p w14:paraId="0CCB8909"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Earnings (loss) per share</w:t>
            </w:r>
          </w:p>
        </w:tc>
      </w:tr>
      <w:tr w:rsidR="00646661" w:rsidRPr="00646661" w14:paraId="3763DB92" w14:textId="77777777" w:rsidTr="00646661">
        <w:trPr>
          <w:trHeight w:val="300"/>
        </w:trPr>
        <w:tc>
          <w:tcPr>
            <w:tcW w:w="1690" w:type="pct"/>
            <w:hideMark/>
          </w:tcPr>
          <w:p w14:paraId="0DF0A7B0"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Basic (£)</w:t>
            </w:r>
          </w:p>
        </w:tc>
        <w:tc>
          <w:tcPr>
            <w:tcW w:w="662" w:type="pct"/>
            <w:noWrap/>
            <w:hideMark/>
          </w:tcPr>
          <w:p w14:paraId="645DCDF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-1.85</w:t>
            </w:r>
          </w:p>
        </w:tc>
        <w:tc>
          <w:tcPr>
            <w:tcW w:w="662" w:type="pct"/>
            <w:noWrap/>
            <w:hideMark/>
          </w:tcPr>
          <w:p w14:paraId="7DB49F4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-7.64</w:t>
            </w:r>
          </w:p>
        </w:tc>
        <w:tc>
          <w:tcPr>
            <w:tcW w:w="662" w:type="pct"/>
            <w:noWrap/>
            <w:hideMark/>
          </w:tcPr>
          <w:p w14:paraId="154F595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0.03</w:t>
            </w:r>
          </w:p>
        </w:tc>
        <w:tc>
          <w:tcPr>
            <w:tcW w:w="662" w:type="pct"/>
            <w:noWrap/>
            <w:hideMark/>
          </w:tcPr>
          <w:p w14:paraId="2023EDE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0.39</w:t>
            </w:r>
          </w:p>
        </w:tc>
        <w:tc>
          <w:tcPr>
            <w:tcW w:w="662" w:type="pct"/>
            <w:noWrap/>
            <w:hideMark/>
          </w:tcPr>
          <w:p w14:paraId="1D6B45D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2.78</w:t>
            </w:r>
          </w:p>
        </w:tc>
      </w:tr>
      <w:tr w:rsidR="00646661" w:rsidRPr="00646661" w14:paraId="2EBB1BDC" w14:textId="77777777" w:rsidTr="00646661">
        <w:trPr>
          <w:trHeight w:val="300"/>
        </w:trPr>
        <w:tc>
          <w:tcPr>
            <w:tcW w:w="1690" w:type="pct"/>
            <w:hideMark/>
          </w:tcPr>
          <w:p w14:paraId="0CEB30E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Diluted (£)</w:t>
            </w:r>
          </w:p>
        </w:tc>
        <w:tc>
          <w:tcPr>
            <w:tcW w:w="662" w:type="pct"/>
            <w:noWrap/>
            <w:hideMark/>
          </w:tcPr>
          <w:p w14:paraId="35C0D97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-1.85</w:t>
            </w:r>
          </w:p>
        </w:tc>
        <w:tc>
          <w:tcPr>
            <w:tcW w:w="662" w:type="pct"/>
            <w:noWrap/>
            <w:hideMark/>
          </w:tcPr>
          <w:p w14:paraId="4263EDF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-7.64</w:t>
            </w:r>
          </w:p>
        </w:tc>
        <w:tc>
          <w:tcPr>
            <w:tcW w:w="662" w:type="pct"/>
            <w:noWrap/>
            <w:hideMark/>
          </w:tcPr>
          <w:p w14:paraId="0EAC217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0.03</w:t>
            </w:r>
          </w:p>
        </w:tc>
        <w:tc>
          <w:tcPr>
            <w:tcW w:w="662" w:type="pct"/>
            <w:noWrap/>
            <w:hideMark/>
          </w:tcPr>
          <w:p w14:paraId="7C8D008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0.39</w:t>
            </w:r>
          </w:p>
        </w:tc>
        <w:tc>
          <w:tcPr>
            <w:tcW w:w="662" w:type="pct"/>
            <w:noWrap/>
            <w:hideMark/>
          </w:tcPr>
          <w:p w14:paraId="48598E7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2.72</w:t>
            </w:r>
          </w:p>
        </w:tc>
      </w:tr>
      <w:tr w:rsidR="00646661" w:rsidRPr="00646661" w14:paraId="40029224" w14:textId="77777777" w:rsidTr="00646661">
        <w:trPr>
          <w:trHeight w:val="300"/>
        </w:trPr>
        <w:tc>
          <w:tcPr>
            <w:tcW w:w="5000" w:type="pct"/>
            <w:gridSpan w:val="6"/>
            <w:noWrap/>
            <w:hideMark/>
          </w:tcPr>
          <w:p w14:paraId="5B289C57"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Shares used in computing earnings (loss) per share</w:t>
            </w:r>
          </w:p>
        </w:tc>
      </w:tr>
      <w:tr w:rsidR="00646661" w:rsidRPr="00646661" w14:paraId="6D9E70FD" w14:textId="77777777" w:rsidTr="00646661">
        <w:trPr>
          <w:trHeight w:val="300"/>
        </w:trPr>
        <w:tc>
          <w:tcPr>
            <w:tcW w:w="1690" w:type="pct"/>
            <w:hideMark/>
          </w:tcPr>
          <w:p w14:paraId="3DAD556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Basic</w:t>
            </w:r>
          </w:p>
        </w:tc>
        <w:tc>
          <w:tcPr>
            <w:tcW w:w="662" w:type="pct"/>
            <w:noWrap/>
            <w:hideMark/>
          </w:tcPr>
          <w:p w14:paraId="3DB33B7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12,959</w:t>
            </w:r>
          </w:p>
        </w:tc>
        <w:tc>
          <w:tcPr>
            <w:tcW w:w="662" w:type="pct"/>
            <w:noWrap/>
            <w:hideMark/>
          </w:tcPr>
          <w:p w14:paraId="1FFC602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12,855</w:t>
            </w:r>
          </w:p>
        </w:tc>
        <w:tc>
          <w:tcPr>
            <w:tcW w:w="662" w:type="pct"/>
            <w:noWrap/>
            <w:hideMark/>
          </w:tcPr>
          <w:p w14:paraId="3000920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12,703</w:t>
            </w:r>
          </w:p>
        </w:tc>
        <w:tc>
          <w:tcPr>
            <w:tcW w:w="662" w:type="pct"/>
            <w:noWrap/>
            <w:hideMark/>
          </w:tcPr>
          <w:p w14:paraId="20EFE22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13,465</w:t>
            </w:r>
          </w:p>
        </w:tc>
        <w:tc>
          <w:tcPr>
            <w:tcW w:w="662" w:type="pct"/>
            <w:noWrap/>
            <w:hideMark/>
          </w:tcPr>
          <w:p w14:paraId="2DC4AFF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13,893</w:t>
            </w:r>
          </w:p>
        </w:tc>
      </w:tr>
      <w:tr w:rsidR="00646661" w:rsidRPr="00646661" w14:paraId="63EE60D2" w14:textId="77777777" w:rsidTr="00646661">
        <w:trPr>
          <w:trHeight w:val="300"/>
        </w:trPr>
        <w:tc>
          <w:tcPr>
            <w:tcW w:w="1690" w:type="pct"/>
            <w:hideMark/>
          </w:tcPr>
          <w:p w14:paraId="72617BD7"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Diluted</w:t>
            </w:r>
          </w:p>
        </w:tc>
        <w:tc>
          <w:tcPr>
            <w:tcW w:w="662" w:type="pct"/>
            <w:noWrap/>
            <w:hideMark/>
          </w:tcPr>
          <w:p w14:paraId="20D8D08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12,959</w:t>
            </w:r>
          </w:p>
        </w:tc>
        <w:tc>
          <w:tcPr>
            <w:tcW w:w="662" w:type="pct"/>
            <w:noWrap/>
            <w:hideMark/>
          </w:tcPr>
          <w:p w14:paraId="38C4BAC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12,855</w:t>
            </w:r>
          </w:p>
        </w:tc>
        <w:tc>
          <w:tcPr>
            <w:tcW w:w="662" w:type="pct"/>
            <w:noWrap/>
            <w:hideMark/>
          </w:tcPr>
          <w:p w14:paraId="6E3D9E0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12,779</w:t>
            </w:r>
          </w:p>
        </w:tc>
        <w:tc>
          <w:tcPr>
            <w:tcW w:w="662" w:type="pct"/>
            <w:noWrap/>
            <w:hideMark/>
          </w:tcPr>
          <w:p w14:paraId="4CE3A46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13,742</w:t>
            </w:r>
          </w:p>
        </w:tc>
        <w:tc>
          <w:tcPr>
            <w:tcW w:w="662" w:type="pct"/>
            <w:noWrap/>
            <w:hideMark/>
          </w:tcPr>
          <w:p w14:paraId="54267F4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14,166</w:t>
            </w:r>
          </w:p>
        </w:tc>
      </w:tr>
    </w:tbl>
    <w:p w14:paraId="4B054CCD" w14:textId="77777777" w:rsidR="00646661" w:rsidRDefault="00646661" w:rsidP="00646661">
      <w:pPr>
        <w:jc w:val="both"/>
        <w:rPr>
          <w:rFonts w:ascii="Arial" w:hAnsi="Arial" w:cs="Arial"/>
        </w:rPr>
      </w:pPr>
    </w:p>
    <w:tbl>
      <w:tblPr>
        <w:tblStyle w:val="TableGrid"/>
        <w:tblW w:w="5000" w:type="pct"/>
        <w:tblLook w:val="04A0" w:firstRow="1" w:lastRow="0" w:firstColumn="1" w:lastColumn="0" w:noHBand="0" w:noVBand="1"/>
      </w:tblPr>
      <w:tblGrid>
        <w:gridCol w:w="4078"/>
        <w:gridCol w:w="987"/>
        <w:gridCol w:w="988"/>
        <w:gridCol w:w="988"/>
        <w:gridCol w:w="988"/>
        <w:gridCol w:w="987"/>
      </w:tblGrid>
      <w:tr w:rsidR="00646661" w:rsidRPr="00646661" w14:paraId="4FC3866E" w14:textId="77777777" w:rsidTr="00646661">
        <w:trPr>
          <w:trHeight w:val="300"/>
        </w:trPr>
        <w:tc>
          <w:tcPr>
            <w:tcW w:w="5000" w:type="pct"/>
            <w:gridSpan w:val="6"/>
            <w:noWrap/>
            <w:hideMark/>
          </w:tcPr>
          <w:p w14:paraId="787586DB" w14:textId="77777777" w:rsidR="00646661" w:rsidRPr="00646661" w:rsidRDefault="00646661" w:rsidP="00C176DE">
            <w:pPr>
              <w:jc w:val="center"/>
              <w:rPr>
                <w:rFonts w:ascii="Arial" w:hAnsi="Arial" w:cs="Arial"/>
                <w:b/>
                <w:bCs/>
                <w:color w:val="000000"/>
                <w:lang w:eastAsia="zh-CN"/>
              </w:rPr>
            </w:pPr>
            <w:r w:rsidRPr="00646661">
              <w:rPr>
                <w:rFonts w:ascii="Arial" w:hAnsi="Arial" w:cs="Arial"/>
                <w:b/>
                <w:bCs/>
                <w:color w:val="000000"/>
                <w:lang w:eastAsia="zh-CN"/>
              </w:rPr>
              <w:t>Consolidated Financial Position (£m)</w:t>
            </w:r>
          </w:p>
        </w:tc>
      </w:tr>
      <w:tr w:rsidR="00646661" w:rsidRPr="00646661" w14:paraId="6E59F38E" w14:textId="77777777" w:rsidTr="00646661">
        <w:trPr>
          <w:trHeight w:val="300"/>
        </w:trPr>
        <w:tc>
          <w:tcPr>
            <w:tcW w:w="2262" w:type="pct"/>
            <w:hideMark/>
          </w:tcPr>
          <w:p w14:paraId="1B090201" w14:textId="77777777" w:rsidR="00646661" w:rsidRPr="00646661" w:rsidRDefault="00646661" w:rsidP="00C176DE">
            <w:pPr>
              <w:jc w:val="center"/>
              <w:rPr>
                <w:rFonts w:ascii="Arial" w:hAnsi="Arial" w:cs="Arial"/>
                <w:b/>
                <w:bCs/>
                <w:color w:val="000000"/>
                <w:sz w:val="18"/>
                <w:szCs w:val="18"/>
                <w:lang w:eastAsia="zh-CN"/>
              </w:rPr>
            </w:pPr>
          </w:p>
        </w:tc>
        <w:tc>
          <w:tcPr>
            <w:tcW w:w="548" w:type="pct"/>
            <w:noWrap/>
            <w:hideMark/>
          </w:tcPr>
          <w:p w14:paraId="439EA44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2024</w:t>
            </w:r>
          </w:p>
        </w:tc>
        <w:tc>
          <w:tcPr>
            <w:tcW w:w="548" w:type="pct"/>
            <w:noWrap/>
            <w:hideMark/>
          </w:tcPr>
          <w:p w14:paraId="380FF47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2023</w:t>
            </w:r>
          </w:p>
        </w:tc>
        <w:tc>
          <w:tcPr>
            <w:tcW w:w="548" w:type="pct"/>
            <w:noWrap/>
            <w:hideMark/>
          </w:tcPr>
          <w:p w14:paraId="5721F1B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2022</w:t>
            </w:r>
          </w:p>
        </w:tc>
        <w:tc>
          <w:tcPr>
            <w:tcW w:w="548" w:type="pct"/>
            <w:noWrap/>
            <w:hideMark/>
          </w:tcPr>
          <w:p w14:paraId="4C43B33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2021</w:t>
            </w:r>
          </w:p>
        </w:tc>
        <w:tc>
          <w:tcPr>
            <w:tcW w:w="546" w:type="pct"/>
            <w:noWrap/>
            <w:hideMark/>
          </w:tcPr>
          <w:p w14:paraId="5C3EC00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2020</w:t>
            </w:r>
          </w:p>
        </w:tc>
      </w:tr>
      <w:tr w:rsidR="00646661" w:rsidRPr="00646661" w14:paraId="75B4D03D" w14:textId="77777777" w:rsidTr="00646661">
        <w:trPr>
          <w:trHeight w:val="300"/>
        </w:trPr>
        <w:tc>
          <w:tcPr>
            <w:tcW w:w="2262" w:type="pct"/>
            <w:hideMark/>
          </w:tcPr>
          <w:p w14:paraId="0BE18A12"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Assets</w:t>
            </w:r>
          </w:p>
        </w:tc>
        <w:tc>
          <w:tcPr>
            <w:tcW w:w="548" w:type="pct"/>
            <w:noWrap/>
            <w:hideMark/>
          </w:tcPr>
          <w:p w14:paraId="667A9533"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07BABC5E" w14:textId="77777777" w:rsidR="00646661" w:rsidRPr="00646661" w:rsidRDefault="00646661" w:rsidP="00C176DE">
            <w:pPr>
              <w:rPr>
                <w:rFonts w:ascii="Arial" w:hAnsi="Arial" w:cs="Arial"/>
                <w:lang w:eastAsia="zh-CN"/>
              </w:rPr>
            </w:pPr>
          </w:p>
        </w:tc>
        <w:tc>
          <w:tcPr>
            <w:tcW w:w="548" w:type="pct"/>
            <w:noWrap/>
            <w:hideMark/>
          </w:tcPr>
          <w:p w14:paraId="21D918C6" w14:textId="77777777" w:rsidR="00646661" w:rsidRPr="00646661" w:rsidRDefault="00646661" w:rsidP="00C176DE">
            <w:pPr>
              <w:rPr>
                <w:rFonts w:ascii="Arial" w:hAnsi="Arial" w:cs="Arial"/>
                <w:lang w:eastAsia="zh-CN"/>
              </w:rPr>
            </w:pPr>
          </w:p>
        </w:tc>
        <w:tc>
          <w:tcPr>
            <w:tcW w:w="548" w:type="pct"/>
            <w:noWrap/>
            <w:hideMark/>
          </w:tcPr>
          <w:p w14:paraId="2098275E" w14:textId="77777777" w:rsidR="00646661" w:rsidRPr="00646661" w:rsidRDefault="00646661" w:rsidP="00C176DE">
            <w:pPr>
              <w:rPr>
                <w:rFonts w:ascii="Arial" w:hAnsi="Arial" w:cs="Arial"/>
                <w:lang w:eastAsia="zh-CN"/>
              </w:rPr>
            </w:pPr>
          </w:p>
        </w:tc>
        <w:tc>
          <w:tcPr>
            <w:tcW w:w="546" w:type="pct"/>
            <w:noWrap/>
            <w:hideMark/>
          </w:tcPr>
          <w:p w14:paraId="082B06E9" w14:textId="77777777" w:rsidR="00646661" w:rsidRPr="00646661" w:rsidRDefault="00646661" w:rsidP="00C176DE">
            <w:pPr>
              <w:rPr>
                <w:rFonts w:ascii="Arial" w:hAnsi="Arial" w:cs="Arial"/>
                <w:lang w:eastAsia="zh-CN"/>
              </w:rPr>
            </w:pPr>
          </w:p>
        </w:tc>
      </w:tr>
      <w:tr w:rsidR="00646661" w:rsidRPr="00646661" w14:paraId="3C06E6A0" w14:textId="77777777" w:rsidTr="00646661">
        <w:trPr>
          <w:trHeight w:val="300"/>
        </w:trPr>
        <w:tc>
          <w:tcPr>
            <w:tcW w:w="2262" w:type="pct"/>
            <w:hideMark/>
          </w:tcPr>
          <w:p w14:paraId="34A5ABD2"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Current assets</w:t>
            </w:r>
          </w:p>
        </w:tc>
        <w:tc>
          <w:tcPr>
            <w:tcW w:w="548" w:type="pct"/>
            <w:noWrap/>
            <w:hideMark/>
          </w:tcPr>
          <w:p w14:paraId="52BD7446"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49228B3A" w14:textId="77777777" w:rsidR="00646661" w:rsidRPr="00646661" w:rsidRDefault="00646661" w:rsidP="00C176DE">
            <w:pPr>
              <w:rPr>
                <w:rFonts w:ascii="Arial" w:hAnsi="Arial" w:cs="Arial"/>
                <w:lang w:eastAsia="zh-CN"/>
              </w:rPr>
            </w:pPr>
          </w:p>
        </w:tc>
        <w:tc>
          <w:tcPr>
            <w:tcW w:w="548" w:type="pct"/>
            <w:noWrap/>
            <w:hideMark/>
          </w:tcPr>
          <w:p w14:paraId="4D441C31" w14:textId="77777777" w:rsidR="00646661" w:rsidRPr="00646661" w:rsidRDefault="00646661" w:rsidP="00C176DE">
            <w:pPr>
              <w:rPr>
                <w:rFonts w:ascii="Arial" w:hAnsi="Arial" w:cs="Arial"/>
                <w:lang w:eastAsia="zh-CN"/>
              </w:rPr>
            </w:pPr>
          </w:p>
        </w:tc>
        <w:tc>
          <w:tcPr>
            <w:tcW w:w="548" w:type="pct"/>
            <w:noWrap/>
            <w:hideMark/>
          </w:tcPr>
          <w:p w14:paraId="48FA61C3" w14:textId="77777777" w:rsidR="00646661" w:rsidRPr="00646661" w:rsidRDefault="00646661" w:rsidP="00C176DE">
            <w:pPr>
              <w:rPr>
                <w:rFonts w:ascii="Arial" w:hAnsi="Arial" w:cs="Arial"/>
                <w:lang w:eastAsia="zh-CN"/>
              </w:rPr>
            </w:pPr>
          </w:p>
        </w:tc>
        <w:tc>
          <w:tcPr>
            <w:tcW w:w="546" w:type="pct"/>
            <w:noWrap/>
            <w:hideMark/>
          </w:tcPr>
          <w:p w14:paraId="48854723" w14:textId="77777777" w:rsidR="00646661" w:rsidRPr="00646661" w:rsidRDefault="00646661" w:rsidP="00C176DE">
            <w:pPr>
              <w:rPr>
                <w:rFonts w:ascii="Arial" w:hAnsi="Arial" w:cs="Arial"/>
                <w:lang w:eastAsia="zh-CN"/>
              </w:rPr>
            </w:pPr>
          </w:p>
        </w:tc>
      </w:tr>
      <w:tr w:rsidR="00646661" w:rsidRPr="00646661" w14:paraId="7E7E1846" w14:textId="77777777" w:rsidTr="00646661">
        <w:trPr>
          <w:trHeight w:val="300"/>
        </w:trPr>
        <w:tc>
          <w:tcPr>
            <w:tcW w:w="2262" w:type="pct"/>
            <w:hideMark/>
          </w:tcPr>
          <w:p w14:paraId="6FCA6AF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Cash and cash equivalents</w:t>
            </w:r>
          </w:p>
        </w:tc>
        <w:tc>
          <w:tcPr>
            <w:tcW w:w="548" w:type="pct"/>
            <w:noWrap/>
            <w:hideMark/>
          </w:tcPr>
          <w:p w14:paraId="437602E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26,783 </w:t>
            </w:r>
          </w:p>
        </w:tc>
        <w:tc>
          <w:tcPr>
            <w:tcW w:w="548" w:type="pct"/>
            <w:noWrap/>
            <w:hideMark/>
          </w:tcPr>
          <w:p w14:paraId="215975D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42,751 </w:t>
            </w:r>
          </w:p>
        </w:tc>
        <w:tc>
          <w:tcPr>
            <w:tcW w:w="548" w:type="pct"/>
            <w:noWrap/>
            <w:hideMark/>
          </w:tcPr>
          <w:p w14:paraId="000A758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66,740 </w:t>
            </w:r>
          </w:p>
        </w:tc>
        <w:tc>
          <w:tcPr>
            <w:tcW w:w="548" w:type="pct"/>
            <w:noWrap/>
            <w:hideMark/>
          </w:tcPr>
          <w:p w14:paraId="2C4A726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60,813 </w:t>
            </w:r>
          </w:p>
        </w:tc>
        <w:tc>
          <w:tcPr>
            <w:tcW w:w="546" w:type="pct"/>
            <w:noWrap/>
            <w:hideMark/>
          </w:tcPr>
          <w:p w14:paraId="3F1407D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57,153 </w:t>
            </w:r>
          </w:p>
        </w:tc>
      </w:tr>
      <w:tr w:rsidR="00646661" w:rsidRPr="00646661" w14:paraId="577692AF" w14:textId="77777777" w:rsidTr="00646661">
        <w:trPr>
          <w:trHeight w:val="300"/>
        </w:trPr>
        <w:tc>
          <w:tcPr>
            <w:tcW w:w="2262" w:type="pct"/>
            <w:hideMark/>
          </w:tcPr>
          <w:p w14:paraId="46762CB7"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Accounts receivable</w:t>
            </w:r>
          </w:p>
        </w:tc>
        <w:tc>
          <w:tcPr>
            <w:tcW w:w="548" w:type="pct"/>
            <w:noWrap/>
            <w:hideMark/>
          </w:tcPr>
          <w:p w14:paraId="3E9E48E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114,182 </w:t>
            </w:r>
          </w:p>
        </w:tc>
        <w:tc>
          <w:tcPr>
            <w:tcW w:w="548" w:type="pct"/>
            <w:noWrap/>
            <w:hideMark/>
          </w:tcPr>
          <w:p w14:paraId="59600A1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112,596 </w:t>
            </w:r>
          </w:p>
        </w:tc>
        <w:tc>
          <w:tcPr>
            <w:tcW w:w="548" w:type="pct"/>
            <w:noWrap/>
            <w:hideMark/>
          </w:tcPr>
          <w:p w14:paraId="546F8FA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112,346 </w:t>
            </w:r>
          </w:p>
        </w:tc>
        <w:tc>
          <w:tcPr>
            <w:tcW w:w="548" w:type="pct"/>
            <w:noWrap/>
            <w:hideMark/>
          </w:tcPr>
          <w:p w14:paraId="56E6290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129,215 </w:t>
            </w:r>
          </w:p>
        </w:tc>
        <w:tc>
          <w:tcPr>
            <w:tcW w:w="546" w:type="pct"/>
            <w:noWrap/>
            <w:hideMark/>
          </w:tcPr>
          <w:p w14:paraId="56C17A1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129,433 </w:t>
            </w:r>
          </w:p>
        </w:tc>
      </w:tr>
      <w:tr w:rsidR="00646661" w:rsidRPr="00646661" w14:paraId="2D80FDCC" w14:textId="77777777" w:rsidTr="00646661">
        <w:trPr>
          <w:trHeight w:val="300"/>
        </w:trPr>
        <w:tc>
          <w:tcPr>
            <w:tcW w:w="2262" w:type="pct"/>
            <w:hideMark/>
          </w:tcPr>
          <w:p w14:paraId="7AE62FD8"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Contract assets</w:t>
            </w:r>
          </w:p>
        </w:tc>
        <w:tc>
          <w:tcPr>
            <w:tcW w:w="548" w:type="pct"/>
            <w:noWrap/>
            <w:hideMark/>
          </w:tcPr>
          <w:p w14:paraId="6BC65D5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10,346 </w:t>
            </w:r>
          </w:p>
        </w:tc>
        <w:tc>
          <w:tcPr>
            <w:tcW w:w="548" w:type="pct"/>
            <w:noWrap/>
            <w:hideMark/>
          </w:tcPr>
          <w:p w14:paraId="33F8A83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4,240 </w:t>
            </w:r>
          </w:p>
        </w:tc>
        <w:tc>
          <w:tcPr>
            <w:tcW w:w="548" w:type="pct"/>
            <w:noWrap/>
            <w:hideMark/>
          </w:tcPr>
          <w:p w14:paraId="6559B0A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7,996 </w:t>
            </w:r>
          </w:p>
        </w:tc>
        <w:tc>
          <w:tcPr>
            <w:tcW w:w="548" w:type="pct"/>
            <w:noWrap/>
            <w:hideMark/>
          </w:tcPr>
          <w:p w14:paraId="3CD9CCE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5,012 </w:t>
            </w:r>
          </w:p>
        </w:tc>
        <w:tc>
          <w:tcPr>
            <w:tcW w:w="546" w:type="pct"/>
            <w:noWrap/>
            <w:hideMark/>
          </w:tcPr>
          <w:p w14:paraId="0A95BD0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9,685 </w:t>
            </w:r>
          </w:p>
        </w:tc>
      </w:tr>
      <w:tr w:rsidR="00646661" w:rsidRPr="00646661" w14:paraId="3FD6B901" w14:textId="77777777" w:rsidTr="00646661">
        <w:trPr>
          <w:trHeight w:val="300"/>
        </w:trPr>
        <w:tc>
          <w:tcPr>
            <w:tcW w:w="2262" w:type="pct"/>
            <w:hideMark/>
          </w:tcPr>
          <w:p w14:paraId="48954F8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lastRenderedPageBreak/>
              <w:t>Inventories</w:t>
            </w:r>
          </w:p>
        </w:tc>
        <w:tc>
          <w:tcPr>
            <w:tcW w:w="548" w:type="pct"/>
            <w:noWrap/>
            <w:hideMark/>
          </w:tcPr>
          <w:p w14:paraId="2319C94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79,355 </w:t>
            </w:r>
          </w:p>
        </w:tc>
        <w:tc>
          <w:tcPr>
            <w:tcW w:w="548" w:type="pct"/>
            <w:noWrap/>
            <w:hideMark/>
          </w:tcPr>
          <w:p w14:paraId="2F4ADE8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88,273 </w:t>
            </w:r>
          </w:p>
        </w:tc>
        <w:tc>
          <w:tcPr>
            <w:tcW w:w="548" w:type="pct"/>
            <w:noWrap/>
            <w:hideMark/>
          </w:tcPr>
          <w:p w14:paraId="66482DB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140,181 </w:t>
            </w:r>
          </w:p>
        </w:tc>
        <w:tc>
          <w:tcPr>
            <w:tcW w:w="548" w:type="pct"/>
            <w:noWrap/>
            <w:hideMark/>
          </w:tcPr>
          <w:p w14:paraId="7A0FDB8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134,469 </w:t>
            </w:r>
          </w:p>
        </w:tc>
        <w:tc>
          <w:tcPr>
            <w:tcW w:w="546" w:type="pct"/>
            <w:noWrap/>
            <w:hideMark/>
          </w:tcPr>
          <w:p w14:paraId="4D653CB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120,430 </w:t>
            </w:r>
          </w:p>
        </w:tc>
      </w:tr>
      <w:tr w:rsidR="00646661" w:rsidRPr="00646661" w14:paraId="3F3ECFCB" w14:textId="77777777" w:rsidTr="00646661">
        <w:trPr>
          <w:trHeight w:val="300"/>
        </w:trPr>
        <w:tc>
          <w:tcPr>
            <w:tcW w:w="2262" w:type="pct"/>
            <w:hideMark/>
          </w:tcPr>
          <w:p w14:paraId="2B843F9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Other current assets</w:t>
            </w:r>
          </w:p>
        </w:tc>
        <w:tc>
          <w:tcPr>
            <w:tcW w:w="548" w:type="pct"/>
            <w:noWrap/>
            <w:hideMark/>
          </w:tcPr>
          <w:p w14:paraId="0B896B9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9,478 </w:t>
            </w:r>
          </w:p>
        </w:tc>
        <w:tc>
          <w:tcPr>
            <w:tcW w:w="548" w:type="pct"/>
            <w:noWrap/>
            <w:hideMark/>
          </w:tcPr>
          <w:p w14:paraId="31F1358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7,325 </w:t>
            </w:r>
          </w:p>
        </w:tc>
        <w:tc>
          <w:tcPr>
            <w:tcW w:w="548" w:type="pct"/>
            <w:noWrap/>
            <w:hideMark/>
          </w:tcPr>
          <w:p w14:paraId="0D9E71CE"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12809A72" w14:textId="77777777" w:rsidR="00646661" w:rsidRPr="00646661" w:rsidRDefault="00646661" w:rsidP="00C176DE">
            <w:pPr>
              <w:rPr>
                <w:rFonts w:ascii="Arial" w:hAnsi="Arial" w:cs="Arial"/>
                <w:color w:val="000000"/>
                <w:sz w:val="18"/>
                <w:szCs w:val="18"/>
                <w:lang w:eastAsia="zh-CN"/>
              </w:rPr>
            </w:pPr>
          </w:p>
        </w:tc>
        <w:tc>
          <w:tcPr>
            <w:tcW w:w="546" w:type="pct"/>
            <w:noWrap/>
            <w:hideMark/>
          </w:tcPr>
          <w:p w14:paraId="6AB1BA23" w14:textId="77777777" w:rsidR="00646661" w:rsidRPr="00646661" w:rsidRDefault="00646661" w:rsidP="00C176DE">
            <w:pPr>
              <w:rPr>
                <w:rFonts w:ascii="Arial" w:hAnsi="Arial" w:cs="Arial"/>
                <w:color w:val="000000"/>
                <w:sz w:val="18"/>
                <w:szCs w:val="18"/>
                <w:lang w:eastAsia="zh-CN"/>
              </w:rPr>
            </w:pPr>
          </w:p>
        </w:tc>
      </w:tr>
      <w:tr w:rsidR="00646661" w:rsidRPr="00646661" w14:paraId="1F24B3FD" w14:textId="77777777" w:rsidTr="00646661">
        <w:trPr>
          <w:trHeight w:val="300"/>
        </w:trPr>
        <w:tc>
          <w:tcPr>
            <w:tcW w:w="2262" w:type="pct"/>
            <w:hideMark/>
          </w:tcPr>
          <w:p w14:paraId="67B67AF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Income tax receivable</w:t>
            </w:r>
          </w:p>
        </w:tc>
        <w:tc>
          <w:tcPr>
            <w:tcW w:w="548" w:type="pct"/>
            <w:noWrap/>
            <w:hideMark/>
          </w:tcPr>
          <w:p w14:paraId="5E98E00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2,350 </w:t>
            </w:r>
          </w:p>
        </w:tc>
        <w:tc>
          <w:tcPr>
            <w:tcW w:w="548" w:type="pct"/>
            <w:noWrap/>
            <w:hideMark/>
          </w:tcPr>
          <w:p w14:paraId="29D7352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3,666 </w:t>
            </w:r>
          </w:p>
        </w:tc>
        <w:tc>
          <w:tcPr>
            <w:tcW w:w="548" w:type="pct"/>
            <w:noWrap/>
            <w:hideMark/>
          </w:tcPr>
          <w:p w14:paraId="401ECD0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4,130 </w:t>
            </w:r>
          </w:p>
        </w:tc>
        <w:tc>
          <w:tcPr>
            <w:tcW w:w="548" w:type="pct"/>
            <w:noWrap/>
            <w:hideMark/>
          </w:tcPr>
          <w:p w14:paraId="78AC06F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348 </w:t>
            </w:r>
          </w:p>
        </w:tc>
        <w:tc>
          <w:tcPr>
            <w:tcW w:w="546" w:type="pct"/>
            <w:noWrap/>
            <w:hideMark/>
          </w:tcPr>
          <w:p w14:paraId="7A941CE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3,314 </w:t>
            </w:r>
          </w:p>
        </w:tc>
      </w:tr>
      <w:tr w:rsidR="00646661" w:rsidRPr="00646661" w14:paraId="2FB2B0B2" w14:textId="77777777" w:rsidTr="00646661">
        <w:trPr>
          <w:trHeight w:val="300"/>
        </w:trPr>
        <w:tc>
          <w:tcPr>
            <w:tcW w:w="2262" w:type="pct"/>
            <w:hideMark/>
          </w:tcPr>
          <w:p w14:paraId="5E19B91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Total current assets</w:t>
            </w:r>
          </w:p>
        </w:tc>
        <w:tc>
          <w:tcPr>
            <w:tcW w:w="548" w:type="pct"/>
            <w:noWrap/>
            <w:hideMark/>
          </w:tcPr>
          <w:p w14:paraId="1BDD97F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242,494 </w:t>
            </w:r>
          </w:p>
        </w:tc>
        <w:tc>
          <w:tcPr>
            <w:tcW w:w="548" w:type="pct"/>
            <w:noWrap/>
            <w:hideMark/>
          </w:tcPr>
          <w:p w14:paraId="1F1ADF6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258,851 </w:t>
            </w:r>
          </w:p>
        </w:tc>
        <w:tc>
          <w:tcPr>
            <w:tcW w:w="548" w:type="pct"/>
            <w:noWrap/>
            <w:hideMark/>
          </w:tcPr>
          <w:p w14:paraId="64FA417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338,040 </w:t>
            </w:r>
          </w:p>
        </w:tc>
        <w:tc>
          <w:tcPr>
            <w:tcW w:w="548" w:type="pct"/>
            <w:noWrap/>
            <w:hideMark/>
          </w:tcPr>
          <w:p w14:paraId="6FAF8A5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337,146 </w:t>
            </w:r>
          </w:p>
        </w:tc>
        <w:tc>
          <w:tcPr>
            <w:tcW w:w="546" w:type="pct"/>
            <w:noWrap/>
            <w:hideMark/>
          </w:tcPr>
          <w:p w14:paraId="3C5BFAD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326,843 </w:t>
            </w:r>
          </w:p>
        </w:tc>
      </w:tr>
      <w:tr w:rsidR="00646661" w:rsidRPr="00646661" w14:paraId="586DA46B" w14:textId="77777777" w:rsidTr="00646661">
        <w:trPr>
          <w:trHeight w:val="300"/>
        </w:trPr>
        <w:tc>
          <w:tcPr>
            <w:tcW w:w="2262" w:type="pct"/>
            <w:hideMark/>
          </w:tcPr>
          <w:p w14:paraId="7531650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Property, plant, and equipment, net</w:t>
            </w:r>
          </w:p>
        </w:tc>
        <w:tc>
          <w:tcPr>
            <w:tcW w:w="548" w:type="pct"/>
            <w:noWrap/>
            <w:hideMark/>
          </w:tcPr>
          <w:p w14:paraId="02FE42A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34,207 </w:t>
            </w:r>
          </w:p>
        </w:tc>
        <w:tc>
          <w:tcPr>
            <w:tcW w:w="548" w:type="pct"/>
            <w:noWrap/>
            <w:hideMark/>
          </w:tcPr>
          <w:p w14:paraId="6F5074B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44,619 </w:t>
            </w:r>
          </w:p>
        </w:tc>
        <w:tc>
          <w:tcPr>
            <w:tcW w:w="548" w:type="pct"/>
            <w:noWrap/>
            <w:hideMark/>
          </w:tcPr>
          <w:p w14:paraId="7C9A34B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62,791 </w:t>
            </w:r>
          </w:p>
        </w:tc>
        <w:tc>
          <w:tcPr>
            <w:tcW w:w="548" w:type="pct"/>
            <w:noWrap/>
            <w:hideMark/>
          </w:tcPr>
          <w:p w14:paraId="42E6710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74,647 </w:t>
            </w:r>
          </w:p>
        </w:tc>
        <w:tc>
          <w:tcPr>
            <w:tcW w:w="546" w:type="pct"/>
            <w:noWrap/>
            <w:hideMark/>
          </w:tcPr>
          <w:p w14:paraId="1D8A29A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87,285 </w:t>
            </w:r>
          </w:p>
        </w:tc>
      </w:tr>
      <w:tr w:rsidR="00646661" w:rsidRPr="00646661" w14:paraId="092E9CBC" w14:textId="77777777" w:rsidTr="00646661">
        <w:trPr>
          <w:trHeight w:val="300"/>
        </w:trPr>
        <w:tc>
          <w:tcPr>
            <w:tcW w:w="2262" w:type="pct"/>
            <w:hideMark/>
          </w:tcPr>
          <w:p w14:paraId="01497D28"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Intangible assets</w:t>
            </w:r>
          </w:p>
        </w:tc>
        <w:tc>
          <w:tcPr>
            <w:tcW w:w="548" w:type="pct"/>
            <w:noWrap/>
            <w:hideMark/>
          </w:tcPr>
          <w:p w14:paraId="7B532AA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24,038 </w:t>
            </w:r>
          </w:p>
        </w:tc>
        <w:tc>
          <w:tcPr>
            <w:tcW w:w="548" w:type="pct"/>
            <w:noWrap/>
            <w:hideMark/>
          </w:tcPr>
          <w:p w14:paraId="4098B25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25,349 </w:t>
            </w:r>
          </w:p>
        </w:tc>
        <w:tc>
          <w:tcPr>
            <w:tcW w:w="548" w:type="pct"/>
            <w:noWrap/>
            <w:hideMark/>
          </w:tcPr>
          <w:p w14:paraId="3CFFBA3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24,470 </w:t>
            </w:r>
          </w:p>
        </w:tc>
        <w:tc>
          <w:tcPr>
            <w:tcW w:w="548" w:type="pct"/>
            <w:noWrap/>
            <w:hideMark/>
          </w:tcPr>
          <w:p w14:paraId="399758F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20,169 </w:t>
            </w:r>
          </w:p>
        </w:tc>
        <w:tc>
          <w:tcPr>
            <w:tcW w:w="546" w:type="pct"/>
            <w:noWrap/>
            <w:hideMark/>
          </w:tcPr>
          <w:p w14:paraId="7E3D1A8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19,710 </w:t>
            </w:r>
          </w:p>
        </w:tc>
      </w:tr>
      <w:tr w:rsidR="00646661" w:rsidRPr="00646661" w14:paraId="18459B8F" w14:textId="77777777" w:rsidTr="00646661">
        <w:trPr>
          <w:trHeight w:val="300"/>
        </w:trPr>
        <w:tc>
          <w:tcPr>
            <w:tcW w:w="2262" w:type="pct"/>
            <w:hideMark/>
          </w:tcPr>
          <w:p w14:paraId="5C3F921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Operating lease right-of-use assets</w:t>
            </w:r>
          </w:p>
        </w:tc>
        <w:tc>
          <w:tcPr>
            <w:tcW w:w="548" w:type="pct"/>
            <w:noWrap/>
            <w:hideMark/>
          </w:tcPr>
          <w:p w14:paraId="0DD371B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14,322 </w:t>
            </w:r>
          </w:p>
        </w:tc>
        <w:tc>
          <w:tcPr>
            <w:tcW w:w="548" w:type="pct"/>
            <w:noWrap/>
            <w:hideMark/>
          </w:tcPr>
          <w:p w14:paraId="03BF382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18,693 </w:t>
            </w:r>
          </w:p>
        </w:tc>
        <w:tc>
          <w:tcPr>
            <w:tcW w:w="548" w:type="pct"/>
            <w:noWrap/>
            <w:hideMark/>
          </w:tcPr>
          <w:p w14:paraId="59D9F78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21,599 </w:t>
            </w:r>
          </w:p>
        </w:tc>
        <w:tc>
          <w:tcPr>
            <w:tcW w:w="548" w:type="pct"/>
            <w:noWrap/>
            <w:hideMark/>
          </w:tcPr>
          <w:p w14:paraId="19F8C05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19,847 </w:t>
            </w:r>
          </w:p>
        </w:tc>
        <w:tc>
          <w:tcPr>
            <w:tcW w:w="546" w:type="pct"/>
            <w:noWrap/>
            <w:hideMark/>
          </w:tcPr>
          <w:p w14:paraId="76F7B77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19,522 </w:t>
            </w:r>
          </w:p>
        </w:tc>
      </w:tr>
      <w:tr w:rsidR="00646661" w:rsidRPr="00646661" w14:paraId="364E0B2A" w14:textId="77777777" w:rsidTr="00646661">
        <w:trPr>
          <w:trHeight w:val="300"/>
        </w:trPr>
        <w:tc>
          <w:tcPr>
            <w:tcW w:w="2262" w:type="pct"/>
            <w:hideMark/>
          </w:tcPr>
          <w:p w14:paraId="416D7C4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Deferred income taxes</w:t>
            </w:r>
          </w:p>
        </w:tc>
        <w:tc>
          <w:tcPr>
            <w:tcW w:w="548" w:type="pct"/>
            <w:noWrap/>
            <w:hideMark/>
          </w:tcPr>
          <w:p w14:paraId="204502D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6,425 </w:t>
            </w:r>
          </w:p>
        </w:tc>
        <w:tc>
          <w:tcPr>
            <w:tcW w:w="548" w:type="pct"/>
            <w:noWrap/>
            <w:hideMark/>
          </w:tcPr>
          <w:p w14:paraId="128AA62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6,787 </w:t>
            </w:r>
          </w:p>
        </w:tc>
        <w:tc>
          <w:tcPr>
            <w:tcW w:w="548" w:type="pct"/>
            <w:noWrap/>
            <w:hideMark/>
          </w:tcPr>
          <w:p w14:paraId="6C1615C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6,242 </w:t>
            </w:r>
          </w:p>
        </w:tc>
        <w:tc>
          <w:tcPr>
            <w:tcW w:w="548" w:type="pct"/>
            <w:noWrap/>
            <w:hideMark/>
          </w:tcPr>
          <w:p w14:paraId="264DDEF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7,729 </w:t>
            </w:r>
          </w:p>
        </w:tc>
        <w:tc>
          <w:tcPr>
            <w:tcW w:w="546" w:type="pct"/>
            <w:noWrap/>
            <w:hideMark/>
          </w:tcPr>
          <w:p w14:paraId="1470613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5,564 </w:t>
            </w:r>
          </w:p>
        </w:tc>
      </w:tr>
      <w:tr w:rsidR="00646661" w:rsidRPr="00646661" w14:paraId="599A9FF5" w14:textId="77777777" w:rsidTr="00646661">
        <w:trPr>
          <w:trHeight w:val="300"/>
        </w:trPr>
        <w:tc>
          <w:tcPr>
            <w:tcW w:w="2262" w:type="pct"/>
            <w:hideMark/>
          </w:tcPr>
          <w:p w14:paraId="6B0F2D16"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Other assets</w:t>
            </w:r>
          </w:p>
        </w:tc>
        <w:tc>
          <w:tcPr>
            <w:tcW w:w="548" w:type="pct"/>
            <w:noWrap/>
            <w:hideMark/>
          </w:tcPr>
          <w:p w14:paraId="4041953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1,868 </w:t>
            </w:r>
          </w:p>
        </w:tc>
        <w:tc>
          <w:tcPr>
            <w:tcW w:w="548" w:type="pct"/>
            <w:noWrap/>
            <w:hideMark/>
          </w:tcPr>
          <w:p w14:paraId="2F06FC8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1,573 </w:t>
            </w:r>
          </w:p>
        </w:tc>
        <w:tc>
          <w:tcPr>
            <w:tcW w:w="548" w:type="pct"/>
            <w:noWrap/>
            <w:hideMark/>
          </w:tcPr>
          <w:p w14:paraId="3A12D02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1,936 </w:t>
            </w:r>
          </w:p>
        </w:tc>
        <w:tc>
          <w:tcPr>
            <w:tcW w:w="548" w:type="pct"/>
            <w:noWrap/>
            <w:hideMark/>
          </w:tcPr>
          <w:p w14:paraId="7EC89E2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2,347 </w:t>
            </w:r>
          </w:p>
        </w:tc>
        <w:tc>
          <w:tcPr>
            <w:tcW w:w="546" w:type="pct"/>
            <w:noWrap/>
            <w:hideMark/>
          </w:tcPr>
          <w:p w14:paraId="7168B95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2,752 </w:t>
            </w:r>
          </w:p>
        </w:tc>
      </w:tr>
      <w:tr w:rsidR="00646661" w:rsidRPr="00646661" w14:paraId="7D65AAA7" w14:textId="77777777" w:rsidTr="00646661">
        <w:trPr>
          <w:trHeight w:val="300"/>
        </w:trPr>
        <w:tc>
          <w:tcPr>
            <w:tcW w:w="2262" w:type="pct"/>
            <w:hideMark/>
          </w:tcPr>
          <w:p w14:paraId="1BF76F1F"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Total assets</w:t>
            </w:r>
          </w:p>
        </w:tc>
        <w:tc>
          <w:tcPr>
            <w:tcW w:w="548" w:type="pct"/>
            <w:noWrap/>
            <w:hideMark/>
          </w:tcPr>
          <w:p w14:paraId="7E6EA81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323,354 </w:t>
            </w:r>
          </w:p>
        </w:tc>
        <w:tc>
          <w:tcPr>
            <w:tcW w:w="548" w:type="pct"/>
            <w:noWrap/>
            <w:hideMark/>
          </w:tcPr>
          <w:p w14:paraId="763269A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355,872 </w:t>
            </w:r>
          </w:p>
        </w:tc>
        <w:tc>
          <w:tcPr>
            <w:tcW w:w="548" w:type="pct"/>
            <w:noWrap/>
            <w:hideMark/>
          </w:tcPr>
          <w:p w14:paraId="070CA8B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504,163 </w:t>
            </w:r>
          </w:p>
        </w:tc>
        <w:tc>
          <w:tcPr>
            <w:tcW w:w="548" w:type="pct"/>
            <w:noWrap/>
            <w:hideMark/>
          </w:tcPr>
          <w:p w14:paraId="0BB0C44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510,348 </w:t>
            </w:r>
          </w:p>
        </w:tc>
        <w:tc>
          <w:tcPr>
            <w:tcW w:w="546" w:type="pct"/>
            <w:noWrap/>
            <w:hideMark/>
          </w:tcPr>
          <w:p w14:paraId="17679FA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510,290 </w:t>
            </w:r>
          </w:p>
        </w:tc>
      </w:tr>
      <w:tr w:rsidR="00646661" w:rsidRPr="00646661" w14:paraId="1B18253B" w14:textId="77777777" w:rsidTr="00646661">
        <w:trPr>
          <w:trHeight w:val="300"/>
        </w:trPr>
        <w:tc>
          <w:tcPr>
            <w:tcW w:w="2262" w:type="pct"/>
            <w:hideMark/>
          </w:tcPr>
          <w:p w14:paraId="4050BDB5"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Liabilities and Equity</w:t>
            </w:r>
          </w:p>
        </w:tc>
        <w:tc>
          <w:tcPr>
            <w:tcW w:w="548" w:type="pct"/>
            <w:noWrap/>
            <w:hideMark/>
          </w:tcPr>
          <w:p w14:paraId="748A981A"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03FA0500" w14:textId="77777777" w:rsidR="00646661" w:rsidRPr="00646661" w:rsidRDefault="00646661" w:rsidP="00C176DE">
            <w:pPr>
              <w:rPr>
                <w:rFonts w:ascii="Arial" w:hAnsi="Arial" w:cs="Arial"/>
                <w:lang w:eastAsia="zh-CN"/>
              </w:rPr>
            </w:pPr>
          </w:p>
        </w:tc>
        <w:tc>
          <w:tcPr>
            <w:tcW w:w="548" w:type="pct"/>
            <w:noWrap/>
            <w:hideMark/>
          </w:tcPr>
          <w:p w14:paraId="299E85AD" w14:textId="77777777" w:rsidR="00646661" w:rsidRPr="00646661" w:rsidRDefault="00646661" w:rsidP="00C176DE">
            <w:pPr>
              <w:rPr>
                <w:rFonts w:ascii="Arial" w:hAnsi="Arial" w:cs="Arial"/>
                <w:lang w:eastAsia="zh-CN"/>
              </w:rPr>
            </w:pPr>
          </w:p>
        </w:tc>
        <w:tc>
          <w:tcPr>
            <w:tcW w:w="548" w:type="pct"/>
            <w:noWrap/>
            <w:hideMark/>
          </w:tcPr>
          <w:p w14:paraId="417B0BEC" w14:textId="77777777" w:rsidR="00646661" w:rsidRPr="00646661" w:rsidRDefault="00646661" w:rsidP="00C176DE">
            <w:pPr>
              <w:rPr>
                <w:rFonts w:ascii="Arial" w:hAnsi="Arial" w:cs="Arial"/>
                <w:lang w:eastAsia="zh-CN"/>
              </w:rPr>
            </w:pPr>
          </w:p>
        </w:tc>
        <w:tc>
          <w:tcPr>
            <w:tcW w:w="546" w:type="pct"/>
            <w:noWrap/>
            <w:hideMark/>
          </w:tcPr>
          <w:p w14:paraId="288540EA" w14:textId="77777777" w:rsidR="00646661" w:rsidRPr="00646661" w:rsidRDefault="00646661" w:rsidP="00C176DE">
            <w:pPr>
              <w:rPr>
                <w:rFonts w:ascii="Arial" w:hAnsi="Arial" w:cs="Arial"/>
                <w:lang w:eastAsia="zh-CN"/>
              </w:rPr>
            </w:pPr>
          </w:p>
        </w:tc>
      </w:tr>
      <w:tr w:rsidR="00646661" w:rsidRPr="00646661" w14:paraId="380CFEFA" w14:textId="77777777" w:rsidTr="00646661">
        <w:trPr>
          <w:trHeight w:val="300"/>
        </w:trPr>
        <w:tc>
          <w:tcPr>
            <w:tcW w:w="2262" w:type="pct"/>
            <w:hideMark/>
          </w:tcPr>
          <w:p w14:paraId="08590235"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Current liabilities</w:t>
            </w:r>
          </w:p>
        </w:tc>
        <w:tc>
          <w:tcPr>
            <w:tcW w:w="548" w:type="pct"/>
            <w:noWrap/>
            <w:hideMark/>
          </w:tcPr>
          <w:p w14:paraId="59B66074"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449F1AA2" w14:textId="77777777" w:rsidR="00646661" w:rsidRPr="00646661" w:rsidRDefault="00646661" w:rsidP="00C176DE">
            <w:pPr>
              <w:rPr>
                <w:rFonts w:ascii="Arial" w:hAnsi="Arial" w:cs="Arial"/>
                <w:lang w:eastAsia="zh-CN"/>
              </w:rPr>
            </w:pPr>
          </w:p>
        </w:tc>
        <w:tc>
          <w:tcPr>
            <w:tcW w:w="548" w:type="pct"/>
            <w:noWrap/>
            <w:hideMark/>
          </w:tcPr>
          <w:p w14:paraId="26CD802F" w14:textId="77777777" w:rsidR="00646661" w:rsidRPr="00646661" w:rsidRDefault="00646661" w:rsidP="00C176DE">
            <w:pPr>
              <w:rPr>
                <w:rFonts w:ascii="Arial" w:hAnsi="Arial" w:cs="Arial"/>
                <w:lang w:eastAsia="zh-CN"/>
              </w:rPr>
            </w:pPr>
          </w:p>
        </w:tc>
        <w:tc>
          <w:tcPr>
            <w:tcW w:w="548" w:type="pct"/>
            <w:noWrap/>
            <w:hideMark/>
          </w:tcPr>
          <w:p w14:paraId="34BB61EB" w14:textId="77777777" w:rsidR="00646661" w:rsidRPr="00646661" w:rsidRDefault="00646661" w:rsidP="00C176DE">
            <w:pPr>
              <w:rPr>
                <w:rFonts w:ascii="Arial" w:hAnsi="Arial" w:cs="Arial"/>
                <w:lang w:eastAsia="zh-CN"/>
              </w:rPr>
            </w:pPr>
          </w:p>
        </w:tc>
        <w:tc>
          <w:tcPr>
            <w:tcW w:w="546" w:type="pct"/>
            <w:noWrap/>
            <w:hideMark/>
          </w:tcPr>
          <w:p w14:paraId="13A83BDB" w14:textId="77777777" w:rsidR="00646661" w:rsidRPr="00646661" w:rsidRDefault="00646661" w:rsidP="00C176DE">
            <w:pPr>
              <w:rPr>
                <w:rFonts w:ascii="Arial" w:hAnsi="Arial" w:cs="Arial"/>
                <w:lang w:eastAsia="zh-CN"/>
              </w:rPr>
            </w:pPr>
          </w:p>
        </w:tc>
      </w:tr>
      <w:tr w:rsidR="00646661" w:rsidRPr="00646661" w14:paraId="250601CF" w14:textId="77777777" w:rsidTr="00646661">
        <w:trPr>
          <w:trHeight w:val="300"/>
        </w:trPr>
        <w:tc>
          <w:tcPr>
            <w:tcW w:w="2262" w:type="pct"/>
            <w:hideMark/>
          </w:tcPr>
          <w:p w14:paraId="659E7C0F"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Accounts payable</w:t>
            </w:r>
          </w:p>
        </w:tc>
        <w:tc>
          <w:tcPr>
            <w:tcW w:w="548" w:type="pct"/>
            <w:noWrap/>
            <w:hideMark/>
          </w:tcPr>
          <w:p w14:paraId="0C0A30F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72,031 </w:t>
            </w:r>
          </w:p>
        </w:tc>
        <w:tc>
          <w:tcPr>
            <w:tcW w:w="548" w:type="pct"/>
            <w:noWrap/>
            <w:hideMark/>
          </w:tcPr>
          <w:p w14:paraId="7E05C56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57,033 </w:t>
            </w:r>
          </w:p>
        </w:tc>
        <w:tc>
          <w:tcPr>
            <w:tcW w:w="548" w:type="pct"/>
            <w:noWrap/>
            <w:hideMark/>
          </w:tcPr>
          <w:p w14:paraId="3E71FCE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71,373 </w:t>
            </w:r>
          </w:p>
        </w:tc>
        <w:tc>
          <w:tcPr>
            <w:tcW w:w="548" w:type="pct"/>
            <w:noWrap/>
            <w:hideMark/>
          </w:tcPr>
          <w:p w14:paraId="3600A5C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92,707 </w:t>
            </w:r>
          </w:p>
        </w:tc>
        <w:tc>
          <w:tcPr>
            <w:tcW w:w="546" w:type="pct"/>
            <w:noWrap/>
            <w:hideMark/>
          </w:tcPr>
          <w:p w14:paraId="51E3A38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83,229 </w:t>
            </w:r>
          </w:p>
        </w:tc>
      </w:tr>
      <w:tr w:rsidR="00646661" w:rsidRPr="00646661" w14:paraId="1819ED7B" w14:textId="77777777" w:rsidTr="00646661">
        <w:trPr>
          <w:trHeight w:val="300"/>
        </w:trPr>
        <w:tc>
          <w:tcPr>
            <w:tcW w:w="2262" w:type="pct"/>
            <w:hideMark/>
          </w:tcPr>
          <w:p w14:paraId="728034C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Lines of credit</w:t>
            </w:r>
          </w:p>
        </w:tc>
        <w:tc>
          <w:tcPr>
            <w:tcW w:w="548" w:type="pct"/>
            <w:noWrap/>
            <w:hideMark/>
          </w:tcPr>
          <w:p w14:paraId="3B7549D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36,960 </w:t>
            </w:r>
          </w:p>
        </w:tc>
        <w:tc>
          <w:tcPr>
            <w:tcW w:w="548" w:type="pct"/>
            <w:noWrap/>
            <w:hideMark/>
          </w:tcPr>
          <w:p w14:paraId="1D9EF36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55,000 </w:t>
            </w:r>
          </w:p>
        </w:tc>
        <w:tc>
          <w:tcPr>
            <w:tcW w:w="548" w:type="pct"/>
            <w:noWrap/>
            <w:hideMark/>
          </w:tcPr>
          <w:p w14:paraId="75ECB3F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88,000 </w:t>
            </w:r>
          </w:p>
        </w:tc>
        <w:tc>
          <w:tcPr>
            <w:tcW w:w="548" w:type="pct"/>
            <w:noWrap/>
            <w:hideMark/>
          </w:tcPr>
          <w:p w14:paraId="14C227F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56,000 </w:t>
            </w:r>
          </w:p>
        </w:tc>
        <w:tc>
          <w:tcPr>
            <w:tcW w:w="546" w:type="pct"/>
            <w:noWrap/>
            <w:hideMark/>
          </w:tcPr>
          <w:p w14:paraId="7783D89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20,000 </w:t>
            </w:r>
          </w:p>
        </w:tc>
      </w:tr>
      <w:tr w:rsidR="00646661" w:rsidRPr="00646661" w14:paraId="3948AA26" w14:textId="77777777" w:rsidTr="00646661">
        <w:trPr>
          <w:trHeight w:val="300"/>
        </w:trPr>
        <w:tc>
          <w:tcPr>
            <w:tcW w:w="2262" w:type="pct"/>
            <w:hideMark/>
          </w:tcPr>
          <w:p w14:paraId="35B857A2"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Accrued compensation</w:t>
            </w:r>
          </w:p>
        </w:tc>
        <w:tc>
          <w:tcPr>
            <w:tcW w:w="548" w:type="pct"/>
            <w:noWrap/>
            <w:hideMark/>
          </w:tcPr>
          <w:p w14:paraId="7C06B46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20,927 </w:t>
            </w:r>
          </w:p>
        </w:tc>
        <w:tc>
          <w:tcPr>
            <w:tcW w:w="548" w:type="pct"/>
            <w:noWrap/>
            <w:hideMark/>
          </w:tcPr>
          <w:p w14:paraId="2844738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20,305 </w:t>
            </w:r>
          </w:p>
        </w:tc>
        <w:tc>
          <w:tcPr>
            <w:tcW w:w="548" w:type="pct"/>
            <w:noWrap/>
            <w:hideMark/>
          </w:tcPr>
          <w:p w14:paraId="6510788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20,904 </w:t>
            </w:r>
          </w:p>
        </w:tc>
        <w:tc>
          <w:tcPr>
            <w:tcW w:w="548" w:type="pct"/>
            <w:noWrap/>
            <w:hideMark/>
          </w:tcPr>
          <w:p w14:paraId="43ECAA4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24,217 </w:t>
            </w:r>
          </w:p>
        </w:tc>
        <w:tc>
          <w:tcPr>
            <w:tcW w:w="546" w:type="pct"/>
            <w:noWrap/>
            <w:hideMark/>
          </w:tcPr>
          <w:p w14:paraId="694C904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28,931 </w:t>
            </w:r>
          </w:p>
        </w:tc>
      </w:tr>
      <w:tr w:rsidR="00646661" w:rsidRPr="00646661" w14:paraId="617DFA63" w14:textId="77777777" w:rsidTr="00646661">
        <w:trPr>
          <w:trHeight w:val="495"/>
        </w:trPr>
        <w:tc>
          <w:tcPr>
            <w:tcW w:w="2262" w:type="pct"/>
            <w:hideMark/>
          </w:tcPr>
          <w:p w14:paraId="33B434E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Accrued sales discounts, rebates and royalties</w:t>
            </w:r>
          </w:p>
        </w:tc>
        <w:tc>
          <w:tcPr>
            <w:tcW w:w="548" w:type="pct"/>
            <w:noWrap/>
            <w:hideMark/>
          </w:tcPr>
          <w:p w14:paraId="235EEF4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5,204 </w:t>
            </w:r>
          </w:p>
        </w:tc>
        <w:tc>
          <w:tcPr>
            <w:tcW w:w="548" w:type="pct"/>
            <w:noWrap/>
            <w:hideMark/>
          </w:tcPr>
          <w:p w14:paraId="0C0ED48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5,796 </w:t>
            </w:r>
          </w:p>
        </w:tc>
        <w:tc>
          <w:tcPr>
            <w:tcW w:w="548" w:type="pct"/>
            <w:noWrap/>
            <w:hideMark/>
          </w:tcPr>
          <w:p w14:paraId="2FFB44E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6,477 </w:t>
            </w:r>
          </w:p>
        </w:tc>
        <w:tc>
          <w:tcPr>
            <w:tcW w:w="548" w:type="pct"/>
            <w:noWrap/>
            <w:hideMark/>
          </w:tcPr>
          <w:p w14:paraId="558F75A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9,286 </w:t>
            </w:r>
          </w:p>
        </w:tc>
        <w:tc>
          <w:tcPr>
            <w:tcW w:w="546" w:type="pct"/>
            <w:noWrap/>
            <w:hideMark/>
          </w:tcPr>
          <w:p w14:paraId="7BA0C3A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10,758 </w:t>
            </w:r>
          </w:p>
        </w:tc>
      </w:tr>
      <w:tr w:rsidR="00646661" w:rsidRPr="00646661" w14:paraId="737E2F4F" w14:textId="77777777" w:rsidTr="00646661">
        <w:trPr>
          <w:trHeight w:val="300"/>
        </w:trPr>
        <w:tc>
          <w:tcPr>
            <w:tcW w:w="2262" w:type="pct"/>
            <w:hideMark/>
          </w:tcPr>
          <w:p w14:paraId="38FB8E6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Other accrued liabilities</w:t>
            </w:r>
          </w:p>
        </w:tc>
        <w:tc>
          <w:tcPr>
            <w:tcW w:w="548" w:type="pct"/>
            <w:noWrap/>
            <w:hideMark/>
          </w:tcPr>
          <w:p w14:paraId="259277C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21,008 </w:t>
            </w:r>
          </w:p>
        </w:tc>
        <w:tc>
          <w:tcPr>
            <w:tcW w:w="548" w:type="pct"/>
            <w:noWrap/>
            <w:hideMark/>
          </w:tcPr>
          <w:p w14:paraId="7F0A0B3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21,181 </w:t>
            </w:r>
          </w:p>
        </w:tc>
        <w:tc>
          <w:tcPr>
            <w:tcW w:w="548" w:type="pct"/>
            <w:noWrap/>
            <w:hideMark/>
          </w:tcPr>
          <w:p w14:paraId="3F5E56B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24,134 </w:t>
            </w:r>
          </w:p>
        </w:tc>
        <w:tc>
          <w:tcPr>
            <w:tcW w:w="548" w:type="pct"/>
            <w:noWrap/>
            <w:hideMark/>
          </w:tcPr>
          <w:p w14:paraId="21307FD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30,840 </w:t>
            </w:r>
          </w:p>
        </w:tc>
        <w:tc>
          <w:tcPr>
            <w:tcW w:w="546" w:type="pct"/>
            <w:noWrap/>
            <w:hideMark/>
          </w:tcPr>
          <w:p w14:paraId="5CA650F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33,057 </w:t>
            </w:r>
          </w:p>
        </w:tc>
      </w:tr>
      <w:tr w:rsidR="00646661" w:rsidRPr="00646661" w14:paraId="146E3C44" w14:textId="77777777" w:rsidTr="00646661">
        <w:trPr>
          <w:trHeight w:val="300"/>
        </w:trPr>
        <w:tc>
          <w:tcPr>
            <w:tcW w:w="2262" w:type="pct"/>
            <w:hideMark/>
          </w:tcPr>
          <w:p w14:paraId="4AE9E063"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Total current liabilities</w:t>
            </w:r>
          </w:p>
        </w:tc>
        <w:tc>
          <w:tcPr>
            <w:tcW w:w="548" w:type="pct"/>
            <w:noWrap/>
            <w:hideMark/>
          </w:tcPr>
          <w:p w14:paraId="0952050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158,291 </w:t>
            </w:r>
          </w:p>
        </w:tc>
        <w:tc>
          <w:tcPr>
            <w:tcW w:w="548" w:type="pct"/>
            <w:noWrap/>
            <w:hideMark/>
          </w:tcPr>
          <w:p w14:paraId="2A97362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161,148 </w:t>
            </w:r>
          </w:p>
        </w:tc>
        <w:tc>
          <w:tcPr>
            <w:tcW w:w="548" w:type="pct"/>
            <w:noWrap/>
            <w:hideMark/>
          </w:tcPr>
          <w:p w14:paraId="06047B5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216,473 </w:t>
            </w:r>
          </w:p>
        </w:tc>
        <w:tc>
          <w:tcPr>
            <w:tcW w:w="548" w:type="pct"/>
            <w:noWrap/>
            <w:hideMark/>
          </w:tcPr>
          <w:p w14:paraId="74FD5D6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216,787 </w:t>
            </w:r>
          </w:p>
        </w:tc>
        <w:tc>
          <w:tcPr>
            <w:tcW w:w="546" w:type="pct"/>
            <w:noWrap/>
            <w:hideMark/>
          </w:tcPr>
          <w:p w14:paraId="36F5F2B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179,510 </w:t>
            </w:r>
          </w:p>
        </w:tc>
      </w:tr>
      <w:tr w:rsidR="00646661" w:rsidRPr="00646661" w14:paraId="06C5F73B" w14:textId="77777777" w:rsidTr="00646661">
        <w:trPr>
          <w:trHeight w:val="300"/>
        </w:trPr>
        <w:tc>
          <w:tcPr>
            <w:tcW w:w="2262" w:type="pct"/>
            <w:hideMark/>
          </w:tcPr>
          <w:p w14:paraId="640ABCF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Long-term liabilities</w:t>
            </w:r>
          </w:p>
        </w:tc>
        <w:tc>
          <w:tcPr>
            <w:tcW w:w="548" w:type="pct"/>
            <w:noWrap/>
            <w:hideMark/>
          </w:tcPr>
          <w:p w14:paraId="0B013046"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47A5924B" w14:textId="77777777" w:rsidR="00646661" w:rsidRPr="00646661" w:rsidRDefault="00646661" w:rsidP="00C176DE">
            <w:pPr>
              <w:rPr>
                <w:rFonts w:ascii="Arial" w:hAnsi="Arial" w:cs="Arial"/>
                <w:lang w:eastAsia="zh-CN"/>
              </w:rPr>
            </w:pPr>
          </w:p>
        </w:tc>
        <w:tc>
          <w:tcPr>
            <w:tcW w:w="548" w:type="pct"/>
            <w:noWrap/>
            <w:hideMark/>
          </w:tcPr>
          <w:p w14:paraId="35EA2F2C" w14:textId="77777777" w:rsidR="00646661" w:rsidRPr="00646661" w:rsidRDefault="00646661" w:rsidP="00C176DE">
            <w:pPr>
              <w:rPr>
                <w:rFonts w:ascii="Arial" w:hAnsi="Arial" w:cs="Arial"/>
                <w:lang w:eastAsia="zh-CN"/>
              </w:rPr>
            </w:pPr>
          </w:p>
        </w:tc>
        <w:tc>
          <w:tcPr>
            <w:tcW w:w="548" w:type="pct"/>
            <w:noWrap/>
            <w:hideMark/>
          </w:tcPr>
          <w:p w14:paraId="74208259" w14:textId="77777777" w:rsidR="00646661" w:rsidRPr="00646661" w:rsidRDefault="00646661" w:rsidP="00C176DE">
            <w:pPr>
              <w:rPr>
                <w:rFonts w:ascii="Arial" w:hAnsi="Arial" w:cs="Arial"/>
                <w:lang w:eastAsia="zh-CN"/>
              </w:rPr>
            </w:pPr>
          </w:p>
        </w:tc>
        <w:tc>
          <w:tcPr>
            <w:tcW w:w="546" w:type="pct"/>
            <w:noWrap/>
            <w:hideMark/>
          </w:tcPr>
          <w:p w14:paraId="1E358898" w14:textId="77777777" w:rsidR="00646661" w:rsidRPr="00646661" w:rsidRDefault="00646661" w:rsidP="00C176DE">
            <w:pPr>
              <w:rPr>
                <w:rFonts w:ascii="Arial" w:hAnsi="Arial" w:cs="Arial"/>
                <w:lang w:eastAsia="zh-CN"/>
              </w:rPr>
            </w:pPr>
          </w:p>
        </w:tc>
      </w:tr>
      <w:tr w:rsidR="00646661" w:rsidRPr="00646661" w14:paraId="3188A04F" w14:textId="77777777" w:rsidTr="00646661">
        <w:trPr>
          <w:trHeight w:val="300"/>
        </w:trPr>
        <w:tc>
          <w:tcPr>
            <w:tcW w:w="2262" w:type="pct"/>
            <w:hideMark/>
          </w:tcPr>
          <w:p w14:paraId="73AA34E6"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Operating lease obligations</w:t>
            </w:r>
          </w:p>
        </w:tc>
        <w:tc>
          <w:tcPr>
            <w:tcW w:w="548" w:type="pct"/>
            <w:noWrap/>
            <w:hideMark/>
          </w:tcPr>
          <w:p w14:paraId="63BC4AA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9,232 </w:t>
            </w:r>
          </w:p>
        </w:tc>
        <w:tc>
          <w:tcPr>
            <w:tcW w:w="548" w:type="pct"/>
            <w:noWrap/>
            <w:hideMark/>
          </w:tcPr>
          <w:p w14:paraId="498990B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12,560 </w:t>
            </w:r>
          </w:p>
        </w:tc>
        <w:tc>
          <w:tcPr>
            <w:tcW w:w="548" w:type="pct"/>
            <w:noWrap/>
            <w:hideMark/>
          </w:tcPr>
          <w:p w14:paraId="3D8162F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15,027 </w:t>
            </w:r>
          </w:p>
        </w:tc>
        <w:tc>
          <w:tcPr>
            <w:tcW w:w="548" w:type="pct"/>
            <w:noWrap/>
            <w:hideMark/>
          </w:tcPr>
          <w:p w14:paraId="27BF920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14,266 </w:t>
            </w:r>
          </w:p>
        </w:tc>
        <w:tc>
          <w:tcPr>
            <w:tcW w:w="546" w:type="pct"/>
            <w:noWrap/>
            <w:hideMark/>
          </w:tcPr>
          <w:p w14:paraId="7B52C62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13,681 </w:t>
            </w:r>
          </w:p>
        </w:tc>
      </w:tr>
      <w:tr w:rsidR="00646661" w:rsidRPr="00646661" w14:paraId="0DD95F92" w14:textId="77777777" w:rsidTr="00646661">
        <w:trPr>
          <w:trHeight w:val="300"/>
        </w:trPr>
        <w:tc>
          <w:tcPr>
            <w:tcW w:w="2262" w:type="pct"/>
            <w:hideMark/>
          </w:tcPr>
          <w:p w14:paraId="617ABDF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Deferred income taxes</w:t>
            </w:r>
          </w:p>
        </w:tc>
        <w:tc>
          <w:tcPr>
            <w:tcW w:w="548" w:type="pct"/>
            <w:noWrap/>
            <w:hideMark/>
          </w:tcPr>
          <w:p w14:paraId="3CD62FE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1,931 </w:t>
            </w:r>
          </w:p>
        </w:tc>
        <w:tc>
          <w:tcPr>
            <w:tcW w:w="548" w:type="pct"/>
            <w:noWrap/>
            <w:hideMark/>
          </w:tcPr>
          <w:p w14:paraId="7FF7965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1,992 </w:t>
            </w:r>
          </w:p>
        </w:tc>
        <w:tc>
          <w:tcPr>
            <w:tcW w:w="548" w:type="pct"/>
            <w:noWrap/>
            <w:hideMark/>
          </w:tcPr>
          <w:p w14:paraId="584F6C0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2,724 </w:t>
            </w:r>
          </w:p>
        </w:tc>
        <w:tc>
          <w:tcPr>
            <w:tcW w:w="548" w:type="pct"/>
            <w:noWrap/>
            <w:hideMark/>
          </w:tcPr>
          <w:p w14:paraId="79EF71D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2,394 </w:t>
            </w:r>
          </w:p>
        </w:tc>
        <w:tc>
          <w:tcPr>
            <w:tcW w:w="546" w:type="pct"/>
            <w:noWrap/>
            <w:hideMark/>
          </w:tcPr>
          <w:p w14:paraId="71EF8BF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1,913 </w:t>
            </w:r>
          </w:p>
        </w:tc>
      </w:tr>
      <w:tr w:rsidR="00646661" w:rsidRPr="00646661" w14:paraId="745010C1" w14:textId="77777777" w:rsidTr="00646661">
        <w:trPr>
          <w:trHeight w:val="300"/>
        </w:trPr>
        <w:tc>
          <w:tcPr>
            <w:tcW w:w="2262" w:type="pct"/>
            <w:hideMark/>
          </w:tcPr>
          <w:p w14:paraId="6734199C"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Income tax payable</w:t>
            </w:r>
          </w:p>
        </w:tc>
        <w:tc>
          <w:tcPr>
            <w:tcW w:w="548" w:type="pct"/>
            <w:noWrap/>
            <w:hideMark/>
          </w:tcPr>
          <w:p w14:paraId="54C7710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72 </w:t>
            </w:r>
          </w:p>
        </w:tc>
        <w:tc>
          <w:tcPr>
            <w:tcW w:w="548" w:type="pct"/>
            <w:noWrap/>
            <w:hideMark/>
          </w:tcPr>
          <w:p w14:paraId="02470C7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435 </w:t>
            </w:r>
          </w:p>
        </w:tc>
        <w:tc>
          <w:tcPr>
            <w:tcW w:w="548" w:type="pct"/>
            <w:noWrap/>
            <w:hideMark/>
          </w:tcPr>
          <w:p w14:paraId="7AB596D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723 </w:t>
            </w:r>
          </w:p>
        </w:tc>
        <w:tc>
          <w:tcPr>
            <w:tcW w:w="548" w:type="pct"/>
            <w:noWrap/>
            <w:hideMark/>
          </w:tcPr>
          <w:p w14:paraId="23692BC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939 </w:t>
            </w:r>
          </w:p>
        </w:tc>
        <w:tc>
          <w:tcPr>
            <w:tcW w:w="546" w:type="pct"/>
            <w:noWrap/>
            <w:hideMark/>
          </w:tcPr>
          <w:p w14:paraId="14C2129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1,054 </w:t>
            </w:r>
          </w:p>
        </w:tc>
      </w:tr>
      <w:tr w:rsidR="00646661" w:rsidRPr="00646661" w14:paraId="6E358FEB" w14:textId="77777777" w:rsidTr="00646661">
        <w:trPr>
          <w:trHeight w:val="300"/>
        </w:trPr>
        <w:tc>
          <w:tcPr>
            <w:tcW w:w="2262" w:type="pct"/>
            <w:hideMark/>
          </w:tcPr>
          <w:p w14:paraId="3E9FBD8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Other long-term liabilities</w:t>
            </w:r>
          </w:p>
        </w:tc>
        <w:tc>
          <w:tcPr>
            <w:tcW w:w="548" w:type="pct"/>
            <w:noWrap/>
            <w:hideMark/>
          </w:tcPr>
          <w:p w14:paraId="11363F1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723 </w:t>
            </w:r>
          </w:p>
        </w:tc>
        <w:tc>
          <w:tcPr>
            <w:tcW w:w="548" w:type="pct"/>
            <w:noWrap/>
            <w:hideMark/>
          </w:tcPr>
          <w:p w14:paraId="691FB39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817 </w:t>
            </w:r>
          </w:p>
        </w:tc>
        <w:tc>
          <w:tcPr>
            <w:tcW w:w="548" w:type="pct"/>
            <w:noWrap/>
            <w:hideMark/>
          </w:tcPr>
          <w:p w14:paraId="00399E5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810 </w:t>
            </w:r>
          </w:p>
        </w:tc>
        <w:tc>
          <w:tcPr>
            <w:tcW w:w="548" w:type="pct"/>
            <w:noWrap/>
            <w:hideMark/>
          </w:tcPr>
          <w:p w14:paraId="3D7B69E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 </w:t>
            </w:r>
          </w:p>
        </w:tc>
        <w:tc>
          <w:tcPr>
            <w:tcW w:w="546" w:type="pct"/>
            <w:noWrap/>
            <w:hideMark/>
          </w:tcPr>
          <w:p w14:paraId="429BCDD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539 </w:t>
            </w:r>
          </w:p>
        </w:tc>
      </w:tr>
      <w:tr w:rsidR="00646661" w:rsidRPr="00646661" w14:paraId="5CCC3755" w14:textId="77777777" w:rsidTr="00646661">
        <w:trPr>
          <w:trHeight w:val="300"/>
        </w:trPr>
        <w:tc>
          <w:tcPr>
            <w:tcW w:w="2262" w:type="pct"/>
            <w:hideMark/>
          </w:tcPr>
          <w:p w14:paraId="17DF1526"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Total liabilities</w:t>
            </w:r>
          </w:p>
        </w:tc>
        <w:tc>
          <w:tcPr>
            <w:tcW w:w="548" w:type="pct"/>
            <w:noWrap/>
            <w:hideMark/>
          </w:tcPr>
          <w:p w14:paraId="643B002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170,249 </w:t>
            </w:r>
          </w:p>
        </w:tc>
        <w:tc>
          <w:tcPr>
            <w:tcW w:w="548" w:type="pct"/>
            <w:noWrap/>
            <w:hideMark/>
          </w:tcPr>
          <w:p w14:paraId="4681146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176,952 </w:t>
            </w:r>
          </w:p>
        </w:tc>
        <w:tc>
          <w:tcPr>
            <w:tcW w:w="548" w:type="pct"/>
            <w:noWrap/>
            <w:hideMark/>
          </w:tcPr>
          <w:p w14:paraId="60F9B85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235,757 </w:t>
            </w:r>
          </w:p>
        </w:tc>
        <w:tc>
          <w:tcPr>
            <w:tcW w:w="548" w:type="pct"/>
            <w:noWrap/>
            <w:hideMark/>
          </w:tcPr>
          <w:p w14:paraId="6722EA6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234,399 </w:t>
            </w:r>
          </w:p>
        </w:tc>
        <w:tc>
          <w:tcPr>
            <w:tcW w:w="546" w:type="pct"/>
            <w:noWrap/>
            <w:hideMark/>
          </w:tcPr>
          <w:p w14:paraId="41866B3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196,989 </w:t>
            </w:r>
          </w:p>
        </w:tc>
      </w:tr>
      <w:tr w:rsidR="00646661" w:rsidRPr="00646661" w14:paraId="668ED16C" w14:textId="77777777" w:rsidTr="00646661">
        <w:trPr>
          <w:trHeight w:val="300"/>
        </w:trPr>
        <w:tc>
          <w:tcPr>
            <w:tcW w:w="2262" w:type="pct"/>
            <w:hideMark/>
          </w:tcPr>
          <w:p w14:paraId="2173989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Shareholders' equity</w:t>
            </w:r>
          </w:p>
        </w:tc>
        <w:tc>
          <w:tcPr>
            <w:tcW w:w="548" w:type="pct"/>
            <w:noWrap/>
            <w:hideMark/>
          </w:tcPr>
          <w:p w14:paraId="6AB2859E"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5DBCDC48" w14:textId="77777777" w:rsidR="00646661" w:rsidRPr="00646661" w:rsidRDefault="00646661" w:rsidP="00C176DE">
            <w:pPr>
              <w:rPr>
                <w:rFonts w:ascii="Arial" w:hAnsi="Arial" w:cs="Arial"/>
                <w:lang w:eastAsia="zh-CN"/>
              </w:rPr>
            </w:pPr>
          </w:p>
        </w:tc>
        <w:tc>
          <w:tcPr>
            <w:tcW w:w="548" w:type="pct"/>
            <w:noWrap/>
            <w:hideMark/>
          </w:tcPr>
          <w:p w14:paraId="315BA6DA" w14:textId="77777777" w:rsidR="00646661" w:rsidRPr="00646661" w:rsidRDefault="00646661" w:rsidP="00C176DE">
            <w:pPr>
              <w:rPr>
                <w:rFonts w:ascii="Arial" w:hAnsi="Arial" w:cs="Arial"/>
                <w:lang w:eastAsia="zh-CN"/>
              </w:rPr>
            </w:pPr>
          </w:p>
        </w:tc>
        <w:tc>
          <w:tcPr>
            <w:tcW w:w="548" w:type="pct"/>
            <w:noWrap/>
            <w:hideMark/>
          </w:tcPr>
          <w:p w14:paraId="241CB3DE" w14:textId="77777777" w:rsidR="00646661" w:rsidRPr="00646661" w:rsidRDefault="00646661" w:rsidP="00C176DE">
            <w:pPr>
              <w:rPr>
                <w:rFonts w:ascii="Arial" w:hAnsi="Arial" w:cs="Arial"/>
                <w:lang w:eastAsia="zh-CN"/>
              </w:rPr>
            </w:pPr>
          </w:p>
        </w:tc>
        <w:tc>
          <w:tcPr>
            <w:tcW w:w="546" w:type="pct"/>
            <w:noWrap/>
            <w:hideMark/>
          </w:tcPr>
          <w:p w14:paraId="7C2D07BD" w14:textId="77777777" w:rsidR="00646661" w:rsidRPr="00646661" w:rsidRDefault="00646661" w:rsidP="00C176DE">
            <w:pPr>
              <w:rPr>
                <w:rFonts w:ascii="Arial" w:hAnsi="Arial" w:cs="Arial"/>
                <w:lang w:eastAsia="zh-CN"/>
              </w:rPr>
            </w:pPr>
          </w:p>
        </w:tc>
      </w:tr>
      <w:tr w:rsidR="00646661" w:rsidRPr="00646661" w14:paraId="5919E61B" w14:textId="77777777" w:rsidTr="00646661">
        <w:trPr>
          <w:trHeight w:val="300"/>
        </w:trPr>
        <w:tc>
          <w:tcPr>
            <w:tcW w:w="2262" w:type="pct"/>
            <w:hideMark/>
          </w:tcPr>
          <w:p w14:paraId="10050E8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Preferred stock</w:t>
            </w:r>
          </w:p>
        </w:tc>
        <w:tc>
          <w:tcPr>
            <w:tcW w:w="548" w:type="pct"/>
            <w:noWrap/>
            <w:hideMark/>
          </w:tcPr>
          <w:p w14:paraId="2D0A1E6A"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783DA125"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6F5C0412" w14:textId="77777777" w:rsidR="00646661" w:rsidRPr="00646661" w:rsidRDefault="00646661" w:rsidP="00C176DE">
            <w:pPr>
              <w:rPr>
                <w:rFonts w:ascii="Arial" w:hAnsi="Arial" w:cs="Arial"/>
                <w:color w:val="000000"/>
                <w:sz w:val="18"/>
                <w:szCs w:val="18"/>
                <w:lang w:eastAsia="zh-CN"/>
              </w:rPr>
            </w:pPr>
          </w:p>
        </w:tc>
        <w:tc>
          <w:tcPr>
            <w:tcW w:w="548" w:type="pct"/>
            <w:noWrap/>
            <w:hideMark/>
          </w:tcPr>
          <w:p w14:paraId="38151BA7" w14:textId="77777777" w:rsidR="00646661" w:rsidRPr="00646661" w:rsidRDefault="00646661" w:rsidP="00C176DE">
            <w:pPr>
              <w:rPr>
                <w:rFonts w:ascii="Arial" w:hAnsi="Arial" w:cs="Arial"/>
                <w:color w:val="000000"/>
                <w:sz w:val="18"/>
                <w:szCs w:val="18"/>
                <w:lang w:eastAsia="zh-CN"/>
              </w:rPr>
            </w:pPr>
          </w:p>
        </w:tc>
        <w:tc>
          <w:tcPr>
            <w:tcW w:w="546" w:type="pct"/>
            <w:noWrap/>
            <w:hideMark/>
          </w:tcPr>
          <w:p w14:paraId="1CD2ABEA" w14:textId="77777777" w:rsidR="00646661" w:rsidRPr="00646661" w:rsidRDefault="00646661" w:rsidP="00C176DE">
            <w:pPr>
              <w:rPr>
                <w:rFonts w:ascii="Arial" w:hAnsi="Arial" w:cs="Arial"/>
                <w:color w:val="000000"/>
                <w:sz w:val="18"/>
                <w:szCs w:val="18"/>
                <w:lang w:eastAsia="zh-CN"/>
              </w:rPr>
            </w:pPr>
          </w:p>
        </w:tc>
      </w:tr>
      <w:tr w:rsidR="00646661" w:rsidRPr="00646661" w14:paraId="036A9EC3" w14:textId="77777777" w:rsidTr="00646661">
        <w:trPr>
          <w:trHeight w:val="300"/>
        </w:trPr>
        <w:tc>
          <w:tcPr>
            <w:tcW w:w="2262" w:type="pct"/>
            <w:hideMark/>
          </w:tcPr>
          <w:p w14:paraId="519D793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Common stock</w:t>
            </w:r>
          </w:p>
        </w:tc>
        <w:tc>
          <w:tcPr>
            <w:tcW w:w="548" w:type="pct"/>
            <w:noWrap/>
            <w:hideMark/>
          </w:tcPr>
          <w:p w14:paraId="213F2F6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257 </w:t>
            </w:r>
          </w:p>
        </w:tc>
        <w:tc>
          <w:tcPr>
            <w:tcW w:w="548" w:type="pct"/>
            <w:noWrap/>
            <w:hideMark/>
          </w:tcPr>
          <w:p w14:paraId="100A841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253 </w:t>
            </w:r>
          </w:p>
        </w:tc>
        <w:tc>
          <w:tcPr>
            <w:tcW w:w="548" w:type="pct"/>
            <w:noWrap/>
            <w:hideMark/>
          </w:tcPr>
          <w:p w14:paraId="7E7B5CD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250 </w:t>
            </w:r>
          </w:p>
        </w:tc>
        <w:tc>
          <w:tcPr>
            <w:tcW w:w="548" w:type="pct"/>
            <w:noWrap/>
            <w:hideMark/>
          </w:tcPr>
          <w:p w14:paraId="5DA5C48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247 </w:t>
            </w:r>
          </w:p>
        </w:tc>
        <w:tc>
          <w:tcPr>
            <w:tcW w:w="546" w:type="pct"/>
            <w:noWrap/>
            <w:hideMark/>
          </w:tcPr>
          <w:p w14:paraId="3B7144D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244 </w:t>
            </w:r>
          </w:p>
        </w:tc>
      </w:tr>
      <w:tr w:rsidR="00646661" w:rsidRPr="00646661" w14:paraId="7A0E21AD" w14:textId="77777777" w:rsidTr="00646661">
        <w:trPr>
          <w:trHeight w:val="300"/>
        </w:trPr>
        <w:tc>
          <w:tcPr>
            <w:tcW w:w="2262" w:type="pct"/>
            <w:hideMark/>
          </w:tcPr>
          <w:p w14:paraId="2C594A3A"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Paid-in capital</w:t>
            </w:r>
          </w:p>
        </w:tc>
        <w:tc>
          <w:tcPr>
            <w:tcW w:w="548" w:type="pct"/>
            <w:noWrap/>
            <w:hideMark/>
          </w:tcPr>
          <w:p w14:paraId="78814D1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344,697 </w:t>
            </w:r>
          </w:p>
        </w:tc>
        <w:tc>
          <w:tcPr>
            <w:tcW w:w="548" w:type="pct"/>
            <w:noWrap/>
            <w:hideMark/>
          </w:tcPr>
          <w:p w14:paraId="13764F4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336,938 </w:t>
            </w:r>
          </w:p>
        </w:tc>
        <w:tc>
          <w:tcPr>
            <w:tcW w:w="548" w:type="pct"/>
            <w:noWrap/>
            <w:hideMark/>
          </w:tcPr>
          <w:p w14:paraId="3CCC495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326,839 </w:t>
            </w:r>
          </w:p>
        </w:tc>
        <w:tc>
          <w:tcPr>
            <w:tcW w:w="548" w:type="pct"/>
            <w:noWrap/>
            <w:hideMark/>
          </w:tcPr>
          <w:p w14:paraId="04271DD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314,094 </w:t>
            </w:r>
          </w:p>
        </w:tc>
        <w:tc>
          <w:tcPr>
            <w:tcW w:w="546" w:type="pct"/>
            <w:noWrap/>
            <w:hideMark/>
          </w:tcPr>
          <w:p w14:paraId="6BB0D5F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302,084 </w:t>
            </w:r>
          </w:p>
        </w:tc>
      </w:tr>
      <w:tr w:rsidR="00646661" w:rsidRPr="00646661" w14:paraId="137D829A" w14:textId="77777777" w:rsidTr="00646661">
        <w:trPr>
          <w:trHeight w:val="300"/>
        </w:trPr>
        <w:tc>
          <w:tcPr>
            <w:tcW w:w="2262" w:type="pct"/>
            <w:hideMark/>
          </w:tcPr>
          <w:p w14:paraId="0B2ED0E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Treasury stock</w:t>
            </w:r>
          </w:p>
        </w:tc>
        <w:tc>
          <w:tcPr>
            <w:tcW w:w="548" w:type="pct"/>
            <w:noWrap/>
            <w:hideMark/>
          </w:tcPr>
          <w:p w14:paraId="1E0FF1E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(371,930)</w:t>
            </w:r>
          </w:p>
        </w:tc>
        <w:tc>
          <w:tcPr>
            <w:tcW w:w="548" w:type="pct"/>
            <w:noWrap/>
            <w:hideMark/>
          </w:tcPr>
          <w:p w14:paraId="64C0CEB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(369,973)</w:t>
            </w:r>
          </w:p>
        </w:tc>
        <w:tc>
          <w:tcPr>
            <w:tcW w:w="548" w:type="pct"/>
            <w:noWrap/>
            <w:hideMark/>
          </w:tcPr>
          <w:p w14:paraId="53C61B9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(368,194)</w:t>
            </w:r>
          </w:p>
        </w:tc>
        <w:tc>
          <w:tcPr>
            <w:tcW w:w="548" w:type="pct"/>
            <w:noWrap/>
            <w:hideMark/>
          </w:tcPr>
          <w:p w14:paraId="721E428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(355,159)</w:t>
            </w:r>
          </w:p>
        </w:tc>
        <w:tc>
          <w:tcPr>
            <w:tcW w:w="546" w:type="pct"/>
            <w:noWrap/>
            <w:hideMark/>
          </w:tcPr>
          <w:p w14:paraId="0DEB35D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(295,495)</w:t>
            </w:r>
          </w:p>
        </w:tc>
      </w:tr>
      <w:tr w:rsidR="00646661" w:rsidRPr="00646661" w14:paraId="55C80417" w14:textId="77777777" w:rsidTr="00646661">
        <w:trPr>
          <w:trHeight w:val="495"/>
        </w:trPr>
        <w:tc>
          <w:tcPr>
            <w:tcW w:w="2262" w:type="pct"/>
            <w:hideMark/>
          </w:tcPr>
          <w:p w14:paraId="51080D55"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Accumulated other comprehensive income (loss)</w:t>
            </w:r>
          </w:p>
        </w:tc>
        <w:tc>
          <w:tcPr>
            <w:tcW w:w="548" w:type="pct"/>
            <w:noWrap/>
            <w:hideMark/>
          </w:tcPr>
          <w:p w14:paraId="3CF4695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(28,350)</w:t>
            </w:r>
          </w:p>
        </w:tc>
        <w:tc>
          <w:tcPr>
            <w:tcW w:w="548" w:type="pct"/>
            <w:noWrap/>
            <w:hideMark/>
          </w:tcPr>
          <w:p w14:paraId="077A2B4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(20,758)</w:t>
            </w:r>
          </w:p>
        </w:tc>
        <w:tc>
          <w:tcPr>
            <w:tcW w:w="548" w:type="pct"/>
            <w:noWrap/>
            <w:hideMark/>
          </w:tcPr>
          <w:p w14:paraId="74DB72F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(21,187)</w:t>
            </w:r>
          </w:p>
        </w:tc>
        <w:tc>
          <w:tcPr>
            <w:tcW w:w="548" w:type="pct"/>
            <w:noWrap/>
            <w:hideMark/>
          </w:tcPr>
          <w:p w14:paraId="21D5AF8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(13,524)</w:t>
            </w:r>
          </w:p>
        </w:tc>
        <w:tc>
          <w:tcPr>
            <w:tcW w:w="546" w:type="pct"/>
            <w:noWrap/>
            <w:hideMark/>
          </w:tcPr>
          <w:p w14:paraId="1DBC244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(18,522)</w:t>
            </w:r>
          </w:p>
        </w:tc>
      </w:tr>
      <w:tr w:rsidR="00646661" w:rsidRPr="00646661" w14:paraId="0936F5E3" w14:textId="77777777" w:rsidTr="00646661">
        <w:trPr>
          <w:trHeight w:val="300"/>
        </w:trPr>
        <w:tc>
          <w:tcPr>
            <w:tcW w:w="2262" w:type="pct"/>
            <w:hideMark/>
          </w:tcPr>
          <w:p w14:paraId="7551D9D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lastRenderedPageBreak/>
              <w:t>Retained earnings</w:t>
            </w:r>
          </w:p>
        </w:tc>
        <w:tc>
          <w:tcPr>
            <w:tcW w:w="548" w:type="pct"/>
            <w:noWrap/>
            <w:hideMark/>
          </w:tcPr>
          <w:p w14:paraId="601E239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208,431 </w:t>
            </w:r>
          </w:p>
        </w:tc>
        <w:tc>
          <w:tcPr>
            <w:tcW w:w="548" w:type="pct"/>
            <w:noWrap/>
            <w:hideMark/>
          </w:tcPr>
          <w:p w14:paraId="7F48D4B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232,460 </w:t>
            </w:r>
          </w:p>
        </w:tc>
        <w:tc>
          <w:tcPr>
            <w:tcW w:w="548" w:type="pct"/>
            <w:noWrap/>
            <w:hideMark/>
          </w:tcPr>
          <w:p w14:paraId="281631E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330,698 </w:t>
            </w:r>
          </w:p>
        </w:tc>
        <w:tc>
          <w:tcPr>
            <w:tcW w:w="548" w:type="pct"/>
            <w:noWrap/>
            <w:hideMark/>
          </w:tcPr>
          <w:p w14:paraId="76860DD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330,291 </w:t>
            </w:r>
          </w:p>
        </w:tc>
        <w:tc>
          <w:tcPr>
            <w:tcW w:w="546" w:type="pct"/>
            <w:noWrap/>
            <w:hideMark/>
          </w:tcPr>
          <w:p w14:paraId="0FCEBD0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324,990 </w:t>
            </w:r>
          </w:p>
        </w:tc>
      </w:tr>
      <w:tr w:rsidR="00646661" w:rsidRPr="00646661" w14:paraId="706D3D3F" w14:textId="77777777" w:rsidTr="00646661">
        <w:trPr>
          <w:trHeight w:val="300"/>
        </w:trPr>
        <w:tc>
          <w:tcPr>
            <w:tcW w:w="2262" w:type="pct"/>
            <w:hideMark/>
          </w:tcPr>
          <w:p w14:paraId="1C83C35C"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Total shareholders' equity</w:t>
            </w:r>
          </w:p>
        </w:tc>
        <w:tc>
          <w:tcPr>
            <w:tcW w:w="548" w:type="pct"/>
            <w:noWrap/>
            <w:hideMark/>
          </w:tcPr>
          <w:p w14:paraId="05EA554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153,105 </w:t>
            </w:r>
          </w:p>
        </w:tc>
        <w:tc>
          <w:tcPr>
            <w:tcW w:w="548" w:type="pct"/>
            <w:noWrap/>
            <w:hideMark/>
          </w:tcPr>
          <w:p w14:paraId="09D52DE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178,920 </w:t>
            </w:r>
          </w:p>
        </w:tc>
        <w:tc>
          <w:tcPr>
            <w:tcW w:w="548" w:type="pct"/>
            <w:noWrap/>
            <w:hideMark/>
          </w:tcPr>
          <w:p w14:paraId="524EAC7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268,406 </w:t>
            </w:r>
          </w:p>
        </w:tc>
        <w:tc>
          <w:tcPr>
            <w:tcW w:w="548" w:type="pct"/>
            <w:noWrap/>
            <w:hideMark/>
          </w:tcPr>
          <w:p w14:paraId="2F3C32B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275,949 </w:t>
            </w:r>
          </w:p>
        </w:tc>
        <w:tc>
          <w:tcPr>
            <w:tcW w:w="546" w:type="pct"/>
            <w:noWrap/>
            <w:hideMark/>
          </w:tcPr>
          <w:p w14:paraId="33737C1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313,301 </w:t>
            </w:r>
          </w:p>
        </w:tc>
      </w:tr>
      <w:tr w:rsidR="00646661" w:rsidRPr="00646661" w14:paraId="3BA10C57" w14:textId="77777777" w:rsidTr="00646661">
        <w:trPr>
          <w:trHeight w:val="300"/>
        </w:trPr>
        <w:tc>
          <w:tcPr>
            <w:tcW w:w="2262" w:type="pct"/>
            <w:hideMark/>
          </w:tcPr>
          <w:p w14:paraId="29D39C7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Total liabilities and equity</w:t>
            </w:r>
          </w:p>
        </w:tc>
        <w:tc>
          <w:tcPr>
            <w:tcW w:w="548" w:type="pct"/>
            <w:noWrap/>
            <w:hideMark/>
          </w:tcPr>
          <w:p w14:paraId="362731F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323,354 </w:t>
            </w:r>
          </w:p>
        </w:tc>
        <w:tc>
          <w:tcPr>
            <w:tcW w:w="548" w:type="pct"/>
            <w:noWrap/>
            <w:hideMark/>
          </w:tcPr>
          <w:p w14:paraId="18B4A04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355,872 </w:t>
            </w:r>
          </w:p>
        </w:tc>
        <w:tc>
          <w:tcPr>
            <w:tcW w:w="548" w:type="pct"/>
            <w:noWrap/>
            <w:hideMark/>
          </w:tcPr>
          <w:p w14:paraId="6476A66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504,163 </w:t>
            </w:r>
          </w:p>
        </w:tc>
        <w:tc>
          <w:tcPr>
            <w:tcW w:w="548" w:type="pct"/>
            <w:noWrap/>
            <w:hideMark/>
          </w:tcPr>
          <w:p w14:paraId="36DB987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510,348 </w:t>
            </w:r>
          </w:p>
        </w:tc>
        <w:tc>
          <w:tcPr>
            <w:tcW w:w="546" w:type="pct"/>
            <w:noWrap/>
            <w:hideMark/>
          </w:tcPr>
          <w:p w14:paraId="2175B4A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510,290 </w:t>
            </w:r>
          </w:p>
        </w:tc>
      </w:tr>
    </w:tbl>
    <w:p w14:paraId="2C6347FD" w14:textId="77777777" w:rsidR="00646661" w:rsidRDefault="00646661" w:rsidP="00646661">
      <w:pPr>
        <w:jc w:val="both"/>
        <w:rPr>
          <w:rFonts w:ascii="Arial" w:hAnsi="Arial" w:cs="Arial"/>
        </w:rPr>
      </w:pPr>
    </w:p>
    <w:p w14:paraId="77CD7B57" w14:textId="77777777" w:rsidR="00646661" w:rsidRDefault="00646661" w:rsidP="00646661">
      <w:pPr>
        <w:jc w:val="both"/>
        <w:rPr>
          <w:rFonts w:ascii="Arial" w:hAnsi="Arial" w:cs="Arial"/>
        </w:rPr>
      </w:pPr>
    </w:p>
    <w:tbl>
      <w:tblPr>
        <w:tblStyle w:val="TableGrid"/>
        <w:tblW w:w="5000" w:type="pct"/>
        <w:tblLook w:val="04A0" w:firstRow="1" w:lastRow="0" w:firstColumn="1" w:lastColumn="0" w:noHBand="0" w:noVBand="1"/>
      </w:tblPr>
      <w:tblGrid>
        <w:gridCol w:w="4181"/>
        <w:gridCol w:w="987"/>
        <w:gridCol w:w="987"/>
        <w:gridCol w:w="987"/>
        <w:gridCol w:w="887"/>
        <w:gridCol w:w="987"/>
      </w:tblGrid>
      <w:tr w:rsidR="00646661" w:rsidRPr="00646661" w14:paraId="58A04004" w14:textId="77777777" w:rsidTr="00646661">
        <w:trPr>
          <w:trHeight w:val="300"/>
        </w:trPr>
        <w:tc>
          <w:tcPr>
            <w:tcW w:w="5000" w:type="pct"/>
            <w:gridSpan w:val="6"/>
            <w:hideMark/>
          </w:tcPr>
          <w:p w14:paraId="2101AEEB" w14:textId="77777777" w:rsidR="00646661" w:rsidRPr="00646661" w:rsidRDefault="00646661" w:rsidP="00C176DE">
            <w:pPr>
              <w:jc w:val="center"/>
              <w:rPr>
                <w:rFonts w:ascii="Arial" w:hAnsi="Arial" w:cs="Arial"/>
                <w:b/>
                <w:bCs/>
                <w:color w:val="000000"/>
                <w:lang w:eastAsia="zh-CN"/>
              </w:rPr>
            </w:pPr>
            <w:r w:rsidRPr="00646661">
              <w:rPr>
                <w:rFonts w:ascii="Arial" w:hAnsi="Arial" w:cs="Arial"/>
                <w:b/>
                <w:bCs/>
                <w:color w:val="000000"/>
                <w:lang w:eastAsia="zh-CN"/>
              </w:rPr>
              <w:t>Consolidated Cash Flow Statement</w:t>
            </w:r>
            <w:r w:rsidRPr="00646661">
              <w:rPr>
                <w:rFonts w:ascii="Arial" w:hAnsi="Arial" w:cs="Arial"/>
                <w:b/>
                <w:bCs/>
                <w:color w:val="000000" w:themeColor="text1"/>
                <w:lang w:eastAsia="zh-CN"/>
              </w:rPr>
              <w:t xml:space="preserve"> (£m)</w:t>
            </w:r>
          </w:p>
        </w:tc>
      </w:tr>
      <w:tr w:rsidR="00646661" w:rsidRPr="00646661" w14:paraId="302ED638" w14:textId="77777777" w:rsidTr="00013CC4">
        <w:trPr>
          <w:trHeight w:val="300"/>
        </w:trPr>
        <w:tc>
          <w:tcPr>
            <w:tcW w:w="2319" w:type="pct"/>
            <w:hideMark/>
          </w:tcPr>
          <w:p w14:paraId="16C4C0B5" w14:textId="77777777" w:rsidR="00646661" w:rsidRPr="00646661" w:rsidRDefault="00646661" w:rsidP="00C176DE">
            <w:pPr>
              <w:jc w:val="center"/>
              <w:rPr>
                <w:rFonts w:ascii="Arial" w:hAnsi="Arial" w:cs="Arial"/>
                <w:b/>
                <w:bCs/>
                <w:color w:val="000000"/>
                <w:sz w:val="18"/>
                <w:szCs w:val="18"/>
                <w:lang w:eastAsia="zh-CN"/>
              </w:rPr>
            </w:pPr>
          </w:p>
        </w:tc>
        <w:tc>
          <w:tcPr>
            <w:tcW w:w="547" w:type="pct"/>
            <w:noWrap/>
            <w:hideMark/>
          </w:tcPr>
          <w:p w14:paraId="15219EC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2024</w:t>
            </w:r>
          </w:p>
        </w:tc>
        <w:tc>
          <w:tcPr>
            <w:tcW w:w="547" w:type="pct"/>
            <w:noWrap/>
            <w:hideMark/>
          </w:tcPr>
          <w:p w14:paraId="45D4BC3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2023</w:t>
            </w:r>
          </w:p>
        </w:tc>
        <w:tc>
          <w:tcPr>
            <w:tcW w:w="547" w:type="pct"/>
            <w:noWrap/>
            <w:hideMark/>
          </w:tcPr>
          <w:p w14:paraId="0D44685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2022</w:t>
            </w:r>
          </w:p>
        </w:tc>
        <w:tc>
          <w:tcPr>
            <w:tcW w:w="492" w:type="pct"/>
            <w:noWrap/>
            <w:hideMark/>
          </w:tcPr>
          <w:p w14:paraId="146472F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2021</w:t>
            </w:r>
          </w:p>
        </w:tc>
        <w:tc>
          <w:tcPr>
            <w:tcW w:w="547" w:type="pct"/>
            <w:noWrap/>
            <w:hideMark/>
          </w:tcPr>
          <w:p w14:paraId="6C9BCDB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2020</w:t>
            </w:r>
          </w:p>
        </w:tc>
      </w:tr>
      <w:tr w:rsidR="00646661" w:rsidRPr="00646661" w14:paraId="2966C15C" w14:textId="77777777" w:rsidTr="00013CC4">
        <w:trPr>
          <w:trHeight w:val="300"/>
        </w:trPr>
        <w:tc>
          <w:tcPr>
            <w:tcW w:w="2319" w:type="pct"/>
            <w:hideMark/>
          </w:tcPr>
          <w:p w14:paraId="0FDCF0CC"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Cash flows from operating activities</w:t>
            </w:r>
          </w:p>
        </w:tc>
        <w:tc>
          <w:tcPr>
            <w:tcW w:w="547" w:type="pct"/>
            <w:noWrap/>
            <w:hideMark/>
          </w:tcPr>
          <w:p w14:paraId="2A0E7C68"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08C76166" w14:textId="77777777" w:rsidR="00646661" w:rsidRPr="00646661" w:rsidRDefault="00646661" w:rsidP="00C176DE">
            <w:pPr>
              <w:rPr>
                <w:rFonts w:ascii="Arial" w:hAnsi="Arial" w:cs="Arial"/>
                <w:lang w:eastAsia="zh-CN"/>
              </w:rPr>
            </w:pPr>
          </w:p>
        </w:tc>
        <w:tc>
          <w:tcPr>
            <w:tcW w:w="547" w:type="pct"/>
            <w:noWrap/>
            <w:hideMark/>
          </w:tcPr>
          <w:p w14:paraId="63F041B2" w14:textId="77777777" w:rsidR="00646661" w:rsidRPr="00646661" w:rsidRDefault="00646661" w:rsidP="00C176DE">
            <w:pPr>
              <w:rPr>
                <w:rFonts w:ascii="Arial" w:hAnsi="Arial" w:cs="Arial"/>
                <w:lang w:eastAsia="zh-CN"/>
              </w:rPr>
            </w:pPr>
          </w:p>
        </w:tc>
        <w:tc>
          <w:tcPr>
            <w:tcW w:w="492" w:type="pct"/>
            <w:noWrap/>
            <w:hideMark/>
          </w:tcPr>
          <w:p w14:paraId="131539FC" w14:textId="77777777" w:rsidR="00646661" w:rsidRPr="00646661" w:rsidRDefault="00646661" w:rsidP="00C176DE">
            <w:pPr>
              <w:rPr>
                <w:rFonts w:ascii="Arial" w:hAnsi="Arial" w:cs="Arial"/>
                <w:lang w:eastAsia="zh-CN"/>
              </w:rPr>
            </w:pPr>
          </w:p>
        </w:tc>
        <w:tc>
          <w:tcPr>
            <w:tcW w:w="547" w:type="pct"/>
            <w:noWrap/>
            <w:hideMark/>
          </w:tcPr>
          <w:p w14:paraId="305E36BD" w14:textId="77777777" w:rsidR="00646661" w:rsidRPr="00646661" w:rsidRDefault="00646661" w:rsidP="00C176DE">
            <w:pPr>
              <w:rPr>
                <w:rFonts w:ascii="Arial" w:hAnsi="Arial" w:cs="Arial"/>
                <w:lang w:eastAsia="zh-CN"/>
              </w:rPr>
            </w:pPr>
          </w:p>
        </w:tc>
      </w:tr>
      <w:tr w:rsidR="00646661" w:rsidRPr="00646661" w14:paraId="7263E149" w14:textId="77777777" w:rsidTr="00013CC4">
        <w:trPr>
          <w:trHeight w:val="300"/>
        </w:trPr>
        <w:tc>
          <w:tcPr>
            <w:tcW w:w="2319" w:type="pct"/>
            <w:hideMark/>
          </w:tcPr>
          <w:p w14:paraId="6614B1F3"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income (loss)</w:t>
            </w:r>
          </w:p>
        </w:tc>
        <w:tc>
          <w:tcPr>
            <w:tcW w:w="547" w:type="pct"/>
            <w:noWrap/>
            <w:hideMark/>
          </w:tcPr>
          <w:p w14:paraId="42FB94B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(24,029)</w:t>
            </w:r>
          </w:p>
        </w:tc>
        <w:tc>
          <w:tcPr>
            <w:tcW w:w="547" w:type="pct"/>
            <w:noWrap/>
            <w:hideMark/>
          </w:tcPr>
          <w:p w14:paraId="4884F75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(98,238)</w:t>
            </w:r>
          </w:p>
        </w:tc>
        <w:tc>
          <w:tcPr>
            <w:tcW w:w="547" w:type="pct"/>
            <w:noWrap/>
            <w:hideMark/>
          </w:tcPr>
          <w:p w14:paraId="30127E2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407 </w:t>
            </w:r>
          </w:p>
        </w:tc>
        <w:tc>
          <w:tcPr>
            <w:tcW w:w="492" w:type="pct"/>
            <w:noWrap/>
            <w:hideMark/>
          </w:tcPr>
          <w:p w14:paraId="507F8AE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5,301 </w:t>
            </w:r>
          </w:p>
        </w:tc>
        <w:tc>
          <w:tcPr>
            <w:tcW w:w="547" w:type="pct"/>
            <w:noWrap/>
            <w:hideMark/>
          </w:tcPr>
          <w:p w14:paraId="48013BE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38,572 </w:t>
            </w:r>
          </w:p>
        </w:tc>
      </w:tr>
      <w:tr w:rsidR="00646661" w:rsidRPr="00646661" w14:paraId="6AE6C435" w14:textId="77777777" w:rsidTr="00013CC4">
        <w:trPr>
          <w:trHeight w:val="750"/>
        </w:trPr>
        <w:tc>
          <w:tcPr>
            <w:tcW w:w="2319" w:type="pct"/>
            <w:hideMark/>
          </w:tcPr>
          <w:p w14:paraId="7CC69B96"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Adjustments to reconcile net income (loss) to net cash provided by (used for) operating activities</w:t>
            </w:r>
          </w:p>
        </w:tc>
        <w:tc>
          <w:tcPr>
            <w:tcW w:w="547" w:type="pct"/>
            <w:noWrap/>
            <w:hideMark/>
          </w:tcPr>
          <w:p w14:paraId="6A4BC340"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778E4E88" w14:textId="77777777" w:rsidR="00646661" w:rsidRPr="00646661" w:rsidRDefault="00646661" w:rsidP="00C176DE">
            <w:pPr>
              <w:rPr>
                <w:rFonts w:ascii="Arial" w:hAnsi="Arial" w:cs="Arial"/>
                <w:lang w:eastAsia="zh-CN"/>
              </w:rPr>
            </w:pPr>
          </w:p>
        </w:tc>
        <w:tc>
          <w:tcPr>
            <w:tcW w:w="547" w:type="pct"/>
            <w:noWrap/>
            <w:hideMark/>
          </w:tcPr>
          <w:p w14:paraId="2967A0E8" w14:textId="77777777" w:rsidR="00646661" w:rsidRPr="00646661" w:rsidRDefault="00646661" w:rsidP="00C176DE">
            <w:pPr>
              <w:rPr>
                <w:rFonts w:ascii="Arial" w:hAnsi="Arial" w:cs="Arial"/>
                <w:lang w:eastAsia="zh-CN"/>
              </w:rPr>
            </w:pPr>
          </w:p>
        </w:tc>
        <w:tc>
          <w:tcPr>
            <w:tcW w:w="492" w:type="pct"/>
            <w:noWrap/>
            <w:hideMark/>
          </w:tcPr>
          <w:p w14:paraId="0794B489" w14:textId="77777777" w:rsidR="00646661" w:rsidRPr="00646661" w:rsidRDefault="00646661" w:rsidP="00C176DE">
            <w:pPr>
              <w:rPr>
                <w:rFonts w:ascii="Arial" w:hAnsi="Arial" w:cs="Arial"/>
                <w:lang w:eastAsia="zh-CN"/>
              </w:rPr>
            </w:pPr>
          </w:p>
        </w:tc>
        <w:tc>
          <w:tcPr>
            <w:tcW w:w="547" w:type="pct"/>
            <w:noWrap/>
            <w:hideMark/>
          </w:tcPr>
          <w:p w14:paraId="6EDE8D7C" w14:textId="77777777" w:rsidR="00646661" w:rsidRPr="00646661" w:rsidRDefault="00646661" w:rsidP="00C176DE">
            <w:pPr>
              <w:rPr>
                <w:rFonts w:ascii="Arial" w:hAnsi="Arial" w:cs="Arial"/>
                <w:lang w:eastAsia="zh-CN"/>
              </w:rPr>
            </w:pPr>
          </w:p>
        </w:tc>
      </w:tr>
      <w:tr w:rsidR="00646661" w:rsidRPr="00646661" w14:paraId="2011C1EA" w14:textId="77777777" w:rsidTr="00013CC4">
        <w:trPr>
          <w:trHeight w:val="300"/>
        </w:trPr>
        <w:tc>
          <w:tcPr>
            <w:tcW w:w="2319" w:type="pct"/>
            <w:hideMark/>
          </w:tcPr>
          <w:p w14:paraId="3202105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Depreciation and amortization</w:t>
            </w:r>
          </w:p>
        </w:tc>
        <w:tc>
          <w:tcPr>
            <w:tcW w:w="547" w:type="pct"/>
            <w:noWrap/>
            <w:hideMark/>
          </w:tcPr>
          <w:p w14:paraId="14392FB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18,058 </w:t>
            </w:r>
          </w:p>
        </w:tc>
        <w:tc>
          <w:tcPr>
            <w:tcW w:w="547" w:type="pct"/>
            <w:noWrap/>
            <w:hideMark/>
          </w:tcPr>
          <w:p w14:paraId="70E8917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22,927 </w:t>
            </w:r>
          </w:p>
        </w:tc>
        <w:tc>
          <w:tcPr>
            <w:tcW w:w="547" w:type="pct"/>
            <w:noWrap/>
            <w:hideMark/>
          </w:tcPr>
          <w:p w14:paraId="25206F9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24,033 </w:t>
            </w:r>
          </w:p>
        </w:tc>
        <w:tc>
          <w:tcPr>
            <w:tcW w:w="492" w:type="pct"/>
            <w:noWrap/>
            <w:hideMark/>
          </w:tcPr>
          <w:p w14:paraId="6866087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26,747 </w:t>
            </w:r>
          </w:p>
        </w:tc>
        <w:tc>
          <w:tcPr>
            <w:tcW w:w="547" w:type="pct"/>
            <w:noWrap/>
            <w:hideMark/>
          </w:tcPr>
          <w:p w14:paraId="2D5E91F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29,735 </w:t>
            </w:r>
          </w:p>
        </w:tc>
      </w:tr>
      <w:tr w:rsidR="00646661" w:rsidRPr="00646661" w14:paraId="2AF57587" w14:textId="77777777" w:rsidTr="00013CC4">
        <w:trPr>
          <w:trHeight w:val="300"/>
        </w:trPr>
        <w:tc>
          <w:tcPr>
            <w:tcW w:w="2319" w:type="pct"/>
            <w:hideMark/>
          </w:tcPr>
          <w:p w14:paraId="6448EF0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Provision for credit losses</w:t>
            </w:r>
          </w:p>
        </w:tc>
        <w:tc>
          <w:tcPr>
            <w:tcW w:w="547" w:type="pct"/>
            <w:noWrap/>
            <w:hideMark/>
          </w:tcPr>
          <w:p w14:paraId="5D076C4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1,081 </w:t>
            </w:r>
          </w:p>
        </w:tc>
        <w:tc>
          <w:tcPr>
            <w:tcW w:w="547" w:type="pct"/>
            <w:noWrap/>
            <w:hideMark/>
          </w:tcPr>
          <w:p w14:paraId="00D3017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70 </w:t>
            </w:r>
          </w:p>
        </w:tc>
        <w:tc>
          <w:tcPr>
            <w:tcW w:w="547" w:type="pct"/>
            <w:noWrap/>
            <w:hideMark/>
          </w:tcPr>
          <w:p w14:paraId="39EB37B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(182)</w:t>
            </w:r>
          </w:p>
        </w:tc>
        <w:tc>
          <w:tcPr>
            <w:tcW w:w="492" w:type="pct"/>
            <w:noWrap/>
            <w:hideMark/>
          </w:tcPr>
          <w:p w14:paraId="0FC58EBA"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29011E5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332 </w:t>
            </w:r>
          </w:p>
        </w:tc>
      </w:tr>
      <w:tr w:rsidR="00646661" w:rsidRPr="00646661" w14:paraId="4FAF57E2" w14:textId="77777777" w:rsidTr="00013CC4">
        <w:trPr>
          <w:trHeight w:val="300"/>
        </w:trPr>
        <w:tc>
          <w:tcPr>
            <w:tcW w:w="2319" w:type="pct"/>
            <w:hideMark/>
          </w:tcPr>
          <w:p w14:paraId="25AA7CEF"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Deferred income taxes</w:t>
            </w:r>
          </w:p>
        </w:tc>
        <w:tc>
          <w:tcPr>
            <w:tcW w:w="547" w:type="pct"/>
            <w:noWrap/>
            <w:hideMark/>
          </w:tcPr>
          <w:p w14:paraId="18879BD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(256)</w:t>
            </w:r>
          </w:p>
        </w:tc>
        <w:tc>
          <w:tcPr>
            <w:tcW w:w="547" w:type="pct"/>
            <w:noWrap/>
            <w:hideMark/>
          </w:tcPr>
          <w:p w14:paraId="257257B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(1,149)</w:t>
            </w:r>
          </w:p>
        </w:tc>
        <w:tc>
          <w:tcPr>
            <w:tcW w:w="547" w:type="pct"/>
            <w:noWrap/>
            <w:hideMark/>
          </w:tcPr>
          <w:p w14:paraId="2E9C657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1,377 </w:t>
            </w:r>
          </w:p>
        </w:tc>
        <w:tc>
          <w:tcPr>
            <w:tcW w:w="492" w:type="pct"/>
            <w:noWrap/>
            <w:hideMark/>
          </w:tcPr>
          <w:p w14:paraId="40EE745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(1,560)</w:t>
            </w:r>
          </w:p>
        </w:tc>
        <w:tc>
          <w:tcPr>
            <w:tcW w:w="547" w:type="pct"/>
            <w:noWrap/>
            <w:hideMark/>
          </w:tcPr>
          <w:p w14:paraId="16F1A76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(478)</w:t>
            </w:r>
          </w:p>
        </w:tc>
      </w:tr>
      <w:tr w:rsidR="00646661" w:rsidRPr="00646661" w14:paraId="75F4DA4D" w14:textId="77777777" w:rsidTr="00013CC4">
        <w:trPr>
          <w:trHeight w:val="495"/>
        </w:trPr>
        <w:tc>
          <w:tcPr>
            <w:tcW w:w="2319" w:type="pct"/>
            <w:hideMark/>
          </w:tcPr>
          <w:p w14:paraId="14CB478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Shares issued for employee benefit plan</w:t>
            </w:r>
          </w:p>
        </w:tc>
        <w:tc>
          <w:tcPr>
            <w:tcW w:w="547" w:type="pct"/>
            <w:noWrap/>
            <w:hideMark/>
          </w:tcPr>
          <w:p w14:paraId="5584CCE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1,063 </w:t>
            </w:r>
          </w:p>
        </w:tc>
        <w:tc>
          <w:tcPr>
            <w:tcW w:w="547" w:type="pct"/>
            <w:noWrap/>
            <w:hideMark/>
          </w:tcPr>
          <w:p w14:paraId="62B4B9B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1,293 </w:t>
            </w:r>
          </w:p>
        </w:tc>
        <w:tc>
          <w:tcPr>
            <w:tcW w:w="547" w:type="pct"/>
            <w:noWrap/>
            <w:hideMark/>
          </w:tcPr>
          <w:p w14:paraId="4A45837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1,199 </w:t>
            </w:r>
          </w:p>
        </w:tc>
        <w:tc>
          <w:tcPr>
            <w:tcW w:w="492" w:type="pct"/>
            <w:noWrap/>
            <w:hideMark/>
          </w:tcPr>
          <w:p w14:paraId="67D21C5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1,092 </w:t>
            </w:r>
          </w:p>
        </w:tc>
        <w:tc>
          <w:tcPr>
            <w:tcW w:w="547" w:type="pct"/>
            <w:noWrap/>
            <w:hideMark/>
          </w:tcPr>
          <w:p w14:paraId="0297005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1,136 </w:t>
            </w:r>
          </w:p>
        </w:tc>
      </w:tr>
      <w:tr w:rsidR="00646661" w:rsidRPr="00646661" w14:paraId="69C71A52" w14:textId="77777777" w:rsidTr="00013CC4">
        <w:trPr>
          <w:trHeight w:val="495"/>
        </w:trPr>
        <w:tc>
          <w:tcPr>
            <w:tcW w:w="2319" w:type="pct"/>
            <w:hideMark/>
          </w:tcPr>
          <w:p w14:paraId="4D67ADD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Employee and director stock-based compensation</w:t>
            </w:r>
          </w:p>
        </w:tc>
        <w:tc>
          <w:tcPr>
            <w:tcW w:w="547" w:type="pct"/>
            <w:noWrap/>
            <w:hideMark/>
          </w:tcPr>
          <w:p w14:paraId="1D85EBC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6,700 </w:t>
            </w:r>
          </w:p>
        </w:tc>
        <w:tc>
          <w:tcPr>
            <w:tcW w:w="547" w:type="pct"/>
            <w:noWrap/>
            <w:hideMark/>
          </w:tcPr>
          <w:p w14:paraId="35B3DC4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8,809 </w:t>
            </w:r>
          </w:p>
        </w:tc>
        <w:tc>
          <w:tcPr>
            <w:tcW w:w="547" w:type="pct"/>
            <w:noWrap/>
            <w:hideMark/>
          </w:tcPr>
          <w:p w14:paraId="5015A01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10,013 </w:t>
            </w:r>
          </w:p>
        </w:tc>
        <w:tc>
          <w:tcPr>
            <w:tcW w:w="492" w:type="pct"/>
            <w:noWrap/>
            <w:hideMark/>
          </w:tcPr>
          <w:p w14:paraId="68AAD96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9,969 </w:t>
            </w:r>
          </w:p>
        </w:tc>
        <w:tc>
          <w:tcPr>
            <w:tcW w:w="547" w:type="pct"/>
            <w:noWrap/>
            <w:hideMark/>
          </w:tcPr>
          <w:p w14:paraId="7D63692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9,122 </w:t>
            </w:r>
          </w:p>
        </w:tc>
      </w:tr>
      <w:tr w:rsidR="00646661" w:rsidRPr="00646661" w14:paraId="0EE5A213" w14:textId="77777777" w:rsidTr="00013CC4">
        <w:trPr>
          <w:trHeight w:val="300"/>
        </w:trPr>
        <w:tc>
          <w:tcPr>
            <w:tcW w:w="2319" w:type="pct"/>
            <w:hideMark/>
          </w:tcPr>
          <w:p w14:paraId="1649AB83"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Impairment of goodwill</w:t>
            </w:r>
          </w:p>
        </w:tc>
        <w:tc>
          <w:tcPr>
            <w:tcW w:w="547" w:type="pct"/>
            <w:noWrap/>
            <w:hideMark/>
          </w:tcPr>
          <w:p w14:paraId="23456D66"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3982AD5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49,075 </w:t>
            </w:r>
          </w:p>
        </w:tc>
        <w:tc>
          <w:tcPr>
            <w:tcW w:w="547" w:type="pct"/>
            <w:noWrap/>
            <w:hideMark/>
          </w:tcPr>
          <w:p w14:paraId="65416AF3" w14:textId="77777777" w:rsidR="00646661" w:rsidRPr="00646661" w:rsidRDefault="00646661" w:rsidP="00C176DE">
            <w:pPr>
              <w:jc w:val="right"/>
              <w:rPr>
                <w:rFonts w:ascii="Arial" w:hAnsi="Arial" w:cs="Arial"/>
                <w:color w:val="000000"/>
                <w:sz w:val="18"/>
                <w:szCs w:val="18"/>
                <w:lang w:eastAsia="zh-CN"/>
              </w:rPr>
            </w:pPr>
          </w:p>
        </w:tc>
        <w:tc>
          <w:tcPr>
            <w:tcW w:w="492" w:type="pct"/>
            <w:noWrap/>
            <w:hideMark/>
          </w:tcPr>
          <w:p w14:paraId="19B0E5E3" w14:textId="77777777" w:rsidR="00646661" w:rsidRPr="00646661" w:rsidRDefault="00646661" w:rsidP="00C176DE">
            <w:pPr>
              <w:rPr>
                <w:rFonts w:ascii="Arial" w:hAnsi="Arial" w:cs="Arial"/>
                <w:lang w:eastAsia="zh-CN"/>
              </w:rPr>
            </w:pPr>
          </w:p>
        </w:tc>
        <w:tc>
          <w:tcPr>
            <w:tcW w:w="547" w:type="pct"/>
            <w:noWrap/>
            <w:hideMark/>
          </w:tcPr>
          <w:p w14:paraId="327007BD" w14:textId="77777777" w:rsidR="00646661" w:rsidRPr="00646661" w:rsidRDefault="00646661" w:rsidP="00C176DE">
            <w:pPr>
              <w:rPr>
                <w:rFonts w:ascii="Arial" w:hAnsi="Arial" w:cs="Arial"/>
                <w:lang w:eastAsia="zh-CN"/>
              </w:rPr>
            </w:pPr>
          </w:p>
        </w:tc>
      </w:tr>
      <w:tr w:rsidR="00646661" w:rsidRPr="00646661" w14:paraId="5AE58AE6" w14:textId="77777777" w:rsidTr="00013CC4">
        <w:trPr>
          <w:trHeight w:val="300"/>
        </w:trPr>
        <w:tc>
          <w:tcPr>
            <w:tcW w:w="2319" w:type="pct"/>
            <w:hideMark/>
          </w:tcPr>
          <w:p w14:paraId="1A876029"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Impairment of long-lived assets</w:t>
            </w:r>
          </w:p>
        </w:tc>
        <w:tc>
          <w:tcPr>
            <w:tcW w:w="547" w:type="pct"/>
            <w:noWrap/>
            <w:hideMark/>
          </w:tcPr>
          <w:p w14:paraId="5680D3A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333 </w:t>
            </w:r>
          </w:p>
        </w:tc>
        <w:tc>
          <w:tcPr>
            <w:tcW w:w="547" w:type="pct"/>
            <w:noWrap/>
            <w:hideMark/>
          </w:tcPr>
          <w:p w14:paraId="2744371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7,963 </w:t>
            </w:r>
          </w:p>
        </w:tc>
        <w:tc>
          <w:tcPr>
            <w:tcW w:w="547" w:type="pct"/>
            <w:noWrap/>
            <w:hideMark/>
          </w:tcPr>
          <w:p w14:paraId="7F0302A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2,888 </w:t>
            </w:r>
          </w:p>
        </w:tc>
        <w:tc>
          <w:tcPr>
            <w:tcW w:w="492" w:type="pct"/>
            <w:noWrap/>
            <w:hideMark/>
          </w:tcPr>
          <w:p w14:paraId="318A174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3,338 </w:t>
            </w:r>
          </w:p>
        </w:tc>
        <w:tc>
          <w:tcPr>
            <w:tcW w:w="547" w:type="pct"/>
            <w:noWrap/>
            <w:hideMark/>
          </w:tcPr>
          <w:p w14:paraId="19AB479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134 </w:t>
            </w:r>
          </w:p>
        </w:tc>
      </w:tr>
      <w:tr w:rsidR="00646661" w:rsidRPr="00646661" w14:paraId="41AED9B6" w14:textId="77777777" w:rsidTr="00013CC4">
        <w:trPr>
          <w:trHeight w:val="495"/>
        </w:trPr>
        <w:tc>
          <w:tcPr>
            <w:tcW w:w="2319" w:type="pct"/>
            <w:hideMark/>
          </w:tcPr>
          <w:p w14:paraId="330E71BF"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Changes in operating assets and liabilities</w:t>
            </w:r>
          </w:p>
        </w:tc>
        <w:tc>
          <w:tcPr>
            <w:tcW w:w="547" w:type="pct"/>
            <w:noWrap/>
            <w:hideMark/>
          </w:tcPr>
          <w:p w14:paraId="4C2E7E35"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2EAC9E95" w14:textId="77777777" w:rsidR="00646661" w:rsidRPr="00646661" w:rsidRDefault="00646661" w:rsidP="00C176DE">
            <w:pPr>
              <w:rPr>
                <w:rFonts w:ascii="Arial" w:hAnsi="Arial" w:cs="Arial"/>
                <w:lang w:eastAsia="zh-CN"/>
              </w:rPr>
            </w:pPr>
          </w:p>
        </w:tc>
        <w:tc>
          <w:tcPr>
            <w:tcW w:w="547" w:type="pct"/>
            <w:noWrap/>
            <w:hideMark/>
          </w:tcPr>
          <w:p w14:paraId="2F4C801D" w14:textId="77777777" w:rsidR="00646661" w:rsidRPr="00646661" w:rsidRDefault="00646661" w:rsidP="00C176DE">
            <w:pPr>
              <w:rPr>
                <w:rFonts w:ascii="Arial" w:hAnsi="Arial" w:cs="Arial"/>
                <w:lang w:eastAsia="zh-CN"/>
              </w:rPr>
            </w:pPr>
          </w:p>
        </w:tc>
        <w:tc>
          <w:tcPr>
            <w:tcW w:w="492" w:type="pct"/>
            <w:noWrap/>
            <w:hideMark/>
          </w:tcPr>
          <w:p w14:paraId="24DBA50A" w14:textId="77777777" w:rsidR="00646661" w:rsidRPr="00646661" w:rsidRDefault="00646661" w:rsidP="00C176DE">
            <w:pPr>
              <w:rPr>
                <w:rFonts w:ascii="Arial" w:hAnsi="Arial" w:cs="Arial"/>
                <w:lang w:eastAsia="zh-CN"/>
              </w:rPr>
            </w:pPr>
          </w:p>
        </w:tc>
        <w:tc>
          <w:tcPr>
            <w:tcW w:w="547" w:type="pct"/>
            <w:noWrap/>
            <w:hideMark/>
          </w:tcPr>
          <w:p w14:paraId="19573592" w14:textId="77777777" w:rsidR="00646661" w:rsidRPr="00646661" w:rsidRDefault="00646661" w:rsidP="00C176DE">
            <w:pPr>
              <w:rPr>
                <w:rFonts w:ascii="Arial" w:hAnsi="Arial" w:cs="Arial"/>
                <w:lang w:eastAsia="zh-CN"/>
              </w:rPr>
            </w:pPr>
          </w:p>
        </w:tc>
      </w:tr>
      <w:tr w:rsidR="00646661" w:rsidRPr="00646661" w14:paraId="0C866894" w14:textId="77777777" w:rsidTr="00013CC4">
        <w:trPr>
          <w:trHeight w:val="329"/>
        </w:trPr>
        <w:tc>
          <w:tcPr>
            <w:tcW w:w="2319" w:type="pct"/>
            <w:hideMark/>
          </w:tcPr>
          <w:p w14:paraId="6BE2F36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Accounts receivable and contract assets</w:t>
            </w:r>
          </w:p>
        </w:tc>
        <w:tc>
          <w:tcPr>
            <w:tcW w:w="547" w:type="pct"/>
            <w:noWrap/>
            <w:hideMark/>
          </w:tcPr>
          <w:p w14:paraId="7C9FCF6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(12,174)</w:t>
            </w:r>
          </w:p>
        </w:tc>
        <w:tc>
          <w:tcPr>
            <w:tcW w:w="547" w:type="pct"/>
            <w:noWrap/>
            <w:hideMark/>
          </w:tcPr>
          <w:p w14:paraId="19E4129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5,040 </w:t>
            </w:r>
          </w:p>
        </w:tc>
        <w:tc>
          <w:tcPr>
            <w:tcW w:w="547" w:type="pct"/>
            <w:noWrap/>
            <w:hideMark/>
          </w:tcPr>
          <w:p w14:paraId="5DAAB81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12,765 </w:t>
            </w:r>
          </w:p>
        </w:tc>
        <w:tc>
          <w:tcPr>
            <w:tcW w:w="492" w:type="pct"/>
            <w:noWrap/>
            <w:hideMark/>
          </w:tcPr>
          <w:p w14:paraId="79647CB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2,007 </w:t>
            </w:r>
          </w:p>
        </w:tc>
        <w:tc>
          <w:tcPr>
            <w:tcW w:w="547" w:type="pct"/>
            <w:noWrap/>
            <w:hideMark/>
          </w:tcPr>
          <w:p w14:paraId="1F11E4E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14,884 </w:t>
            </w:r>
          </w:p>
        </w:tc>
      </w:tr>
      <w:tr w:rsidR="00646661" w:rsidRPr="00646661" w14:paraId="12C23379" w14:textId="77777777" w:rsidTr="00013CC4">
        <w:trPr>
          <w:trHeight w:val="300"/>
        </w:trPr>
        <w:tc>
          <w:tcPr>
            <w:tcW w:w="2319" w:type="pct"/>
            <w:hideMark/>
          </w:tcPr>
          <w:p w14:paraId="1B66AB4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Inventories</w:t>
            </w:r>
          </w:p>
        </w:tc>
        <w:tc>
          <w:tcPr>
            <w:tcW w:w="547" w:type="pct"/>
            <w:noWrap/>
            <w:hideMark/>
          </w:tcPr>
          <w:p w14:paraId="4CC51DB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6,239 </w:t>
            </w:r>
          </w:p>
        </w:tc>
        <w:tc>
          <w:tcPr>
            <w:tcW w:w="547" w:type="pct"/>
            <w:noWrap/>
            <w:hideMark/>
          </w:tcPr>
          <w:p w14:paraId="41115F9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51,458 </w:t>
            </w:r>
          </w:p>
        </w:tc>
        <w:tc>
          <w:tcPr>
            <w:tcW w:w="547" w:type="pct"/>
            <w:noWrap/>
            <w:hideMark/>
          </w:tcPr>
          <w:p w14:paraId="528D6F4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(9,913)</w:t>
            </w:r>
          </w:p>
        </w:tc>
        <w:tc>
          <w:tcPr>
            <w:tcW w:w="492" w:type="pct"/>
            <w:noWrap/>
            <w:hideMark/>
          </w:tcPr>
          <w:p w14:paraId="16F3234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(14,985)</w:t>
            </w:r>
          </w:p>
        </w:tc>
        <w:tc>
          <w:tcPr>
            <w:tcW w:w="547" w:type="pct"/>
            <w:noWrap/>
            <w:hideMark/>
          </w:tcPr>
          <w:p w14:paraId="089D39E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28,295 </w:t>
            </w:r>
          </w:p>
        </w:tc>
      </w:tr>
      <w:tr w:rsidR="00646661" w:rsidRPr="00646661" w14:paraId="110D4407" w14:textId="77777777" w:rsidTr="00013CC4">
        <w:trPr>
          <w:trHeight w:val="300"/>
        </w:trPr>
        <w:tc>
          <w:tcPr>
            <w:tcW w:w="2319" w:type="pct"/>
            <w:hideMark/>
          </w:tcPr>
          <w:p w14:paraId="3F3D6E6A"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Prepaid expenses and other assets</w:t>
            </w:r>
          </w:p>
        </w:tc>
        <w:tc>
          <w:tcPr>
            <w:tcW w:w="547" w:type="pct"/>
            <w:noWrap/>
            <w:hideMark/>
          </w:tcPr>
          <w:p w14:paraId="32C1C0F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764 </w:t>
            </w:r>
          </w:p>
        </w:tc>
        <w:tc>
          <w:tcPr>
            <w:tcW w:w="547" w:type="pct"/>
            <w:noWrap/>
            <w:hideMark/>
          </w:tcPr>
          <w:p w14:paraId="4E1458C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2,860 </w:t>
            </w:r>
          </w:p>
        </w:tc>
        <w:tc>
          <w:tcPr>
            <w:tcW w:w="547" w:type="pct"/>
            <w:noWrap/>
            <w:hideMark/>
          </w:tcPr>
          <w:p w14:paraId="7D9EF26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(917)</w:t>
            </w:r>
          </w:p>
        </w:tc>
        <w:tc>
          <w:tcPr>
            <w:tcW w:w="492" w:type="pct"/>
            <w:noWrap/>
            <w:hideMark/>
          </w:tcPr>
          <w:p w14:paraId="55C756E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(630)</w:t>
            </w:r>
          </w:p>
        </w:tc>
        <w:tc>
          <w:tcPr>
            <w:tcW w:w="547" w:type="pct"/>
            <w:noWrap/>
            <w:hideMark/>
          </w:tcPr>
          <w:p w14:paraId="5B5CC56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(245)</w:t>
            </w:r>
          </w:p>
        </w:tc>
      </w:tr>
      <w:tr w:rsidR="00646661" w:rsidRPr="00646661" w14:paraId="57A81BFF" w14:textId="77777777" w:rsidTr="00013CC4">
        <w:trPr>
          <w:trHeight w:val="495"/>
        </w:trPr>
        <w:tc>
          <w:tcPr>
            <w:tcW w:w="2319" w:type="pct"/>
            <w:hideMark/>
          </w:tcPr>
          <w:p w14:paraId="44F78AF2"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Accounts payable and accrued liabilities</w:t>
            </w:r>
          </w:p>
        </w:tc>
        <w:tc>
          <w:tcPr>
            <w:tcW w:w="547" w:type="pct"/>
            <w:noWrap/>
            <w:hideMark/>
          </w:tcPr>
          <w:p w14:paraId="679A4DE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15,733 </w:t>
            </w:r>
          </w:p>
        </w:tc>
        <w:tc>
          <w:tcPr>
            <w:tcW w:w="547" w:type="pct"/>
            <w:noWrap/>
            <w:hideMark/>
          </w:tcPr>
          <w:p w14:paraId="25ABE85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(21,379)</w:t>
            </w:r>
          </w:p>
        </w:tc>
        <w:tc>
          <w:tcPr>
            <w:tcW w:w="547" w:type="pct"/>
            <w:noWrap/>
            <w:hideMark/>
          </w:tcPr>
          <w:p w14:paraId="4EFD45B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(28,670)</w:t>
            </w:r>
          </w:p>
        </w:tc>
        <w:tc>
          <w:tcPr>
            <w:tcW w:w="492" w:type="pct"/>
            <w:noWrap/>
            <w:hideMark/>
          </w:tcPr>
          <w:p w14:paraId="656978B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870 </w:t>
            </w:r>
          </w:p>
        </w:tc>
        <w:tc>
          <w:tcPr>
            <w:tcW w:w="547" w:type="pct"/>
            <w:noWrap/>
            <w:hideMark/>
          </w:tcPr>
          <w:p w14:paraId="1A48030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(33,543)</w:t>
            </w:r>
          </w:p>
        </w:tc>
      </w:tr>
      <w:tr w:rsidR="00646661" w:rsidRPr="00646661" w14:paraId="1BCE5BC1" w14:textId="77777777" w:rsidTr="00013CC4">
        <w:trPr>
          <w:trHeight w:val="300"/>
        </w:trPr>
        <w:tc>
          <w:tcPr>
            <w:tcW w:w="2319" w:type="pct"/>
            <w:hideMark/>
          </w:tcPr>
          <w:p w14:paraId="6746EF49"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Accrued income taxes</w:t>
            </w:r>
          </w:p>
        </w:tc>
        <w:tc>
          <w:tcPr>
            <w:tcW w:w="547" w:type="pct"/>
            <w:noWrap/>
            <w:hideMark/>
          </w:tcPr>
          <w:p w14:paraId="2756A1B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1,310 </w:t>
            </w:r>
          </w:p>
        </w:tc>
        <w:tc>
          <w:tcPr>
            <w:tcW w:w="547" w:type="pct"/>
            <w:noWrap/>
            <w:hideMark/>
          </w:tcPr>
          <w:p w14:paraId="41865C9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(3,539)</w:t>
            </w:r>
          </w:p>
        </w:tc>
        <w:tc>
          <w:tcPr>
            <w:tcW w:w="547" w:type="pct"/>
            <w:noWrap/>
            <w:hideMark/>
          </w:tcPr>
          <w:p w14:paraId="5A9B03C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(2,074)</w:t>
            </w:r>
          </w:p>
        </w:tc>
        <w:tc>
          <w:tcPr>
            <w:tcW w:w="492" w:type="pct"/>
            <w:noWrap/>
            <w:hideMark/>
          </w:tcPr>
          <w:p w14:paraId="07EC5A2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2,860 </w:t>
            </w:r>
          </w:p>
        </w:tc>
        <w:tc>
          <w:tcPr>
            <w:tcW w:w="547" w:type="pct"/>
            <w:noWrap/>
            <w:hideMark/>
          </w:tcPr>
          <w:p w14:paraId="114B963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(6,486)</w:t>
            </w:r>
          </w:p>
        </w:tc>
      </w:tr>
      <w:tr w:rsidR="00646661" w:rsidRPr="00646661" w14:paraId="30A9C63B" w14:textId="77777777" w:rsidTr="00013CC4">
        <w:trPr>
          <w:trHeight w:val="495"/>
        </w:trPr>
        <w:tc>
          <w:tcPr>
            <w:tcW w:w="2319" w:type="pct"/>
            <w:hideMark/>
          </w:tcPr>
          <w:p w14:paraId="56A2AF30"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cash provided by (used for) operating activities</w:t>
            </w:r>
          </w:p>
        </w:tc>
        <w:tc>
          <w:tcPr>
            <w:tcW w:w="547" w:type="pct"/>
            <w:noWrap/>
            <w:hideMark/>
          </w:tcPr>
          <w:p w14:paraId="3A27A77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14,822 </w:t>
            </w:r>
          </w:p>
        </w:tc>
        <w:tc>
          <w:tcPr>
            <w:tcW w:w="547" w:type="pct"/>
            <w:noWrap/>
            <w:hideMark/>
          </w:tcPr>
          <w:p w14:paraId="1E516B8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25,190 </w:t>
            </w:r>
          </w:p>
        </w:tc>
        <w:tc>
          <w:tcPr>
            <w:tcW w:w="547" w:type="pct"/>
            <w:noWrap/>
            <w:hideMark/>
          </w:tcPr>
          <w:p w14:paraId="34981E2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10,926 </w:t>
            </w:r>
          </w:p>
        </w:tc>
        <w:tc>
          <w:tcPr>
            <w:tcW w:w="492" w:type="pct"/>
            <w:noWrap/>
            <w:hideMark/>
          </w:tcPr>
          <w:p w14:paraId="4ACA53E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40,283 </w:t>
            </w:r>
          </w:p>
        </w:tc>
        <w:tc>
          <w:tcPr>
            <w:tcW w:w="547" w:type="pct"/>
            <w:noWrap/>
            <w:hideMark/>
          </w:tcPr>
          <w:p w14:paraId="4F02920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73,392 </w:t>
            </w:r>
          </w:p>
        </w:tc>
      </w:tr>
      <w:tr w:rsidR="00646661" w:rsidRPr="00646661" w14:paraId="37A91D8E" w14:textId="77777777" w:rsidTr="00013CC4">
        <w:trPr>
          <w:trHeight w:val="300"/>
        </w:trPr>
        <w:tc>
          <w:tcPr>
            <w:tcW w:w="2319" w:type="pct"/>
            <w:hideMark/>
          </w:tcPr>
          <w:p w14:paraId="7C26802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Cash flows from investing activities</w:t>
            </w:r>
          </w:p>
        </w:tc>
        <w:tc>
          <w:tcPr>
            <w:tcW w:w="547" w:type="pct"/>
            <w:noWrap/>
            <w:hideMark/>
          </w:tcPr>
          <w:p w14:paraId="6C1027C5"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42D2A049" w14:textId="77777777" w:rsidR="00646661" w:rsidRPr="00646661" w:rsidRDefault="00646661" w:rsidP="00C176DE">
            <w:pPr>
              <w:rPr>
                <w:rFonts w:ascii="Arial" w:hAnsi="Arial" w:cs="Arial"/>
                <w:lang w:eastAsia="zh-CN"/>
              </w:rPr>
            </w:pPr>
          </w:p>
        </w:tc>
        <w:tc>
          <w:tcPr>
            <w:tcW w:w="547" w:type="pct"/>
            <w:noWrap/>
            <w:hideMark/>
          </w:tcPr>
          <w:p w14:paraId="255BE3C4" w14:textId="77777777" w:rsidR="00646661" w:rsidRPr="00646661" w:rsidRDefault="00646661" w:rsidP="00C176DE">
            <w:pPr>
              <w:rPr>
                <w:rFonts w:ascii="Arial" w:hAnsi="Arial" w:cs="Arial"/>
                <w:lang w:eastAsia="zh-CN"/>
              </w:rPr>
            </w:pPr>
          </w:p>
        </w:tc>
        <w:tc>
          <w:tcPr>
            <w:tcW w:w="492" w:type="pct"/>
            <w:noWrap/>
            <w:hideMark/>
          </w:tcPr>
          <w:p w14:paraId="513DA879" w14:textId="77777777" w:rsidR="00646661" w:rsidRPr="00646661" w:rsidRDefault="00646661" w:rsidP="00C176DE">
            <w:pPr>
              <w:rPr>
                <w:rFonts w:ascii="Arial" w:hAnsi="Arial" w:cs="Arial"/>
                <w:lang w:eastAsia="zh-CN"/>
              </w:rPr>
            </w:pPr>
          </w:p>
        </w:tc>
        <w:tc>
          <w:tcPr>
            <w:tcW w:w="547" w:type="pct"/>
            <w:noWrap/>
            <w:hideMark/>
          </w:tcPr>
          <w:p w14:paraId="457514BB" w14:textId="77777777" w:rsidR="00646661" w:rsidRPr="00646661" w:rsidRDefault="00646661" w:rsidP="00C176DE">
            <w:pPr>
              <w:rPr>
                <w:rFonts w:ascii="Arial" w:hAnsi="Arial" w:cs="Arial"/>
                <w:lang w:eastAsia="zh-CN"/>
              </w:rPr>
            </w:pPr>
          </w:p>
        </w:tc>
      </w:tr>
      <w:tr w:rsidR="00646661" w:rsidRPr="00646661" w14:paraId="6D06D4C4" w14:textId="77777777" w:rsidTr="00013CC4">
        <w:trPr>
          <w:trHeight w:val="300"/>
        </w:trPr>
        <w:tc>
          <w:tcPr>
            <w:tcW w:w="2319" w:type="pct"/>
            <w:hideMark/>
          </w:tcPr>
          <w:p w14:paraId="6DDF9F55"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Purchase of term deposit</w:t>
            </w:r>
          </w:p>
        </w:tc>
        <w:tc>
          <w:tcPr>
            <w:tcW w:w="547" w:type="pct"/>
            <w:noWrap/>
            <w:hideMark/>
          </w:tcPr>
          <w:p w14:paraId="36F07C69"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42E19DCA"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646F197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(7,487)</w:t>
            </w:r>
          </w:p>
        </w:tc>
        <w:tc>
          <w:tcPr>
            <w:tcW w:w="492" w:type="pct"/>
            <w:noWrap/>
            <w:hideMark/>
          </w:tcPr>
          <w:p w14:paraId="15309DDC"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0524BA2C" w14:textId="77777777" w:rsidR="00646661" w:rsidRPr="00646661" w:rsidRDefault="00646661" w:rsidP="00C176DE">
            <w:pPr>
              <w:rPr>
                <w:rFonts w:ascii="Arial" w:hAnsi="Arial" w:cs="Arial"/>
                <w:color w:val="000000"/>
                <w:sz w:val="18"/>
                <w:szCs w:val="18"/>
                <w:lang w:eastAsia="zh-CN"/>
              </w:rPr>
            </w:pPr>
          </w:p>
        </w:tc>
      </w:tr>
      <w:tr w:rsidR="00646661" w:rsidRPr="00646661" w14:paraId="1889ECD2" w14:textId="77777777" w:rsidTr="00013CC4">
        <w:trPr>
          <w:trHeight w:val="300"/>
        </w:trPr>
        <w:tc>
          <w:tcPr>
            <w:tcW w:w="2319" w:type="pct"/>
            <w:hideMark/>
          </w:tcPr>
          <w:p w14:paraId="3A1D588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Redemption of term deposit</w:t>
            </w:r>
          </w:p>
        </w:tc>
        <w:tc>
          <w:tcPr>
            <w:tcW w:w="547" w:type="pct"/>
            <w:noWrap/>
            <w:hideMark/>
          </w:tcPr>
          <w:p w14:paraId="12DA915C"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66072720"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3B74D30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7,803 </w:t>
            </w:r>
          </w:p>
        </w:tc>
        <w:tc>
          <w:tcPr>
            <w:tcW w:w="492" w:type="pct"/>
            <w:noWrap/>
            <w:hideMark/>
          </w:tcPr>
          <w:p w14:paraId="0BCFF282"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43972597" w14:textId="77777777" w:rsidR="00646661" w:rsidRPr="00646661" w:rsidRDefault="00646661" w:rsidP="00C176DE">
            <w:pPr>
              <w:rPr>
                <w:rFonts w:ascii="Arial" w:hAnsi="Arial" w:cs="Arial"/>
                <w:color w:val="000000"/>
                <w:sz w:val="18"/>
                <w:szCs w:val="18"/>
                <w:lang w:eastAsia="zh-CN"/>
              </w:rPr>
            </w:pPr>
          </w:p>
        </w:tc>
      </w:tr>
      <w:tr w:rsidR="00646661" w:rsidRPr="00646661" w14:paraId="2DE792DB" w14:textId="77777777" w:rsidTr="00013CC4">
        <w:trPr>
          <w:trHeight w:val="300"/>
        </w:trPr>
        <w:tc>
          <w:tcPr>
            <w:tcW w:w="2319" w:type="pct"/>
            <w:hideMark/>
          </w:tcPr>
          <w:p w14:paraId="7E4EFB64"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Acquisition of the net assets</w:t>
            </w:r>
          </w:p>
        </w:tc>
        <w:tc>
          <w:tcPr>
            <w:tcW w:w="547" w:type="pct"/>
            <w:noWrap/>
            <w:hideMark/>
          </w:tcPr>
          <w:p w14:paraId="370F39FE"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5E30991E"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096EF78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(939)</w:t>
            </w:r>
          </w:p>
        </w:tc>
        <w:tc>
          <w:tcPr>
            <w:tcW w:w="492" w:type="pct"/>
            <w:noWrap/>
            <w:hideMark/>
          </w:tcPr>
          <w:p w14:paraId="011BCC65"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227CEEF3" w14:textId="77777777" w:rsidR="00646661" w:rsidRPr="00646661" w:rsidRDefault="00646661" w:rsidP="00C176DE">
            <w:pPr>
              <w:rPr>
                <w:rFonts w:ascii="Arial" w:hAnsi="Arial" w:cs="Arial"/>
                <w:color w:val="000000"/>
                <w:sz w:val="18"/>
                <w:szCs w:val="18"/>
                <w:lang w:eastAsia="zh-CN"/>
              </w:rPr>
            </w:pPr>
          </w:p>
        </w:tc>
      </w:tr>
      <w:tr w:rsidR="00646661" w:rsidRPr="00646661" w14:paraId="4BA696B5" w14:textId="77777777" w:rsidTr="00013CC4">
        <w:trPr>
          <w:trHeight w:val="173"/>
        </w:trPr>
        <w:tc>
          <w:tcPr>
            <w:tcW w:w="2319" w:type="pct"/>
            <w:hideMark/>
          </w:tcPr>
          <w:p w14:paraId="27F9B1D7"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lastRenderedPageBreak/>
              <w:t>Acquisition of property, plant and equipment</w:t>
            </w:r>
          </w:p>
        </w:tc>
        <w:tc>
          <w:tcPr>
            <w:tcW w:w="547" w:type="pct"/>
            <w:noWrap/>
            <w:hideMark/>
          </w:tcPr>
          <w:p w14:paraId="312851D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(4,572)</w:t>
            </w:r>
          </w:p>
        </w:tc>
        <w:tc>
          <w:tcPr>
            <w:tcW w:w="547" w:type="pct"/>
            <w:noWrap/>
            <w:hideMark/>
          </w:tcPr>
          <w:p w14:paraId="72D9A22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(8,116)</w:t>
            </w:r>
          </w:p>
        </w:tc>
        <w:tc>
          <w:tcPr>
            <w:tcW w:w="547" w:type="pct"/>
            <w:noWrap/>
            <w:hideMark/>
          </w:tcPr>
          <w:p w14:paraId="222E94F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(14,006)</w:t>
            </w:r>
          </w:p>
        </w:tc>
        <w:tc>
          <w:tcPr>
            <w:tcW w:w="492" w:type="pct"/>
            <w:noWrap/>
            <w:hideMark/>
          </w:tcPr>
          <w:p w14:paraId="70157B0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(12,586)</w:t>
            </w:r>
          </w:p>
        </w:tc>
        <w:tc>
          <w:tcPr>
            <w:tcW w:w="547" w:type="pct"/>
            <w:noWrap/>
            <w:hideMark/>
          </w:tcPr>
          <w:p w14:paraId="031EB23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(16,862)</w:t>
            </w:r>
          </w:p>
        </w:tc>
      </w:tr>
      <w:tr w:rsidR="00646661" w:rsidRPr="00646661" w14:paraId="34B498E2" w14:textId="77777777" w:rsidTr="00013CC4">
        <w:trPr>
          <w:trHeight w:val="300"/>
        </w:trPr>
        <w:tc>
          <w:tcPr>
            <w:tcW w:w="2319" w:type="pct"/>
            <w:hideMark/>
          </w:tcPr>
          <w:p w14:paraId="50F06B3B"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Acquisition of intangible assets</w:t>
            </w:r>
          </w:p>
        </w:tc>
        <w:tc>
          <w:tcPr>
            <w:tcW w:w="547" w:type="pct"/>
            <w:noWrap/>
            <w:hideMark/>
          </w:tcPr>
          <w:p w14:paraId="324EA03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(3,856)</w:t>
            </w:r>
          </w:p>
        </w:tc>
        <w:tc>
          <w:tcPr>
            <w:tcW w:w="547" w:type="pct"/>
            <w:noWrap/>
            <w:hideMark/>
          </w:tcPr>
          <w:p w14:paraId="0D65E38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(5,761)</w:t>
            </w:r>
          </w:p>
        </w:tc>
        <w:tc>
          <w:tcPr>
            <w:tcW w:w="547" w:type="pct"/>
            <w:noWrap/>
            <w:hideMark/>
          </w:tcPr>
          <w:p w14:paraId="18D79C8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(6,579)</w:t>
            </w:r>
          </w:p>
        </w:tc>
        <w:tc>
          <w:tcPr>
            <w:tcW w:w="492" w:type="pct"/>
            <w:noWrap/>
            <w:hideMark/>
          </w:tcPr>
          <w:p w14:paraId="229D782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(4,455)</w:t>
            </w:r>
          </w:p>
        </w:tc>
        <w:tc>
          <w:tcPr>
            <w:tcW w:w="547" w:type="pct"/>
            <w:noWrap/>
            <w:hideMark/>
          </w:tcPr>
          <w:p w14:paraId="0E17737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(6,372)</w:t>
            </w:r>
          </w:p>
        </w:tc>
      </w:tr>
      <w:tr w:rsidR="00646661" w:rsidRPr="00646661" w14:paraId="0A8065E3" w14:textId="77777777" w:rsidTr="00013CC4">
        <w:trPr>
          <w:trHeight w:val="495"/>
        </w:trPr>
        <w:tc>
          <w:tcPr>
            <w:tcW w:w="2319" w:type="pct"/>
            <w:hideMark/>
          </w:tcPr>
          <w:p w14:paraId="0F59DFFC"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cash provided by (used for) investing activities</w:t>
            </w:r>
          </w:p>
        </w:tc>
        <w:tc>
          <w:tcPr>
            <w:tcW w:w="547" w:type="pct"/>
            <w:noWrap/>
            <w:hideMark/>
          </w:tcPr>
          <w:p w14:paraId="05F27DC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(8,428)</w:t>
            </w:r>
          </w:p>
        </w:tc>
        <w:tc>
          <w:tcPr>
            <w:tcW w:w="547" w:type="pct"/>
            <w:noWrap/>
            <w:hideMark/>
          </w:tcPr>
          <w:p w14:paraId="42CFC363"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(13,877)</w:t>
            </w:r>
          </w:p>
        </w:tc>
        <w:tc>
          <w:tcPr>
            <w:tcW w:w="547" w:type="pct"/>
            <w:noWrap/>
            <w:hideMark/>
          </w:tcPr>
          <w:p w14:paraId="3787781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(21,208)</w:t>
            </w:r>
          </w:p>
        </w:tc>
        <w:tc>
          <w:tcPr>
            <w:tcW w:w="492" w:type="pct"/>
            <w:noWrap/>
            <w:hideMark/>
          </w:tcPr>
          <w:p w14:paraId="6317F7D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(17,041)</w:t>
            </w:r>
          </w:p>
        </w:tc>
        <w:tc>
          <w:tcPr>
            <w:tcW w:w="547" w:type="pct"/>
            <w:noWrap/>
            <w:hideMark/>
          </w:tcPr>
          <w:p w14:paraId="298C680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(23,734)</w:t>
            </w:r>
          </w:p>
        </w:tc>
      </w:tr>
      <w:tr w:rsidR="00646661" w:rsidRPr="00646661" w14:paraId="1E70A8DE" w14:textId="77777777" w:rsidTr="00013CC4">
        <w:trPr>
          <w:trHeight w:val="300"/>
        </w:trPr>
        <w:tc>
          <w:tcPr>
            <w:tcW w:w="2319" w:type="pct"/>
            <w:hideMark/>
          </w:tcPr>
          <w:p w14:paraId="7AD15A8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Cash flows from financing activities</w:t>
            </w:r>
          </w:p>
        </w:tc>
        <w:tc>
          <w:tcPr>
            <w:tcW w:w="547" w:type="pct"/>
            <w:noWrap/>
            <w:hideMark/>
          </w:tcPr>
          <w:p w14:paraId="4C8BD00E"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2AB9743E" w14:textId="77777777" w:rsidR="00646661" w:rsidRPr="00646661" w:rsidRDefault="00646661" w:rsidP="00C176DE">
            <w:pPr>
              <w:rPr>
                <w:rFonts w:ascii="Arial" w:hAnsi="Arial" w:cs="Arial"/>
                <w:lang w:eastAsia="zh-CN"/>
              </w:rPr>
            </w:pPr>
          </w:p>
        </w:tc>
        <w:tc>
          <w:tcPr>
            <w:tcW w:w="547" w:type="pct"/>
            <w:noWrap/>
            <w:hideMark/>
          </w:tcPr>
          <w:p w14:paraId="27AD291F" w14:textId="77777777" w:rsidR="00646661" w:rsidRPr="00646661" w:rsidRDefault="00646661" w:rsidP="00C176DE">
            <w:pPr>
              <w:rPr>
                <w:rFonts w:ascii="Arial" w:hAnsi="Arial" w:cs="Arial"/>
                <w:lang w:eastAsia="zh-CN"/>
              </w:rPr>
            </w:pPr>
          </w:p>
        </w:tc>
        <w:tc>
          <w:tcPr>
            <w:tcW w:w="492" w:type="pct"/>
            <w:noWrap/>
            <w:hideMark/>
          </w:tcPr>
          <w:p w14:paraId="390F3F63" w14:textId="77777777" w:rsidR="00646661" w:rsidRPr="00646661" w:rsidRDefault="00646661" w:rsidP="00C176DE">
            <w:pPr>
              <w:rPr>
                <w:rFonts w:ascii="Arial" w:hAnsi="Arial" w:cs="Arial"/>
                <w:lang w:eastAsia="zh-CN"/>
              </w:rPr>
            </w:pPr>
          </w:p>
        </w:tc>
        <w:tc>
          <w:tcPr>
            <w:tcW w:w="547" w:type="pct"/>
            <w:noWrap/>
            <w:hideMark/>
          </w:tcPr>
          <w:p w14:paraId="18FF8A7D" w14:textId="77777777" w:rsidR="00646661" w:rsidRPr="00646661" w:rsidRDefault="00646661" w:rsidP="00C176DE">
            <w:pPr>
              <w:rPr>
                <w:rFonts w:ascii="Arial" w:hAnsi="Arial" w:cs="Arial"/>
                <w:lang w:eastAsia="zh-CN"/>
              </w:rPr>
            </w:pPr>
          </w:p>
        </w:tc>
      </w:tr>
      <w:tr w:rsidR="00646661" w:rsidRPr="00646661" w14:paraId="35FA446C" w14:textId="77777777" w:rsidTr="00013CC4">
        <w:trPr>
          <w:trHeight w:val="300"/>
        </w:trPr>
        <w:tc>
          <w:tcPr>
            <w:tcW w:w="2319" w:type="pct"/>
            <w:hideMark/>
          </w:tcPr>
          <w:p w14:paraId="630AFCC0"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Borrowings under lines of credit</w:t>
            </w:r>
          </w:p>
        </w:tc>
        <w:tc>
          <w:tcPr>
            <w:tcW w:w="547" w:type="pct"/>
            <w:noWrap/>
            <w:hideMark/>
          </w:tcPr>
          <w:p w14:paraId="378F431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102,193 </w:t>
            </w:r>
          </w:p>
        </w:tc>
        <w:tc>
          <w:tcPr>
            <w:tcW w:w="547" w:type="pct"/>
            <w:noWrap/>
            <w:hideMark/>
          </w:tcPr>
          <w:p w14:paraId="0E0EA8E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78,000 </w:t>
            </w:r>
          </w:p>
        </w:tc>
        <w:tc>
          <w:tcPr>
            <w:tcW w:w="547" w:type="pct"/>
            <w:noWrap/>
            <w:hideMark/>
          </w:tcPr>
          <w:p w14:paraId="6373231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133,000 </w:t>
            </w:r>
          </w:p>
        </w:tc>
        <w:tc>
          <w:tcPr>
            <w:tcW w:w="492" w:type="pct"/>
            <w:noWrap/>
            <w:hideMark/>
          </w:tcPr>
          <w:p w14:paraId="53166D3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112,000 </w:t>
            </w:r>
          </w:p>
        </w:tc>
        <w:tc>
          <w:tcPr>
            <w:tcW w:w="547" w:type="pct"/>
            <w:noWrap/>
            <w:hideMark/>
          </w:tcPr>
          <w:p w14:paraId="1E68CFD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75,000 </w:t>
            </w:r>
          </w:p>
        </w:tc>
      </w:tr>
      <w:tr w:rsidR="00646661" w:rsidRPr="00646661" w14:paraId="3053A8BE" w14:textId="77777777" w:rsidTr="00013CC4">
        <w:trPr>
          <w:trHeight w:val="300"/>
        </w:trPr>
        <w:tc>
          <w:tcPr>
            <w:tcW w:w="2319" w:type="pct"/>
            <w:hideMark/>
          </w:tcPr>
          <w:p w14:paraId="5D1FAA7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Repayments on lines of credit</w:t>
            </w:r>
          </w:p>
        </w:tc>
        <w:tc>
          <w:tcPr>
            <w:tcW w:w="547" w:type="pct"/>
            <w:noWrap/>
            <w:hideMark/>
          </w:tcPr>
          <w:p w14:paraId="22DC73A6"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(120,000)</w:t>
            </w:r>
          </w:p>
        </w:tc>
        <w:tc>
          <w:tcPr>
            <w:tcW w:w="547" w:type="pct"/>
            <w:noWrap/>
            <w:hideMark/>
          </w:tcPr>
          <w:p w14:paraId="7E4D72E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(111,000)</w:t>
            </w:r>
          </w:p>
        </w:tc>
        <w:tc>
          <w:tcPr>
            <w:tcW w:w="547" w:type="pct"/>
            <w:noWrap/>
            <w:hideMark/>
          </w:tcPr>
          <w:p w14:paraId="7C3E12A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(101,000)</w:t>
            </w:r>
          </w:p>
        </w:tc>
        <w:tc>
          <w:tcPr>
            <w:tcW w:w="492" w:type="pct"/>
            <w:noWrap/>
            <w:hideMark/>
          </w:tcPr>
          <w:p w14:paraId="745FACB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(76,000)</w:t>
            </w:r>
          </w:p>
        </w:tc>
        <w:tc>
          <w:tcPr>
            <w:tcW w:w="547" w:type="pct"/>
            <w:noWrap/>
            <w:hideMark/>
          </w:tcPr>
          <w:p w14:paraId="157122E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(123,000)</w:t>
            </w:r>
          </w:p>
        </w:tc>
      </w:tr>
      <w:tr w:rsidR="00646661" w:rsidRPr="00646661" w14:paraId="182D0F08" w14:textId="77777777" w:rsidTr="00013CC4">
        <w:trPr>
          <w:trHeight w:val="300"/>
        </w:trPr>
        <w:tc>
          <w:tcPr>
            <w:tcW w:w="2319" w:type="pct"/>
            <w:hideMark/>
          </w:tcPr>
          <w:p w14:paraId="147D51CD"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Proceeds from stock option exercised</w:t>
            </w:r>
          </w:p>
        </w:tc>
        <w:tc>
          <w:tcPr>
            <w:tcW w:w="547" w:type="pct"/>
            <w:noWrap/>
            <w:hideMark/>
          </w:tcPr>
          <w:p w14:paraId="26B7D19B"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74F1009F" w14:textId="77777777" w:rsidR="00646661" w:rsidRPr="00646661" w:rsidRDefault="00646661" w:rsidP="00C176DE">
            <w:pPr>
              <w:rPr>
                <w:rFonts w:ascii="Arial" w:hAnsi="Arial" w:cs="Arial"/>
                <w:color w:val="000000"/>
                <w:sz w:val="18"/>
                <w:szCs w:val="18"/>
                <w:lang w:eastAsia="zh-CN"/>
              </w:rPr>
            </w:pPr>
          </w:p>
        </w:tc>
        <w:tc>
          <w:tcPr>
            <w:tcW w:w="547" w:type="pct"/>
            <w:noWrap/>
            <w:hideMark/>
          </w:tcPr>
          <w:p w14:paraId="5CB1C161"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1,536 </w:t>
            </w:r>
          </w:p>
        </w:tc>
        <w:tc>
          <w:tcPr>
            <w:tcW w:w="492" w:type="pct"/>
            <w:noWrap/>
            <w:hideMark/>
          </w:tcPr>
          <w:p w14:paraId="2A549C8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1,638 </w:t>
            </w:r>
          </w:p>
        </w:tc>
        <w:tc>
          <w:tcPr>
            <w:tcW w:w="547" w:type="pct"/>
            <w:noWrap/>
            <w:hideMark/>
          </w:tcPr>
          <w:p w14:paraId="0B069FCC"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2,805 </w:t>
            </w:r>
          </w:p>
        </w:tc>
      </w:tr>
      <w:tr w:rsidR="00646661" w:rsidRPr="00646661" w14:paraId="4A24E381" w14:textId="77777777" w:rsidTr="00013CC4">
        <w:trPr>
          <w:trHeight w:val="300"/>
        </w:trPr>
        <w:tc>
          <w:tcPr>
            <w:tcW w:w="2319" w:type="pct"/>
            <w:hideMark/>
          </w:tcPr>
          <w:p w14:paraId="13A6690C"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Treasury stock purchased</w:t>
            </w:r>
          </w:p>
        </w:tc>
        <w:tc>
          <w:tcPr>
            <w:tcW w:w="547" w:type="pct"/>
            <w:noWrap/>
            <w:hideMark/>
          </w:tcPr>
          <w:p w14:paraId="72189B3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(1,957)</w:t>
            </w:r>
          </w:p>
        </w:tc>
        <w:tc>
          <w:tcPr>
            <w:tcW w:w="547" w:type="pct"/>
            <w:noWrap/>
            <w:hideMark/>
          </w:tcPr>
          <w:p w14:paraId="350887F8"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(1,779)</w:t>
            </w:r>
          </w:p>
        </w:tc>
        <w:tc>
          <w:tcPr>
            <w:tcW w:w="547" w:type="pct"/>
            <w:noWrap/>
            <w:hideMark/>
          </w:tcPr>
          <w:p w14:paraId="2355050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(13,035)</w:t>
            </w:r>
          </w:p>
        </w:tc>
        <w:tc>
          <w:tcPr>
            <w:tcW w:w="492" w:type="pct"/>
            <w:noWrap/>
            <w:hideMark/>
          </w:tcPr>
          <w:p w14:paraId="0FAF499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(59,664)</w:t>
            </w:r>
          </w:p>
        </w:tc>
        <w:tc>
          <w:tcPr>
            <w:tcW w:w="547" w:type="pct"/>
            <w:noWrap/>
            <w:hideMark/>
          </w:tcPr>
          <w:p w14:paraId="52A61FF5"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(17,678)</w:t>
            </w:r>
          </w:p>
        </w:tc>
      </w:tr>
      <w:tr w:rsidR="00646661" w:rsidRPr="00646661" w14:paraId="18216335" w14:textId="77777777" w:rsidTr="00013CC4">
        <w:trPr>
          <w:trHeight w:val="495"/>
        </w:trPr>
        <w:tc>
          <w:tcPr>
            <w:tcW w:w="2319" w:type="pct"/>
            <w:hideMark/>
          </w:tcPr>
          <w:p w14:paraId="04389C1E"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cash provided by (used for) financing activities</w:t>
            </w:r>
          </w:p>
        </w:tc>
        <w:tc>
          <w:tcPr>
            <w:tcW w:w="547" w:type="pct"/>
            <w:noWrap/>
            <w:hideMark/>
          </w:tcPr>
          <w:p w14:paraId="0AC9CC9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(19,764)</w:t>
            </w:r>
          </w:p>
        </w:tc>
        <w:tc>
          <w:tcPr>
            <w:tcW w:w="547" w:type="pct"/>
            <w:noWrap/>
            <w:hideMark/>
          </w:tcPr>
          <w:p w14:paraId="7ABB993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(34,779)</w:t>
            </w:r>
          </w:p>
        </w:tc>
        <w:tc>
          <w:tcPr>
            <w:tcW w:w="547" w:type="pct"/>
            <w:noWrap/>
            <w:hideMark/>
          </w:tcPr>
          <w:p w14:paraId="09F0FE2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20,501 </w:t>
            </w:r>
          </w:p>
        </w:tc>
        <w:tc>
          <w:tcPr>
            <w:tcW w:w="492" w:type="pct"/>
            <w:noWrap/>
            <w:hideMark/>
          </w:tcPr>
          <w:p w14:paraId="7D53536B"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(22,026)</w:t>
            </w:r>
          </w:p>
        </w:tc>
        <w:tc>
          <w:tcPr>
            <w:tcW w:w="547" w:type="pct"/>
            <w:noWrap/>
            <w:hideMark/>
          </w:tcPr>
          <w:p w14:paraId="00B418A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65,964 </w:t>
            </w:r>
          </w:p>
        </w:tc>
      </w:tr>
      <w:tr w:rsidR="00646661" w:rsidRPr="00646661" w14:paraId="12FD3F16" w14:textId="77777777" w:rsidTr="00013CC4">
        <w:trPr>
          <w:trHeight w:val="750"/>
        </w:trPr>
        <w:tc>
          <w:tcPr>
            <w:tcW w:w="2319" w:type="pct"/>
            <w:hideMark/>
          </w:tcPr>
          <w:p w14:paraId="53E79AC2"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Effect of foreign currency exchange rate changes on cash and cash equivalents</w:t>
            </w:r>
          </w:p>
        </w:tc>
        <w:tc>
          <w:tcPr>
            <w:tcW w:w="547" w:type="pct"/>
            <w:noWrap/>
            <w:hideMark/>
          </w:tcPr>
          <w:p w14:paraId="7728D3C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(2,598)</w:t>
            </w:r>
          </w:p>
        </w:tc>
        <w:tc>
          <w:tcPr>
            <w:tcW w:w="547" w:type="pct"/>
            <w:noWrap/>
            <w:hideMark/>
          </w:tcPr>
          <w:p w14:paraId="7451BD4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(523)</w:t>
            </w:r>
          </w:p>
        </w:tc>
        <w:tc>
          <w:tcPr>
            <w:tcW w:w="547" w:type="pct"/>
            <w:noWrap/>
            <w:hideMark/>
          </w:tcPr>
          <w:p w14:paraId="7ED839C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(4,292)</w:t>
            </w:r>
          </w:p>
        </w:tc>
        <w:tc>
          <w:tcPr>
            <w:tcW w:w="492" w:type="pct"/>
            <w:noWrap/>
            <w:hideMark/>
          </w:tcPr>
          <w:p w14:paraId="482D0BB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2,444 </w:t>
            </w:r>
          </w:p>
        </w:tc>
        <w:tc>
          <w:tcPr>
            <w:tcW w:w="547" w:type="pct"/>
            <w:noWrap/>
            <w:hideMark/>
          </w:tcPr>
          <w:p w14:paraId="03273A89"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(843)</w:t>
            </w:r>
          </w:p>
        </w:tc>
      </w:tr>
      <w:tr w:rsidR="00646661" w:rsidRPr="00646661" w14:paraId="321D8676" w14:textId="77777777" w:rsidTr="00013CC4">
        <w:trPr>
          <w:trHeight w:val="495"/>
        </w:trPr>
        <w:tc>
          <w:tcPr>
            <w:tcW w:w="2319" w:type="pct"/>
            <w:hideMark/>
          </w:tcPr>
          <w:p w14:paraId="1869F402"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Net increase (decrease) in cash and cash equivalents</w:t>
            </w:r>
          </w:p>
        </w:tc>
        <w:tc>
          <w:tcPr>
            <w:tcW w:w="547" w:type="pct"/>
            <w:noWrap/>
            <w:hideMark/>
          </w:tcPr>
          <w:p w14:paraId="33C2A00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(15,968)</w:t>
            </w:r>
          </w:p>
        </w:tc>
        <w:tc>
          <w:tcPr>
            <w:tcW w:w="547" w:type="pct"/>
            <w:noWrap/>
            <w:hideMark/>
          </w:tcPr>
          <w:p w14:paraId="4C8137C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(23,989)</w:t>
            </w:r>
          </w:p>
        </w:tc>
        <w:tc>
          <w:tcPr>
            <w:tcW w:w="547" w:type="pct"/>
            <w:noWrap/>
            <w:hideMark/>
          </w:tcPr>
          <w:p w14:paraId="1446B3D4"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5,927 </w:t>
            </w:r>
          </w:p>
        </w:tc>
        <w:tc>
          <w:tcPr>
            <w:tcW w:w="492" w:type="pct"/>
            <w:noWrap/>
            <w:hideMark/>
          </w:tcPr>
          <w:p w14:paraId="776D854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3,660 </w:t>
            </w:r>
          </w:p>
        </w:tc>
        <w:tc>
          <w:tcPr>
            <w:tcW w:w="547" w:type="pct"/>
            <w:noWrap/>
            <w:hideMark/>
          </w:tcPr>
          <w:p w14:paraId="3F9E2C7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(17,149)</w:t>
            </w:r>
          </w:p>
        </w:tc>
      </w:tr>
      <w:tr w:rsidR="00646661" w:rsidRPr="00646661" w14:paraId="3D645279" w14:textId="77777777" w:rsidTr="00013CC4">
        <w:trPr>
          <w:trHeight w:val="495"/>
        </w:trPr>
        <w:tc>
          <w:tcPr>
            <w:tcW w:w="2319" w:type="pct"/>
            <w:hideMark/>
          </w:tcPr>
          <w:p w14:paraId="31BC288C"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Cash and cash equivalents at the beginning of period</w:t>
            </w:r>
          </w:p>
        </w:tc>
        <w:tc>
          <w:tcPr>
            <w:tcW w:w="547" w:type="pct"/>
            <w:noWrap/>
            <w:hideMark/>
          </w:tcPr>
          <w:p w14:paraId="1A6C47D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42,751 </w:t>
            </w:r>
          </w:p>
        </w:tc>
        <w:tc>
          <w:tcPr>
            <w:tcW w:w="547" w:type="pct"/>
            <w:noWrap/>
            <w:hideMark/>
          </w:tcPr>
          <w:p w14:paraId="470DF4A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66,740 </w:t>
            </w:r>
          </w:p>
        </w:tc>
        <w:tc>
          <w:tcPr>
            <w:tcW w:w="547" w:type="pct"/>
            <w:noWrap/>
            <w:hideMark/>
          </w:tcPr>
          <w:p w14:paraId="7D6F7ECF"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60,813 </w:t>
            </w:r>
          </w:p>
        </w:tc>
        <w:tc>
          <w:tcPr>
            <w:tcW w:w="492" w:type="pct"/>
            <w:noWrap/>
            <w:hideMark/>
          </w:tcPr>
          <w:p w14:paraId="3960CABA"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57,153 </w:t>
            </w:r>
          </w:p>
        </w:tc>
        <w:tc>
          <w:tcPr>
            <w:tcW w:w="547" w:type="pct"/>
            <w:noWrap/>
            <w:hideMark/>
          </w:tcPr>
          <w:p w14:paraId="514E2167"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74,302 </w:t>
            </w:r>
          </w:p>
        </w:tc>
      </w:tr>
      <w:tr w:rsidR="00646661" w:rsidRPr="00646661" w14:paraId="44662387" w14:textId="77777777" w:rsidTr="00013CC4">
        <w:trPr>
          <w:trHeight w:val="495"/>
        </w:trPr>
        <w:tc>
          <w:tcPr>
            <w:tcW w:w="2319" w:type="pct"/>
            <w:hideMark/>
          </w:tcPr>
          <w:p w14:paraId="4CBCAE91" w14:textId="77777777" w:rsidR="00646661" w:rsidRPr="00646661" w:rsidRDefault="00646661" w:rsidP="00C176DE">
            <w:pPr>
              <w:rPr>
                <w:rFonts w:ascii="Arial" w:hAnsi="Arial" w:cs="Arial"/>
                <w:color w:val="000000"/>
                <w:sz w:val="18"/>
                <w:szCs w:val="18"/>
                <w:lang w:eastAsia="zh-CN"/>
              </w:rPr>
            </w:pPr>
            <w:r w:rsidRPr="00646661">
              <w:rPr>
                <w:rFonts w:ascii="Arial" w:hAnsi="Arial" w:cs="Arial"/>
                <w:color w:val="000000"/>
                <w:sz w:val="18"/>
                <w:szCs w:val="18"/>
                <w:lang w:eastAsia="zh-CN"/>
              </w:rPr>
              <w:t>Cash and cash equivalents at the end of period</w:t>
            </w:r>
          </w:p>
        </w:tc>
        <w:tc>
          <w:tcPr>
            <w:tcW w:w="547" w:type="pct"/>
            <w:noWrap/>
            <w:hideMark/>
          </w:tcPr>
          <w:p w14:paraId="7D81DCDE"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26,783 </w:t>
            </w:r>
          </w:p>
        </w:tc>
        <w:tc>
          <w:tcPr>
            <w:tcW w:w="547" w:type="pct"/>
            <w:noWrap/>
            <w:hideMark/>
          </w:tcPr>
          <w:p w14:paraId="7A033BF0"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42,751 </w:t>
            </w:r>
          </w:p>
        </w:tc>
        <w:tc>
          <w:tcPr>
            <w:tcW w:w="547" w:type="pct"/>
            <w:noWrap/>
            <w:hideMark/>
          </w:tcPr>
          <w:p w14:paraId="691F59C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66,740 </w:t>
            </w:r>
          </w:p>
        </w:tc>
        <w:tc>
          <w:tcPr>
            <w:tcW w:w="492" w:type="pct"/>
            <w:noWrap/>
            <w:hideMark/>
          </w:tcPr>
          <w:p w14:paraId="72C4F1CD"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60,813 </w:t>
            </w:r>
          </w:p>
        </w:tc>
        <w:tc>
          <w:tcPr>
            <w:tcW w:w="547" w:type="pct"/>
            <w:noWrap/>
            <w:hideMark/>
          </w:tcPr>
          <w:p w14:paraId="087D27A2" w14:textId="77777777" w:rsidR="00646661" w:rsidRPr="00646661" w:rsidRDefault="00646661" w:rsidP="00C176DE">
            <w:pPr>
              <w:jc w:val="right"/>
              <w:rPr>
                <w:rFonts w:ascii="Arial" w:hAnsi="Arial" w:cs="Arial"/>
                <w:color w:val="000000"/>
                <w:sz w:val="18"/>
                <w:szCs w:val="18"/>
                <w:lang w:eastAsia="zh-CN"/>
              </w:rPr>
            </w:pPr>
            <w:r w:rsidRPr="00646661">
              <w:rPr>
                <w:rFonts w:ascii="Arial" w:hAnsi="Arial" w:cs="Arial"/>
                <w:color w:val="000000"/>
                <w:sz w:val="18"/>
                <w:szCs w:val="18"/>
                <w:lang w:eastAsia="zh-CN"/>
              </w:rPr>
              <w:t xml:space="preserve">57,153 </w:t>
            </w:r>
          </w:p>
        </w:tc>
      </w:tr>
    </w:tbl>
    <w:p w14:paraId="6D3D7F1E" w14:textId="77777777" w:rsidR="00013CC4" w:rsidRPr="00C5615B" w:rsidRDefault="00013CC4" w:rsidP="00541A7B">
      <w:pPr>
        <w:pStyle w:val="NormalWeb"/>
        <w:spacing w:line="360" w:lineRule="auto"/>
        <w:rPr>
          <w:rFonts w:ascii="Arial" w:hAnsi="Arial" w:cs="Arial"/>
          <w:lang w:val="en-US"/>
        </w:rPr>
      </w:pPr>
    </w:p>
    <w:sectPr w:rsidR="00013CC4" w:rsidRPr="00C5615B" w:rsidSect="00CD4561">
      <w:footerReference w:type="default" r:id="rId3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742B65" w14:textId="77777777" w:rsidR="005F2141" w:rsidRDefault="005F2141">
      <w:pPr>
        <w:spacing w:after="0" w:line="240" w:lineRule="auto"/>
      </w:pPr>
      <w:r>
        <w:separator/>
      </w:r>
    </w:p>
  </w:endnote>
  <w:endnote w:type="continuationSeparator" w:id="0">
    <w:p w14:paraId="6CB70CF0" w14:textId="77777777" w:rsidR="005F2141" w:rsidRDefault="005F2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33A579E0" w14:textId="77777777" w:rsidR="00CD4561" w:rsidRDefault="00CD4561">
        <w:pPr>
          <w:pStyle w:val="Footer"/>
          <w:jc w:val="right"/>
        </w:pPr>
        <w:r>
          <w:fldChar w:fldCharType="begin"/>
        </w:r>
        <w:r>
          <w:instrText xml:space="preserve"> PAGE   \* MERGEFORMAT </w:instrText>
        </w:r>
        <w:r>
          <w:fldChar w:fldCharType="separate"/>
        </w:r>
        <w:r w:rsidR="00901D93">
          <w:rPr>
            <w:noProof/>
          </w:rPr>
          <w:t>32</w:t>
        </w:r>
        <w:r>
          <w:rPr>
            <w:noProof/>
          </w:rPr>
          <w:fldChar w:fldCharType="end"/>
        </w:r>
      </w:p>
    </w:sdtContent>
  </w:sdt>
  <w:p w14:paraId="6E415772" w14:textId="77777777" w:rsidR="00CD4561" w:rsidRDefault="00CD45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0E54C1" w14:textId="77777777" w:rsidR="005F2141" w:rsidRDefault="005F2141">
      <w:pPr>
        <w:spacing w:after="0" w:line="240" w:lineRule="auto"/>
      </w:pPr>
      <w:r>
        <w:separator/>
      </w:r>
    </w:p>
  </w:footnote>
  <w:footnote w:type="continuationSeparator" w:id="0">
    <w:p w14:paraId="381DCC30" w14:textId="77777777" w:rsidR="005F2141" w:rsidRDefault="005F214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BC2481"/>
    <w:multiLevelType w:val="hybridMultilevel"/>
    <w:tmpl w:val="21F8A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3B6CC9"/>
    <w:multiLevelType w:val="hybridMultilevel"/>
    <w:tmpl w:val="77E2A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683F04"/>
    <w:multiLevelType w:val="hybridMultilevel"/>
    <w:tmpl w:val="5EBA8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C95747B"/>
    <w:multiLevelType w:val="hybridMultilevel"/>
    <w:tmpl w:val="73AADAAC"/>
    <w:lvl w:ilvl="0" w:tplc="B67A051E">
      <w:start w:val="1"/>
      <w:numFmt w:val="decimal"/>
      <w:lvlText w:val="%1."/>
      <w:lvlJc w:val="left"/>
      <w:pPr>
        <w:ind w:left="720" w:hanging="360"/>
      </w:pPr>
      <w:rPr>
        <w:b/>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D934D0A"/>
    <w:multiLevelType w:val="hybridMultilevel"/>
    <w:tmpl w:val="6066A7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F3B267D"/>
    <w:multiLevelType w:val="hybridMultilevel"/>
    <w:tmpl w:val="15CA5B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4195D0F"/>
    <w:multiLevelType w:val="hybridMultilevel"/>
    <w:tmpl w:val="B2388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85D095A"/>
    <w:multiLevelType w:val="hybridMultilevel"/>
    <w:tmpl w:val="CD801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14818E6"/>
    <w:multiLevelType w:val="hybridMultilevel"/>
    <w:tmpl w:val="ECF87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14F01A6"/>
    <w:multiLevelType w:val="hybridMultilevel"/>
    <w:tmpl w:val="C4F6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1F86D48"/>
    <w:multiLevelType w:val="hybridMultilevel"/>
    <w:tmpl w:val="5852D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55A1A98"/>
    <w:multiLevelType w:val="hybridMultilevel"/>
    <w:tmpl w:val="2892D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FF56338"/>
    <w:multiLevelType w:val="hybridMultilevel"/>
    <w:tmpl w:val="525AA1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0BF200D"/>
    <w:multiLevelType w:val="hybridMultilevel"/>
    <w:tmpl w:val="AAFC3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2991847"/>
    <w:multiLevelType w:val="hybridMultilevel"/>
    <w:tmpl w:val="22988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F8260E8"/>
    <w:multiLevelType w:val="hybridMultilevel"/>
    <w:tmpl w:val="03DC4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4"/>
  </w:num>
  <w:num w:numId="3">
    <w:abstractNumId w:val="6"/>
  </w:num>
  <w:num w:numId="4">
    <w:abstractNumId w:val="16"/>
  </w:num>
  <w:num w:numId="5">
    <w:abstractNumId w:val="9"/>
  </w:num>
  <w:num w:numId="6">
    <w:abstractNumId w:val="0"/>
  </w:num>
  <w:num w:numId="7">
    <w:abstractNumId w:val="2"/>
  </w:num>
  <w:num w:numId="8">
    <w:abstractNumId w:val="19"/>
  </w:num>
  <w:num w:numId="9">
    <w:abstractNumId w:val="20"/>
  </w:num>
  <w:num w:numId="10">
    <w:abstractNumId w:val="1"/>
  </w:num>
  <w:num w:numId="11">
    <w:abstractNumId w:val="4"/>
  </w:num>
  <w:num w:numId="12">
    <w:abstractNumId w:val="17"/>
  </w:num>
  <w:num w:numId="13">
    <w:abstractNumId w:val="7"/>
  </w:num>
  <w:num w:numId="14">
    <w:abstractNumId w:val="8"/>
  </w:num>
  <w:num w:numId="15">
    <w:abstractNumId w:val="13"/>
  </w:num>
  <w:num w:numId="16">
    <w:abstractNumId w:val="15"/>
  </w:num>
  <w:num w:numId="17">
    <w:abstractNumId w:val="10"/>
  </w:num>
  <w:num w:numId="18">
    <w:abstractNumId w:val="3"/>
  </w:num>
  <w:num w:numId="19">
    <w:abstractNumId w:val="11"/>
  </w:num>
  <w:num w:numId="20">
    <w:abstractNumId w:val="18"/>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67B"/>
    <w:rsid w:val="00010500"/>
    <w:rsid w:val="0001067B"/>
    <w:rsid w:val="00013CC4"/>
    <w:rsid w:val="00021322"/>
    <w:rsid w:val="00030C2B"/>
    <w:rsid w:val="00044D2A"/>
    <w:rsid w:val="00085C37"/>
    <w:rsid w:val="00093C2B"/>
    <w:rsid w:val="000D5950"/>
    <w:rsid w:val="000E57EC"/>
    <w:rsid w:val="000F5354"/>
    <w:rsid w:val="00121C5E"/>
    <w:rsid w:val="001513EC"/>
    <w:rsid w:val="00164A9D"/>
    <w:rsid w:val="001718DF"/>
    <w:rsid w:val="00177B3A"/>
    <w:rsid w:val="001A7DE2"/>
    <w:rsid w:val="001D07E0"/>
    <w:rsid w:val="001D5EF2"/>
    <w:rsid w:val="001E4D6A"/>
    <w:rsid w:val="001E6BD1"/>
    <w:rsid w:val="001E74ED"/>
    <w:rsid w:val="001F3C98"/>
    <w:rsid w:val="00202662"/>
    <w:rsid w:val="00205008"/>
    <w:rsid w:val="0021137A"/>
    <w:rsid w:val="00212ED5"/>
    <w:rsid w:val="00214673"/>
    <w:rsid w:val="00221C18"/>
    <w:rsid w:val="00226964"/>
    <w:rsid w:val="00230F0F"/>
    <w:rsid w:val="00253EAC"/>
    <w:rsid w:val="00257360"/>
    <w:rsid w:val="00267509"/>
    <w:rsid w:val="00274862"/>
    <w:rsid w:val="002A56B6"/>
    <w:rsid w:val="002B213D"/>
    <w:rsid w:val="002B47A5"/>
    <w:rsid w:val="002D0261"/>
    <w:rsid w:val="002D7440"/>
    <w:rsid w:val="002E7BC6"/>
    <w:rsid w:val="002F227A"/>
    <w:rsid w:val="00315F4E"/>
    <w:rsid w:val="00351168"/>
    <w:rsid w:val="00355401"/>
    <w:rsid w:val="00355497"/>
    <w:rsid w:val="003560E1"/>
    <w:rsid w:val="00361E3B"/>
    <w:rsid w:val="0039093F"/>
    <w:rsid w:val="003B1879"/>
    <w:rsid w:val="003E4B91"/>
    <w:rsid w:val="00400BF4"/>
    <w:rsid w:val="004019A6"/>
    <w:rsid w:val="00406FCA"/>
    <w:rsid w:val="004153C2"/>
    <w:rsid w:val="00426515"/>
    <w:rsid w:val="004268B7"/>
    <w:rsid w:val="004352DB"/>
    <w:rsid w:val="00443D84"/>
    <w:rsid w:val="0045296A"/>
    <w:rsid w:val="00466D95"/>
    <w:rsid w:val="004738F5"/>
    <w:rsid w:val="00475B44"/>
    <w:rsid w:val="0047629C"/>
    <w:rsid w:val="004934D6"/>
    <w:rsid w:val="004975D8"/>
    <w:rsid w:val="004A4E0A"/>
    <w:rsid w:val="004C692A"/>
    <w:rsid w:val="004E2988"/>
    <w:rsid w:val="004E2CCB"/>
    <w:rsid w:val="004F6FE3"/>
    <w:rsid w:val="0051361F"/>
    <w:rsid w:val="00534263"/>
    <w:rsid w:val="00541A7B"/>
    <w:rsid w:val="00542447"/>
    <w:rsid w:val="00552969"/>
    <w:rsid w:val="0055527D"/>
    <w:rsid w:val="00562C5D"/>
    <w:rsid w:val="005667DF"/>
    <w:rsid w:val="00587023"/>
    <w:rsid w:val="0059249A"/>
    <w:rsid w:val="0059582F"/>
    <w:rsid w:val="005A26AE"/>
    <w:rsid w:val="005D4979"/>
    <w:rsid w:val="005D6BBD"/>
    <w:rsid w:val="005E19DE"/>
    <w:rsid w:val="005E7CC2"/>
    <w:rsid w:val="005F2141"/>
    <w:rsid w:val="005F73FC"/>
    <w:rsid w:val="0063216D"/>
    <w:rsid w:val="0063329B"/>
    <w:rsid w:val="00634205"/>
    <w:rsid w:val="00644E4D"/>
    <w:rsid w:val="00646661"/>
    <w:rsid w:val="00686E71"/>
    <w:rsid w:val="006A21CF"/>
    <w:rsid w:val="006B47DD"/>
    <w:rsid w:val="006C37F1"/>
    <w:rsid w:val="006D0CF6"/>
    <w:rsid w:val="006F4BB0"/>
    <w:rsid w:val="00702E31"/>
    <w:rsid w:val="00713FEA"/>
    <w:rsid w:val="0071558B"/>
    <w:rsid w:val="007321D3"/>
    <w:rsid w:val="007347CC"/>
    <w:rsid w:val="00737A1E"/>
    <w:rsid w:val="00737F84"/>
    <w:rsid w:val="00741828"/>
    <w:rsid w:val="007445AC"/>
    <w:rsid w:val="007446FC"/>
    <w:rsid w:val="00754117"/>
    <w:rsid w:val="00770CC4"/>
    <w:rsid w:val="007846BC"/>
    <w:rsid w:val="007A1DD5"/>
    <w:rsid w:val="007B6843"/>
    <w:rsid w:val="007C6067"/>
    <w:rsid w:val="007F74BB"/>
    <w:rsid w:val="00814796"/>
    <w:rsid w:val="00840E24"/>
    <w:rsid w:val="00855351"/>
    <w:rsid w:val="00857AE6"/>
    <w:rsid w:val="00887CA7"/>
    <w:rsid w:val="0089479C"/>
    <w:rsid w:val="008F513D"/>
    <w:rsid w:val="00901D93"/>
    <w:rsid w:val="0092011F"/>
    <w:rsid w:val="00927D75"/>
    <w:rsid w:val="0094062F"/>
    <w:rsid w:val="009437DF"/>
    <w:rsid w:val="0098161B"/>
    <w:rsid w:val="0098183F"/>
    <w:rsid w:val="00995546"/>
    <w:rsid w:val="009A13EA"/>
    <w:rsid w:val="009A77F5"/>
    <w:rsid w:val="009B4396"/>
    <w:rsid w:val="009C0DE1"/>
    <w:rsid w:val="009D5B6D"/>
    <w:rsid w:val="009E05F2"/>
    <w:rsid w:val="009F6E63"/>
    <w:rsid w:val="00A269DF"/>
    <w:rsid w:val="00A3094D"/>
    <w:rsid w:val="00A343E8"/>
    <w:rsid w:val="00A41E33"/>
    <w:rsid w:val="00A55A49"/>
    <w:rsid w:val="00A6659A"/>
    <w:rsid w:val="00A7047A"/>
    <w:rsid w:val="00A74415"/>
    <w:rsid w:val="00A82882"/>
    <w:rsid w:val="00A86D67"/>
    <w:rsid w:val="00A94490"/>
    <w:rsid w:val="00A95700"/>
    <w:rsid w:val="00AA50D3"/>
    <w:rsid w:val="00AB0055"/>
    <w:rsid w:val="00AC24F6"/>
    <w:rsid w:val="00AE0B90"/>
    <w:rsid w:val="00AF0650"/>
    <w:rsid w:val="00AF7397"/>
    <w:rsid w:val="00B04D68"/>
    <w:rsid w:val="00B10EA1"/>
    <w:rsid w:val="00B371A4"/>
    <w:rsid w:val="00B6017C"/>
    <w:rsid w:val="00B705E4"/>
    <w:rsid w:val="00B817DB"/>
    <w:rsid w:val="00B838F9"/>
    <w:rsid w:val="00B92999"/>
    <w:rsid w:val="00B96F81"/>
    <w:rsid w:val="00BC01B1"/>
    <w:rsid w:val="00BD3881"/>
    <w:rsid w:val="00BD444C"/>
    <w:rsid w:val="00BE6F83"/>
    <w:rsid w:val="00BF270C"/>
    <w:rsid w:val="00BF5056"/>
    <w:rsid w:val="00C1382C"/>
    <w:rsid w:val="00C1403F"/>
    <w:rsid w:val="00C33465"/>
    <w:rsid w:val="00C342CB"/>
    <w:rsid w:val="00C361EB"/>
    <w:rsid w:val="00C5615B"/>
    <w:rsid w:val="00C95F86"/>
    <w:rsid w:val="00CA2804"/>
    <w:rsid w:val="00CD2862"/>
    <w:rsid w:val="00CD3E5E"/>
    <w:rsid w:val="00CD4561"/>
    <w:rsid w:val="00CE226E"/>
    <w:rsid w:val="00CE5988"/>
    <w:rsid w:val="00D11E03"/>
    <w:rsid w:val="00D21485"/>
    <w:rsid w:val="00D2667D"/>
    <w:rsid w:val="00D31188"/>
    <w:rsid w:val="00D46429"/>
    <w:rsid w:val="00D4720A"/>
    <w:rsid w:val="00D51D52"/>
    <w:rsid w:val="00D610AE"/>
    <w:rsid w:val="00D670CC"/>
    <w:rsid w:val="00D751B4"/>
    <w:rsid w:val="00DA3912"/>
    <w:rsid w:val="00DC5F77"/>
    <w:rsid w:val="00DE454B"/>
    <w:rsid w:val="00DE7D0D"/>
    <w:rsid w:val="00DF588B"/>
    <w:rsid w:val="00E02195"/>
    <w:rsid w:val="00E0673C"/>
    <w:rsid w:val="00E1213E"/>
    <w:rsid w:val="00E15A7F"/>
    <w:rsid w:val="00E3635F"/>
    <w:rsid w:val="00E41745"/>
    <w:rsid w:val="00E45EC9"/>
    <w:rsid w:val="00E5407B"/>
    <w:rsid w:val="00E818EE"/>
    <w:rsid w:val="00E93AE1"/>
    <w:rsid w:val="00E9427E"/>
    <w:rsid w:val="00EA4433"/>
    <w:rsid w:val="00EA7C0D"/>
    <w:rsid w:val="00EE7478"/>
    <w:rsid w:val="00EF57FC"/>
    <w:rsid w:val="00F02CB5"/>
    <w:rsid w:val="00F06794"/>
    <w:rsid w:val="00F11C6A"/>
    <w:rsid w:val="00F13E7E"/>
    <w:rsid w:val="00F67464"/>
    <w:rsid w:val="00F9619B"/>
    <w:rsid w:val="00FB1E75"/>
    <w:rsid w:val="00FF47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B60DD"/>
  <w15:chartTrackingRefBased/>
  <w15:docId w15:val="{B2CBB523-3157-4B9F-9537-2610A8697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4561"/>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9A13EA"/>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9A13EA"/>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4934D6"/>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0106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06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0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3EA"/>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9A13EA"/>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4934D6"/>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0106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06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0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67B"/>
    <w:rPr>
      <w:rFonts w:eastAsiaTheme="majorEastAsia" w:cstheme="majorBidi"/>
      <w:color w:val="272727" w:themeColor="text1" w:themeTint="D8"/>
    </w:rPr>
  </w:style>
  <w:style w:type="paragraph" w:styleId="Title">
    <w:name w:val="Title"/>
    <w:basedOn w:val="Normal"/>
    <w:next w:val="Normal"/>
    <w:link w:val="TitleChar"/>
    <w:uiPriority w:val="10"/>
    <w:qFormat/>
    <w:rsid w:val="00010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67B"/>
    <w:pPr>
      <w:spacing w:before="160"/>
      <w:jc w:val="center"/>
    </w:pPr>
    <w:rPr>
      <w:i/>
      <w:iCs/>
      <w:color w:val="404040" w:themeColor="text1" w:themeTint="BF"/>
    </w:rPr>
  </w:style>
  <w:style w:type="character" w:customStyle="1" w:styleId="QuoteChar">
    <w:name w:val="Quote Char"/>
    <w:basedOn w:val="DefaultParagraphFont"/>
    <w:link w:val="Quote"/>
    <w:uiPriority w:val="29"/>
    <w:rsid w:val="0001067B"/>
    <w:rPr>
      <w:i/>
      <w:iCs/>
      <w:color w:val="404040" w:themeColor="text1" w:themeTint="BF"/>
    </w:rPr>
  </w:style>
  <w:style w:type="paragraph" w:styleId="ListParagraph">
    <w:name w:val="List Paragraph"/>
    <w:basedOn w:val="Normal"/>
    <w:uiPriority w:val="34"/>
    <w:qFormat/>
    <w:rsid w:val="0001067B"/>
    <w:pPr>
      <w:ind w:left="720"/>
      <w:contextualSpacing/>
    </w:pPr>
  </w:style>
  <w:style w:type="character" w:styleId="IntenseEmphasis">
    <w:name w:val="Intense Emphasis"/>
    <w:basedOn w:val="DefaultParagraphFont"/>
    <w:uiPriority w:val="21"/>
    <w:qFormat/>
    <w:rsid w:val="0001067B"/>
    <w:rPr>
      <w:i/>
      <w:iCs/>
      <w:color w:val="2F5496" w:themeColor="accent1" w:themeShade="BF"/>
    </w:rPr>
  </w:style>
  <w:style w:type="paragraph" w:styleId="IntenseQuote">
    <w:name w:val="Intense Quote"/>
    <w:basedOn w:val="Normal"/>
    <w:next w:val="Normal"/>
    <w:link w:val="IntenseQuoteChar"/>
    <w:uiPriority w:val="30"/>
    <w:qFormat/>
    <w:rsid w:val="000106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067B"/>
    <w:rPr>
      <w:i/>
      <w:iCs/>
      <w:color w:val="2F5496" w:themeColor="accent1" w:themeShade="BF"/>
    </w:rPr>
  </w:style>
  <w:style w:type="character" w:styleId="IntenseReference">
    <w:name w:val="Intense Reference"/>
    <w:basedOn w:val="DefaultParagraphFont"/>
    <w:uiPriority w:val="32"/>
    <w:qFormat/>
    <w:rsid w:val="0001067B"/>
    <w:rPr>
      <w:b/>
      <w:bCs/>
      <w:smallCaps/>
      <w:color w:val="2F5496" w:themeColor="accent1" w:themeShade="BF"/>
      <w:spacing w:val="5"/>
    </w:rPr>
  </w:style>
  <w:style w:type="paragraph" w:styleId="NormalWeb">
    <w:name w:val="Normal (Web)"/>
    <w:basedOn w:val="Normal"/>
    <w:uiPriority w:val="99"/>
    <w:unhideWhenUsed/>
    <w:rsid w:val="00CD45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D4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561"/>
    <w:rPr>
      <w:kern w:val="0"/>
      <w:sz w:val="22"/>
      <w:szCs w:val="22"/>
      <w:lang w:val="en-GB"/>
      <w14:ligatures w14:val="none"/>
    </w:rPr>
  </w:style>
  <w:style w:type="paragraph" w:styleId="TOCHeading">
    <w:name w:val="TOC Heading"/>
    <w:basedOn w:val="Heading1"/>
    <w:next w:val="Normal"/>
    <w:uiPriority w:val="39"/>
    <w:unhideWhenUsed/>
    <w:qFormat/>
    <w:rsid w:val="00CD4561"/>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CD4561"/>
    <w:pPr>
      <w:spacing w:after="100"/>
    </w:pPr>
  </w:style>
  <w:style w:type="character" w:styleId="Hyperlink">
    <w:name w:val="Hyperlink"/>
    <w:basedOn w:val="DefaultParagraphFont"/>
    <w:uiPriority w:val="99"/>
    <w:unhideWhenUsed/>
    <w:rsid w:val="00CD4561"/>
    <w:rPr>
      <w:color w:val="0563C1" w:themeColor="hyperlink"/>
      <w:u w:val="single"/>
    </w:rPr>
  </w:style>
  <w:style w:type="paragraph" w:styleId="NoSpacing">
    <w:name w:val="No Spacing"/>
    <w:link w:val="NoSpacingChar"/>
    <w:uiPriority w:val="1"/>
    <w:qFormat/>
    <w:rsid w:val="00CD456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4561"/>
    <w:rPr>
      <w:rFonts w:eastAsiaTheme="minorEastAsia"/>
      <w:kern w:val="0"/>
      <w:sz w:val="22"/>
      <w:szCs w:val="22"/>
      <w14:ligatures w14:val="none"/>
    </w:rPr>
  </w:style>
  <w:style w:type="character" w:customStyle="1" w:styleId="citation-198">
    <w:name w:val="citation-198"/>
    <w:basedOn w:val="DefaultParagraphFont"/>
    <w:rsid w:val="00CD4561"/>
  </w:style>
  <w:style w:type="character" w:customStyle="1" w:styleId="citation-197">
    <w:name w:val="citation-197"/>
    <w:basedOn w:val="DefaultParagraphFont"/>
    <w:rsid w:val="00CD4561"/>
  </w:style>
  <w:style w:type="character" w:customStyle="1" w:styleId="citation-194">
    <w:name w:val="citation-194"/>
    <w:basedOn w:val="DefaultParagraphFont"/>
    <w:rsid w:val="00CD4561"/>
  </w:style>
  <w:style w:type="paragraph" w:styleId="TOC2">
    <w:name w:val="toc 2"/>
    <w:basedOn w:val="Normal"/>
    <w:next w:val="Normal"/>
    <w:autoRedefine/>
    <w:uiPriority w:val="39"/>
    <w:unhideWhenUsed/>
    <w:rsid w:val="00CD4561"/>
    <w:pPr>
      <w:spacing w:after="100"/>
      <w:ind w:left="220"/>
    </w:pPr>
  </w:style>
  <w:style w:type="paragraph" w:styleId="Caption">
    <w:name w:val="caption"/>
    <w:basedOn w:val="Normal"/>
    <w:next w:val="Normal"/>
    <w:uiPriority w:val="35"/>
    <w:unhideWhenUsed/>
    <w:qFormat/>
    <w:rsid w:val="00CD4561"/>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CD4561"/>
    <w:pPr>
      <w:spacing w:after="0"/>
    </w:pPr>
  </w:style>
  <w:style w:type="table" w:styleId="TableGrid">
    <w:name w:val="Table Grid"/>
    <w:basedOn w:val="TableNormal"/>
    <w:uiPriority w:val="39"/>
    <w:rsid w:val="0047629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DC5F77"/>
    <w:rPr>
      <w:color w:val="666666"/>
    </w:rPr>
  </w:style>
  <w:style w:type="character" w:customStyle="1" w:styleId="UnresolvedMention">
    <w:name w:val="Unresolved Mention"/>
    <w:basedOn w:val="DefaultParagraphFont"/>
    <w:uiPriority w:val="99"/>
    <w:semiHidden/>
    <w:unhideWhenUsed/>
    <w:rsid w:val="00541A7B"/>
    <w:rPr>
      <w:color w:val="605E5C"/>
      <w:shd w:val="clear" w:color="auto" w:fill="E1DFDD"/>
    </w:rPr>
  </w:style>
  <w:style w:type="paragraph" w:styleId="TOC3">
    <w:name w:val="toc 3"/>
    <w:basedOn w:val="Normal"/>
    <w:next w:val="Normal"/>
    <w:autoRedefine/>
    <w:uiPriority w:val="39"/>
    <w:unhideWhenUsed/>
    <w:rsid w:val="00C561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jhssm.org/issue_dcp/Effect%20of%20Cash%20Conversion%20Cycle%20on%20Financial%20Performance%20of%20Listed%20Consumer%20Goods%20Firms%20in%20Nigeria.pdf" TargetMode="External"/><Relationship Id="rId18" Type="http://schemas.openxmlformats.org/officeDocument/2006/relationships/hyperlink" Target="https://qubit.capital/blog/short-term-vs-long-term-financing" TargetMode="External"/><Relationship Id="rId26" Type="http://schemas.openxmlformats.org/officeDocument/2006/relationships/hyperlink" Target="https://www.newbridgefx.com/news/impact-of-currency-fluctuations-on-global-business-strategies-for-success/" TargetMode="External"/><Relationship Id="rId39" Type="http://schemas.openxmlformats.org/officeDocument/2006/relationships/footer" Target="footer1.xml"/><Relationship Id="rId21" Type="http://schemas.openxmlformats.org/officeDocument/2006/relationships/hyperlink" Target="https://www.accaglobal.com/gb/en/student/exam-support-resources/fundamentals-exams-study-resources/f9/technical-articles/forex.html" TargetMode="External"/><Relationship Id="rId34" Type="http://schemas.openxmlformats.org/officeDocument/2006/relationships/hyperlink" Target="https://corporatefinanceinstitute.com/resources/accounting/capital-ration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madrasaccountancy.com/blog-posts/working-capital-management-strategies-for-growing-businesses" TargetMode="External"/><Relationship Id="rId20" Type="http://schemas.openxmlformats.org/officeDocument/2006/relationships/hyperlink" Target="https://valuecapitalfunding.com/business-finance-blog/tactical-considerations-choosing-between-long-term-and-short-term-business-financing/" TargetMode="External"/><Relationship Id="rId29" Type="http://schemas.openxmlformats.org/officeDocument/2006/relationships/hyperlink" Target="https://www.researchgate.net/publication/342847585_The_impact_of_divestitures_on_shareholder_wealth_-_The_DACH_cas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jajfinserv.in/difference-between-short-and-long-term-financing" TargetMode="External"/><Relationship Id="rId24" Type="http://schemas.openxmlformats.org/officeDocument/2006/relationships/hyperlink" Target="https://sites.georgetown.edu/lwp/wp-content/uploads/sites/319/uploads/Connor-Myers.pdf" TargetMode="External"/><Relationship Id="rId32" Type="http://schemas.openxmlformats.org/officeDocument/2006/relationships/hyperlink" Target="https://analystprep.com/cfa-level-1-exam/corporate-finance/measures-profitability-npv-irr-aar-pi/" TargetMode="External"/><Relationship Id="rId37" Type="http://schemas.openxmlformats.org/officeDocument/2006/relationships/hyperlink" Target="https://plutuseducation.com/blog/investment-appraisal-techniques/"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egalvision.co.uk/corporations/term-financing/" TargetMode="External"/><Relationship Id="rId23" Type="http://schemas.openxmlformats.org/officeDocument/2006/relationships/hyperlink" Target="https://www.cambridge.org/core/journals/global-sustainability/article/corporate-social-responsibility-and-risk-management-charting-the-course-for-a-sustainable-future-of-the-fashion-industry/3B2E0FE4E395B03622E50A3F91962517" TargetMode="External"/><Relationship Id="rId28" Type="http://schemas.openxmlformats.org/officeDocument/2006/relationships/hyperlink" Target="https://www.pwc.com/us/en/services/consulting/deals/library/strategic-case-for-divestiture.html" TargetMode="External"/><Relationship Id="rId36" Type="http://schemas.openxmlformats.org/officeDocument/2006/relationships/hyperlink" Target="https://legalvision.co.uk/corporations/term-financing/" TargetMode="External"/><Relationship Id="rId10" Type="http://schemas.openxmlformats.org/officeDocument/2006/relationships/hyperlink" Target="https://www.accaglobal.com/gb/en/student/exam-support-resources/fundamentals-exams-study-resources/f9/technical-articles/wcm.html" TargetMode="External"/><Relationship Id="rId19" Type="http://schemas.openxmlformats.org/officeDocument/2006/relationships/hyperlink" Target="https://www.scribd.com/document/704807218/Approaches-of-working-capital-management" TargetMode="External"/><Relationship Id="rId31" Type="http://schemas.openxmlformats.org/officeDocument/2006/relationships/hyperlink" Target="https://thegildgroup.com/international-tax-structuring-maximise-business-savings/" TargetMode="External"/><Relationship Id="rId4" Type="http://schemas.openxmlformats.org/officeDocument/2006/relationships/webSettings" Target="webSettings.xml"/><Relationship Id="rId9" Type="http://schemas.openxmlformats.org/officeDocument/2006/relationships/hyperlink" Target="https://www.precedenceresearch.com/consumer-electronics-market" TargetMode="External"/><Relationship Id="rId14" Type="http://schemas.openxmlformats.org/officeDocument/2006/relationships/hyperlink" Target="https://www.iiardjournals.org/get/JAFM/VOL.%2010%20NO.%208%202024/Impact%20of%20Cash%20Conversion%20123-141.pdf" TargetMode="External"/><Relationship Id="rId22" Type="http://schemas.openxmlformats.org/officeDocument/2006/relationships/hyperlink" Target="https://www.bpm.com/insights/corporate-restructuring/" TargetMode="External"/><Relationship Id="rId27" Type="http://schemas.openxmlformats.org/officeDocument/2006/relationships/hyperlink" Target="https://www.nortonrosefulbright.com/es-419/knowledge/publications/3f5f5dbb/debt-restructuring-international-tax-considerations" TargetMode="External"/><Relationship Id="rId30" Type="http://schemas.openxmlformats.org/officeDocument/2006/relationships/hyperlink" Target="https://www.researchgate.net/publication/391436474_Balancing_Act_Navigating_Ethical_Dilemmas_in_Strategic_Corporate_Restructuring" TargetMode="External"/><Relationship Id="rId35" Type="http://schemas.openxmlformats.org/officeDocument/2006/relationships/hyperlink" Target="https://www.investopedia.com/terms/c/capitalrationing.asp" TargetMode="Externa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finbox.com/DB:1520/explorer/cash_conversion_cycle" TargetMode="External"/><Relationship Id="rId17" Type="http://schemas.openxmlformats.org/officeDocument/2006/relationships/hyperlink" Target="https://www.personalfinancelab.com/finance-knowledge/management/short-term-and-long-term-financing/" TargetMode="External"/><Relationship Id="rId25" Type="http://schemas.openxmlformats.org/officeDocument/2006/relationships/hyperlink" Target="https://www.investopedia.com/terms/d/divestiture.asp" TargetMode="External"/><Relationship Id="rId33" Type="http://schemas.openxmlformats.org/officeDocument/2006/relationships/hyperlink" Target="https://www.bpm.com/insights/corporate-restructuring/" TargetMode="External"/><Relationship Id="rId38" Type="http://schemas.openxmlformats.org/officeDocument/2006/relationships/hyperlink" Target="https://cdn.taxmann.com/BookshopFiles/bookfiles/1751112898387_Cracker_CAFM--NS_Zad-_97893712689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Pages>
  <Words>7853</Words>
  <Characters>44768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Mahabub Islam</dc:creator>
  <cp:keywords/>
  <dc:description/>
  <cp:revision>230</cp:revision>
  <dcterms:created xsi:type="dcterms:W3CDTF">2025-11-21T07:56:00Z</dcterms:created>
  <dcterms:modified xsi:type="dcterms:W3CDTF">2025-11-23T04:09:00Z</dcterms:modified>
</cp:coreProperties>
</file>