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B4D60" w14:textId="6F39519C" w:rsidR="00E15770" w:rsidRPr="00AA2D05" w:rsidRDefault="00AA2D05" w:rsidP="00AA2D05">
      <w:pPr>
        <w:spacing w:line="480" w:lineRule="auto"/>
        <w:rPr>
          <w:rFonts w:ascii="Arial" w:hAnsi="Arial" w:cs="Arial"/>
          <w:sz w:val="56"/>
          <w:szCs w:val="56"/>
        </w:rPr>
      </w:pPr>
      <w:r w:rsidRPr="00AA2D05">
        <w:rPr>
          <w:rFonts w:ascii="Arial" w:hAnsi="Arial" w:cs="Arial"/>
          <w:sz w:val="56"/>
          <w:szCs w:val="56"/>
        </w:rPr>
        <w:t>Precursory circumstances leading up to the 2011 London Riots: Supportive Paper</w:t>
      </w:r>
    </w:p>
    <w:p w14:paraId="04FCB90C" w14:textId="6E53C012" w:rsidR="00AA2D05" w:rsidRDefault="00AA2D05" w:rsidP="00AA2D05">
      <w:pPr>
        <w:spacing w:line="480" w:lineRule="auto"/>
        <w:rPr>
          <w:rFonts w:ascii="Arial" w:hAnsi="Arial" w:cs="Arial"/>
          <w:sz w:val="56"/>
          <w:szCs w:val="56"/>
        </w:rPr>
      </w:pPr>
    </w:p>
    <w:p w14:paraId="1DFC7404" w14:textId="78FB927E" w:rsidR="00AA2D05" w:rsidRDefault="00AA2D05" w:rsidP="00AA2D05">
      <w:pPr>
        <w:spacing w:line="480" w:lineRule="auto"/>
        <w:rPr>
          <w:rFonts w:ascii="Arial" w:hAnsi="Arial" w:cs="Arial"/>
          <w:sz w:val="56"/>
          <w:szCs w:val="56"/>
        </w:rPr>
      </w:pPr>
    </w:p>
    <w:p w14:paraId="662FF231" w14:textId="586B3CE8" w:rsidR="00AA2D05" w:rsidRDefault="00AA2D05" w:rsidP="00AA2D05">
      <w:pPr>
        <w:spacing w:line="480" w:lineRule="auto"/>
        <w:rPr>
          <w:rFonts w:ascii="Arial" w:hAnsi="Arial" w:cs="Arial"/>
          <w:sz w:val="56"/>
          <w:szCs w:val="56"/>
        </w:rPr>
      </w:pPr>
    </w:p>
    <w:p w14:paraId="250C7AD5" w14:textId="6AD0FC17" w:rsidR="00AA2D05" w:rsidRDefault="00AA2D05" w:rsidP="00AA2D05">
      <w:pPr>
        <w:spacing w:line="480" w:lineRule="auto"/>
        <w:rPr>
          <w:rFonts w:ascii="Arial" w:hAnsi="Arial" w:cs="Arial"/>
          <w:sz w:val="56"/>
          <w:szCs w:val="56"/>
        </w:rPr>
      </w:pPr>
    </w:p>
    <w:p w14:paraId="6E63FFD4" w14:textId="0D5A636D" w:rsidR="00AA2D05" w:rsidRDefault="00AA2D05" w:rsidP="00AA2D05">
      <w:pPr>
        <w:spacing w:line="480" w:lineRule="auto"/>
        <w:rPr>
          <w:rFonts w:ascii="Arial" w:hAnsi="Arial" w:cs="Arial"/>
          <w:sz w:val="56"/>
          <w:szCs w:val="56"/>
        </w:rPr>
      </w:pPr>
    </w:p>
    <w:p w14:paraId="5FA5065E" w14:textId="58F21FB6" w:rsidR="00AA2D05" w:rsidRDefault="00AA2D05" w:rsidP="00AA2D05">
      <w:pPr>
        <w:spacing w:line="480" w:lineRule="auto"/>
        <w:rPr>
          <w:rFonts w:ascii="Arial" w:hAnsi="Arial" w:cs="Arial"/>
          <w:sz w:val="56"/>
          <w:szCs w:val="56"/>
        </w:rPr>
      </w:pPr>
    </w:p>
    <w:p w14:paraId="087C2486" w14:textId="1D91CBE6" w:rsidR="00AA2D05" w:rsidRDefault="00AA2D05" w:rsidP="00AA2D05">
      <w:pPr>
        <w:tabs>
          <w:tab w:val="left" w:pos="351"/>
        </w:tabs>
        <w:spacing w:line="480" w:lineRule="auto"/>
        <w:rPr>
          <w:rFonts w:ascii="Arial" w:hAnsi="Arial" w:cs="Arial"/>
          <w:sz w:val="24"/>
          <w:szCs w:val="24"/>
        </w:rPr>
      </w:pPr>
      <w:r>
        <w:rPr>
          <w:rFonts w:ascii="Arial" w:hAnsi="Arial" w:cs="Arial"/>
          <w:sz w:val="24"/>
          <w:szCs w:val="24"/>
        </w:rPr>
        <w:tab/>
      </w:r>
    </w:p>
    <w:p w14:paraId="23AD8714" w14:textId="7D47F843" w:rsidR="00AA2D05" w:rsidRDefault="00AA2D05" w:rsidP="00AA2D05">
      <w:pPr>
        <w:spacing w:line="480" w:lineRule="auto"/>
        <w:jc w:val="right"/>
        <w:rPr>
          <w:rFonts w:ascii="Arial" w:hAnsi="Arial" w:cs="Arial"/>
          <w:sz w:val="24"/>
          <w:szCs w:val="24"/>
        </w:rPr>
      </w:pPr>
      <w:r>
        <w:rPr>
          <w:rFonts w:ascii="Arial" w:hAnsi="Arial" w:cs="Arial"/>
          <w:sz w:val="24"/>
          <w:szCs w:val="24"/>
        </w:rPr>
        <w:t>Robert Jones (2004654)</w:t>
      </w:r>
    </w:p>
    <w:p w14:paraId="79DB2E83"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lastRenderedPageBreak/>
        <w:t>When looking back at the 2011 London Riots, it is clear to see how and why this particular case was so impactful on the public and how events could spiral out of control. What is not quite as clear would be how these circumstances came to be, seeing how eleven years on from the incident there are still blatant misconceptions about the true reasoning behind the unfortunate death of Mark Duggan. With the incident immediately being referred to the Independent Police Complaints</w:t>
      </w:r>
    </w:p>
    <w:p w14:paraId="689459AA"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Commission (IPCC) stemming from a lack of corresponding testimonies which implicated that “key parts of the police account were incorrect” (Dodd, V, 2014)</w:t>
      </w:r>
    </w:p>
    <w:p w14:paraId="1E40B530"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This paper will serve to go over the events that led up to the shooting of Mark Duggan along with acknowledging, critiquing and proposing recommendations when it comes to the leadership styles used.</w:t>
      </w:r>
    </w:p>
    <w:p w14:paraId="3373B187" w14:textId="77777777" w:rsidR="00AA2D05" w:rsidRPr="00AA2D05" w:rsidRDefault="00AA2D05" w:rsidP="00AA2D05">
      <w:pPr>
        <w:spacing w:line="480" w:lineRule="auto"/>
        <w:rPr>
          <w:rFonts w:ascii="Arial" w:hAnsi="Arial" w:cs="Arial"/>
          <w:sz w:val="24"/>
          <w:szCs w:val="24"/>
        </w:rPr>
      </w:pPr>
    </w:p>
    <w:p w14:paraId="786E5FA2" w14:textId="77777777" w:rsidR="00AA2D05" w:rsidRPr="00AA2D05" w:rsidRDefault="00AA2D05" w:rsidP="00AA2D05">
      <w:pPr>
        <w:spacing w:line="480" w:lineRule="auto"/>
        <w:rPr>
          <w:rFonts w:ascii="Arial" w:hAnsi="Arial" w:cs="Arial"/>
          <w:sz w:val="24"/>
          <w:szCs w:val="24"/>
        </w:rPr>
      </w:pPr>
    </w:p>
    <w:p w14:paraId="3D57B0A7"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 xml:space="preserve">In 2011 the Metropolitan Police Service (MPS) utilised a unit referred to as Trident which was originally set up in 1998 as a “community-led initiative to tackle gun crime especially in Afro-Caribbean communities” in London (Basu, N, 2022) At that point in time the unit was conducting an operation code-named ‘Operation Dibri’ which was tasked with intelligence gathering on a gang based in Tottenham, locally known as the ‘Tottenham Man Dem’(TMD). This demonstrates the use of the Mullins leadership theory seeing how Operation Dibri was a Trident investigation that was focused on the dismantling of TMD from as early as 2009 (Barkas, B, 2014) Dibri was specifically tasked on surveying 100 people, with a team of less than 50. Dibri would have been comprised of individuals whom had the skills and necessary knowledge along with the motivation of tackling TMD. This is an appropriate </w:t>
      </w:r>
      <w:r w:rsidRPr="00AA2D05">
        <w:rPr>
          <w:rFonts w:ascii="Arial" w:hAnsi="Arial" w:cs="Arial"/>
          <w:sz w:val="24"/>
          <w:szCs w:val="24"/>
        </w:rPr>
        <w:lastRenderedPageBreak/>
        <w:t>leadership style for Operation Dibri as the Mullins theory encourages a spirit of involvement and co-operation, and a willingness to work. According to Mullins and Christy (2010, pp. 372-375) one of the key areas in the process of management is “co-ordinating the activities of people and guiding their efforts towards the goals and objectives of the organisation” Generally speaking, the Mullins theory is incredibly well suited to the subsector of Dibri. That said, if it were to be traded for another leadership style, there may be some differing level of success from Douglas McGregor's ‘Theory Y’ which has predesignated assumptions on employees being able to independently get all of their work completed in the name of the business/company in aim of receiving a reward or avoiding punishment (McGregor, D, 1960, pp. 250-252)</w:t>
      </w:r>
    </w:p>
    <w:p w14:paraId="6820D899"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Going back to the riot analysis, the intelligence received by Operation Dibri was passed on from the Serious Organised Crime Agency (SOCA) which is now referred to as the National Crime Agency, (NCA) (IPCC, 2018, pp. 10-11)</w:t>
      </w:r>
    </w:p>
    <w:p w14:paraId="4F224EEE"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The case liaison officer from SOCA who was cooperating with Dibri was given the cipher name of ‘A10’ and was initially credited for receiving and passing on  intelligence that a male associate of Duggan  who was known as “Kevin” was in position of weapons, and that there was intent to pass at least one to Duggan (H.M. Coroner, 2014) This is a prime example of cooperative leadership with both Trident and SOCA collaborating to put an end to TMD. This is greatly beneficial at aligning goals to unite the teams and split the responsibilities and workload. This would then grant transparency between both organisations. This is in stark contrast to authoritarian leadership which makes decisions with little to no contribution from their team members (Vera, A. and Barth-Farkas, F. 2016)</w:t>
      </w:r>
    </w:p>
    <w:p w14:paraId="723AE922"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lastRenderedPageBreak/>
        <w:t xml:space="preserve">By the 2nd of August, The Senior Investigating Officer (SIO) of Operation Dibri, Mr Foote, provided found evidence which should have enabled the possibility to decipher the location of Kevin, now fully identified as Mr Hutchinson-Foster. Regrettably, despite having received intelligence that someone was planning to take possession of a firearm, it was not known where the weapon was located (Mohammed, J, 2013) </w:t>
      </w:r>
    </w:p>
    <w:p w14:paraId="590EB409" w14:textId="3F33024A"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A10 also managed to receive evidence that was able to support previously attained information that had been recorded and shared through the MPS databases. From this, A10’s team were ordered to standdown by Mr Foote from investigating and tailing Mr Hutchinson-Foster, along with any other associate they were no longer primary targets as that it was tridents concern.</w:t>
      </w:r>
    </w:p>
    <w:p w14:paraId="241DB2AF"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 xml:space="preserve"> This is a concerning manner in how SOCA chose to handle the dismissal of Mr Hutchinson-Foster as there was Laissez-faire approach to management and cooperation which presents issues when used within the context of the Police. This slight change in handling goes against the formerly referenced cooperative leadership and goes as far to be considered for classification under human leadership errors as it was a direct order from Mr Foote for SOCA to conclude research in relation to Mr Hutchinson-Foster which may have provided additional intelligence if brought to Dibri or if it were to be made public (Bridges, L, 2012)</w:t>
      </w:r>
    </w:p>
    <w:p w14:paraId="225CAF41" w14:textId="77777777" w:rsidR="00AA2D05" w:rsidRPr="00AA2D05" w:rsidRDefault="00AA2D05" w:rsidP="00AA2D05">
      <w:pPr>
        <w:spacing w:line="480" w:lineRule="auto"/>
        <w:rPr>
          <w:rFonts w:ascii="Arial" w:hAnsi="Arial" w:cs="Arial"/>
          <w:sz w:val="24"/>
          <w:szCs w:val="24"/>
        </w:rPr>
      </w:pPr>
    </w:p>
    <w:p w14:paraId="58BC159F" w14:textId="77777777" w:rsidR="00AA2D05" w:rsidRPr="00AA2D05" w:rsidRDefault="00AA2D05" w:rsidP="00AA2D05">
      <w:pPr>
        <w:spacing w:line="480" w:lineRule="auto"/>
        <w:rPr>
          <w:rFonts w:ascii="Arial" w:hAnsi="Arial" w:cs="Arial"/>
          <w:sz w:val="24"/>
          <w:szCs w:val="24"/>
        </w:rPr>
      </w:pPr>
    </w:p>
    <w:p w14:paraId="429659C4" w14:textId="77777777" w:rsidR="00AA2D05" w:rsidRPr="00AA2D05" w:rsidRDefault="00AA2D05" w:rsidP="00AA2D05">
      <w:pPr>
        <w:spacing w:line="480" w:lineRule="auto"/>
        <w:rPr>
          <w:rFonts w:ascii="Arial" w:hAnsi="Arial" w:cs="Arial"/>
          <w:sz w:val="24"/>
          <w:szCs w:val="24"/>
        </w:rPr>
      </w:pPr>
    </w:p>
    <w:p w14:paraId="1CFE885A" w14:textId="77777777" w:rsidR="00AA2D05" w:rsidRPr="00AA2D05" w:rsidRDefault="00AA2D05" w:rsidP="00AA2D05">
      <w:pPr>
        <w:spacing w:line="480" w:lineRule="auto"/>
        <w:rPr>
          <w:rFonts w:ascii="Arial" w:hAnsi="Arial" w:cs="Arial"/>
          <w:sz w:val="24"/>
          <w:szCs w:val="24"/>
        </w:rPr>
      </w:pPr>
    </w:p>
    <w:p w14:paraId="6BC1977F"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lastRenderedPageBreak/>
        <w:t xml:space="preserve">On 3rd of August, Mark Duggan who was already placed under surveillance, had managed to disappear off of the radar which sounded alarm bells for Trident and as such, as off the following day, officers would convene at a police base in Wood Green, London, that they had codenamed ‘Quicksilver’ It was here early hours on the 4th where it was made known of the intended use of the aforementioned firearm in the Vicarage Road area of Leyton. From this intelligence, Police quickly made steps to intercept Mr Duggan where an attempted arrest would be made but it would not </w:t>
      </w:r>
      <w:proofErr w:type="gramStart"/>
      <w:r w:rsidRPr="00AA2D05">
        <w:rPr>
          <w:rFonts w:ascii="Arial" w:hAnsi="Arial" w:cs="Arial"/>
          <w:sz w:val="24"/>
          <w:szCs w:val="24"/>
        </w:rPr>
        <w:t>come to pass</w:t>
      </w:r>
      <w:proofErr w:type="gramEnd"/>
      <w:r w:rsidRPr="00AA2D05">
        <w:rPr>
          <w:rFonts w:ascii="Arial" w:hAnsi="Arial" w:cs="Arial"/>
          <w:sz w:val="24"/>
          <w:szCs w:val="24"/>
        </w:rPr>
        <w:t xml:space="preserve"> as it was believed that Duggan was drawing his weapon, he was fatally shot twice by armed responders.</w:t>
      </w:r>
    </w:p>
    <w:p w14:paraId="7CDDC2D1" w14:textId="77777777" w:rsidR="00AA2D05" w:rsidRPr="00AA2D05" w:rsidRDefault="00AA2D05" w:rsidP="00AA2D05">
      <w:pPr>
        <w:spacing w:line="480" w:lineRule="auto"/>
        <w:rPr>
          <w:rFonts w:ascii="Arial" w:hAnsi="Arial" w:cs="Arial"/>
          <w:sz w:val="24"/>
          <w:szCs w:val="24"/>
        </w:rPr>
      </w:pPr>
    </w:p>
    <w:p w14:paraId="6287CA7A" w14:textId="77777777" w:rsidR="00AA2D05" w:rsidRPr="00AA2D05" w:rsidRDefault="00AA2D05" w:rsidP="00AA2D05">
      <w:pPr>
        <w:spacing w:line="480" w:lineRule="auto"/>
        <w:rPr>
          <w:rFonts w:ascii="Arial" w:hAnsi="Arial" w:cs="Arial"/>
          <w:sz w:val="24"/>
          <w:szCs w:val="24"/>
        </w:rPr>
      </w:pPr>
    </w:p>
    <w:p w14:paraId="0E6FA295"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In summary, the events that led up to the shooting of Mark Duggan consisted of a multitude of leadership styles in which most branched off from cooperative leadership between Operation Dibri and SOCA. Most of the steps made by SOCA and Dibri with in aid of each other achieving the same goal of deconstructing TMD although there was at one point, a laissez faire-approach taken by SOCA where they felt that some notably vital intelligence should be dealt with in its entirety by Trident.</w:t>
      </w:r>
    </w:p>
    <w:p w14:paraId="4D0C2E01" w14:textId="6AAC6475" w:rsidR="00AA2D05" w:rsidRDefault="00AA2D05" w:rsidP="00AA2D05">
      <w:pPr>
        <w:spacing w:line="480" w:lineRule="auto"/>
        <w:rPr>
          <w:rFonts w:ascii="Arial" w:hAnsi="Arial" w:cs="Arial"/>
          <w:sz w:val="24"/>
          <w:szCs w:val="24"/>
        </w:rPr>
      </w:pPr>
      <w:r w:rsidRPr="00AA2D05">
        <w:rPr>
          <w:rFonts w:ascii="Arial" w:hAnsi="Arial" w:cs="Arial"/>
          <w:sz w:val="24"/>
          <w:szCs w:val="24"/>
        </w:rPr>
        <w:t>By the end of the intelligence gathering, the collaboration nearly missed their window in stopping Mark Duggan but succeeded in preventing a potential shooting with the outcome being the unfortunate death of Mr Duggan.</w:t>
      </w:r>
    </w:p>
    <w:p w14:paraId="7296D3C9" w14:textId="1F47CCD1" w:rsidR="00AA2D05" w:rsidRDefault="00AA2D05" w:rsidP="00AA2D05">
      <w:pPr>
        <w:spacing w:line="480" w:lineRule="auto"/>
        <w:rPr>
          <w:rFonts w:ascii="Arial" w:hAnsi="Arial" w:cs="Arial"/>
          <w:sz w:val="24"/>
          <w:szCs w:val="24"/>
        </w:rPr>
      </w:pPr>
    </w:p>
    <w:p w14:paraId="20893F13" w14:textId="4C458AE0" w:rsidR="00AA2D05" w:rsidRDefault="00AA2D05" w:rsidP="00AA2D05">
      <w:pPr>
        <w:spacing w:line="480" w:lineRule="auto"/>
        <w:rPr>
          <w:rFonts w:ascii="Arial" w:hAnsi="Arial" w:cs="Arial"/>
          <w:sz w:val="24"/>
          <w:szCs w:val="24"/>
        </w:rPr>
      </w:pPr>
    </w:p>
    <w:p w14:paraId="22ED9E73" w14:textId="10E46AE9" w:rsidR="00AA2D05" w:rsidRDefault="00AA2D05" w:rsidP="00AA2D05">
      <w:pPr>
        <w:spacing w:line="480" w:lineRule="auto"/>
        <w:rPr>
          <w:rFonts w:ascii="Arial" w:hAnsi="Arial" w:cs="Arial"/>
          <w:sz w:val="24"/>
          <w:szCs w:val="24"/>
        </w:rPr>
      </w:pPr>
    </w:p>
    <w:p w14:paraId="599D1088"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lastRenderedPageBreak/>
        <w:t>References:</w:t>
      </w:r>
    </w:p>
    <w:p w14:paraId="79901728" w14:textId="77777777" w:rsidR="00AA2D05" w:rsidRPr="00AA2D05" w:rsidRDefault="00AA2D05" w:rsidP="00AA2D05">
      <w:pPr>
        <w:spacing w:line="480" w:lineRule="auto"/>
        <w:rPr>
          <w:rFonts w:ascii="Arial" w:hAnsi="Arial" w:cs="Arial"/>
          <w:sz w:val="24"/>
          <w:szCs w:val="24"/>
        </w:rPr>
      </w:pPr>
    </w:p>
    <w:p w14:paraId="06D3F9E9" w14:textId="7CCC284D"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 xml:space="preserve">Barkas, B (2014) Framing the death of Mark Duggan. Available at: </w:t>
      </w:r>
      <w:hyperlink r:id="rId6" w:history="1">
        <w:r w:rsidRPr="00D76470">
          <w:rPr>
            <w:rStyle w:val="Hyperlink"/>
            <w:rFonts w:ascii="Arial" w:hAnsi="Arial" w:cs="Arial"/>
            <w:sz w:val="24"/>
            <w:szCs w:val="24"/>
          </w:rPr>
          <w:t>https://irr.org.uk/article/framing-the-death-of-mark-duggan/#:~:text=According%20to%20evidence%20given%20by,guns%20and%20Class%20A%20drugs</w:t>
        </w:r>
      </w:hyperlink>
      <w:r w:rsidRPr="00AA2D05">
        <w:rPr>
          <w:rFonts w:ascii="Arial" w:hAnsi="Arial" w:cs="Arial"/>
          <w:sz w:val="24"/>
          <w:szCs w:val="24"/>
        </w:rPr>
        <w:t>.</w:t>
      </w:r>
      <w:r>
        <w:rPr>
          <w:rFonts w:ascii="Arial" w:hAnsi="Arial" w:cs="Arial"/>
          <w:sz w:val="24"/>
          <w:szCs w:val="24"/>
        </w:rPr>
        <w:t xml:space="preserve"> </w:t>
      </w:r>
      <w:r w:rsidRPr="00AA2D05">
        <w:rPr>
          <w:rFonts w:ascii="Arial" w:hAnsi="Arial" w:cs="Arial"/>
          <w:sz w:val="24"/>
          <w:szCs w:val="24"/>
        </w:rPr>
        <w:t>(Accessed 28th October 2022)</w:t>
      </w:r>
    </w:p>
    <w:p w14:paraId="0D271B84" w14:textId="12E0746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 xml:space="preserve">Basu, N (2022) Maintaining Confidence in Police Use of Force in Western Liberal Democracies. Available at: </w:t>
      </w:r>
      <w:hyperlink r:id="rId7" w:history="1">
        <w:r w:rsidRPr="00D76470">
          <w:rPr>
            <w:rStyle w:val="Hyperlink"/>
            <w:rFonts w:ascii="Arial" w:hAnsi="Arial" w:cs="Arial"/>
            <w:sz w:val="24"/>
            <w:szCs w:val="24"/>
          </w:rPr>
          <w:t>https://link.springer.com/article/10.1007/s41887-022-00076-9#:~:text=Even%20a%20tough%20operation%20like,murders%20of%20young%20black%20men</w:t>
        </w:r>
      </w:hyperlink>
      <w:r w:rsidRPr="00AA2D05">
        <w:rPr>
          <w:rFonts w:ascii="Arial" w:hAnsi="Arial" w:cs="Arial"/>
          <w:sz w:val="24"/>
          <w:szCs w:val="24"/>
        </w:rPr>
        <w:t>.</w:t>
      </w:r>
      <w:r>
        <w:rPr>
          <w:rFonts w:ascii="Arial" w:hAnsi="Arial" w:cs="Arial"/>
          <w:sz w:val="24"/>
          <w:szCs w:val="24"/>
        </w:rPr>
        <w:t xml:space="preserve"> </w:t>
      </w:r>
      <w:r w:rsidRPr="00AA2D05">
        <w:rPr>
          <w:rFonts w:ascii="Arial" w:hAnsi="Arial" w:cs="Arial"/>
          <w:sz w:val="24"/>
          <w:szCs w:val="24"/>
        </w:rPr>
        <w:t>(Accessed 28th October 2022)</w:t>
      </w:r>
    </w:p>
    <w:p w14:paraId="30574F73" w14:textId="2CE396F8"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 xml:space="preserve">Bridges, L (2012) Four days in August: the UK riots. Available at: </w:t>
      </w:r>
      <w:hyperlink r:id="rId8" w:history="1">
        <w:r w:rsidRPr="00D76470">
          <w:rPr>
            <w:rStyle w:val="Hyperlink"/>
            <w:rFonts w:ascii="Arial" w:hAnsi="Arial" w:cs="Arial"/>
            <w:sz w:val="24"/>
            <w:szCs w:val="24"/>
          </w:rPr>
          <w:t>https://journals.sagepub.com/doi/full/10.1177/0306396812446564?casa_token=gBLI36YD0RcAAAAA%3AJfkyUV-0nm4_tuVmod-G9vBwIEkHNonRWI5F06LK0r8PY0vjUjSPgMQhFg_txZ5iqu-3TG2owmRP</w:t>
        </w:r>
      </w:hyperlink>
      <w:r>
        <w:rPr>
          <w:rFonts w:ascii="Arial" w:hAnsi="Arial" w:cs="Arial"/>
          <w:sz w:val="24"/>
          <w:szCs w:val="24"/>
        </w:rPr>
        <w:t xml:space="preserve"> </w:t>
      </w:r>
      <w:r w:rsidRPr="00AA2D05">
        <w:rPr>
          <w:rFonts w:ascii="Arial" w:hAnsi="Arial" w:cs="Arial"/>
          <w:sz w:val="24"/>
          <w:szCs w:val="24"/>
        </w:rPr>
        <w:t>(Accessed 2nd November 2022)</w:t>
      </w:r>
    </w:p>
    <w:p w14:paraId="208FC6F8" w14:textId="635F653E"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 xml:space="preserve">Dodd, V (2014) Mark Duggan's death: two shots fired and two conflicting stories. Available at: </w:t>
      </w:r>
      <w:hyperlink r:id="rId9" w:history="1">
        <w:r w:rsidRPr="00D76470">
          <w:rPr>
            <w:rStyle w:val="Hyperlink"/>
            <w:rFonts w:ascii="Arial" w:hAnsi="Arial" w:cs="Arial"/>
            <w:sz w:val="24"/>
            <w:szCs w:val="24"/>
          </w:rPr>
          <w:t>https://www.theguardian.com/uk-news/2014/jan/08/mark-duggan-death-london-riots</w:t>
        </w:r>
      </w:hyperlink>
      <w:r>
        <w:rPr>
          <w:rFonts w:ascii="Arial" w:hAnsi="Arial" w:cs="Arial"/>
          <w:sz w:val="24"/>
          <w:szCs w:val="24"/>
        </w:rPr>
        <w:t xml:space="preserve"> </w:t>
      </w:r>
      <w:r w:rsidRPr="00AA2D05">
        <w:rPr>
          <w:rFonts w:ascii="Arial" w:hAnsi="Arial" w:cs="Arial"/>
          <w:sz w:val="24"/>
          <w:szCs w:val="24"/>
        </w:rPr>
        <w:t>(Accessed: 28th October 2022)</w:t>
      </w:r>
    </w:p>
    <w:p w14:paraId="46D0E9EA" w14:textId="1AA4852C"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 xml:space="preserve">H.M. Coroner (2014) Inquest into the death of Mark Duggan: REPORT TO PREVENT FUTURE DEATHS. Available at: </w:t>
      </w:r>
      <w:hyperlink r:id="rId10" w:history="1">
        <w:r w:rsidRPr="00D76470">
          <w:rPr>
            <w:rStyle w:val="Hyperlink"/>
            <w:rFonts w:ascii="Arial" w:hAnsi="Arial" w:cs="Arial"/>
            <w:sz w:val="24"/>
            <w:szCs w:val="24"/>
          </w:rPr>
          <w:t>https://www.judiciary.uk/wp-content/uploads/2014/06/Duggan-2014-0182.pdf</w:t>
        </w:r>
      </w:hyperlink>
      <w:r>
        <w:rPr>
          <w:rFonts w:ascii="Arial" w:hAnsi="Arial" w:cs="Arial"/>
          <w:sz w:val="24"/>
          <w:szCs w:val="24"/>
        </w:rPr>
        <w:t xml:space="preserve"> </w:t>
      </w:r>
      <w:r w:rsidRPr="00AA2D05">
        <w:rPr>
          <w:rFonts w:ascii="Arial" w:hAnsi="Arial" w:cs="Arial"/>
          <w:sz w:val="24"/>
          <w:szCs w:val="24"/>
        </w:rPr>
        <w:t>(Accessed 29th October 2022)</w:t>
      </w:r>
    </w:p>
    <w:p w14:paraId="57AA9D55" w14:textId="1AEA7975"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lastRenderedPageBreak/>
        <w:t xml:space="preserve">Independent Police Complaints Commission (2011) The fatal police shooting of Mr Mark Duggan on 4 August 2018. PDF Available at: </w:t>
      </w:r>
      <w:hyperlink r:id="rId11" w:history="1">
        <w:r w:rsidRPr="00D76470">
          <w:rPr>
            <w:rStyle w:val="Hyperlink"/>
            <w:rFonts w:ascii="Arial" w:hAnsi="Arial" w:cs="Arial"/>
            <w:sz w:val="24"/>
            <w:szCs w:val="24"/>
          </w:rPr>
          <w:t>https://www.statewatch.org/media/documents/news/2015/mar/uk-IPCC-investigation-report-fatal-shooting-of-MD.pdf</w:t>
        </w:r>
      </w:hyperlink>
      <w:r>
        <w:rPr>
          <w:rFonts w:ascii="Arial" w:hAnsi="Arial" w:cs="Arial"/>
          <w:sz w:val="24"/>
          <w:szCs w:val="24"/>
        </w:rPr>
        <w:t xml:space="preserve"> </w:t>
      </w:r>
      <w:r w:rsidRPr="00AA2D05">
        <w:rPr>
          <w:rFonts w:ascii="Arial" w:hAnsi="Arial" w:cs="Arial"/>
          <w:sz w:val="24"/>
          <w:szCs w:val="24"/>
        </w:rPr>
        <w:t>(Accessed 29th October 2022)</w:t>
      </w:r>
    </w:p>
    <w:p w14:paraId="4762B23A"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McGregor, D (1960) The human side of enterprise. McGraw-Hill</w:t>
      </w:r>
    </w:p>
    <w:p w14:paraId="305C2793" w14:textId="7153E8C5"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 xml:space="preserve">Mohammed, J (2013) Mark Duggan among 48 most violent criminals in Europe, inquest told. Available at: </w:t>
      </w:r>
      <w:hyperlink r:id="rId12" w:history="1">
        <w:r w:rsidRPr="00D76470">
          <w:rPr>
            <w:rStyle w:val="Hyperlink"/>
            <w:rFonts w:ascii="Arial" w:hAnsi="Arial" w:cs="Arial"/>
            <w:sz w:val="24"/>
            <w:szCs w:val="24"/>
          </w:rPr>
          <w:t>https://www.thetottenhamindependent.co.uk/news/10692828.mark-duggan-among-48-most-violent-criminals-in-europe-inquest-told/</w:t>
        </w:r>
      </w:hyperlink>
      <w:r>
        <w:rPr>
          <w:rFonts w:ascii="Arial" w:hAnsi="Arial" w:cs="Arial"/>
          <w:sz w:val="24"/>
          <w:szCs w:val="24"/>
        </w:rPr>
        <w:t xml:space="preserve"> </w:t>
      </w:r>
      <w:r w:rsidRPr="00AA2D05">
        <w:rPr>
          <w:rFonts w:ascii="Arial" w:hAnsi="Arial" w:cs="Arial"/>
          <w:sz w:val="24"/>
          <w:szCs w:val="24"/>
        </w:rPr>
        <w:t>(Accessed 1st November 2022)</w:t>
      </w:r>
    </w:p>
    <w:p w14:paraId="5A66F756" w14:textId="77777777"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 xml:space="preserve">Mullins, L. and Christy, G. (2010) Management &amp; Organisational Behaviour. 9th edn. Essex: Financial Times Pitman Publishing </w:t>
      </w:r>
    </w:p>
    <w:p w14:paraId="3B2B7C47" w14:textId="278C680F" w:rsidR="00AA2D05" w:rsidRPr="00AA2D05" w:rsidRDefault="00AA2D05" w:rsidP="00AA2D05">
      <w:pPr>
        <w:spacing w:line="480" w:lineRule="auto"/>
        <w:rPr>
          <w:rFonts w:ascii="Arial" w:hAnsi="Arial" w:cs="Arial"/>
          <w:sz w:val="24"/>
          <w:szCs w:val="24"/>
        </w:rPr>
      </w:pPr>
      <w:r w:rsidRPr="00AA2D05">
        <w:rPr>
          <w:rFonts w:ascii="Arial" w:hAnsi="Arial" w:cs="Arial"/>
          <w:sz w:val="24"/>
          <w:szCs w:val="24"/>
        </w:rPr>
        <w:t xml:space="preserve">Vera, A and Barth-Farkas, F (2016) Transformational, Transactional and Cooperative Police Leadership in theory and practise. PDF Available at: </w:t>
      </w:r>
      <w:hyperlink r:id="rId13" w:history="1">
        <w:r w:rsidRPr="00D76470">
          <w:rPr>
            <w:rStyle w:val="Hyperlink"/>
            <w:rFonts w:ascii="Arial" w:hAnsi="Arial" w:cs="Arial"/>
            <w:sz w:val="24"/>
            <w:szCs w:val="24"/>
          </w:rPr>
          <w:t>https://www.researchgate.net/publication/318129316_TRANSFORMATIONAL_TRANSACTIONAL_AND_COOPERATIVE_POLICE_LEADERSHIP_IN_THEORY_AND_PRACTICE</w:t>
        </w:r>
      </w:hyperlink>
      <w:r>
        <w:rPr>
          <w:rFonts w:ascii="Arial" w:hAnsi="Arial" w:cs="Arial"/>
          <w:sz w:val="24"/>
          <w:szCs w:val="24"/>
        </w:rPr>
        <w:t xml:space="preserve"> </w:t>
      </w:r>
      <w:r w:rsidRPr="00AA2D05">
        <w:rPr>
          <w:rFonts w:ascii="Arial" w:hAnsi="Arial" w:cs="Arial"/>
          <w:sz w:val="24"/>
          <w:szCs w:val="24"/>
        </w:rPr>
        <w:t xml:space="preserve">(Accessed 30th October 2022) </w:t>
      </w:r>
    </w:p>
    <w:sectPr w:rsidR="00AA2D05" w:rsidRPr="00AA2D05">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F78E3F" w14:textId="77777777" w:rsidR="00AA2D05" w:rsidRDefault="00AA2D05" w:rsidP="00AA2D05">
      <w:pPr>
        <w:spacing w:after="0" w:line="240" w:lineRule="auto"/>
      </w:pPr>
      <w:r>
        <w:separator/>
      </w:r>
    </w:p>
  </w:endnote>
  <w:endnote w:type="continuationSeparator" w:id="0">
    <w:p w14:paraId="6CA2D472" w14:textId="77777777" w:rsidR="00AA2D05" w:rsidRDefault="00AA2D05" w:rsidP="00AA2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2E0B9" w14:textId="77777777" w:rsidR="00AA2D05" w:rsidRDefault="00AA2D05" w:rsidP="00AA2D05">
      <w:pPr>
        <w:spacing w:after="0" w:line="240" w:lineRule="auto"/>
      </w:pPr>
      <w:r>
        <w:separator/>
      </w:r>
    </w:p>
  </w:footnote>
  <w:footnote w:type="continuationSeparator" w:id="0">
    <w:p w14:paraId="1E9F9C54" w14:textId="77777777" w:rsidR="00AA2D05" w:rsidRDefault="00AA2D05" w:rsidP="00AA2D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C42F0E" w14:textId="5E1C4F76" w:rsidR="00AA2D05" w:rsidRPr="00AA2D05" w:rsidRDefault="00AA2D05" w:rsidP="00AA2D05">
    <w:pPr>
      <w:pStyle w:val="Header"/>
      <w:jc w:val="right"/>
      <w:rPr>
        <w:rFonts w:ascii="Arial" w:hAnsi="Arial" w:cs="Arial"/>
        <w:sz w:val="24"/>
        <w:szCs w:val="24"/>
      </w:rPr>
    </w:pPr>
    <w:r>
      <w:rPr>
        <w:rFonts w:ascii="Arial" w:hAnsi="Arial" w:cs="Arial"/>
        <w:sz w:val="24"/>
        <w:szCs w:val="24"/>
      </w:rPr>
      <w:t>Robert Jones (2004654)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D05"/>
    <w:rsid w:val="00AA2D05"/>
    <w:rsid w:val="00E15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A6339"/>
  <w15:chartTrackingRefBased/>
  <w15:docId w15:val="{A106D75D-5CFD-4CE5-BDA5-CBD3D8456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2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2D05"/>
  </w:style>
  <w:style w:type="paragraph" w:styleId="Footer">
    <w:name w:val="footer"/>
    <w:basedOn w:val="Normal"/>
    <w:link w:val="FooterChar"/>
    <w:uiPriority w:val="99"/>
    <w:unhideWhenUsed/>
    <w:rsid w:val="00AA2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D05"/>
  </w:style>
  <w:style w:type="character" w:styleId="Hyperlink">
    <w:name w:val="Hyperlink"/>
    <w:basedOn w:val="DefaultParagraphFont"/>
    <w:uiPriority w:val="99"/>
    <w:unhideWhenUsed/>
    <w:rsid w:val="00AA2D05"/>
    <w:rPr>
      <w:color w:val="0563C1" w:themeColor="hyperlink"/>
      <w:u w:val="single"/>
    </w:rPr>
  </w:style>
  <w:style w:type="character" w:styleId="UnresolvedMention">
    <w:name w:val="Unresolved Mention"/>
    <w:basedOn w:val="DefaultParagraphFont"/>
    <w:uiPriority w:val="99"/>
    <w:semiHidden/>
    <w:unhideWhenUsed/>
    <w:rsid w:val="00AA2D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0306396812446564?casa_token=gBLI36YD0RcAAAAA%3AJfkyUV-0nm4_tuVmod-G9vBwIEkHNonRWI5F06LK0r8PY0vjUjSPgMQhFg_txZ5iqu-3TG2owmRP" TargetMode="External"/><Relationship Id="rId13" Type="http://schemas.openxmlformats.org/officeDocument/2006/relationships/hyperlink" Target="https://www.researchgate.net/publication/318129316_TRANSFORMATIONAL_TRANSACTIONAL_AND_COOPERATIVE_POLICE_LEADERSHIP_IN_THEORY_AND_PRACTICE" TargetMode="External"/><Relationship Id="rId3" Type="http://schemas.openxmlformats.org/officeDocument/2006/relationships/webSettings" Target="webSettings.xml"/><Relationship Id="rId7" Type="http://schemas.openxmlformats.org/officeDocument/2006/relationships/hyperlink" Target="https://link.springer.com/article/10.1007/s41887-022-00076-9#:~:text=Even%20a%20tough%20operation%20like,murders%20of%20young%20black%20men" TargetMode="External"/><Relationship Id="rId12" Type="http://schemas.openxmlformats.org/officeDocument/2006/relationships/hyperlink" Target="https://www.thetottenhamindependent.co.uk/news/10692828.mark-duggan-among-48-most-violent-criminals-in-europe-inquest-told/"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irr.org.uk/article/framing-the-death-of-mark-duggan/#:~:text=According%20to%20evidence%20given%20by,guns%20and%20Class%20A%20drugs" TargetMode="External"/><Relationship Id="rId11" Type="http://schemas.openxmlformats.org/officeDocument/2006/relationships/hyperlink" Target="https://www.statewatch.org/media/documents/news/2015/mar/uk-IPCC-investigation-report-fatal-shooting-of-MD.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judiciary.uk/wp-content/uploads/2014/06/Duggan-2014-0182.pdf" TargetMode="External"/><Relationship Id="rId4" Type="http://schemas.openxmlformats.org/officeDocument/2006/relationships/footnotes" Target="footnotes.xml"/><Relationship Id="rId9" Type="http://schemas.openxmlformats.org/officeDocument/2006/relationships/hyperlink" Target="https://www.theguardian.com/uk-news/2014/jan/08/mark-duggan-death-london-riot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1464</Words>
  <Characters>8345</Characters>
  <Application>Microsoft Office Word</Application>
  <DocSecurity>0</DocSecurity>
  <Lines>69</Lines>
  <Paragraphs>19</Paragraphs>
  <ScaleCrop>false</ScaleCrop>
  <Company/>
  <LinksUpToDate>false</LinksUpToDate>
  <CharactersWithSpaces>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Jones</dc:creator>
  <cp:keywords/>
  <dc:description/>
  <cp:lastModifiedBy>Rob Jones</cp:lastModifiedBy>
  <cp:revision>1</cp:revision>
  <dcterms:created xsi:type="dcterms:W3CDTF">2022-11-06T22:30:00Z</dcterms:created>
  <dcterms:modified xsi:type="dcterms:W3CDTF">2022-11-06T22:37:00Z</dcterms:modified>
</cp:coreProperties>
</file>