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09183004"/>
        <w:docPartObj>
          <w:docPartGallery w:val="Cover Pages"/>
          <w:docPartUnique/>
        </w:docPartObj>
      </w:sdtPr>
      <w:sdtEndPr>
        <w:rPr>
          <w:rFonts w:ascii="Arial" w:hAnsi="Arial" w:cs="Arial"/>
          <w:b/>
          <w:bCs/>
          <w:color w:val="156082" w:themeColor="accent1"/>
        </w:rPr>
      </w:sdtEndPr>
      <w:sdtContent>
        <w:p w14:paraId="12291D59" w14:textId="639382AC" w:rsidR="00DA65E2" w:rsidRDefault="00DA65E2" w:rsidP="00DA65E2">
          <w:pPr>
            <w:pBdr>
              <w:bottom w:val="thinThickThinMediumGap" w:sz="24" w:space="1" w:color="auto"/>
            </w:pBdr>
          </w:pPr>
          <w:r>
            <w:rPr>
              <w:noProof/>
            </w:rPr>
            <mc:AlternateContent>
              <mc:Choice Requires="wpg">
                <w:drawing>
                  <wp:anchor distT="0" distB="0" distL="114300" distR="114300" simplePos="0" relativeHeight="251662336" behindDoc="0" locked="0" layoutInCell="1" allowOverlap="1" wp14:anchorId="4E579A9A" wp14:editId="11D2D36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EE1853A"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8" o:title="" recolor="t" rotate="t" type="frame"/>
                    </v:rect>
                    <w10:wrap anchorx="page" anchory="page"/>
                  </v:group>
                </w:pict>
              </mc:Fallback>
            </mc:AlternateContent>
          </w:r>
        </w:p>
        <w:p w14:paraId="43139F21" w14:textId="77777777" w:rsidR="00DA65E2" w:rsidRDefault="00DA65E2" w:rsidP="00DA65E2">
          <w:pPr>
            <w:pBdr>
              <w:bottom w:val="thinThickThinMediumGap" w:sz="24" w:space="1" w:color="auto"/>
            </w:pBdr>
            <w:rPr>
              <w:rFonts w:ascii="Arial" w:hAnsi="Arial" w:cs="Arial"/>
              <w:b/>
              <w:bCs/>
              <w:color w:val="156082" w:themeColor="accent1"/>
            </w:rPr>
          </w:pPr>
        </w:p>
        <w:p w14:paraId="7A4EC217" w14:textId="4A4A1CB7" w:rsidR="00DA65E2" w:rsidRPr="00DA65E2" w:rsidRDefault="00DA65E2" w:rsidP="00DA65E2">
          <w:pPr>
            <w:rPr>
              <w:rFonts w:ascii="Arial Black" w:hAnsi="Arial Black" w:cs="Arial"/>
              <w:b/>
              <w:bCs/>
              <w:color w:val="156082" w:themeColor="accent1"/>
              <w:sz w:val="56"/>
              <w:szCs w:val="56"/>
            </w:rPr>
          </w:pPr>
          <w:r w:rsidRPr="00DA65E2">
            <w:rPr>
              <w:rFonts w:ascii="Arial Black" w:hAnsi="Arial Black" w:cs="Arial"/>
              <w:b/>
              <w:bCs/>
              <w:color w:val="156082" w:themeColor="accent1"/>
              <w:sz w:val="56"/>
              <w:szCs w:val="56"/>
            </w:rPr>
            <w:t>Student name:</w:t>
          </w:r>
          <w:r w:rsidRPr="00DA65E2">
            <w:rPr>
              <w:rFonts w:ascii="Arial Black" w:hAnsi="Arial Black" w:cs="Arial"/>
              <w:b/>
              <w:bCs/>
              <w:color w:val="156082" w:themeColor="accent1"/>
              <w:sz w:val="56"/>
              <w:szCs w:val="56"/>
            </w:rPr>
            <w:t xml:space="preserve"> Costica Laurentiu Tocila </w:t>
          </w:r>
          <w:r w:rsidRPr="00DA65E2">
            <w:rPr>
              <w:rFonts w:ascii="Arial Black" w:hAnsi="Arial Black" w:cs="Arial"/>
              <w:b/>
              <w:bCs/>
              <w:color w:val="156082" w:themeColor="accent1"/>
              <w:sz w:val="56"/>
              <w:szCs w:val="56"/>
            </w:rPr>
            <w:t xml:space="preserve">     </w:t>
          </w:r>
        </w:p>
        <w:p w14:paraId="3A78EF8E" w14:textId="64D4A49C" w:rsidR="00DA65E2" w:rsidRPr="00DA65E2" w:rsidRDefault="00DA65E2" w:rsidP="00DA65E2">
          <w:pPr>
            <w:pBdr>
              <w:bottom w:val="thinThickThinMediumGap" w:sz="24" w:space="1" w:color="auto"/>
            </w:pBdr>
            <w:rPr>
              <w:rFonts w:ascii="Arial Black" w:hAnsi="Arial Black" w:cs="Arial"/>
              <w:b/>
              <w:bCs/>
              <w:color w:val="156082" w:themeColor="accent1"/>
              <w:sz w:val="56"/>
              <w:szCs w:val="56"/>
            </w:rPr>
          </w:pPr>
          <w:r w:rsidRPr="00DA65E2">
            <w:rPr>
              <w:rFonts w:ascii="Arial Black" w:hAnsi="Arial Black" w:cs="Arial"/>
              <w:b/>
              <w:bCs/>
              <w:color w:val="156082" w:themeColor="accent1"/>
              <w:sz w:val="56"/>
              <w:szCs w:val="56"/>
            </w:rPr>
            <w:t>Programme:</w:t>
          </w:r>
          <w:r w:rsidRPr="00DA65E2">
            <w:rPr>
              <w:rFonts w:ascii="Arial Black" w:hAnsi="Arial Black" w:cs="Arial"/>
              <w:b/>
              <w:bCs/>
              <w:color w:val="156082" w:themeColor="accent1"/>
              <w:sz w:val="56"/>
              <w:szCs w:val="56"/>
            </w:rPr>
            <w:t xml:space="preserve"> </w:t>
          </w:r>
          <w:r w:rsidRPr="00DA65E2">
            <w:rPr>
              <w:rFonts w:ascii="Arial Black" w:hAnsi="Arial Black" w:cs="Arial"/>
              <w:b/>
              <w:bCs/>
              <w:color w:val="156082" w:themeColor="accent1"/>
              <w:sz w:val="56"/>
              <w:szCs w:val="56"/>
            </w:rPr>
            <w:t xml:space="preserve">BA Business and Management </w:t>
          </w:r>
        </w:p>
        <w:p w14:paraId="4C8AF686" w14:textId="5FF91AB4" w:rsidR="00DA65E2" w:rsidRPr="00DA65E2" w:rsidRDefault="00DA65E2" w:rsidP="00DA65E2">
          <w:pPr>
            <w:pBdr>
              <w:bottom w:val="thinThickThinMediumGap" w:sz="24" w:space="1" w:color="auto"/>
            </w:pBdr>
            <w:rPr>
              <w:rFonts w:ascii="Arial Black" w:hAnsi="Arial Black" w:cs="Arial"/>
              <w:b/>
              <w:bCs/>
              <w:color w:val="156082" w:themeColor="accent1"/>
              <w:sz w:val="56"/>
              <w:szCs w:val="56"/>
            </w:rPr>
          </w:pPr>
          <w:r w:rsidRPr="00DA65E2">
            <w:rPr>
              <w:rFonts w:ascii="Arial Black" w:hAnsi="Arial Black" w:cs="Arial"/>
              <w:b/>
              <w:bCs/>
              <w:color w:val="156082" w:themeColor="accent1"/>
              <w:sz w:val="56"/>
              <w:szCs w:val="56"/>
            </w:rPr>
            <w:t>Module:</w:t>
          </w:r>
          <w:r w:rsidRPr="00DA65E2">
            <w:rPr>
              <w:rFonts w:ascii="Arial Black" w:hAnsi="Arial Black" w:cs="Arial"/>
              <w:b/>
              <w:bCs/>
              <w:color w:val="156082" w:themeColor="accent1"/>
              <w:sz w:val="56"/>
              <w:szCs w:val="56"/>
            </w:rPr>
            <w:t xml:space="preserve"> </w:t>
          </w:r>
          <w:r w:rsidRPr="00DA65E2">
            <w:rPr>
              <w:rFonts w:ascii="Arial Black" w:hAnsi="Arial Black" w:cs="Arial"/>
              <w:b/>
              <w:bCs/>
              <w:color w:val="156082" w:themeColor="accent1"/>
              <w:sz w:val="56"/>
              <w:szCs w:val="56"/>
            </w:rPr>
            <w:t>Distinctiveness and Regeneration</w:t>
          </w:r>
        </w:p>
        <w:p w14:paraId="0A2047A7" w14:textId="68D107C0" w:rsidR="00DA65E2" w:rsidRPr="00DA65E2" w:rsidRDefault="00DA65E2" w:rsidP="00DA65E2">
          <w:pPr>
            <w:pBdr>
              <w:bottom w:val="thinThickThinMediumGap" w:sz="24" w:space="1" w:color="auto"/>
            </w:pBdr>
            <w:rPr>
              <w:rFonts w:ascii="Arial Black" w:hAnsi="Arial Black" w:cs="Arial"/>
              <w:b/>
              <w:bCs/>
              <w:color w:val="156082" w:themeColor="accent1"/>
              <w:sz w:val="56"/>
              <w:szCs w:val="56"/>
            </w:rPr>
          </w:pPr>
          <w:r w:rsidRPr="00DA65E2">
            <w:rPr>
              <w:rFonts w:ascii="Arial Black" w:hAnsi="Arial Black" w:cs="Arial"/>
              <w:b/>
              <w:bCs/>
              <w:color w:val="156082" w:themeColor="accent1"/>
              <w:sz w:val="56"/>
              <w:szCs w:val="56"/>
            </w:rPr>
            <w:t>Module code:</w:t>
          </w:r>
          <w:r w:rsidRPr="00DA65E2">
            <w:rPr>
              <w:rFonts w:ascii="Arial Black" w:hAnsi="Arial Black" w:cs="Arial"/>
              <w:b/>
              <w:bCs/>
              <w:color w:val="156082" w:themeColor="accent1"/>
              <w:sz w:val="56"/>
              <w:szCs w:val="56"/>
            </w:rPr>
            <w:t xml:space="preserve"> </w:t>
          </w:r>
          <w:r w:rsidRPr="00DA65E2">
            <w:rPr>
              <w:rFonts w:ascii="Arial Black" w:hAnsi="Arial Black" w:cs="Arial"/>
              <w:b/>
              <w:bCs/>
              <w:color w:val="156082" w:themeColor="accent1"/>
              <w:sz w:val="56"/>
              <w:szCs w:val="56"/>
            </w:rPr>
            <w:t>BMSP4016</w:t>
          </w:r>
        </w:p>
        <w:p w14:paraId="13698466" w14:textId="42BA6E9A" w:rsidR="00DA65E2" w:rsidRPr="00DA65E2" w:rsidRDefault="00DA65E2" w:rsidP="00DA65E2">
          <w:pPr>
            <w:pBdr>
              <w:bottom w:val="thinThickThinMediumGap" w:sz="24" w:space="1" w:color="auto"/>
            </w:pBdr>
            <w:rPr>
              <w:rFonts w:ascii="Arial Black" w:hAnsi="Arial Black" w:cs="Arial"/>
              <w:b/>
              <w:bCs/>
              <w:color w:val="156082" w:themeColor="accent1"/>
              <w:sz w:val="56"/>
              <w:szCs w:val="56"/>
            </w:rPr>
          </w:pPr>
          <w:r w:rsidRPr="00DA65E2">
            <w:rPr>
              <w:rFonts w:ascii="Arial Black" w:hAnsi="Arial Black" w:cs="Arial"/>
              <w:b/>
              <w:bCs/>
              <w:color w:val="156082" w:themeColor="accent1"/>
              <w:sz w:val="56"/>
              <w:szCs w:val="56"/>
            </w:rPr>
            <w:t>Lecturer:</w:t>
          </w:r>
          <w:r w:rsidRPr="00DA65E2">
            <w:rPr>
              <w:rFonts w:ascii="Arial Black" w:hAnsi="Arial Black" w:cs="Arial"/>
              <w:b/>
              <w:bCs/>
              <w:color w:val="156082" w:themeColor="accent1"/>
              <w:sz w:val="56"/>
              <w:szCs w:val="56"/>
            </w:rPr>
            <w:t xml:space="preserve"> </w:t>
          </w:r>
          <w:r w:rsidRPr="00DA65E2">
            <w:rPr>
              <w:rFonts w:ascii="Arial Black" w:hAnsi="Arial Black" w:cs="Arial"/>
              <w:b/>
              <w:bCs/>
              <w:color w:val="156082" w:themeColor="accent1"/>
              <w:sz w:val="56"/>
              <w:szCs w:val="56"/>
            </w:rPr>
            <w:t xml:space="preserve">Jessica Shore </w:t>
          </w:r>
        </w:p>
        <w:p w14:paraId="5208EF68" w14:textId="649DCE78" w:rsidR="00DA65E2" w:rsidRPr="00DA65E2" w:rsidRDefault="00DA65E2" w:rsidP="00DA65E2">
          <w:pPr>
            <w:pBdr>
              <w:bottom w:val="thinThickThinMediumGap" w:sz="24" w:space="1" w:color="auto"/>
            </w:pBdr>
            <w:rPr>
              <w:rFonts w:ascii="Arial Black" w:hAnsi="Arial Black" w:cs="Arial"/>
              <w:b/>
              <w:bCs/>
              <w:color w:val="156082" w:themeColor="accent1"/>
              <w:sz w:val="56"/>
              <w:szCs w:val="56"/>
            </w:rPr>
          </w:pPr>
          <w:r w:rsidRPr="00DA65E2">
            <w:rPr>
              <w:rFonts w:ascii="Arial Black" w:hAnsi="Arial Black" w:cs="Arial"/>
              <w:b/>
              <w:bCs/>
              <w:color w:val="156082" w:themeColor="accent1"/>
              <w:sz w:val="56"/>
              <w:szCs w:val="56"/>
            </w:rPr>
            <w:t>Assignment Title:</w:t>
          </w:r>
          <w:r w:rsidRPr="00DA65E2">
            <w:rPr>
              <w:rFonts w:ascii="Arial Black" w:hAnsi="Arial Black" w:cs="Arial"/>
              <w:b/>
              <w:bCs/>
              <w:color w:val="156082" w:themeColor="accent1"/>
              <w:sz w:val="56"/>
              <w:szCs w:val="56"/>
            </w:rPr>
            <w:t xml:space="preserve"> </w:t>
          </w:r>
          <w:r w:rsidRPr="00DA65E2">
            <w:rPr>
              <w:rFonts w:ascii="Arial Black" w:hAnsi="Arial Black" w:cs="Arial"/>
              <w:b/>
              <w:bCs/>
              <w:color w:val="156082" w:themeColor="accent1"/>
              <w:sz w:val="56"/>
              <w:szCs w:val="56"/>
            </w:rPr>
            <w:t>Report</w:t>
          </w:r>
        </w:p>
        <w:p w14:paraId="7054608B" w14:textId="01D1AA3E" w:rsidR="00DA65E2" w:rsidRDefault="00DA65E2" w:rsidP="00DA65E2">
          <w:pPr>
            <w:pBdr>
              <w:bottom w:val="thinThickThinMediumGap" w:sz="24" w:space="1" w:color="auto"/>
            </w:pBdr>
            <w:rPr>
              <w:rFonts w:ascii="Arial" w:hAnsi="Arial" w:cs="Arial"/>
              <w:b/>
              <w:bCs/>
              <w:color w:val="156082" w:themeColor="accent1"/>
            </w:rPr>
          </w:pPr>
          <w:r w:rsidRPr="00DA65E2">
            <w:rPr>
              <w:rFonts w:ascii="Arial Black" w:hAnsi="Arial Black" w:cs="Arial"/>
              <w:b/>
              <w:bCs/>
              <w:color w:val="156082" w:themeColor="accent1"/>
              <w:sz w:val="56"/>
              <w:szCs w:val="56"/>
            </w:rPr>
            <w:t>Submission deadline:</w:t>
          </w:r>
          <w:r>
            <w:rPr>
              <w:rFonts w:ascii="Arial Black" w:hAnsi="Arial Black" w:cs="Arial"/>
              <w:b/>
              <w:bCs/>
              <w:color w:val="156082" w:themeColor="accent1"/>
              <w:sz w:val="56"/>
              <w:szCs w:val="56"/>
            </w:rPr>
            <w:t xml:space="preserve"> </w:t>
          </w:r>
          <w:r w:rsidRPr="00DA65E2">
            <w:rPr>
              <w:rFonts w:ascii="Arial Black" w:hAnsi="Arial Black" w:cs="Arial"/>
              <w:b/>
              <w:bCs/>
              <w:color w:val="156082" w:themeColor="accent1"/>
              <w:sz w:val="56"/>
              <w:szCs w:val="56"/>
            </w:rPr>
            <w:t>25th April</w:t>
          </w:r>
          <w:r>
            <w:rPr>
              <w:rFonts w:ascii="Arial" w:hAnsi="Arial" w:cs="Arial"/>
              <w:b/>
              <w:bCs/>
              <w:color w:val="156082" w:themeColor="accent1"/>
            </w:rPr>
            <w:br w:type="page"/>
          </w:r>
        </w:p>
      </w:sdtContent>
    </w:sdt>
    <w:p w14:paraId="5B95A5CE" w14:textId="35E36988" w:rsidR="00022BDE" w:rsidRPr="00022BDE" w:rsidRDefault="00022BDE" w:rsidP="00022BDE">
      <w:pPr>
        <w:spacing w:line="480" w:lineRule="auto"/>
        <w:rPr>
          <w:rFonts w:ascii="Arial" w:hAnsi="Arial" w:cs="Arial"/>
          <w:b/>
          <w:bCs/>
          <w:color w:val="156082" w:themeColor="accent1"/>
        </w:rPr>
      </w:pPr>
      <w:r w:rsidRPr="00022BDE">
        <w:rPr>
          <w:rFonts w:ascii="Arial" w:hAnsi="Arial" w:cs="Arial"/>
          <w:b/>
          <w:bCs/>
          <w:color w:val="156082" w:themeColor="accent1"/>
        </w:rPr>
        <w:lastRenderedPageBreak/>
        <w:t>Introduction</w:t>
      </w:r>
    </w:p>
    <w:p w14:paraId="772C320F" w14:textId="1AA75553" w:rsidR="00022BDE" w:rsidRPr="00022BDE" w:rsidRDefault="00022BDE" w:rsidP="00022BDE">
      <w:pPr>
        <w:spacing w:line="480" w:lineRule="auto"/>
        <w:rPr>
          <w:rFonts w:ascii="Arial" w:hAnsi="Arial" w:cs="Arial"/>
        </w:rPr>
      </w:pPr>
      <w:r w:rsidRPr="00022BDE">
        <w:rPr>
          <w:rFonts w:ascii="Arial" w:hAnsi="Arial" w:cs="Arial"/>
        </w:rPr>
        <w:t xml:space="preserve">Cardiff's Butetown and Cardiff Bay areas are an example of urban regeneration in many ways. They are places where urban areas that had been heavily reliant on coal in the late 19th and early 20th centuries saw their fortunes turn into </w:t>
      </w:r>
      <w:r>
        <w:rPr>
          <w:rFonts w:ascii="Arial" w:hAnsi="Arial" w:cs="Arial"/>
        </w:rPr>
        <w:t>areas</w:t>
      </w:r>
      <w:r w:rsidRPr="00022BDE">
        <w:rPr>
          <w:rFonts w:ascii="Arial" w:hAnsi="Arial" w:cs="Arial"/>
        </w:rPr>
        <w:t xml:space="preserve"> that </w:t>
      </w:r>
      <w:r>
        <w:rPr>
          <w:rFonts w:ascii="Arial" w:hAnsi="Arial" w:cs="Arial"/>
        </w:rPr>
        <w:t>are</w:t>
      </w:r>
      <w:r w:rsidRPr="00022BDE">
        <w:rPr>
          <w:rFonts w:ascii="Arial" w:hAnsi="Arial" w:cs="Arial"/>
        </w:rPr>
        <w:t xml:space="preserve"> now being redeveloped and reinvigorated. Butetown and Cardiff Bay also show how the legacy of inequalities can continue after the transition from an industrial city to a post-industrial one. The meanings behind these changes must be understood </w:t>
      </w:r>
      <w:r w:rsidRPr="00022BDE">
        <w:rPr>
          <w:rFonts w:ascii="Arial" w:hAnsi="Arial" w:cs="Arial"/>
        </w:rPr>
        <w:t>to</w:t>
      </w:r>
      <w:r w:rsidRPr="00022BDE">
        <w:rPr>
          <w:rFonts w:ascii="Arial" w:hAnsi="Arial" w:cs="Arial"/>
        </w:rPr>
        <w:t xml:space="preserve"> create urban regeneration strategies that are inclusive, sustainable and provide long-term benefits to its residents.</w:t>
      </w:r>
    </w:p>
    <w:p w14:paraId="30B2FF5B" w14:textId="1A77B871" w:rsidR="00022BDE" w:rsidRPr="00022BDE" w:rsidRDefault="00022BDE" w:rsidP="00022BDE">
      <w:pPr>
        <w:pStyle w:val="ListParagraph"/>
        <w:numPr>
          <w:ilvl w:val="0"/>
          <w:numId w:val="2"/>
        </w:numPr>
        <w:spacing w:line="480" w:lineRule="auto"/>
        <w:rPr>
          <w:rFonts w:ascii="Arial" w:hAnsi="Arial" w:cs="Arial"/>
          <w:b/>
          <w:bCs/>
          <w:color w:val="156082" w:themeColor="accent1"/>
        </w:rPr>
      </w:pPr>
      <w:r w:rsidRPr="00022BDE">
        <w:rPr>
          <w:rFonts w:ascii="Arial" w:hAnsi="Arial" w:cs="Arial"/>
          <w:b/>
          <w:bCs/>
          <w:color w:val="156082" w:themeColor="accent1"/>
        </w:rPr>
        <w:t>Appraisal</w:t>
      </w:r>
    </w:p>
    <w:p w14:paraId="5DFB02D3" w14:textId="1DE6FDBA" w:rsidR="00022BDE" w:rsidRPr="00022BDE" w:rsidRDefault="00022BDE" w:rsidP="00022BDE">
      <w:pPr>
        <w:pStyle w:val="ListParagraph"/>
        <w:numPr>
          <w:ilvl w:val="0"/>
          <w:numId w:val="1"/>
        </w:numPr>
        <w:spacing w:line="480" w:lineRule="auto"/>
        <w:rPr>
          <w:rFonts w:ascii="Arial" w:hAnsi="Arial" w:cs="Arial"/>
          <w:b/>
          <w:bCs/>
          <w:color w:val="156082" w:themeColor="accent1"/>
        </w:rPr>
      </w:pPr>
      <w:r w:rsidRPr="00022BDE">
        <w:rPr>
          <w:rFonts w:ascii="Arial" w:hAnsi="Arial" w:cs="Arial"/>
          <w:b/>
          <w:bCs/>
          <w:color w:val="156082" w:themeColor="accent1"/>
        </w:rPr>
        <w:t>The Changing Fortunes of Butetown and Cardiff Bay</w:t>
      </w:r>
    </w:p>
    <w:p w14:paraId="2E6EE8E2" w14:textId="77777777" w:rsidR="00022BDE" w:rsidRPr="00022BDE" w:rsidRDefault="00022BDE" w:rsidP="00022BDE">
      <w:pPr>
        <w:spacing w:line="480" w:lineRule="auto"/>
        <w:rPr>
          <w:rFonts w:ascii="Arial" w:hAnsi="Arial" w:cs="Arial"/>
        </w:rPr>
      </w:pPr>
      <w:r w:rsidRPr="00022BDE">
        <w:rPr>
          <w:rFonts w:ascii="Arial" w:hAnsi="Arial" w:cs="Arial"/>
        </w:rPr>
        <w:t>The economic history of Butetown and Cardiff Bay has been closely linked to that of the coal industry in South Wales and the associated dock facilities at Cardiff Docks. At the height of the coal and shipping industries from the 19th century until the mid-20th century, Cardiff was one of the largest exporting ports for coal in the world, with many of the jobs in Butetown being generated by dock-related activity. The economic base for this thriving dockland populace and community was based on maritime types of employment and people who formed a large, working-class community.</w:t>
      </w:r>
    </w:p>
    <w:p w14:paraId="582883CD" w14:textId="7FA95D90" w:rsidR="00022BDE" w:rsidRPr="00022BDE" w:rsidRDefault="00022BDE" w:rsidP="00022BDE">
      <w:pPr>
        <w:spacing w:line="480" w:lineRule="auto"/>
        <w:rPr>
          <w:rFonts w:ascii="Arial" w:hAnsi="Arial" w:cs="Arial"/>
        </w:rPr>
      </w:pPr>
      <w:r w:rsidRPr="00022BDE">
        <w:rPr>
          <w:rFonts w:ascii="Arial" w:hAnsi="Arial" w:cs="Arial"/>
        </w:rPr>
        <w:t xml:space="preserve">The decline of the coal industry between the mid-20th Century and </w:t>
      </w:r>
      <w:r>
        <w:rPr>
          <w:rFonts w:ascii="Arial" w:hAnsi="Arial" w:cs="Arial"/>
        </w:rPr>
        <w:t xml:space="preserve">the </w:t>
      </w:r>
      <w:r w:rsidRPr="00022BDE">
        <w:rPr>
          <w:rFonts w:ascii="Arial" w:hAnsi="Arial" w:cs="Arial"/>
        </w:rPr>
        <w:t xml:space="preserve">present day has had a significant impact </w:t>
      </w:r>
      <w:r>
        <w:rPr>
          <w:rFonts w:ascii="Arial" w:hAnsi="Arial" w:cs="Arial"/>
        </w:rPr>
        <w:t>on</w:t>
      </w:r>
      <w:r w:rsidRPr="00022BDE">
        <w:rPr>
          <w:rFonts w:ascii="Arial" w:hAnsi="Arial" w:cs="Arial"/>
        </w:rPr>
        <w:t xml:space="preserve"> the economy and people of Butetown and Cardiff Bay. A reduction in demand for coal worldwide and major changes to the industrial structure of South Wales </w:t>
      </w:r>
      <w:r>
        <w:rPr>
          <w:rFonts w:ascii="Arial" w:hAnsi="Arial" w:cs="Arial"/>
        </w:rPr>
        <w:t>have</w:t>
      </w:r>
      <w:r w:rsidRPr="00022BDE">
        <w:rPr>
          <w:rFonts w:ascii="Arial" w:hAnsi="Arial" w:cs="Arial"/>
        </w:rPr>
        <w:t xml:space="preserve"> resulted in the loss of an economic base for the docks, resulting in high levels of unemployment, population decline and continued levels of physical </w:t>
      </w:r>
      <w:r w:rsidRPr="00022BDE">
        <w:rPr>
          <w:rFonts w:ascii="Arial" w:hAnsi="Arial" w:cs="Arial"/>
        </w:rPr>
        <w:t>dereliction. The</w:t>
      </w:r>
      <w:r w:rsidRPr="00022BDE">
        <w:rPr>
          <w:rFonts w:ascii="Arial" w:hAnsi="Arial" w:cs="Arial"/>
        </w:rPr>
        <w:t xml:space="preserve"> historical significance of this time is noticeable in </w:t>
      </w:r>
      <w:r w:rsidRPr="00022BDE">
        <w:rPr>
          <w:rFonts w:ascii="Arial" w:hAnsi="Arial" w:cs="Arial"/>
        </w:rPr>
        <w:lastRenderedPageBreak/>
        <w:t xml:space="preserve">today's situation, particularly how Butetown has some social and economic issues due to </w:t>
      </w:r>
      <w:r>
        <w:rPr>
          <w:rFonts w:ascii="Arial" w:hAnsi="Arial" w:cs="Arial"/>
        </w:rPr>
        <w:t>its</w:t>
      </w:r>
      <w:r w:rsidRPr="00022BDE">
        <w:rPr>
          <w:rFonts w:ascii="Arial" w:hAnsi="Arial" w:cs="Arial"/>
        </w:rPr>
        <w:t xml:space="preserve"> history of decline. Such areas are usually affected by the lack of resources and the financial impacts from machinery being obsolete (Saunders, 2023).</w:t>
      </w:r>
    </w:p>
    <w:p w14:paraId="518B97CD" w14:textId="54D834EA" w:rsidR="00022BDE" w:rsidRPr="00022BDE" w:rsidRDefault="00022BDE" w:rsidP="00022BDE">
      <w:pPr>
        <w:spacing w:line="480" w:lineRule="auto"/>
        <w:rPr>
          <w:rFonts w:ascii="Arial" w:hAnsi="Arial" w:cs="Arial"/>
        </w:rPr>
      </w:pPr>
      <w:r w:rsidRPr="00022BDE">
        <w:rPr>
          <w:rFonts w:ascii="Arial" w:hAnsi="Arial" w:cs="Arial"/>
        </w:rPr>
        <w:t xml:space="preserve">Starting in the late 20th Century, Cardiff Bay undertook a programme of work that changed its focus from an industrial to a service-oriented economy. The investment into Cardiff Bay dramatically changed the area and enabled it to become a popular tourist destination, while the identity of the area changed with developments like the Wales Millennium Centre and the Senedd, which have attracted additional visitors to Cardiff Bay and continue to attract further investment. This </w:t>
      </w:r>
      <w:r w:rsidRPr="00022BDE">
        <w:rPr>
          <w:rFonts w:ascii="Arial" w:hAnsi="Arial" w:cs="Arial"/>
        </w:rPr>
        <w:t>reflects</w:t>
      </w:r>
      <w:r w:rsidRPr="00022BDE">
        <w:rPr>
          <w:rFonts w:ascii="Arial" w:hAnsi="Arial" w:cs="Arial"/>
        </w:rPr>
        <w:t xml:space="preserve"> the larger trend of de-industrialisation and reinvention of places (Viken, 2016).</w:t>
      </w:r>
    </w:p>
    <w:p w14:paraId="2E7135F6" w14:textId="779C89C7" w:rsidR="00022BDE" w:rsidRPr="00022BDE" w:rsidRDefault="00022BDE" w:rsidP="00022BDE">
      <w:pPr>
        <w:spacing w:line="480" w:lineRule="auto"/>
        <w:rPr>
          <w:rFonts w:ascii="Arial" w:hAnsi="Arial" w:cs="Arial"/>
        </w:rPr>
      </w:pPr>
      <w:r w:rsidRPr="00022BDE">
        <w:rPr>
          <w:rFonts w:ascii="Arial" w:hAnsi="Arial" w:cs="Arial"/>
        </w:rPr>
        <w:t>Whereas Cardiff Bay has been successful in generating new capital and jobs across the region, some parts of Butetown continue to suffer from high levels of poverty compared to the average income. Not on all occasions does regeneration benefit all the residents of the area. Heritage-led regeneration can also oversimplify or chop out the complexities of people's history (industrial working history/multicultural history) (</w:t>
      </w:r>
      <w:r w:rsidRPr="00022BDE">
        <w:rPr>
          <w:rFonts w:ascii="Arial" w:hAnsi="Arial" w:cs="Arial"/>
        </w:rPr>
        <w:t>May</w:t>
      </w:r>
      <w:r>
        <w:rPr>
          <w:rFonts w:ascii="Arial" w:hAnsi="Arial" w:cs="Arial"/>
        </w:rPr>
        <w:t xml:space="preserve">, </w:t>
      </w:r>
      <w:r w:rsidRPr="00022BDE">
        <w:rPr>
          <w:rFonts w:ascii="Arial" w:hAnsi="Arial" w:cs="Arial"/>
        </w:rPr>
        <w:t>2023).</w:t>
      </w:r>
    </w:p>
    <w:p w14:paraId="723267DB" w14:textId="29997E8A" w:rsidR="00022BDE" w:rsidRPr="00022BDE" w:rsidRDefault="00022BDE" w:rsidP="00022BDE">
      <w:pPr>
        <w:pStyle w:val="ListParagraph"/>
        <w:numPr>
          <w:ilvl w:val="0"/>
          <w:numId w:val="1"/>
        </w:numPr>
        <w:spacing w:line="480" w:lineRule="auto"/>
        <w:rPr>
          <w:rFonts w:ascii="Arial" w:hAnsi="Arial" w:cs="Arial"/>
          <w:b/>
          <w:bCs/>
          <w:color w:val="156082" w:themeColor="accent1"/>
        </w:rPr>
      </w:pPr>
      <w:r w:rsidRPr="00022BDE">
        <w:rPr>
          <w:rFonts w:ascii="Arial" w:hAnsi="Arial" w:cs="Arial"/>
          <w:b/>
          <w:bCs/>
          <w:color w:val="156082" w:themeColor="accent1"/>
        </w:rPr>
        <w:t>Assets, Buildings, Character of Economy</w:t>
      </w:r>
    </w:p>
    <w:p w14:paraId="7EE6286E" w14:textId="198B67B8" w:rsidR="00022BDE" w:rsidRPr="00022BDE" w:rsidRDefault="00022BDE" w:rsidP="00022BDE">
      <w:pPr>
        <w:spacing w:line="480" w:lineRule="auto"/>
        <w:rPr>
          <w:rFonts w:ascii="Arial" w:hAnsi="Arial" w:cs="Arial"/>
        </w:rPr>
      </w:pPr>
      <w:r>
        <w:rPr>
          <w:rFonts w:ascii="Arial" w:hAnsi="Arial" w:cs="Arial"/>
        </w:rPr>
        <w:t>Many assets in Butetown and Cardiff Bay contribute</w:t>
      </w:r>
      <w:r w:rsidRPr="00022BDE">
        <w:rPr>
          <w:rFonts w:ascii="Arial" w:hAnsi="Arial" w:cs="Arial"/>
        </w:rPr>
        <w:t xml:space="preserve"> to the success of the regeneration of these areas. One physical asset is the waterfront, which is also </w:t>
      </w:r>
      <w:r>
        <w:rPr>
          <w:rFonts w:ascii="Arial" w:hAnsi="Arial" w:cs="Arial"/>
        </w:rPr>
        <w:t xml:space="preserve">of </w:t>
      </w:r>
      <w:r w:rsidRPr="00022BDE">
        <w:rPr>
          <w:rFonts w:ascii="Arial" w:hAnsi="Arial" w:cs="Arial"/>
        </w:rPr>
        <w:t>high quality; there is a modern infrastructure</w:t>
      </w:r>
      <w:r>
        <w:rPr>
          <w:rFonts w:ascii="Arial" w:hAnsi="Arial" w:cs="Arial"/>
        </w:rPr>
        <w:t>,</w:t>
      </w:r>
      <w:r w:rsidRPr="00022BDE">
        <w:rPr>
          <w:rFonts w:ascii="Arial" w:hAnsi="Arial" w:cs="Arial"/>
        </w:rPr>
        <w:t xml:space="preserve"> </w:t>
      </w:r>
      <w:r>
        <w:rPr>
          <w:rFonts w:ascii="Arial" w:hAnsi="Arial" w:cs="Arial"/>
        </w:rPr>
        <w:t xml:space="preserve">and </w:t>
      </w:r>
      <w:r w:rsidRPr="00022BDE">
        <w:rPr>
          <w:rFonts w:ascii="Arial" w:hAnsi="Arial" w:cs="Arial"/>
        </w:rPr>
        <w:t xml:space="preserve">connecting these two areas is a very good transportation system. While there is a good deal of cultural amenities (Wales Millennium Centre), accommodations (hotels and restaurants), and recreational opportunities (the waterfront) available in Cardiff Bay to attract tourists, Cardiff Bay is an important destination in the overall visitor economy for the City of </w:t>
      </w:r>
      <w:r w:rsidRPr="00022BDE">
        <w:rPr>
          <w:rFonts w:ascii="Arial" w:hAnsi="Arial" w:cs="Arial"/>
        </w:rPr>
        <w:lastRenderedPageBreak/>
        <w:t>Cardiff.</w:t>
      </w:r>
      <w:r>
        <w:rPr>
          <w:rFonts w:ascii="Arial" w:hAnsi="Arial" w:cs="Arial"/>
        </w:rPr>
        <w:t xml:space="preserve"> </w:t>
      </w:r>
      <w:r w:rsidRPr="00022BDE">
        <w:rPr>
          <w:rFonts w:ascii="Arial" w:hAnsi="Arial" w:cs="Arial"/>
        </w:rPr>
        <w:t xml:space="preserve">Butetown exhibits </w:t>
      </w:r>
      <w:r>
        <w:rPr>
          <w:rFonts w:ascii="Arial" w:hAnsi="Arial" w:cs="Arial"/>
        </w:rPr>
        <w:t>several</w:t>
      </w:r>
      <w:r w:rsidRPr="00022BDE">
        <w:rPr>
          <w:rFonts w:ascii="Arial" w:hAnsi="Arial" w:cs="Arial"/>
        </w:rPr>
        <w:t xml:space="preserve"> valuable social and cultural resources that continue to exist in the </w:t>
      </w:r>
      <w:r w:rsidRPr="00022BDE">
        <w:rPr>
          <w:rFonts w:ascii="Arial" w:hAnsi="Arial" w:cs="Arial"/>
        </w:rPr>
        <w:t>area and</w:t>
      </w:r>
      <w:r w:rsidRPr="00022BDE">
        <w:rPr>
          <w:rFonts w:ascii="Arial" w:hAnsi="Arial" w:cs="Arial"/>
        </w:rPr>
        <w:t xml:space="preserve"> are characterised by a sense of belonging to a multicultural environment and [to/or] through historically established local networks. In addition, there are many community-related organisations, local schools and businesses</w:t>
      </w:r>
      <w:r>
        <w:rPr>
          <w:rFonts w:ascii="Arial" w:hAnsi="Arial" w:cs="Arial"/>
        </w:rPr>
        <w:t>,</w:t>
      </w:r>
      <w:r w:rsidRPr="00022BDE">
        <w:rPr>
          <w:rFonts w:ascii="Arial" w:hAnsi="Arial" w:cs="Arial"/>
        </w:rPr>
        <w:t xml:space="preserve"> all of which contribute greatly to providing support to residents and sustaining community cohesion. These intangible resources/developmental assets are often ignored when considering regeneration, yet they are a key element in reviews of the longer-term sustainability and inclusiveness of the outcomes created.</w:t>
      </w:r>
    </w:p>
    <w:p w14:paraId="3B65F151" w14:textId="573129B7" w:rsidR="00022BDE" w:rsidRPr="00022BDE" w:rsidRDefault="00022BDE" w:rsidP="00022BDE">
      <w:pPr>
        <w:spacing w:line="480" w:lineRule="auto"/>
        <w:rPr>
          <w:rFonts w:ascii="Arial" w:hAnsi="Arial" w:cs="Arial"/>
        </w:rPr>
      </w:pPr>
      <w:r w:rsidRPr="00022BDE">
        <w:rPr>
          <w:rFonts w:ascii="Arial" w:hAnsi="Arial" w:cs="Arial"/>
        </w:rPr>
        <w:t xml:space="preserve">The economic composition of the area, as far as the market and services are concerned, is varied; with Cardiff Bay being predominantly service </w:t>
      </w:r>
      <w:r>
        <w:rPr>
          <w:rFonts w:ascii="Arial" w:hAnsi="Arial" w:cs="Arial"/>
        </w:rPr>
        <w:t>economy-based</w:t>
      </w:r>
      <w:r w:rsidRPr="00022BDE">
        <w:rPr>
          <w:rFonts w:ascii="Arial" w:hAnsi="Arial" w:cs="Arial"/>
        </w:rPr>
        <w:t xml:space="preserve"> (tourism, hospitality, public administration</w:t>
      </w:r>
      <w:r>
        <w:rPr>
          <w:rFonts w:ascii="Arial" w:hAnsi="Arial" w:cs="Arial"/>
        </w:rPr>
        <w:t>, etc.</w:t>
      </w:r>
      <w:r w:rsidRPr="00022BDE">
        <w:rPr>
          <w:rFonts w:ascii="Arial" w:hAnsi="Arial" w:cs="Arial"/>
        </w:rPr>
        <w:t>) and Butetown exhibiting a more localised economy with small/micro-scale businesses generating services and community service supports</w:t>
      </w:r>
      <w:r>
        <w:rPr>
          <w:rFonts w:ascii="Arial" w:hAnsi="Arial" w:cs="Arial"/>
        </w:rPr>
        <w:t>,</w:t>
      </w:r>
      <w:r w:rsidRPr="00022BDE">
        <w:rPr>
          <w:rFonts w:ascii="Arial" w:hAnsi="Arial" w:cs="Arial"/>
        </w:rPr>
        <w:t xml:space="preserve"> etc. Therefore, there are positive indicators of potential growth, economic expansion and jobs offering due to being located at Cardiff Bay; conversely</w:t>
      </w:r>
      <w:r>
        <w:rPr>
          <w:rFonts w:ascii="Arial" w:hAnsi="Arial" w:cs="Arial"/>
        </w:rPr>
        <w:t>,</w:t>
      </w:r>
      <w:r w:rsidRPr="00022BDE">
        <w:rPr>
          <w:rFonts w:ascii="Arial" w:hAnsi="Arial" w:cs="Arial"/>
        </w:rPr>
        <w:t xml:space="preserve"> however, due to increasing property prices, property development and market pressure</w:t>
      </w:r>
      <w:r>
        <w:rPr>
          <w:rFonts w:ascii="Arial" w:hAnsi="Arial" w:cs="Arial"/>
        </w:rPr>
        <w:t>,</w:t>
      </w:r>
      <w:r w:rsidRPr="00022BDE">
        <w:rPr>
          <w:rFonts w:ascii="Arial" w:hAnsi="Arial" w:cs="Arial"/>
        </w:rPr>
        <w:t xml:space="preserve"> the potential for Butetown residents to be displaced will increase.</w:t>
      </w:r>
    </w:p>
    <w:p w14:paraId="5F792FD0" w14:textId="77777777" w:rsidR="00022BDE" w:rsidRPr="00022BDE" w:rsidRDefault="00022BDE" w:rsidP="00022BDE">
      <w:pPr>
        <w:spacing w:line="480" w:lineRule="auto"/>
        <w:rPr>
          <w:rFonts w:ascii="Arial" w:hAnsi="Arial" w:cs="Arial"/>
        </w:rPr>
      </w:pPr>
      <w:r w:rsidRPr="00022BDE">
        <w:rPr>
          <w:rFonts w:ascii="Arial" w:hAnsi="Arial" w:cs="Arial"/>
        </w:rPr>
        <w:t>The key to achieving sustainable regeneration, therefore, is balancing these dynamics and supporting hybrid business models that seek to create economic, environmental, and social value (Hahn, Spieth and Ince, 2018).</w:t>
      </w:r>
    </w:p>
    <w:p w14:paraId="0129DF2C" w14:textId="796C7C14" w:rsidR="00022BDE" w:rsidRPr="00022BDE" w:rsidRDefault="00022BDE" w:rsidP="00022BDE">
      <w:pPr>
        <w:pStyle w:val="ListParagraph"/>
        <w:numPr>
          <w:ilvl w:val="0"/>
          <w:numId w:val="1"/>
        </w:numPr>
        <w:spacing w:line="480" w:lineRule="auto"/>
        <w:rPr>
          <w:rFonts w:ascii="Arial" w:hAnsi="Arial" w:cs="Arial"/>
          <w:b/>
          <w:bCs/>
          <w:color w:val="156082" w:themeColor="accent1"/>
        </w:rPr>
      </w:pPr>
      <w:r w:rsidRPr="00022BDE">
        <w:rPr>
          <w:rFonts w:ascii="Arial" w:hAnsi="Arial" w:cs="Arial"/>
          <w:b/>
          <w:bCs/>
          <w:color w:val="156082" w:themeColor="accent1"/>
        </w:rPr>
        <w:t>Key Stakeholders and Interested Parties</w:t>
      </w:r>
    </w:p>
    <w:p w14:paraId="02FC7416" w14:textId="369E1CDB" w:rsidR="00022BDE" w:rsidRPr="00022BDE" w:rsidRDefault="00022BDE" w:rsidP="00022BDE">
      <w:pPr>
        <w:spacing w:line="480" w:lineRule="auto"/>
        <w:rPr>
          <w:rFonts w:ascii="Arial" w:hAnsi="Arial" w:cs="Arial"/>
        </w:rPr>
      </w:pPr>
      <w:r w:rsidRPr="00022BDE">
        <w:rPr>
          <w:rFonts w:ascii="Arial" w:hAnsi="Arial" w:cs="Arial"/>
        </w:rPr>
        <w:t>In the context of Butetown and Cardiff Bay regeneration</w:t>
      </w:r>
      <w:r>
        <w:rPr>
          <w:rFonts w:ascii="Arial" w:hAnsi="Arial" w:cs="Arial"/>
        </w:rPr>
        <w:t>,</w:t>
      </w:r>
      <w:r w:rsidRPr="00022BDE">
        <w:rPr>
          <w:rFonts w:ascii="Arial" w:hAnsi="Arial" w:cs="Arial"/>
        </w:rPr>
        <w:t xml:space="preserve"> there will be </w:t>
      </w:r>
      <w:r>
        <w:rPr>
          <w:rFonts w:ascii="Arial" w:hAnsi="Arial" w:cs="Arial"/>
        </w:rPr>
        <w:t>several</w:t>
      </w:r>
      <w:r w:rsidRPr="00022BDE">
        <w:rPr>
          <w:rFonts w:ascii="Arial" w:hAnsi="Arial" w:cs="Arial"/>
        </w:rPr>
        <w:t xml:space="preserve"> key stakeholder groups with differing levels and expectations of involvement in the delivery/implementation of the regeneration processes. Examples include Cardiff Council playing a lead role through the provision of planning and implementation of </w:t>
      </w:r>
      <w:r w:rsidRPr="00022BDE">
        <w:rPr>
          <w:rFonts w:ascii="Arial" w:hAnsi="Arial" w:cs="Arial"/>
        </w:rPr>
        <w:lastRenderedPageBreak/>
        <w:t xml:space="preserve">regeneration projects alongside other key agencies such as the Welsh Government through the provision of support through the provision of financial resources and processes based on policy frameworks/legislation; Transport for Wales and other providers of infrastructural services who are key to ongoing improvement of connectivity and accessibility in and to/from both areas; developers and private investors who are significant players in the determination of the physical configuration of both </w:t>
      </w:r>
      <w:r w:rsidRPr="00022BDE">
        <w:rPr>
          <w:rFonts w:ascii="Arial" w:hAnsi="Arial" w:cs="Arial"/>
        </w:rPr>
        <w:t>areas. Financial</w:t>
      </w:r>
      <w:r w:rsidRPr="00022BDE">
        <w:rPr>
          <w:rFonts w:ascii="Arial" w:hAnsi="Arial" w:cs="Arial"/>
        </w:rPr>
        <w:t xml:space="preserve"> backing and know-how are provided through participation; however, when priorities in development are not in tandem with what communities want to achieve, there could be friction created. The financial well-being of the area is aided by local/regionally based businesses that provide financial resources and </w:t>
      </w:r>
      <w:r>
        <w:rPr>
          <w:rFonts w:ascii="Arial" w:hAnsi="Arial" w:cs="Arial"/>
        </w:rPr>
        <w:t>utilise</w:t>
      </w:r>
      <w:r w:rsidRPr="00022BDE">
        <w:rPr>
          <w:rFonts w:ascii="Arial" w:hAnsi="Arial" w:cs="Arial"/>
        </w:rPr>
        <w:t xml:space="preserve"> expertise to employ skilled workers. Community or residents, local service providers (housing associations), and local </w:t>
      </w:r>
      <w:r>
        <w:rPr>
          <w:rFonts w:ascii="Arial" w:hAnsi="Arial" w:cs="Arial"/>
        </w:rPr>
        <w:t>organisations</w:t>
      </w:r>
      <w:r w:rsidRPr="00022BDE">
        <w:rPr>
          <w:rFonts w:ascii="Arial" w:hAnsi="Arial" w:cs="Arial"/>
        </w:rPr>
        <w:t xml:space="preserve"> (cultural businesses) contribute to the economic vitality of the area through their activities.</w:t>
      </w:r>
    </w:p>
    <w:p w14:paraId="170DB3FA" w14:textId="2CE64FBE" w:rsidR="00022BDE" w:rsidRPr="00022BDE" w:rsidRDefault="00022BDE" w:rsidP="00022BDE">
      <w:pPr>
        <w:spacing w:line="480" w:lineRule="auto"/>
        <w:rPr>
          <w:rFonts w:ascii="Arial" w:hAnsi="Arial" w:cs="Arial"/>
        </w:rPr>
      </w:pPr>
      <w:r w:rsidRPr="00022BDE">
        <w:rPr>
          <w:rFonts w:ascii="Arial" w:hAnsi="Arial" w:cs="Arial"/>
        </w:rPr>
        <w:t xml:space="preserve">The local community and/or community-based </w:t>
      </w:r>
      <w:r>
        <w:rPr>
          <w:rFonts w:ascii="Arial" w:hAnsi="Arial" w:cs="Arial"/>
        </w:rPr>
        <w:t>organisations</w:t>
      </w:r>
      <w:r w:rsidRPr="00022BDE">
        <w:rPr>
          <w:rFonts w:ascii="Arial" w:hAnsi="Arial" w:cs="Arial"/>
        </w:rPr>
        <w:t xml:space="preserve"> are potentially the most important "stakeholders." Their firsthand knowledge of local social/economic issues and the realities they face are integral to any understanding of the area </w:t>
      </w:r>
      <w:r>
        <w:rPr>
          <w:rFonts w:ascii="Arial" w:hAnsi="Arial" w:cs="Arial"/>
        </w:rPr>
        <w:t>regarding</w:t>
      </w:r>
      <w:r w:rsidRPr="00022BDE">
        <w:rPr>
          <w:rFonts w:ascii="Arial" w:hAnsi="Arial" w:cs="Arial"/>
        </w:rPr>
        <w:t xml:space="preserve"> potential opportunities for success. Regeneration has been shown through studies to be successful when diverse stakeholders work together</w:t>
      </w:r>
      <w:r>
        <w:rPr>
          <w:rFonts w:ascii="Arial" w:hAnsi="Arial" w:cs="Arial"/>
        </w:rPr>
        <w:t xml:space="preserve"> </w:t>
      </w:r>
      <w:r w:rsidRPr="00022BDE">
        <w:rPr>
          <w:rFonts w:ascii="Arial" w:hAnsi="Arial" w:cs="Arial"/>
        </w:rPr>
        <w:t>and when their various sectors align with each stakeholder's specific interest (Powe, Pringle and Hart, 2015).</w:t>
      </w:r>
    </w:p>
    <w:p w14:paraId="32C39ECA" w14:textId="6A576F87" w:rsidR="00022BDE" w:rsidRPr="00022BDE" w:rsidRDefault="00022BDE" w:rsidP="00022BDE">
      <w:pPr>
        <w:pStyle w:val="ListParagraph"/>
        <w:numPr>
          <w:ilvl w:val="0"/>
          <w:numId w:val="1"/>
        </w:numPr>
        <w:spacing w:line="480" w:lineRule="auto"/>
        <w:rPr>
          <w:rFonts w:ascii="Arial" w:hAnsi="Arial" w:cs="Arial"/>
          <w:b/>
          <w:bCs/>
          <w:color w:val="156082" w:themeColor="accent1"/>
        </w:rPr>
      </w:pPr>
      <w:r w:rsidRPr="00022BDE">
        <w:rPr>
          <w:rFonts w:ascii="Arial" w:hAnsi="Arial" w:cs="Arial"/>
          <w:b/>
          <w:bCs/>
          <w:color w:val="156082" w:themeColor="accent1"/>
        </w:rPr>
        <w:t>Existing Strategies for Local and Regional Development</w:t>
      </w:r>
    </w:p>
    <w:p w14:paraId="0A180790" w14:textId="3765F0BA" w:rsidR="00022BDE" w:rsidRPr="00022BDE" w:rsidRDefault="00022BDE" w:rsidP="00022BDE">
      <w:pPr>
        <w:spacing w:line="480" w:lineRule="auto"/>
        <w:rPr>
          <w:rFonts w:ascii="Arial" w:hAnsi="Arial" w:cs="Arial"/>
        </w:rPr>
      </w:pPr>
      <w:r w:rsidRPr="00022BDE">
        <w:rPr>
          <w:rFonts w:ascii="Arial" w:hAnsi="Arial" w:cs="Arial"/>
        </w:rPr>
        <w:t xml:space="preserve">The "Draft Regeneration Strategy for Cardiff 2025-2030" is the main guidance document that serves as the guiding policy for regeneration for the area. The overall vision is for a “stronger, fairer, greener” city. One of the key differentiators of this </w:t>
      </w:r>
      <w:r w:rsidRPr="00022BDE">
        <w:rPr>
          <w:rFonts w:ascii="Arial" w:hAnsi="Arial" w:cs="Arial"/>
        </w:rPr>
        <w:lastRenderedPageBreak/>
        <w:t>transformation will include establishing an inclusive and sustainable system of development through specific areas. Several strategies focus on Thriving Neighbourhoods, Climate Change Resilience, and Cultural Development</w:t>
      </w:r>
      <w:r>
        <w:rPr>
          <w:rFonts w:ascii="Arial" w:hAnsi="Arial" w:cs="Arial"/>
        </w:rPr>
        <w:t>,</w:t>
      </w:r>
      <w:r w:rsidRPr="00022BDE">
        <w:rPr>
          <w:rFonts w:ascii="Arial" w:hAnsi="Arial" w:cs="Arial"/>
        </w:rPr>
        <w:t xml:space="preserve"> which are directly pertinent to the areas of Butetown and Cardiff </w:t>
      </w:r>
      <w:r>
        <w:rPr>
          <w:rFonts w:ascii="Arial" w:hAnsi="Arial" w:cs="Arial"/>
        </w:rPr>
        <w:t>Bay</w:t>
      </w:r>
      <w:r w:rsidRPr="00022BDE">
        <w:rPr>
          <w:rFonts w:ascii="Arial" w:hAnsi="Arial" w:cs="Arial"/>
        </w:rPr>
        <w:t>.</w:t>
      </w:r>
    </w:p>
    <w:p w14:paraId="711476D6" w14:textId="3BD69CEA" w:rsidR="00022BDE" w:rsidRPr="00022BDE" w:rsidRDefault="00022BDE" w:rsidP="00022BDE">
      <w:pPr>
        <w:spacing w:line="480" w:lineRule="auto"/>
        <w:rPr>
          <w:rFonts w:ascii="Arial" w:hAnsi="Arial" w:cs="Arial"/>
        </w:rPr>
      </w:pPr>
      <w:r w:rsidRPr="00022BDE">
        <w:rPr>
          <w:rFonts w:ascii="Arial" w:hAnsi="Arial" w:cs="Arial"/>
        </w:rPr>
        <w:t>The methodologies to accomplish the vision of an "inclusive and sustainable regeneration process'' in Butetown and Cardiff Bay will be implemented under the Draft Regeneration Strategy and are subsequently identified in the Draft Regeneration Strategy under “Priority Places”</w:t>
      </w:r>
      <w:r>
        <w:rPr>
          <w:rFonts w:ascii="Arial" w:hAnsi="Arial" w:cs="Arial"/>
        </w:rPr>
        <w:t>,</w:t>
      </w:r>
      <w:r w:rsidRPr="00022BDE">
        <w:rPr>
          <w:rFonts w:ascii="Arial" w:hAnsi="Arial" w:cs="Arial"/>
        </w:rPr>
        <w:t xml:space="preserve"> </w:t>
      </w:r>
      <w:r>
        <w:rPr>
          <w:rFonts w:ascii="Arial" w:hAnsi="Arial" w:cs="Arial"/>
        </w:rPr>
        <w:t>which</w:t>
      </w:r>
      <w:r w:rsidRPr="00022BDE">
        <w:rPr>
          <w:rFonts w:ascii="Arial" w:hAnsi="Arial" w:cs="Arial"/>
        </w:rPr>
        <w:t xml:space="preserve"> illustrates that the area is at once an area of opportunity and an area of need. The Draft Regeneration Strategy generally notes issues related to the challenges of deprivation in the area, and that environmental challenges are significant; that public space within the area needs to be improved and that there is a tremendous opportunity within both cultural and economic systems for new development.</w:t>
      </w:r>
    </w:p>
    <w:p w14:paraId="1667E991" w14:textId="6232E552" w:rsidR="00022BDE" w:rsidRPr="00022BDE" w:rsidRDefault="00022BDE" w:rsidP="00022BDE">
      <w:pPr>
        <w:spacing w:line="480" w:lineRule="auto"/>
        <w:rPr>
          <w:rFonts w:ascii="Arial" w:hAnsi="Arial" w:cs="Arial"/>
        </w:rPr>
      </w:pPr>
      <w:r w:rsidRPr="00022BDE">
        <w:rPr>
          <w:rFonts w:ascii="Arial" w:hAnsi="Arial" w:cs="Arial"/>
        </w:rPr>
        <w:t xml:space="preserve">Nationally based initiatives like the Wellbeing of Future Generations Act </w:t>
      </w:r>
      <w:r>
        <w:rPr>
          <w:rFonts w:ascii="Arial" w:hAnsi="Arial" w:cs="Arial"/>
        </w:rPr>
        <w:t>emphasise that</w:t>
      </w:r>
      <w:r w:rsidRPr="00022BDE">
        <w:rPr>
          <w:rFonts w:ascii="Arial" w:hAnsi="Arial" w:cs="Arial"/>
        </w:rPr>
        <w:t xml:space="preserve"> the alignment of long-term planning, collaboration, and sustainability will help support what the </w:t>
      </w:r>
      <w:r>
        <w:rPr>
          <w:rFonts w:ascii="Arial" w:hAnsi="Arial" w:cs="Arial"/>
        </w:rPr>
        <w:t>organisation</w:t>
      </w:r>
      <w:r w:rsidRPr="00022BDE">
        <w:rPr>
          <w:rFonts w:ascii="Arial" w:hAnsi="Arial" w:cs="Arial"/>
        </w:rPr>
        <w:t xml:space="preserve"> believes will aid implementation in Butetown and Cardiff Bay.</w:t>
      </w:r>
      <w:r>
        <w:rPr>
          <w:rFonts w:ascii="Arial" w:hAnsi="Arial" w:cs="Arial"/>
        </w:rPr>
        <w:t xml:space="preserve"> </w:t>
      </w:r>
      <w:r w:rsidRPr="00022BDE">
        <w:rPr>
          <w:rFonts w:ascii="Arial" w:hAnsi="Arial" w:cs="Arial"/>
        </w:rPr>
        <w:t xml:space="preserve">There are also wider patterns of regional growth and development in which an increasing focus is being placed on both </w:t>
      </w:r>
      <w:r>
        <w:rPr>
          <w:rFonts w:ascii="Arial" w:hAnsi="Arial" w:cs="Arial"/>
        </w:rPr>
        <w:t>well-being</w:t>
      </w:r>
      <w:r w:rsidRPr="00022BDE">
        <w:rPr>
          <w:rFonts w:ascii="Arial" w:hAnsi="Arial" w:cs="Arial"/>
        </w:rPr>
        <w:t xml:space="preserve"> and purposeful economic growth. The work conducted in the Swansea Bay City Region has demonstrated that </w:t>
      </w:r>
      <w:r>
        <w:rPr>
          <w:rFonts w:ascii="Arial" w:hAnsi="Arial" w:cs="Arial"/>
        </w:rPr>
        <w:t>emphasising</w:t>
      </w:r>
      <w:r w:rsidRPr="00022BDE">
        <w:rPr>
          <w:rFonts w:ascii="Arial" w:hAnsi="Arial" w:cs="Arial"/>
        </w:rPr>
        <w:t xml:space="preserve"> social value and community wellbeing during regeneration will help to achieve greater success (Bowen et al., 2024). </w:t>
      </w:r>
    </w:p>
    <w:p w14:paraId="3AB4179F" w14:textId="12054ECA" w:rsidR="00022BDE" w:rsidRPr="00022BDE" w:rsidRDefault="00022BDE" w:rsidP="00022BDE">
      <w:pPr>
        <w:spacing w:line="480" w:lineRule="auto"/>
        <w:rPr>
          <w:rFonts w:ascii="Arial" w:hAnsi="Arial" w:cs="Arial"/>
        </w:rPr>
      </w:pPr>
      <w:r w:rsidRPr="00022BDE">
        <w:rPr>
          <w:rFonts w:ascii="Arial" w:hAnsi="Arial" w:cs="Arial"/>
        </w:rPr>
        <w:t xml:space="preserve">Overall, there are very strong pieces of policy support for Butetown and Cardiff Bay in relation to regeneration; however, the challenge will be in ensuring that these </w:t>
      </w:r>
      <w:r>
        <w:rPr>
          <w:rFonts w:ascii="Arial" w:hAnsi="Arial" w:cs="Arial"/>
        </w:rPr>
        <w:t>high-</w:t>
      </w:r>
      <w:r>
        <w:rPr>
          <w:rFonts w:ascii="Arial" w:hAnsi="Arial" w:cs="Arial"/>
        </w:rPr>
        <w:lastRenderedPageBreak/>
        <w:t>level</w:t>
      </w:r>
      <w:r w:rsidRPr="00022BDE">
        <w:rPr>
          <w:rFonts w:ascii="Arial" w:hAnsi="Arial" w:cs="Arial"/>
        </w:rPr>
        <w:t xml:space="preserve"> strategic objectives are translated into pragmatic outcomes for the communities who will ultimately benefit. </w:t>
      </w:r>
    </w:p>
    <w:p w14:paraId="1EC22AE7" w14:textId="5F7AED68" w:rsidR="00022BDE" w:rsidRPr="00022BDE" w:rsidRDefault="00022BDE" w:rsidP="00022BDE">
      <w:pPr>
        <w:pStyle w:val="ListParagraph"/>
        <w:numPr>
          <w:ilvl w:val="0"/>
          <w:numId w:val="2"/>
        </w:numPr>
        <w:spacing w:line="480" w:lineRule="auto"/>
        <w:rPr>
          <w:rFonts w:ascii="Arial" w:hAnsi="Arial" w:cs="Arial"/>
          <w:b/>
          <w:bCs/>
          <w:color w:val="156082" w:themeColor="accent1"/>
        </w:rPr>
      </w:pPr>
      <w:r w:rsidRPr="00022BDE">
        <w:rPr>
          <w:rFonts w:ascii="Arial" w:hAnsi="Arial" w:cs="Arial"/>
          <w:b/>
          <w:bCs/>
          <w:color w:val="156082" w:themeColor="accent1"/>
        </w:rPr>
        <w:t xml:space="preserve">Future Regeneration Opportunities Community-Led Cultural and Heritage Development </w:t>
      </w:r>
    </w:p>
    <w:p w14:paraId="5AFD4ADD" w14:textId="05E28411" w:rsidR="00022BDE" w:rsidRPr="00022BDE" w:rsidRDefault="00022BDE" w:rsidP="00022BDE">
      <w:pPr>
        <w:spacing w:line="480" w:lineRule="auto"/>
        <w:rPr>
          <w:rFonts w:ascii="Arial" w:hAnsi="Arial" w:cs="Arial"/>
        </w:rPr>
      </w:pPr>
      <w:r w:rsidRPr="00022BDE">
        <w:rPr>
          <w:rFonts w:ascii="Arial" w:hAnsi="Arial" w:cs="Arial"/>
        </w:rPr>
        <w:t>The area's rich cultural heritage is a huge opportunity for regeneration. Butetown has a unique history that includes being one of the oldest multicultural communities in the UK</w:t>
      </w:r>
      <w:r>
        <w:rPr>
          <w:rFonts w:ascii="Arial" w:hAnsi="Arial" w:cs="Arial"/>
        </w:rPr>
        <w:t>,</w:t>
      </w:r>
      <w:r w:rsidRPr="00022BDE">
        <w:rPr>
          <w:rFonts w:ascii="Arial" w:hAnsi="Arial" w:cs="Arial"/>
        </w:rPr>
        <w:t xml:space="preserve"> with its origins in migration and maritime trade. The area's history forms an excellent basis upon which to build community-led regeneration initiatives. </w:t>
      </w:r>
    </w:p>
    <w:p w14:paraId="7823809B" w14:textId="4A9EE673" w:rsidR="00022BDE" w:rsidRPr="00022BDE" w:rsidRDefault="00022BDE" w:rsidP="00022BDE">
      <w:pPr>
        <w:spacing w:line="480" w:lineRule="auto"/>
        <w:rPr>
          <w:rFonts w:ascii="Arial" w:hAnsi="Arial" w:cs="Arial"/>
        </w:rPr>
      </w:pPr>
      <w:r w:rsidRPr="00022BDE">
        <w:rPr>
          <w:rFonts w:ascii="Arial" w:hAnsi="Arial" w:cs="Arial"/>
        </w:rPr>
        <w:t xml:space="preserve">Creating a cultural and heritage corridor which links Bute Street to Cardiff Bay's main attractions will help to create a much more connected and cohesive visitor experience </w:t>
      </w:r>
      <w:r>
        <w:rPr>
          <w:rFonts w:ascii="Arial" w:hAnsi="Arial" w:cs="Arial"/>
        </w:rPr>
        <w:t>in</w:t>
      </w:r>
      <w:r w:rsidRPr="00022BDE">
        <w:rPr>
          <w:rFonts w:ascii="Arial" w:hAnsi="Arial" w:cs="Arial"/>
        </w:rPr>
        <w:t xml:space="preserve"> the area. This initiative would represent a new form of tourism in that it will not be just about traditional tourism but also use local stories, provide opportunities for participation by local communities, and encourage creative expression. Public art, festivals, and heritage projects are just a few ways to celebrate the area's identity and to create a sense of pride for the community. </w:t>
      </w:r>
    </w:p>
    <w:p w14:paraId="62789792" w14:textId="1CB96896" w:rsidR="00022BDE" w:rsidRPr="00022BDE" w:rsidRDefault="00022BDE" w:rsidP="00022BDE">
      <w:pPr>
        <w:spacing w:line="480" w:lineRule="auto"/>
        <w:rPr>
          <w:rFonts w:ascii="Arial" w:hAnsi="Arial" w:cs="Arial"/>
        </w:rPr>
      </w:pPr>
      <w:r w:rsidRPr="00022BDE">
        <w:rPr>
          <w:rFonts w:ascii="Arial" w:hAnsi="Arial" w:cs="Arial"/>
        </w:rPr>
        <w:t>Importantly, this type of regeneration will help to address the increasing concern that heritage is becoming sanitised by ensuring that regeneration represents genuine and diverse experiences (</w:t>
      </w:r>
      <w:proofErr w:type="gramStart"/>
      <w:r w:rsidRPr="00022BDE">
        <w:rPr>
          <w:rFonts w:ascii="Arial" w:hAnsi="Arial" w:cs="Arial"/>
        </w:rPr>
        <w:t>May,</w:t>
      </w:r>
      <w:proofErr w:type="gramEnd"/>
      <w:r w:rsidRPr="00022BDE">
        <w:rPr>
          <w:rFonts w:ascii="Arial" w:hAnsi="Arial" w:cs="Arial"/>
        </w:rPr>
        <w:t xml:space="preserve"> 2023</w:t>
      </w:r>
      <w:proofErr w:type="gramStart"/>
      <w:r w:rsidRPr="00022BDE">
        <w:rPr>
          <w:rFonts w:ascii="Arial" w:hAnsi="Arial" w:cs="Arial"/>
        </w:rPr>
        <w:t>).In</w:t>
      </w:r>
      <w:proofErr w:type="gramEnd"/>
      <w:r w:rsidRPr="00022BDE">
        <w:rPr>
          <w:rFonts w:ascii="Arial" w:hAnsi="Arial" w:cs="Arial"/>
        </w:rPr>
        <w:t xml:space="preserve"> Butetown, there </w:t>
      </w:r>
      <w:r>
        <w:rPr>
          <w:rFonts w:ascii="Arial" w:hAnsi="Arial" w:cs="Arial"/>
        </w:rPr>
        <w:t>is</w:t>
      </w:r>
      <w:r w:rsidRPr="00022BDE">
        <w:rPr>
          <w:rFonts w:ascii="Arial" w:hAnsi="Arial" w:cs="Arial"/>
        </w:rPr>
        <w:t xml:space="preserve"> a wide variety of economic opportunities available through the local creative and cultural sectors. </w:t>
      </w:r>
      <w:r>
        <w:rPr>
          <w:rFonts w:ascii="Arial" w:hAnsi="Arial" w:cs="Arial"/>
        </w:rPr>
        <w:t>Revitalising</w:t>
      </w:r>
      <w:r w:rsidRPr="00022BDE">
        <w:rPr>
          <w:rFonts w:ascii="Arial" w:hAnsi="Arial" w:cs="Arial"/>
        </w:rPr>
        <w:t xml:space="preserve"> traditional craft and community-based activities will help to promote social cohesion between individuals, as well as continuity of cultural practices (Thomas, 2026).</w:t>
      </w:r>
    </w:p>
    <w:p w14:paraId="247F91A3" w14:textId="0C60B345" w:rsidR="00022BDE" w:rsidRPr="00022BDE" w:rsidRDefault="00022BDE" w:rsidP="00022BDE">
      <w:pPr>
        <w:spacing w:line="480" w:lineRule="auto"/>
        <w:rPr>
          <w:rFonts w:ascii="Arial" w:hAnsi="Arial" w:cs="Arial"/>
        </w:rPr>
      </w:pPr>
      <w:r w:rsidRPr="00022BDE">
        <w:rPr>
          <w:rFonts w:ascii="Arial" w:hAnsi="Arial" w:cs="Arial"/>
        </w:rPr>
        <w:t xml:space="preserve">Furthermore, environmental sustainability is one of the most critical components of any regeneration project. Certain parts of Butetown are said to lack adequate access to green infrastructure </w:t>
      </w:r>
      <w:r w:rsidRPr="00022BDE">
        <w:rPr>
          <w:rFonts w:ascii="Arial" w:hAnsi="Arial" w:cs="Arial"/>
        </w:rPr>
        <w:t>and</w:t>
      </w:r>
      <w:r w:rsidRPr="00022BDE">
        <w:rPr>
          <w:rFonts w:ascii="Arial" w:hAnsi="Arial" w:cs="Arial"/>
        </w:rPr>
        <w:t xml:space="preserve"> </w:t>
      </w:r>
      <w:r>
        <w:rPr>
          <w:rFonts w:ascii="Arial" w:hAnsi="Arial" w:cs="Arial"/>
        </w:rPr>
        <w:t xml:space="preserve">to </w:t>
      </w:r>
      <w:r w:rsidRPr="00022BDE">
        <w:rPr>
          <w:rFonts w:ascii="Arial" w:hAnsi="Arial" w:cs="Arial"/>
        </w:rPr>
        <w:t xml:space="preserve">lack sufficient environmental protections. Addressing </w:t>
      </w:r>
      <w:r w:rsidRPr="00022BDE">
        <w:rPr>
          <w:rFonts w:ascii="Arial" w:hAnsi="Arial" w:cs="Arial"/>
        </w:rPr>
        <w:lastRenderedPageBreak/>
        <w:t xml:space="preserve">these issues is necessary to improve </w:t>
      </w:r>
      <w:r>
        <w:rPr>
          <w:rFonts w:ascii="Arial" w:hAnsi="Arial" w:cs="Arial"/>
        </w:rPr>
        <w:t xml:space="preserve">the </w:t>
      </w:r>
      <w:r w:rsidRPr="00022BDE">
        <w:rPr>
          <w:rFonts w:ascii="Arial" w:hAnsi="Arial" w:cs="Arial"/>
        </w:rPr>
        <w:t>quality of life for residents and to build resiliency to climate change.</w:t>
      </w:r>
    </w:p>
    <w:p w14:paraId="045F7A03" w14:textId="39439432" w:rsidR="00022BDE" w:rsidRPr="00022BDE" w:rsidRDefault="00022BDE" w:rsidP="00022BDE">
      <w:pPr>
        <w:spacing w:line="480" w:lineRule="auto"/>
        <w:rPr>
          <w:rFonts w:ascii="Arial" w:hAnsi="Arial" w:cs="Arial"/>
        </w:rPr>
      </w:pPr>
      <w:r w:rsidRPr="00022BDE">
        <w:rPr>
          <w:rFonts w:ascii="Arial" w:hAnsi="Arial" w:cs="Arial"/>
        </w:rPr>
        <w:t xml:space="preserve">The primary focus of regeneration should be to create greener public spaces that are more easily accessible </w:t>
      </w:r>
      <w:r>
        <w:rPr>
          <w:rFonts w:ascii="Arial" w:hAnsi="Arial" w:cs="Arial"/>
        </w:rPr>
        <w:t>to</w:t>
      </w:r>
      <w:r w:rsidRPr="00022BDE">
        <w:rPr>
          <w:rFonts w:ascii="Arial" w:hAnsi="Arial" w:cs="Arial"/>
        </w:rPr>
        <w:t xml:space="preserve"> the public. This may include planting new trees, </w:t>
      </w:r>
      <w:proofErr w:type="gramStart"/>
      <w:r>
        <w:rPr>
          <w:rFonts w:ascii="Arial" w:hAnsi="Arial" w:cs="Arial"/>
        </w:rPr>
        <w:t>establishing</w:t>
      </w:r>
      <w:proofErr w:type="gramEnd"/>
      <w:r w:rsidRPr="00022BDE">
        <w:rPr>
          <w:rFonts w:ascii="Arial" w:hAnsi="Arial" w:cs="Arial"/>
        </w:rPr>
        <w:t xml:space="preserve"> new pocket parks, and implementing sustainable urban drainage systems. These kinds of initiatives will help to improve the physical environment, while also providing significant social and health benefits. Access to green public space has been shown to improve mental and physical well-being, making access to such spaces a critical aspect of any sustainable regeneration effort.</w:t>
      </w:r>
    </w:p>
    <w:p w14:paraId="5681AE3B" w14:textId="435520D1" w:rsidR="00022BDE" w:rsidRPr="00022BDE" w:rsidRDefault="00022BDE" w:rsidP="00022BDE">
      <w:pPr>
        <w:spacing w:line="480" w:lineRule="auto"/>
        <w:rPr>
          <w:rFonts w:ascii="Arial" w:hAnsi="Arial" w:cs="Arial"/>
        </w:rPr>
      </w:pPr>
      <w:r w:rsidRPr="00022BDE">
        <w:rPr>
          <w:rFonts w:ascii="Arial" w:hAnsi="Arial" w:cs="Arial"/>
        </w:rPr>
        <w:t>Another main principle of modern-day regeneration strategies is the integration of environmental design with urban planning. A synergy between infrastructure, technology, and community engagement will help to design and implement resilient, adaptable urban environments (Wu and Leng, 2025). Involving residents in the design and management of green public spaces will also help foster a sense of ownership among community members, thereby ensuring that local needs are being met through these interventions.</w:t>
      </w:r>
    </w:p>
    <w:p w14:paraId="2915711B" w14:textId="77E9C6CD" w:rsidR="00022BDE" w:rsidRPr="00022BDE" w:rsidRDefault="00022BDE" w:rsidP="00022BDE">
      <w:pPr>
        <w:spacing w:line="480" w:lineRule="auto"/>
        <w:rPr>
          <w:rFonts w:ascii="Arial" w:hAnsi="Arial" w:cs="Arial"/>
        </w:rPr>
      </w:pPr>
      <w:r w:rsidRPr="00022BDE">
        <w:rPr>
          <w:rFonts w:ascii="Arial" w:hAnsi="Arial" w:cs="Arial"/>
        </w:rPr>
        <w:t xml:space="preserve">Lastly, one of the other major opportunities for Butetown is inclusive economic development. While </w:t>
      </w:r>
      <w:r>
        <w:rPr>
          <w:rFonts w:ascii="Arial" w:hAnsi="Arial" w:cs="Arial"/>
        </w:rPr>
        <w:t xml:space="preserve">the </w:t>
      </w:r>
      <w:r w:rsidRPr="00022BDE">
        <w:rPr>
          <w:rFonts w:ascii="Arial" w:hAnsi="Arial" w:cs="Arial"/>
        </w:rPr>
        <w:t>Welsh Government has invested significantly in Cardiff Bay in the last few years, residents have not shared proportionally in this success. The creation of an enterprise and skills hub would go a long way toward bridging this gap.</w:t>
      </w:r>
    </w:p>
    <w:p w14:paraId="572AC03E" w14:textId="5BB91E7F" w:rsidR="00022BDE" w:rsidRPr="00022BDE" w:rsidRDefault="00022BDE" w:rsidP="00022BDE">
      <w:pPr>
        <w:spacing w:line="480" w:lineRule="auto"/>
        <w:rPr>
          <w:rFonts w:ascii="Arial" w:hAnsi="Arial" w:cs="Arial"/>
        </w:rPr>
      </w:pPr>
      <w:r w:rsidRPr="00022BDE">
        <w:rPr>
          <w:rFonts w:ascii="Arial" w:hAnsi="Arial" w:cs="Arial"/>
        </w:rPr>
        <w:t xml:space="preserve">This type of enterprise and skills hub could provide training and ongoing business support to local business owners and entrepreneurs through the availability of affordable workspaces. This type of enterprise and skills hub could also be tailored to </w:t>
      </w:r>
      <w:r w:rsidRPr="00022BDE">
        <w:rPr>
          <w:rFonts w:ascii="Arial" w:hAnsi="Arial" w:cs="Arial"/>
        </w:rPr>
        <w:lastRenderedPageBreak/>
        <w:t xml:space="preserve">support sectors where Butetown is particularly strong, </w:t>
      </w:r>
      <w:r w:rsidRPr="00022BDE">
        <w:rPr>
          <w:rFonts w:ascii="Arial" w:hAnsi="Arial" w:cs="Arial"/>
        </w:rPr>
        <w:t>such as</w:t>
      </w:r>
      <w:r w:rsidRPr="00022BDE">
        <w:rPr>
          <w:rFonts w:ascii="Arial" w:hAnsi="Arial" w:cs="Arial"/>
        </w:rPr>
        <w:t xml:space="preserve"> tourism, hospitality, creative industries and green technology. By supporting small businesses and social enterprises, regeneration can help to create more broadly inclusive and resilient local economies.</w:t>
      </w:r>
    </w:p>
    <w:p w14:paraId="7EDF5226" w14:textId="0FB2D73B" w:rsidR="00022BDE" w:rsidRPr="00022BDE" w:rsidRDefault="00022BDE" w:rsidP="00022BDE">
      <w:pPr>
        <w:spacing w:line="480" w:lineRule="auto"/>
        <w:rPr>
          <w:rFonts w:ascii="Arial" w:hAnsi="Arial" w:cs="Arial"/>
        </w:rPr>
      </w:pPr>
      <w:r w:rsidRPr="00022BDE">
        <w:rPr>
          <w:rFonts w:ascii="Arial" w:hAnsi="Arial" w:cs="Arial"/>
        </w:rPr>
        <w:t xml:space="preserve">This approach is in keeping with research that highlights the importance of purpose-driven entrepreneurship in regional development (Bowen et al., 2024). Developing vibrant local entrepreneurial ecosystems requires partnerships and collaboration between public sector institutions (government), private sector </w:t>
      </w:r>
      <w:r>
        <w:rPr>
          <w:rFonts w:ascii="Arial" w:hAnsi="Arial" w:cs="Arial"/>
        </w:rPr>
        <w:t>businesses</w:t>
      </w:r>
      <w:r w:rsidRPr="00022BDE">
        <w:rPr>
          <w:rFonts w:ascii="Arial" w:hAnsi="Arial" w:cs="Arial"/>
        </w:rPr>
        <w:t xml:space="preserve">, and communities, </w:t>
      </w:r>
      <w:r w:rsidRPr="00022BDE">
        <w:rPr>
          <w:rFonts w:ascii="Arial" w:hAnsi="Arial" w:cs="Arial"/>
        </w:rPr>
        <w:t>to</w:t>
      </w:r>
      <w:r w:rsidRPr="00022BDE">
        <w:rPr>
          <w:rFonts w:ascii="Arial" w:hAnsi="Arial" w:cs="Arial"/>
        </w:rPr>
        <w:t xml:space="preserve"> produce economic growth that is both sustainable and equitable (</w:t>
      </w:r>
      <w:proofErr w:type="spellStart"/>
      <w:r w:rsidRPr="00022BDE">
        <w:rPr>
          <w:rFonts w:ascii="Arial" w:hAnsi="Arial" w:cs="Arial"/>
        </w:rPr>
        <w:t>Burvill</w:t>
      </w:r>
      <w:proofErr w:type="spellEnd"/>
      <w:r w:rsidRPr="00022BDE">
        <w:rPr>
          <w:rFonts w:ascii="Arial" w:hAnsi="Arial" w:cs="Arial"/>
        </w:rPr>
        <w:t>, Bowen and Cummings, 2026).</w:t>
      </w:r>
    </w:p>
    <w:p w14:paraId="6033E0EC" w14:textId="488EECA6" w:rsidR="00022BDE" w:rsidRPr="00022BDE" w:rsidRDefault="00022BDE" w:rsidP="00022BDE">
      <w:pPr>
        <w:spacing w:line="480" w:lineRule="auto"/>
        <w:rPr>
          <w:rFonts w:ascii="Arial" w:hAnsi="Arial" w:cs="Arial"/>
        </w:rPr>
      </w:pPr>
      <w:r w:rsidRPr="00022BDE">
        <w:rPr>
          <w:rFonts w:ascii="Arial" w:hAnsi="Arial" w:cs="Arial"/>
        </w:rPr>
        <w:t xml:space="preserve">In summary, </w:t>
      </w:r>
      <w:r>
        <w:rPr>
          <w:rFonts w:ascii="Arial" w:hAnsi="Arial" w:cs="Arial"/>
        </w:rPr>
        <w:t>the</w:t>
      </w:r>
      <w:r w:rsidRPr="00022BDE">
        <w:rPr>
          <w:rFonts w:ascii="Arial" w:hAnsi="Arial" w:cs="Arial"/>
        </w:rPr>
        <w:t xml:space="preserve"> regeneration of Butetown and Cardiff Bay demonstrates the challenges and opportunities presented by urban transformation. Although the Butetown/ Cardiff Bay area has made successful transitions from traditional manufacturing to a service-based economy, there are still significant levels of inequality present in Butetown.</w:t>
      </w:r>
    </w:p>
    <w:p w14:paraId="188CD858" w14:textId="77777777" w:rsidR="00022BDE" w:rsidRPr="00022BDE" w:rsidRDefault="00022BDE" w:rsidP="00022BDE">
      <w:pPr>
        <w:spacing w:line="480" w:lineRule="auto"/>
        <w:rPr>
          <w:rFonts w:ascii="Arial" w:hAnsi="Arial" w:cs="Arial"/>
        </w:rPr>
      </w:pPr>
      <w:r w:rsidRPr="00022BDE">
        <w:rPr>
          <w:rFonts w:ascii="Arial" w:hAnsi="Arial" w:cs="Arial"/>
        </w:rPr>
        <w:t>To close the inequity gap, a comprehensive, holistic approach should be taken, as it relates to integrated economic, social and environmental goals in Butetown and the surrounding region.</w:t>
      </w:r>
    </w:p>
    <w:p w14:paraId="3855B2C8" w14:textId="2E000BB0" w:rsidR="00022BDE" w:rsidRPr="00022BDE" w:rsidRDefault="00022BDE" w:rsidP="00022BDE">
      <w:pPr>
        <w:spacing w:line="480" w:lineRule="auto"/>
        <w:rPr>
          <w:rFonts w:ascii="Arial" w:hAnsi="Arial" w:cs="Arial"/>
        </w:rPr>
      </w:pPr>
      <w:r w:rsidRPr="00022BDE">
        <w:rPr>
          <w:rFonts w:ascii="Arial" w:hAnsi="Arial" w:cs="Arial"/>
        </w:rPr>
        <w:t xml:space="preserve">The future regeneration and </w:t>
      </w:r>
      <w:r w:rsidR="00DA65E2">
        <w:rPr>
          <w:rFonts w:ascii="Arial" w:hAnsi="Arial" w:cs="Arial"/>
        </w:rPr>
        <w:t>revitalisation</w:t>
      </w:r>
      <w:r w:rsidRPr="00022BDE">
        <w:rPr>
          <w:rFonts w:ascii="Arial" w:hAnsi="Arial" w:cs="Arial"/>
        </w:rPr>
        <w:t xml:space="preserve"> of Butetown should focus on three primary goals: to strengthen community identity, strengthen the environmental sustainability of Butetown, and promote inclusive economic development within Butetown. If all stakeholders, within the community and surrounding areas, are adequately involved in the regeneration process while putting forth a combined effort to enhance the well-</w:t>
      </w:r>
      <w:r w:rsidRPr="00022BDE">
        <w:rPr>
          <w:rFonts w:ascii="Arial" w:hAnsi="Arial" w:cs="Arial"/>
        </w:rPr>
        <w:lastRenderedPageBreak/>
        <w:t xml:space="preserve">being of all involved, the benefits of long-term regeneration will accrue to both the residents of Butetown </w:t>
      </w:r>
      <w:r w:rsidR="00DA65E2">
        <w:rPr>
          <w:rFonts w:ascii="Arial" w:hAnsi="Arial" w:cs="Arial"/>
        </w:rPr>
        <w:t>and</w:t>
      </w:r>
      <w:r w:rsidRPr="00022BDE">
        <w:rPr>
          <w:rFonts w:ascii="Arial" w:hAnsi="Arial" w:cs="Arial"/>
        </w:rPr>
        <w:t xml:space="preserve"> the larger metropolitan area.</w:t>
      </w:r>
    </w:p>
    <w:p w14:paraId="13165469" w14:textId="61AFD0F6" w:rsidR="00022BDE" w:rsidRDefault="00022BDE" w:rsidP="00022BDE">
      <w:pPr>
        <w:spacing w:line="480" w:lineRule="auto"/>
        <w:rPr>
          <w:rFonts w:ascii="Arial" w:hAnsi="Arial" w:cs="Arial"/>
        </w:rPr>
      </w:pPr>
      <w:r w:rsidRPr="00022BDE">
        <w:rPr>
          <w:rFonts w:ascii="Arial" w:hAnsi="Arial" w:cs="Arial"/>
        </w:rPr>
        <w:t xml:space="preserve">In conclusion, successful regeneration is more than just physical transformation, but about the establishment of communities that will support the creation of thriving communities. This viewpoint also reflects the broader theories of regeneration being additionally focused </w:t>
      </w:r>
      <w:r w:rsidR="00DA65E2" w:rsidRPr="00022BDE">
        <w:rPr>
          <w:rFonts w:ascii="Arial" w:hAnsi="Arial" w:cs="Arial"/>
        </w:rPr>
        <w:t>on</w:t>
      </w:r>
      <w:r w:rsidRPr="00022BDE">
        <w:rPr>
          <w:rFonts w:ascii="Arial" w:hAnsi="Arial" w:cs="Arial"/>
        </w:rPr>
        <w:t xml:space="preserve"> development that creates a sense of place; development that is participatory in nature; and development that is sustainable (Pemberton, 2019).</w:t>
      </w:r>
    </w:p>
    <w:p w14:paraId="4EEA4908" w14:textId="77777777" w:rsidR="00DA65E2" w:rsidRDefault="00DA65E2" w:rsidP="00022BDE">
      <w:pPr>
        <w:spacing w:line="480" w:lineRule="auto"/>
        <w:rPr>
          <w:rFonts w:ascii="Arial" w:hAnsi="Arial" w:cs="Arial"/>
        </w:rPr>
      </w:pPr>
    </w:p>
    <w:p w14:paraId="68E169B2" w14:textId="77777777" w:rsidR="00DA65E2" w:rsidRDefault="00DA65E2" w:rsidP="00022BDE">
      <w:pPr>
        <w:spacing w:line="480" w:lineRule="auto"/>
        <w:rPr>
          <w:rFonts w:ascii="Arial" w:hAnsi="Arial" w:cs="Arial"/>
        </w:rPr>
      </w:pPr>
    </w:p>
    <w:p w14:paraId="74A61A14" w14:textId="77777777" w:rsidR="00DA65E2" w:rsidRDefault="00DA65E2" w:rsidP="00022BDE">
      <w:pPr>
        <w:spacing w:line="480" w:lineRule="auto"/>
        <w:rPr>
          <w:rFonts w:ascii="Arial" w:hAnsi="Arial" w:cs="Arial"/>
        </w:rPr>
      </w:pPr>
    </w:p>
    <w:p w14:paraId="6CC9A152" w14:textId="77777777" w:rsidR="00DA65E2" w:rsidRDefault="00DA65E2" w:rsidP="00022BDE">
      <w:pPr>
        <w:spacing w:line="480" w:lineRule="auto"/>
        <w:rPr>
          <w:rFonts w:ascii="Arial" w:hAnsi="Arial" w:cs="Arial"/>
        </w:rPr>
      </w:pPr>
    </w:p>
    <w:p w14:paraId="1939B1E3" w14:textId="77777777" w:rsidR="00DA65E2" w:rsidRDefault="00DA65E2" w:rsidP="00022BDE">
      <w:pPr>
        <w:spacing w:line="480" w:lineRule="auto"/>
        <w:rPr>
          <w:rFonts w:ascii="Arial" w:hAnsi="Arial" w:cs="Arial"/>
        </w:rPr>
      </w:pPr>
    </w:p>
    <w:p w14:paraId="62BEDB85" w14:textId="77777777" w:rsidR="00DA65E2" w:rsidRDefault="00DA65E2" w:rsidP="00022BDE">
      <w:pPr>
        <w:spacing w:line="480" w:lineRule="auto"/>
        <w:rPr>
          <w:rFonts w:ascii="Arial" w:hAnsi="Arial" w:cs="Arial"/>
        </w:rPr>
      </w:pPr>
    </w:p>
    <w:p w14:paraId="2842CA8F" w14:textId="77777777" w:rsidR="00DA65E2" w:rsidRDefault="00DA65E2" w:rsidP="00022BDE">
      <w:pPr>
        <w:spacing w:line="480" w:lineRule="auto"/>
        <w:rPr>
          <w:rFonts w:ascii="Arial" w:hAnsi="Arial" w:cs="Arial"/>
        </w:rPr>
      </w:pPr>
    </w:p>
    <w:p w14:paraId="2B93C066" w14:textId="77777777" w:rsidR="00DA65E2" w:rsidRDefault="00DA65E2" w:rsidP="00022BDE">
      <w:pPr>
        <w:spacing w:line="480" w:lineRule="auto"/>
        <w:rPr>
          <w:rFonts w:ascii="Arial" w:hAnsi="Arial" w:cs="Arial"/>
        </w:rPr>
      </w:pPr>
    </w:p>
    <w:p w14:paraId="28755392" w14:textId="77777777" w:rsidR="00DA65E2" w:rsidRDefault="00DA65E2" w:rsidP="00022BDE">
      <w:pPr>
        <w:spacing w:line="480" w:lineRule="auto"/>
        <w:rPr>
          <w:rFonts w:ascii="Arial" w:hAnsi="Arial" w:cs="Arial"/>
        </w:rPr>
      </w:pPr>
    </w:p>
    <w:p w14:paraId="6A830C4D" w14:textId="77777777" w:rsidR="00DA65E2" w:rsidRDefault="00DA65E2" w:rsidP="00022BDE">
      <w:pPr>
        <w:spacing w:line="480" w:lineRule="auto"/>
        <w:rPr>
          <w:rFonts w:ascii="Arial" w:hAnsi="Arial" w:cs="Arial"/>
        </w:rPr>
      </w:pPr>
    </w:p>
    <w:p w14:paraId="6923A195" w14:textId="77777777" w:rsidR="00DA65E2" w:rsidRDefault="00DA65E2" w:rsidP="00022BDE">
      <w:pPr>
        <w:spacing w:line="480" w:lineRule="auto"/>
        <w:rPr>
          <w:rFonts w:ascii="Arial" w:hAnsi="Arial" w:cs="Arial"/>
        </w:rPr>
      </w:pPr>
    </w:p>
    <w:p w14:paraId="2C88BAB8" w14:textId="77777777" w:rsidR="00DA65E2" w:rsidRDefault="00DA65E2" w:rsidP="00022BDE">
      <w:pPr>
        <w:spacing w:line="480" w:lineRule="auto"/>
        <w:rPr>
          <w:rFonts w:ascii="Arial" w:hAnsi="Arial" w:cs="Arial"/>
        </w:rPr>
      </w:pPr>
    </w:p>
    <w:p w14:paraId="26D53965" w14:textId="77777777" w:rsidR="00DA65E2" w:rsidRDefault="00DA65E2" w:rsidP="00022BDE">
      <w:pPr>
        <w:spacing w:line="480" w:lineRule="auto"/>
        <w:rPr>
          <w:rFonts w:ascii="Arial" w:hAnsi="Arial" w:cs="Arial"/>
        </w:rPr>
      </w:pPr>
    </w:p>
    <w:p w14:paraId="09CB303F" w14:textId="77777777" w:rsidR="00DA65E2" w:rsidRDefault="00DA65E2" w:rsidP="00022BDE">
      <w:pPr>
        <w:spacing w:line="480" w:lineRule="auto"/>
        <w:rPr>
          <w:rFonts w:ascii="Arial" w:hAnsi="Arial" w:cs="Arial"/>
        </w:rPr>
      </w:pPr>
    </w:p>
    <w:p w14:paraId="40DAC9E9" w14:textId="465EC209" w:rsidR="00DA65E2" w:rsidRPr="00DA65E2" w:rsidRDefault="00DA65E2" w:rsidP="00022BDE">
      <w:pPr>
        <w:spacing w:line="480" w:lineRule="auto"/>
        <w:rPr>
          <w:rFonts w:ascii="Arial" w:hAnsi="Arial" w:cs="Arial"/>
          <w:b/>
          <w:bCs/>
          <w:color w:val="156082" w:themeColor="accent1"/>
        </w:rPr>
      </w:pPr>
      <w:r w:rsidRPr="00DA65E2">
        <w:rPr>
          <w:rFonts w:ascii="Arial" w:hAnsi="Arial" w:cs="Arial"/>
          <w:b/>
          <w:bCs/>
          <w:color w:val="156082" w:themeColor="accent1"/>
        </w:rPr>
        <w:lastRenderedPageBreak/>
        <w:t xml:space="preserve">References </w:t>
      </w:r>
    </w:p>
    <w:p w14:paraId="63ECC9B2" w14:textId="1681FBAC" w:rsidR="00DA65E2" w:rsidRPr="00DA65E2" w:rsidRDefault="00DA65E2" w:rsidP="00DA65E2">
      <w:pPr>
        <w:spacing w:line="480" w:lineRule="auto"/>
        <w:rPr>
          <w:rFonts w:ascii="Arial" w:hAnsi="Arial" w:cs="Arial"/>
        </w:rPr>
      </w:pPr>
      <w:r w:rsidRPr="00DA65E2">
        <w:rPr>
          <w:rFonts w:ascii="Arial" w:hAnsi="Arial" w:cs="Arial"/>
        </w:rPr>
        <w:t xml:space="preserve">Bowen, R., </w:t>
      </w:r>
      <w:proofErr w:type="spellStart"/>
      <w:r w:rsidRPr="00DA65E2">
        <w:rPr>
          <w:rFonts w:ascii="Arial" w:hAnsi="Arial" w:cs="Arial"/>
        </w:rPr>
        <w:t>Burvill</w:t>
      </w:r>
      <w:proofErr w:type="spellEnd"/>
      <w:r w:rsidRPr="00DA65E2">
        <w:rPr>
          <w:rFonts w:ascii="Arial" w:hAnsi="Arial" w:cs="Arial"/>
        </w:rPr>
        <w:t xml:space="preserve">, S., Cummings, B., &amp; </w:t>
      </w:r>
      <w:proofErr w:type="spellStart"/>
      <w:r w:rsidRPr="00DA65E2">
        <w:rPr>
          <w:rFonts w:ascii="Arial" w:hAnsi="Arial" w:cs="Arial"/>
        </w:rPr>
        <w:t>Themelidis</w:t>
      </w:r>
      <w:proofErr w:type="spellEnd"/>
      <w:r w:rsidRPr="00DA65E2">
        <w:rPr>
          <w:rFonts w:ascii="Arial" w:hAnsi="Arial" w:cs="Arial"/>
        </w:rPr>
        <w:t xml:space="preserve">, L. (2024). A new approach to entrepreneurship and regional development: Key roles of purpose and well-being in the Swansea Bay City Region. </w:t>
      </w:r>
      <w:r w:rsidRPr="00DA65E2">
        <w:rPr>
          <w:rFonts w:ascii="Arial" w:hAnsi="Arial" w:cs="Arial"/>
          <w:i/>
          <w:iCs/>
        </w:rPr>
        <w:t xml:space="preserve">International Journal of Entrepreneurial </w:t>
      </w:r>
      <w:r w:rsidRPr="00DA65E2">
        <w:rPr>
          <w:rFonts w:ascii="Arial" w:hAnsi="Arial" w:cs="Arial"/>
          <w:i/>
          <w:iCs/>
        </w:rPr>
        <w:t>Behaviour</w:t>
      </w:r>
      <w:r w:rsidRPr="00DA65E2">
        <w:rPr>
          <w:rFonts w:ascii="Arial" w:hAnsi="Arial" w:cs="Arial"/>
          <w:i/>
          <w:iCs/>
        </w:rPr>
        <w:t xml:space="preserve"> &amp; Research, 30</w:t>
      </w:r>
      <w:r w:rsidRPr="00DA65E2">
        <w:rPr>
          <w:rFonts w:ascii="Arial" w:hAnsi="Arial" w:cs="Arial"/>
        </w:rPr>
        <w:t>(10), 2443–2462.</w:t>
      </w:r>
    </w:p>
    <w:p w14:paraId="146F115D" w14:textId="77777777" w:rsidR="00DA65E2" w:rsidRPr="00DA65E2" w:rsidRDefault="00DA65E2" w:rsidP="00DA65E2">
      <w:pPr>
        <w:spacing w:line="480" w:lineRule="auto"/>
        <w:rPr>
          <w:rFonts w:ascii="Arial" w:hAnsi="Arial" w:cs="Arial"/>
          <w:i/>
          <w:iCs/>
        </w:rPr>
      </w:pPr>
      <w:proofErr w:type="spellStart"/>
      <w:r w:rsidRPr="00DA65E2">
        <w:rPr>
          <w:rFonts w:ascii="Arial" w:hAnsi="Arial" w:cs="Arial"/>
        </w:rPr>
        <w:t>Burvill</w:t>
      </w:r>
      <w:proofErr w:type="spellEnd"/>
      <w:r w:rsidRPr="00DA65E2">
        <w:rPr>
          <w:rFonts w:ascii="Arial" w:hAnsi="Arial" w:cs="Arial"/>
        </w:rPr>
        <w:t xml:space="preserve">, S., Bowen, R., &amp; Cummings, B. (2022). </w:t>
      </w:r>
      <w:r w:rsidRPr="00DA65E2">
        <w:rPr>
          <w:rFonts w:ascii="Arial" w:hAnsi="Arial" w:cs="Arial"/>
          <w:i/>
          <w:iCs/>
        </w:rPr>
        <w:t>Purposeful regional development in Swansea Bay: The case of 4theRegion.</w:t>
      </w:r>
    </w:p>
    <w:p w14:paraId="230A9CC1" w14:textId="77777777" w:rsidR="00DA65E2" w:rsidRPr="00DA65E2" w:rsidRDefault="00DA65E2" w:rsidP="00DA65E2">
      <w:pPr>
        <w:spacing w:line="480" w:lineRule="auto"/>
        <w:rPr>
          <w:rFonts w:ascii="Arial" w:hAnsi="Arial" w:cs="Arial"/>
        </w:rPr>
      </w:pPr>
      <w:proofErr w:type="spellStart"/>
      <w:r w:rsidRPr="00DA65E2">
        <w:rPr>
          <w:rFonts w:ascii="Arial" w:hAnsi="Arial" w:cs="Arial"/>
        </w:rPr>
        <w:t>Burvill</w:t>
      </w:r>
      <w:proofErr w:type="spellEnd"/>
      <w:r w:rsidRPr="00DA65E2">
        <w:rPr>
          <w:rFonts w:ascii="Arial" w:hAnsi="Arial" w:cs="Arial"/>
        </w:rPr>
        <w:t xml:space="preserve">, S., Bowen, R., &amp; Cummings, B. (2026). The role of regional actors in shaping cohesive local entrepreneurial ecosystems. </w:t>
      </w:r>
      <w:r w:rsidRPr="00DA65E2">
        <w:rPr>
          <w:rFonts w:ascii="Arial" w:hAnsi="Arial" w:cs="Arial"/>
          <w:i/>
          <w:iCs/>
        </w:rPr>
        <w:t>The International Journal of Entrepreneurship and Innovation</w:t>
      </w:r>
      <w:r w:rsidRPr="00DA65E2">
        <w:rPr>
          <w:rFonts w:ascii="Arial" w:hAnsi="Arial" w:cs="Arial"/>
        </w:rPr>
        <w:t>. Advance online publication.</w:t>
      </w:r>
    </w:p>
    <w:p w14:paraId="65289CD5" w14:textId="77777777" w:rsidR="00DA65E2" w:rsidRPr="00DA65E2" w:rsidRDefault="00DA65E2" w:rsidP="00DA65E2">
      <w:pPr>
        <w:spacing w:line="480" w:lineRule="auto"/>
        <w:rPr>
          <w:rFonts w:ascii="Arial" w:hAnsi="Arial" w:cs="Arial"/>
        </w:rPr>
      </w:pPr>
      <w:proofErr w:type="spellStart"/>
      <w:r w:rsidRPr="00DA65E2">
        <w:rPr>
          <w:rFonts w:ascii="Arial" w:hAnsi="Arial" w:cs="Arial"/>
        </w:rPr>
        <w:t>Burvill</w:t>
      </w:r>
      <w:proofErr w:type="spellEnd"/>
      <w:r w:rsidRPr="00DA65E2">
        <w:rPr>
          <w:rFonts w:ascii="Arial" w:hAnsi="Arial" w:cs="Arial"/>
        </w:rPr>
        <w:t xml:space="preserve">, S., Cummings, B., &amp; Bowen, R. (2023). </w:t>
      </w:r>
      <w:r w:rsidRPr="00DA65E2">
        <w:rPr>
          <w:rFonts w:ascii="Arial" w:hAnsi="Arial" w:cs="Arial"/>
          <w:i/>
          <w:iCs/>
        </w:rPr>
        <w:t>The future of the well-being of future generations act (Wales, 2015): An ecosystem perspective</w:t>
      </w:r>
      <w:r w:rsidRPr="00DA65E2">
        <w:rPr>
          <w:rFonts w:ascii="Arial" w:hAnsi="Arial" w:cs="Arial"/>
        </w:rPr>
        <w:t>.</w:t>
      </w:r>
    </w:p>
    <w:p w14:paraId="703FCDFD" w14:textId="3916C424" w:rsidR="00DA65E2" w:rsidRPr="00DA65E2" w:rsidRDefault="00DA65E2" w:rsidP="00DA65E2">
      <w:pPr>
        <w:spacing w:line="480" w:lineRule="auto"/>
        <w:rPr>
          <w:rFonts w:ascii="Arial" w:hAnsi="Arial" w:cs="Arial"/>
        </w:rPr>
      </w:pPr>
      <w:r w:rsidRPr="00DA65E2">
        <w:rPr>
          <w:rFonts w:ascii="Arial" w:hAnsi="Arial" w:cs="Arial"/>
        </w:rPr>
        <w:t xml:space="preserve">Hahn, R., Spieth, P., &amp; Ince, I. (2018). Business model design in sustainable entrepreneurship: Illuminating the commercial logic of hybrid businesses. </w:t>
      </w:r>
      <w:r w:rsidRPr="00DA65E2">
        <w:rPr>
          <w:rFonts w:ascii="Arial" w:hAnsi="Arial" w:cs="Arial"/>
          <w:i/>
          <w:iCs/>
        </w:rPr>
        <w:t>Journal of Cleaner Production</w:t>
      </w:r>
      <w:r w:rsidRPr="00DA65E2">
        <w:rPr>
          <w:rFonts w:ascii="Arial" w:hAnsi="Arial" w:cs="Arial"/>
        </w:rPr>
        <w:t xml:space="preserve">, 176, 439–451. </w:t>
      </w:r>
      <w:hyperlink r:id="rId9" w:history="1">
        <w:r w:rsidRPr="00982A8E">
          <w:rPr>
            <w:rStyle w:val="Hyperlink"/>
            <w:rFonts w:ascii="Arial" w:hAnsi="Arial" w:cs="Arial"/>
          </w:rPr>
          <w:t>https://doi.org/10.1016/j.jclepro.2017.12.167</w:t>
        </w:r>
      </w:hyperlink>
      <w:r>
        <w:rPr>
          <w:rFonts w:ascii="Arial" w:hAnsi="Arial" w:cs="Arial"/>
        </w:rPr>
        <w:t xml:space="preserve"> </w:t>
      </w:r>
    </w:p>
    <w:p w14:paraId="3A6CA4E7" w14:textId="215AF6DC" w:rsidR="00DA65E2" w:rsidRPr="00DA65E2" w:rsidRDefault="00DA65E2" w:rsidP="00DA65E2">
      <w:pPr>
        <w:spacing w:line="480" w:lineRule="auto"/>
        <w:rPr>
          <w:rFonts w:ascii="Arial" w:hAnsi="Arial" w:cs="Arial"/>
        </w:rPr>
      </w:pPr>
      <w:r w:rsidRPr="00DA65E2">
        <w:rPr>
          <w:rFonts w:ascii="Arial" w:hAnsi="Arial" w:cs="Arial"/>
        </w:rPr>
        <w:t xml:space="preserve">May, S. (2023). Heritage-led regeneration and the sanitisation of memory in the Lower Valley. In </w:t>
      </w:r>
      <w:r w:rsidRPr="00DA65E2">
        <w:rPr>
          <w:rFonts w:ascii="Arial" w:hAnsi="Arial" w:cs="Arial"/>
          <w:i/>
          <w:iCs/>
        </w:rPr>
        <w:t xml:space="preserve">Toxic </w:t>
      </w:r>
      <w:r w:rsidRPr="00DA65E2">
        <w:rPr>
          <w:rFonts w:ascii="Arial" w:hAnsi="Arial" w:cs="Arial"/>
          <w:i/>
          <w:iCs/>
        </w:rPr>
        <w:t>Heritage</w:t>
      </w:r>
      <w:r w:rsidRPr="00DA65E2">
        <w:rPr>
          <w:rFonts w:ascii="Arial" w:hAnsi="Arial" w:cs="Arial"/>
          <w:i/>
          <w:iCs/>
        </w:rPr>
        <w:t xml:space="preserve"> (pp. 77–88).</w:t>
      </w:r>
      <w:r w:rsidRPr="00DA65E2">
        <w:rPr>
          <w:rFonts w:ascii="Arial" w:hAnsi="Arial" w:cs="Arial"/>
        </w:rPr>
        <w:t xml:space="preserve"> Routledge.</w:t>
      </w:r>
    </w:p>
    <w:p w14:paraId="78787760" w14:textId="77777777" w:rsidR="00DA65E2" w:rsidRPr="00DA65E2" w:rsidRDefault="00DA65E2" w:rsidP="00DA65E2">
      <w:pPr>
        <w:spacing w:line="480" w:lineRule="auto"/>
        <w:rPr>
          <w:rFonts w:ascii="Arial" w:hAnsi="Arial" w:cs="Arial"/>
        </w:rPr>
      </w:pPr>
      <w:r w:rsidRPr="00DA65E2">
        <w:rPr>
          <w:rFonts w:ascii="Arial" w:hAnsi="Arial" w:cs="Arial"/>
        </w:rPr>
        <w:t xml:space="preserve">Mileto, C., &amp; Vegas López-Manzanares, F. (2024). Strategies for the regeneration of rural settlements facing depopulation: Analysis methodology and case studies. </w:t>
      </w:r>
      <w:r w:rsidRPr="00DA65E2">
        <w:rPr>
          <w:rFonts w:ascii="Arial" w:hAnsi="Arial" w:cs="Arial"/>
          <w:i/>
          <w:iCs/>
        </w:rPr>
        <w:t>Land, 13</w:t>
      </w:r>
      <w:r w:rsidRPr="00DA65E2">
        <w:rPr>
          <w:rFonts w:ascii="Arial" w:hAnsi="Arial" w:cs="Arial"/>
        </w:rPr>
        <w:t>(11), 1782.</w:t>
      </w:r>
    </w:p>
    <w:p w14:paraId="556168C9" w14:textId="77777777" w:rsidR="00DA65E2" w:rsidRPr="00DA65E2" w:rsidRDefault="00DA65E2" w:rsidP="00DA65E2">
      <w:pPr>
        <w:spacing w:line="480" w:lineRule="auto"/>
        <w:rPr>
          <w:rFonts w:ascii="Arial" w:hAnsi="Arial" w:cs="Arial"/>
        </w:rPr>
      </w:pPr>
      <w:r w:rsidRPr="00DA65E2">
        <w:rPr>
          <w:rFonts w:ascii="Arial" w:hAnsi="Arial" w:cs="Arial"/>
        </w:rPr>
        <w:t xml:space="preserve">Pemberton, S. (2019). </w:t>
      </w:r>
      <w:r w:rsidRPr="00DA65E2">
        <w:rPr>
          <w:rFonts w:ascii="Arial" w:hAnsi="Arial" w:cs="Arial"/>
          <w:i/>
          <w:iCs/>
        </w:rPr>
        <w:t>Rural regeneration in the UK</w:t>
      </w:r>
      <w:r w:rsidRPr="00DA65E2">
        <w:rPr>
          <w:rFonts w:ascii="Arial" w:hAnsi="Arial" w:cs="Arial"/>
        </w:rPr>
        <w:t>. Routledge.</w:t>
      </w:r>
    </w:p>
    <w:p w14:paraId="67E4D22F" w14:textId="77777777" w:rsidR="00DA65E2" w:rsidRPr="00DA65E2" w:rsidRDefault="00DA65E2" w:rsidP="00DA65E2">
      <w:pPr>
        <w:spacing w:line="480" w:lineRule="auto"/>
        <w:rPr>
          <w:rFonts w:ascii="Arial" w:hAnsi="Arial" w:cs="Arial"/>
        </w:rPr>
      </w:pPr>
      <w:r w:rsidRPr="00DA65E2">
        <w:rPr>
          <w:rFonts w:ascii="Arial" w:hAnsi="Arial" w:cs="Arial"/>
        </w:rPr>
        <w:t xml:space="preserve">Powe, N., Pringle, R., &amp; Hart, T. (2015). Matching the process to the challenge within small town regeneration. </w:t>
      </w:r>
      <w:r w:rsidRPr="00DA65E2">
        <w:rPr>
          <w:rFonts w:ascii="Arial" w:hAnsi="Arial" w:cs="Arial"/>
          <w:i/>
          <w:iCs/>
        </w:rPr>
        <w:t>Town Planning Review, 86</w:t>
      </w:r>
      <w:r w:rsidRPr="00DA65E2">
        <w:rPr>
          <w:rFonts w:ascii="Arial" w:hAnsi="Arial" w:cs="Arial"/>
        </w:rPr>
        <w:t>(2), 177–202.</w:t>
      </w:r>
    </w:p>
    <w:p w14:paraId="1816949A" w14:textId="77777777" w:rsidR="00DA65E2" w:rsidRPr="00DA65E2" w:rsidRDefault="00DA65E2" w:rsidP="00DA65E2">
      <w:pPr>
        <w:spacing w:line="480" w:lineRule="auto"/>
        <w:rPr>
          <w:rFonts w:ascii="Arial" w:hAnsi="Arial" w:cs="Arial"/>
          <w:i/>
          <w:iCs/>
        </w:rPr>
      </w:pPr>
      <w:r w:rsidRPr="00DA65E2">
        <w:rPr>
          <w:rFonts w:ascii="Arial" w:hAnsi="Arial" w:cs="Arial"/>
        </w:rPr>
        <w:lastRenderedPageBreak/>
        <w:t xml:space="preserve">Saunders, A. (2023). </w:t>
      </w:r>
      <w:r w:rsidRPr="00DA65E2">
        <w:rPr>
          <w:rFonts w:ascii="Arial" w:hAnsi="Arial" w:cs="Arial"/>
          <w:i/>
          <w:iCs/>
        </w:rPr>
        <w:t>Exploring the dynamics of agency in old industrial towns in Wales (Doctoral dissertation, Cardiff University).</w:t>
      </w:r>
    </w:p>
    <w:p w14:paraId="1D5A2689" w14:textId="77777777" w:rsidR="00DA65E2" w:rsidRPr="00DA65E2" w:rsidRDefault="00DA65E2" w:rsidP="00DA65E2">
      <w:pPr>
        <w:spacing w:line="480" w:lineRule="auto"/>
        <w:rPr>
          <w:rFonts w:ascii="Arial" w:hAnsi="Arial" w:cs="Arial"/>
        </w:rPr>
      </w:pPr>
      <w:r w:rsidRPr="00DA65E2">
        <w:rPr>
          <w:rFonts w:ascii="Arial" w:hAnsi="Arial" w:cs="Arial"/>
        </w:rPr>
        <w:t xml:space="preserve">Thomas, G. (2026). Reviving heritage crafts: Connecting communities with coppicing. </w:t>
      </w:r>
      <w:r w:rsidRPr="00DA65E2">
        <w:rPr>
          <w:rFonts w:ascii="Arial" w:hAnsi="Arial" w:cs="Arial"/>
          <w:i/>
          <w:iCs/>
        </w:rPr>
        <w:t>Craft Research, 16</w:t>
      </w:r>
      <w:r w:rsidRPr="00DA65E2">
        <w:rPr>
          <w:rFonts w:ascii="Arial" w:hAnsi="Arial" w:cs="Arial"/>
        </w:rPr>
        <w:t>(2), 249–261.</w:t>
      </w:r>
    </w:p>
    <w:p w14:paraId="5D669204" w14:textId="77777777" w:rsidR="00DA65E2" w:rsidRPr="00DA65E2" w:rsidRDefault="00DA65E2" w:rsidP="00DA65E2">
      <w:pPr>
        <w:spacing w:line="480" w:lineRule="auto"/>
        <w:rPr>
          <w:rFonts w:ascii="Arial" w:hAnsi="Arial" w:cs="Arial"/>
        </w:rPr>
      </w:pPr>
      <w:r w:rsidRPr="00DA65E2">
        <w:rPr>
          <w:rFonts w:ascii="Arial" w:hAnsi="Arial" w:cs="Arial"/>
        </w:rPr>
        <w:t xml:space="preserve">Viken, A. (2016). </w:t>
      </w:r>
      <w:r w:rsidRPr="00DA65E2">
        <w:rPr>
          <w:rFonts w:ascii="Arial" w:hAnsi="Arial" w:cs="Arial"/>
          <w:i/>
          <w:iCs/>
        </w:rPr>
        <w:t>Place reinvention: Northern perspectives</w:t>
      </w:r>
      <w:r w:rsidRPr="00DA65E2">
        <w:rPr>
          <w:rFonts w:ascii="Arial" w:hAnsi="Arial" w:cs="Arial"/>
        </w:rPr>
        <w:t>. Routledge.</w:t>
      </w:r>
    </w:p>
    <w:p w14:paraId="7C43F5AC" w14:textId="6E5655C6" w:rsidR="00DA65E2" w:rsidRPr="00022BDE" w:rsidRDefault="00DA65E2" w:rsidP="00DA65E2">
      <w:pPr>
        <w:spacing w:line="480" w:lineRule="auto"/>
        <w:rPr>
          <w:rFonts w:ascii="Arial" w:hAnsi="Arial" w:cs="Arial"/>
        </w:rPr>
      </w:pPr>
      <w:r w:rsidRPr="00DA65E2">
        <w:rPr>
          <w:rFonts w:ascii="Arial" w:hAnsi="Arial" w:cs="Arial"/>
        </w:rPr>
        <w:t xml:space="preserve">Wu, L., &amp; Leng, J. (2025). An overview of sustainable urban regeneration development: A synergistic perspective of CIM and BIM. </w:t>
      </w:r>
      <w:r w:rsidRPr="00DA65E2">
        <w:rPr>
          <w:rFonts w:ascii="Arial" w:hAnsi="Arial" w:cs="Arial"/>
          <w:i/>
          <w:iCs/>
        </w:rPr>
        <w:t>Buildings, 15</w:t>
      </w:r>
      <w:r w:rsidRPr="00DA65E2">
        <w:rPr>
          <w:rFonts w:ascii="Arial" w:hAnsi="Arial" w:cs="Arial"/>
        </w:rPr>
        <w:t>(5), 833.</w:t>
      </w:r>
    </w:p>
    <w:sectPr w:rsidR="00DA65E2" w:rsidRPr="00022BDE" w:rsidSect="00DA65E2">
      <w:head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1B99EC" w14:textId="77777777" w:rsidR="00847ADD" w:rsidRDefault="00847ADD" w:rsidP="00DA65E2">
      <w:pPr>
        <w:spacing w:after="0" w:line="240" w:lineRule="auto"/>
      </w:pPr>
      <w:r>
        <w:separator/>
      </w:r>
    </w:p>
  </w:endnote>
  <w:endnote w:type="continuationSeparator" w:id="0">
    <w:p w14:paraId="054964EE" w14:textId="77777777" w:rsidR="00847ADD" w:rsidRDefault="00847ADD" w:rsidP="00DA65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BFBC13" w14:textId="77777777" w:rsidR="00847ADD" w:rsidRDefault="00847ADD" w:rsidP="00DA65E2">
      <w:pPr>
        <w:spacing w:after="0" w:line="240" w:lineRule="auto"/>
      </w:pPr>
      <w:r>
        <w:separator/>
      </w:r>
    </w:p>
  </w:footnote>
  <w:footnote w:type="continuationSeparator" w:id="0">
    <w:p w14:paraId="20386C60" w14:textId="77777777" w:rsidR="00847ADD" w:rsidRDefault="00847ADD" w:rsidP="00DA65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9634292"/>
      <w:docPartObj>
        <w:docPartGallery w:val="Page Numbers (Top of Page)"/>
        <w:docPartUnique/>
      </w:docPartObj>
    </w:sdtPr>
    <w:sdtEndPr>
      <w:rPr>
        <w:noProof/>
      </w:rPr>
    </w:sdtEndPr>
    <w:sdtContent>
      <w:p w14:paraId="33BE376F" w14:textId="6FFFCDB3" w:rsidR="00DA65E2" w:rsidRDefault="00DA65E2">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094BAF4B" w14:textId="77777777" w:rsidR="00DA65E2" w:rsidRDefault="00DA65E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62088"/>
    <w:multiLevelType w:val="hybridMultilevel"/>
    <w:tmpl w:val="64FA22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2315F2"/>
    <w:multiLevelType w:val="hybridMultilevel"/>
    <w:tmpl w:val="F7DE915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5F3A05"/>
    <w:multiLevelType w:val="hybridMultilevel"/>
    <w:tmpl w:val="C5C22A8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6F22392"/>
    <w:multiLevelType w:val="hybridMultilevel"/>
    <w:tmpl w:val="755008FA"/>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88115974">
    <w:abstractNumId w:val="3"/>
  </w:num>
  <w:num w:numId="2" w16cid:durableId="1375887089">
    <w:abstractNumId w:val="1"/>
  </w:num>
  <w:num w:numId="3" w16cid:durableId="62652654">
    <w:abstractNumId w:val="2"/>
  </w:num>
  <w:num w:numId="4" w16cid:durableId="4630806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2BDE"/>
    <w:rsid w:val="00022BDE"/>
    <w:rsid w:val="00847ADD"/>
    <w:rsid w:val="00DA65E2"/>
    <w:rsid w:val="00F206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A0B414"/>
  <w15:chartTrackingRefBased/>
  <w15:docId w15:val="{80A8853D-D432-42B0-B848-919C0B69D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2B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2B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2B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2B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2B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2B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2B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2B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2B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2B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2B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2B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2B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2B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2B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2B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2B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2BDE"/>
    <w:rPr>
      <w:rFonts w:eastAsiaTheme="majorEastAsia" w:cstheme="majorBidi"/>
      <w:color w:val="272727" w:themeColor="text1" w:themeTint="D8"/>
    </w:rPr>
  </w:style>
  <w:style w:type="paragraph" w:styleId="Title">
    <w:name w:val="Title"/>
    <w:basedOn w:val="Normal"/>
    <w:next w:val="Normal"/>
    <w:link w:val="TitleChar"/>
    <w:uiPriority w:val="10"/>
    <w:qFormat/>
    <w:rsid w:val="00022B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2B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2B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2B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2BDE"/>
    <w:pPr>
      <w:spacing w:before="160"/>
      <w:jc w:val="center"/>
    </w:pPr>
    <w:rPr>
      <w:i/>
      <w:iCs/>
      <w:color w:val="404040" w:themeColor="text1" w:themeTint="BF"/>
    </w:rPr>
  </w:style>
  <w:style w:type="character" w:customStyle="1" w:styleId="QuoteChar">
    <w:name w:val="Quote Char"/>
    <w:basedOn w:val="DefaultParagraphFont"/>
    <w:link w:val="Quote"/>
    <w:uiPriority w:val="29"/>
    <w:rsid w:val="00022BDE"/>
    <w:rPr>
      <w:i/>
      <w:iCs/>
      <w:color w:val="404040" w:themeColor="text1" w:themeTint="BF"/>
    </w:rPr>
  </w:style>
  <w:style w:type="paragraph" w:styleId="ListParagraph">
    <w:name w:val="List Paragraph"/>
    <w:basedOn w:val="Normal"/>
    <w:uiPriority w:val="34"/>
    <w:qFormat/>
    <w:rsid w:val="00022BDE"/>
    <w:pPr>
      <w:ind w:left="720"/>
      <w:contextualSpacing/>
    </w:pPr>
  </w:style>
  <w:style w:type="character" w:styleId="IntenseEmphasis">
    <w:name w:val="Intense Emphasis"/>
    <w:basedOn w:val="DefaultParagraphFont"/>
    <w:uiPriority w:val="21"/>
    <w:qFormat/>
    <w:rsid w:val="00022BDE"/>
    <w:rPr>
      <w:i/>
      <w:iCs/>
      <w:color w:val="0F4761" w:themeColor="accent1" w:themeShade="BF"/>
    </w:rPr>
  </w:style>
  <w:style w:type="paragraph" w:styleId="IntenseQuote">
    <w:name w:val="Intense Quote"/>
    <w:basedOn w:val="Normal"/>
    <w:next w:val="Normal"/>
    <w:link w:val="IntenseQuoteChar"/>
    <w:uiPriority w:val="30"/>
    <w:qFormat/>
    <w:rsid w:val="00022B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2BDE"/>
    <w:rPr>
      <w:i/>
      <w:iCs/>
      <w:color w:val="0F4761" w:themeColor="accent1" w:themeShade="BF"/>
    </w:rPr>
  </w:style>
  <w:style w:type="character" w:styleId="IntenseReference">
    <w:name w:val="Intense Reference"/>
    <w:basedOn w:val="DefaultParagraphFont"/>
    <w:uiPriority w:val="32"/>
    <w:qFormat/>
    <w:rsid w:val="00022BDE"/>
    <w:rPr>
      <w:b/>
      <w:bCs/>
      <w:smallCaps/>
      <w:color w:val="0F4761" w:themeColor="accent1" w:themeShade="BF"/>
      <w:spacing w:val="5"/>
    </w:rPr>
  </w:style>
  <w:style w:type="character" w:styleId="Hyperlink">
    <w:name w:val="Hyperlink"/>
    <w:basedOn w:val="DefaultParagraphFont"/>
    <w:uiPriority w:val="99"/>
    <w:unhideWhenUsed/>
    <w:rsid w:val="00DA65E2"/>
    <w:rPr>
      <w:color w:val="467886" w:themeColor="hyperlink"/>
      <w:u w:val="single"/>
    </w:rPr>
  </w:style>
  <w:style w:type="character" w:styleId="UnresolvedMention">
    <w:name w:val="Unresolved Mention"/>
    <w:basedOn w:val="DefaultParagraphFont"/>
    <w:uiPriority w:val="99"/>
    <w:semiHidden/>
    <w:unhideWhenUsed/>
    <w:rsid w:val="00DA65E2"/>
    <w:rPr>
      <w:color w:val="605E5C"/>
      <w:shd w:val="clear" w:color="auto" w:fill="E1DFDD"/>
    </w:rPr>
  </w:style>
  <w:style w:type="paragraph" w:styleId="NoSpacing">
    <w:name w:val="No Spacing"/>
    <w:link w:val="NoSpacingChar"/>
    <w:uiPriority w:val="1"/>
    <w:qFormat/>
    <w:rsid w:val="00DA65E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A65E2"/>
    <w:rPr>
      <w:rFonts w:eastAsiaTheme="minorEastAsia"/>
      <w:kern w:val="0"/>
      <w:sz w:val="22"/>
      <w:szCs w:val="22"/>
      <w:lang w:val="en-US"/>
      <w14:ligatures w14:val="none"/>
    </w:rPr>
  </w:style>
  <w:style w:type="paragraph" w:styleId="Header">
    <w:name w:val="header"/>
    <w:basedOn w:val="Normal"/>
    <w:link w:val="HeaderChar"/>
    <w:uiPriority w:val="99"/>
    <w:unhideWhenUsed/>
    <w:rsid w:val="00DA65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65E2"/>
  </w:style>
  <w:style w:type="paragraph" w:styleId="Footer">
    <w:name w:val="footer"/>
    <w:basedOn w:val="Normal"/>
    <w:link w:val="FooterChar"/>
    <w:uiPriority w:val="99"/>
    <w:unhideWhenUsed/>
    <w:rsid w:val="00DA65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65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doi.org/10.1016/j.jclepro.2017.12.16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20</TotalTime>
  <Pages>12</Pages>
  <Words>2583</Words>
  <Characters>14724</Characters>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2026-04-25T19:38:00Z</dcterms:created>
  <dcterms:modified xsi:type="dcterms:W3CDTF">2026-04-25T19:58:00Z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b6a98d41-f391-4b20-a516-3f55a555199b</vt:lpwstr>
  </property>
</Properties>
</file>