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1B3B6" w14:textId="77777777" w:rsidR="00CB4455" w:rsidRPr="009B26AB" w:rsidRDefault="00CB4455" w:rsidP="009B26AB">
      <w:pPr>
        <w:rPr>
          <w:b/>
          <w:bCs/>
        </w:rPr>
      </w:pPr>
    </w:p>
    <w:p w14:paraId="2F6B1C96" w14:textId="77777777" w:rsidR="009B26AB" w:rsidRPr="00D15808" w:rsidRDefault="009B26AB" w:rsidP="00FC045A">
      <w:pPr>
        <w:jc w:val="center"/>
        <w:rPr>
          <w:rFonts w:ascii="Arial" w:hAnsi="Arial" w:cs="Arial"/>
          <w:sz w:val="28"/>
          <w:szCs w:val="28"/>
        </w:rPr>
      </w:pPr>
      <w:r w:rsidRPr="00D15808">
        <w:rPr>
          <w:rFonts w:ascii="Arial" w:hAnsi="Arial" w:cs="Arial"/>
          <w:sz w:val="28"/>
          <w:szCs w:val="28"/>
        </w:rPr>
        <w:t>University of Wales Trinity Saint David</w:t>
      </w:r>
    </w:p>
    <w:p w14:paraId="3B3465BB" w14:textId="77777777" w:rsidR="009B26AB" w:rsidRDefault="009B26AB" w:rsidP="00FC045A">
      <w:pPr>
        <w:jc w:val="center"/>
        <w:rPr>
          <w:rFonts w:ascii="Arial" w:hAnsi="Arial" w:cs="Arial"/>
          <w:sz w:val="28"/>
          <w:szCs w:val="28"/>
        </w:rPr>
      </w:pPr>
      <w:r w:rsidRPr="00D15808">
        <w:rPr>
          <w:rFonts w:ascii="Arial" w:hAnsi="Arial" w:cs="Arial"/>
          <w:sz w:val="28"/>
          <w:szCs w:val="28"/>
        </w:rPr>
        <w:t>Birmingham Campus</w:t>
      </w:r>
    </w:p>
    <w:p w14:paraId="02BA032F" w14:textId="77777777" w:rsidR="00D15808" w:rsidRPr="00D15808" w:rsidRDefault="00D15808" w:rsidP="00FC045A">
      <w:pPr>
        <w:jc w:val="center"/>
        <w:rPr>
          <w:rFonts w:ascii="Arial" w:hAnsi="Arial" w:cs="Arial"/>
          <w:sz w:val="28"/>
          <w:szCs w:val="28"/>
        </w:rPr>
      </w:pPr>
    </w:p>
    <w:p w14:paraId="74E00F50" w14:textId="4DF4D904" w:rsidR="009B26AB" w:rsidRPr="00D15808" w:rsidRDefault="00D15808" w:rsidP="00D15808">
      <w:pPr>
        <w:jc w:val="center"/>
        <w:rPr>
          <w:rFonts w:ascii="Arial" w:hAnsi="Arial" w:cs="Arial"/>
          <w:sz w:val="32"/>
          <w:szCs w:val="32"/>
        </w:rPr>
      </w:pPr>
      <w:r w:rsidRPr="00EF3058">
        <w:rPr>
          <w:noProof/>
        </w:rPr>
        <w:drawing>
          <wp:inline distT="0" distB="0" distL="0" distR="0" wp14:anchorId="21671099" wp14:editId="09F49481">
            <wp:extent cx="1810385" cy="719455"/>
            <wp:effectExtent l="0" t="0" r="0" b="0"/>
            <wp:docPr id="1272492031"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92031" name="Picture 1" descr="A black and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inline>
        </w:drawing>
      </w:r>
    </w:p>
    <w:p w14:paraId="07E58D6C" w14:textId="6DDFE873" w:rsidR="009B26AB" w:rsidRDefault="00D15808" w:rsidP="007F66E2">
      <w:pPr>
        <w:rPr>
          <w:b/>
          <w:bCs/>
        </w:rPr>
      </w:pPr>
      <w:r>
        <w:rPr>
          <w:b/>
          <w:bCs/>
          <w:noProof/>
        </w:rPr>
        <mc:AlternateContent>
          <mc:Choice Requires="wps">
            <w:drawing>
              <wp:anchor distT="0" distB="0" distL="114300" distR="114300" simplePos="0" relativeHeight="251661312" behindDoc="0" locked="0" layoutInCell="1" allowOverlap="1" wp14:anchorId="12132D9D" wp14:editId="3EAD34F6">
                <wp:simplePos x="0" y="0"/>
                <wp:positionH relativeFrom="column">
                  <wp:posOffset>810253</wp:posOffset>
                </wp:positionH>
                <wp:positionV relativeFrom="paragraph">
                  <wp:posOffset>184720</wp:posOffset>
                </wp:positionV>
                <wp:extent cx="4307584" cy="0"/>
                <wp:effectExtent l="0" t="0" r="0" b="0"/>
                <wp:wrapNone/>
                <wp:docPr id="188270253" name="Straight Connector 3"/>
                <wp:cNvGraphicFramePr/>
                <a:graphic xmlns:a="http://schemas.openxmlformats.org/drawingml/2006/main">
                  <a:graphicData uri="http://schemas.microsoft.com/office/word/2010/wordprocessingShape">
                    <wps:wsp>
                      <wps:cNvCnPr/>
                      <wps:spPr>
                        <a:xfrm>
                          <a:off x="0" y="0"/>
                          <a:ext cx="4307584" cy="0"/>
                        </a:xfrm>
                        <a:prstGeom prst="line">
                          <a:avLst/>
                        </a:prstGeom>
                        <a:ln>
                          <a:solidFill>
                            <a:srgbClr val="EE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0251422"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3.8pt,14.55pt" to="40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" strokecolor="#e00" strokeweight=".5pt">
                <v:stroke joinstyle="miter"/>
              </v:line>
            </w:pict>
          </mc:Fallback>
        </mc:AlternateContent>
      </w:r>
    </w:p>
    <w:p w14:paraId="03BACF26" w14:textId="1F5D18F6" w:rsidR="00D15808" w:rsidRPr="00D15808" w:rsidRDefault="00007BFA" w:rsidP="00D15808">
      <w:pPr>
        <w:spacing w:line="360" w:lineRule="auto"/>
        <w:jc w:val="center"/>
        <w:rPr>
          <w:rFonts w:ascii="Arial" w:hAnsi="Arial" w:cs="Arial"/>
          <w:sz w:val="36"/>
          <w:szCs w:val="36"/>
        </w:rPr>
      </w:pPr>
      <w:r w:rsidRPr="00D15808">
        <w:rPr>
          <w:rFonts w:ascii="Arial" w:hAnsi="Arial" w:cs="Arial"/>
          <w:sz w:val="36"/>
          <w:szCs w:val="36"/>
        </w:rPr>
        <w:t>Strategic International Expansion: A Critical Evaluation of Lululemon Athletica’s Entry into the Indian Market</w:t>
      </w:r>
    </w:p>
    <w:p w14:paraId="2B2BFAE6" w14:textId="4E5CE688" w:rsidR="00637FDB" w:rsidRPr="00D15808" w:rsidRDefault="00007BFA" w:rsidP="00D15808">
      <w:pPr>
        <w:spacing w:line="360" w:lineRule="auto"/>
        <w:jc w:val="center"/>
        <w:rPr>
          <w:rFonts w:ascii="Arial" w:hAnsi="Arial" w:cs="Arial"/>
          <w:sz w:val="28"/>
          <w:szCs w:val="28"/>
        </w:rPr>
      </w:pPr>
      <w:r w:rsidRPr="00D15808">
        <w:rPr>
          <w:rFonts w:ascii="Arial" w:hAnsi="Arial" w:cs="Arial"/>
          <w:sz w:val="28"/>
          <w:szCs w:val="28"/>
        </w:rPr>
        <w:t>Achieving Sustainable Competitive Advantage through a Transnational Differentiation Strategy</w:t>
      </w:r>
    </w:p>
    <w:p w14:paraId="67E8B361" w14:textId="417A1EFF" w:rsidR="00637FDB" w:rsidRDefault="00D15808" w:rsidP="007F66E2">
      <w:pPr>
        <w:rPr>
          <w:b/>
          <w:bCs/>
        </w:rPr>
      </w:pPr>
      <w:r>
        <w:rPr>
          <w:noProof/>
        </w:rPr>
        <w:drawing>
          <wp:anchor distT="0" distB="0" distL="114300" distR="114300" simplePos="0" relativeHeight="251660288" behindDoc="0" locked="0" layoutInCell="1" allowOverlap="1" wp14:anchorId="51B9BA2D" wp14:editId="7831A4CE">
            <wp:simplePos x="0" y="0"/>
            <wp:positionH relativeFrom="column">
              <wp:posOffset>2233878</wp:posOffset>
            </wp:positionH>
            <wp:positionV relativeFrom="paragraph">
              <wp:posOffset>100572</wp:posOffset>
            </wp:positionV>
            <wp:extent cx="1140643" cy="1140643"/>
            <wp:effectExtent l="0" t="0" r="2540" b="2540"/>
            <wp:wrapNone/>
            <wp:docPr id="849277858" name="Picture 2" descr="lululemon's pro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lulemon's profile pi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0643" cy="1140643"/>
                    </a:xfrm>
                    <a:prstGeom prst="ellipse">
                      <a:avLst/>
                    </a:prstGeom>
                    <a:noFill/>
                    <a:ln>
                      <a:noFill/>
                    </a:ln>
                  </pic:spPr>
                </pic:pic>
              </a:graphicData>
            </a:graphic>
            <wp14:sizeRelH relativeFrom="page">
              <wp14:pctWidth>0</wp14:pctWidth>
            </wp14:sizeRelH>
            <wp14:sizeRelV relativeFrom="page">
              <wp14:pctHeight>0</wp14:pctHeight>
            </wp14:sizeRelV>
          </wp:anchor>
        </w:drawing>
      </w:r>
    </w:p>
    <w:p w14:paraId="761FB573" w14:textId="09FFB322" w:rsidR="00637FDB" w:rsidRDefault="00637FDB" w:rsidP="007F66E2">
      <w:pPr>
        <w:rPr>
          <w:b/>
          <w:bCs/>
        </w:rPr>
      </w:pPr>
    </w:p>
    <w:p w14:paraId="21905C4C" w14:textId="4923A263" w:rsidR="00637FDB" w:rsidRDefault="00637FDB" w:rsidP="007F66E2">
      <w:pPr>
        <w:rPr>
          <w:b/>
          <w:bCs/>
        </w:rPr>
      </w:pPr>
    </w:p>
    <w:p w14:paraId="10B9E6E3" w14:textId="12CEFA6A" w:rsidR="00637FDB" w:rsidRDefault="00637FDB" w:rsidP="007F66E2">
      <w:pPr>
        <w:rPr>
          <w:b/>
          <w:bCs/>
        </w:rPr>
      </w:pPr>
    </w:p>
    <w:p w14:paraId="5722D205" w14:textId="77777777" w:rsidR="00CB4455" w:rsidRDefault="00CB4455" w:rsidP="007F66E2">
      <w:pPr>
        <w:rPr>
          <w:b/>
          <w:bCs/>
        </w:rPr>
      </w:pPr>
    </w:p>
    <w:p w14:paraId="6561BCDC" w14:textId="5AD7A9D6" w:rsidR="00637FDB" w:rsidRDefault="00D15808" w:rsidP="007F66E2">
      <w:pPr>
        <w:rPr>
          <w:b/>
          <w:bCs/>
        </w:rPr>
      </w:pPr>
      <w:r>
        <w:rPr>
          <w:b/>
          <w:bCs/>
          <w:noProof/>
        </w:rPr>
        <mc:AlternateContent>
          <mc:Choice Requires="wps">
            <w:drawing>
              <wp:anchor distT="0" distB="0" distL="114300" distR="114300" simplePos="0" relativeHeight="251659264" behindDoc="0" locked="0" layoutInCell="1" allowOverlap="1" wp14:anchorId="53DDD6A2" wp14:editId="2C20FEFB">
                <wp:simplePos x="0" y="0"/>
                <wp:positionH relativeFrom="column">
                  <wp:posOffset>1375822</wp:posOffset>
                </wp:positionH>
                <wp:positionV relativeFrom="paragraph">
                  <wp:posOffset>23993</wp:posOffset>
                </wp:positionV>
                <wp:extent cx="3053820" cy="0"/>
                <wp:effectExtent l="0" t="0" r="0" b="0"/>
                <wp:wrapNone/>
                <wp:docPr id="1339574293" name="Straight Connector 1"/>
                <wp:cNvGraphicFramePr/>
                <a:graphic xmlns:a="http://schemas.openxmlformats.org/drawingml/2006/main">
                  <a:graphicData uri="http://schemas.microsoft.com/office/word/2010/wordprocessingShape">
                    <wps:wsp>
                      <wps:cNvCnPr/>
                      <wps:spPr>
                        <a:xfrm flipV="1">
                          <a:off x="0" y="0"/>
                          <a:ext cx="30538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10C325"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35pt,1.9pt" to="348.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" strokecolor="#156082 [3204]" strokeweight=".5pt">
                <v:stroke joinstyle="miter"/>
              </v:line>
            </w:pict>
          </mc:Fallback>
        </mc:AlternateContent>
      </w:r>
    </w:p>
    <w:p w14:paraId="61638264" w14:textId="10419E3B" w:rsidR="00D15808" w:rsidRPr="00D15808" w:rsidRDefault="00D15808" w:rsidP="00D15808">
      <w:pPr>
        <w:spacing w:line="360" w:lineRule="auto"/>
        <w:jc w:val="center"/>
        <w:rPr>
          <w:rFonts w:ascii="Arial" w:hAnsi="Arial" w:cs="Arial"/>
        </w:rPr>
      </w:pPr>
      <w:r w:rsidRPr="00D15808">
        <w:rPr>
          <w:rFonts w:ascii="Arial" w:hAnsi="Arial" w:cs="Arial"/>
        </w:rPr>
        <w:t>Programme: Master of Business Administration</w:t>
      </w:r>
    </w:p>
    <w:p w14:paraId="03E39E38" w14:textId="405FF58E" w:rsidR="00D15808" w:rsidRPr="00D15808" w:rsidRDefault="00D15808" w:rsidP="00D15808">
      <w:pPr>
        <w:spacing w:line="360" w:lineRule="auto"/>
        <w:jc w:val="center"/>
        <w:rPr>
          <w:rFonts w:ascii="Arial" w:hAnsi="Arial" w:cs="Arial"/>
        </w:rPr>
      </w:pPr>
      <w:r w:rsidRPr="00D15808">
        <w:rPr>
          <w:rFonts w:ascii="Arial" w:hAnsi="Arial" w:cs="Arial"/>
        </w:rPr>
        <w:t>Module: Strategic Management (LCMB7003)</w:t>
      </w:r>
    </w:p>
    <w:p w14:paraId="63171A90" w14:textId="3C701504" w:rsidR="00D15808" w:rsidRPr="00D15808" w:rsidRDefault="00D15808" w:rsidP="00D15808">
      <w:pPr>
        <w:spacing w:line="360" w:lineRule="auto"/>
        <w:jc w:val="center"/>
        <w:rPr>
          <w:rFonts w:ascii="Arial" w:hAnsi="Arial" w:cs="Arial"/>
        </w:rPr>
      </w:pPr>
      <w:r w:rsidRPr="00D15808">
        <w:rPr>
          <w:rFonts w:ascii="Arial" w:hAnsi="Arial" w:cs="Arial"/>
        </w:rPr>
        <w:t>Lecturer:</w:t>
      </w:r>
      <w:r>
        <w:rPr>
          <w:rFonts w:ascii="Arial" w:hAnsi="Arial" w:cs="Arial"/>
        </w:rPr>
        <w:t xml:space="preserve"> </w:t>
      </w:r>
      <w:r w:rsidRPr="00D15808">
        <w:rPr>
          <w:rFonts w:ascii="Arial" w:hAnsi="Arial" w:cs="Arial"/>
        </w:rPr>
        <w:t>Simon Chatterton</w:t>
      </w:r>
    </w:p>
    <w:p w14:paraId="550FE066" w14:textId="56967D78" w:rsidR="00D15808" w:rsidRPr="00D15808" w:rsidRDefault="00D15808" w:rsidP="00D15808">
      <w:pPr>
        <w:spacing w:line="360" w:lineRule="auto"/>
        <w:jc w:val="center"/>
        <w:rPr>
          <w:rFonts w:ascii="Arial" w:hAnsi="Arial" w:cs="Arial"/>
        </w:rPr>
      </w:pPr>
      <w:r w:rsidRPr="00D15808">
        <w:rPr>
          <w:rFonts w:ascii="Arial" w:hAnsi="Arial" w:cs="Arial"/>
        </w:rPr>
        <w:t>Student Name:</w:t>
      </w:r>
      <w:r>
        <w:rPr>
          <w:rFonts w:ascii="Arial" w:hAnsi="Arial" w:cs="Arial"/>
        </w:rPr>
        <w:t xml:space="preserve"> Yordanka Kancheva</w:t>
      </w:r>
    </w:p>
    <w:p w14:paraId="4421F32A" w14:textId="57485B8F" w:rsidR="00D15808" w:rsidRPr="00D15808" w:rsidRDefault="00D15808" w:rsidP="00D15808">
      <w:pPr>
        <w:spacing w:line="360" w:lineRule="auto"/>
        <w:jc w:val="center"/>
        <w:rPr>
          <w:rFonts w:ascii="Arial" w:hAnsi="Arial" w:cs="Arial"/>
        </w:rPr>
      </w:pPr>
      <w:r w:rsidRPr="00D15808">
        <w:rPr>
          <w:rFonts w:ascii="Arial" w:hAnsi="Arial" w:cs="Arial"/>
        </w:rPr>
        <w:t xml:space="preserve">Student ID: </w:t>
      </w:r>
      <w:r>
        <w:rPr>
          <w:rFonts w:ascii="Arial" w:hAnsi="Arial" w:cs="Arial"/>
        </w:rPr>
        <w:t>2017633</w:t>
      </w:r>
    </w:p>
    <w:p w14:paraId="61072E5C" w14:textId="515FD165" w:rsidR="00CB4455" w:rsidRDefault="00D15808" w:rsidP="00CB4455">
      <w:pPr>
        <w:spacing w:line="360" w:lineRule="auto"/>
        <w:jc w:val="center"/>
        <w:rPr>
          <w:rFonts w:ascii="Arial" w:hAnsi="Arial" w:cs="Arial"/>
        </w:rPr>
      </w:pPr>
      <w:r w:rsidRPr="00D15808">
        <w:rPr>
          <w:rFonts w:ascii="Arial" w:hAnsi="Arial" w:cs="Arial"/>
        </w:rPr>
        <w:t xml:space="preserve">Word Count: </w:t>
      </w:r>
      <w:r w:rsidR="00016446">
        <w:rPr>
          <w:rFonts w:ascii="Arial" w:hAnsi="Arial" w:cs="Arial"/>
        </w:rPr>
        <w:t>5,094</w:t>
      </w:r>
    </w:p>
    <w:p w14:paraId="4E7D0694" w14:textId="0FF26486" w:rsidR="00637FDB" w:rsidRPr="00D15808" w:rsidRDefault="00D15808" w:rsidP="00CB4455">
      <w:pPr>
        <w:spacing w:line="360" w:lineRule="auto"/>
        <w:jc w:val="center"/>
        <w:rPr>
          <w:rFonts w:ascii="Arial" w:hAnsi="Arial" w:cs="Arial"/>
        </w:rPr>
      </w:pPr>
      <w:r w:rsidRPr="00D15808">
        <w:rPr>
          <w:rFonts w:ascii="Arial" w:hAnsi="Arial" w:cs="Arial"/>
        </w:rPr>
        <w:t>Submission Date: November 2025</w:t>
      </w:r>
    </w:p>
    <w:p w14:paraId="5A1A4751" w14:textId="77777777" w:rsidR="007D0BE6" w:rsidRPr="007D0BE6" w:rsidRDefault="007D0BE6" w:rsidP="007D0BE6">
      <w:pPr>
        <w:shd w:val="clear" w:color="auto" w:fill="FF4747"/>
        <w:rPr>
          <w:rFonts w:ascii="Arial" w:hAnsi="Arial" w:cs="Arial"/>
          <w:color w:val="FFFFFF" w:themeColor="background1"/>
          <w:sz w:val="36"/>
          <w:szCs w:val="36"/>
        </w:rPr>
      </w:pPr>
      <w:r w:rsidRPr="007D0BE6">
        <w:rPr>
          <w:rFonts w:ascii="Arial" w:hAnsi="Arial" w:cs="Arial"/>
          <w:color w:val="FFFFFF" w:themeColor="background1"/>
          <w:sz w:val="36"/>
          <w:szCs w:val="36"/>
        </w:rPr>
        <w:lastRenderedPageBreak/>
        <w:t>Executive Summary</w:t>
      </w:r>
    </w:p>
    <w:p w14:paraId="3D2EE4D0" w14:textId="77777777" w:rsidR="007D0BE6" w:rsidRPr="007D0BE6" w:rsidRDefault="007D0BE6" w:rsidP="007D0BE6">
      <w:pPr>
        <w:rPr>
          <w:b/>
          <w:bCs/>
        </w:rPr>
      </w:pPr>
    </w:p>
    <w:p w14:paraId="534D4CF6" w14:textId="492E99B6" w:rsidR="005306FC" w:rsidRPr="005306FC" w:rsidRDefault="005306FC" w:rsidP="005306FC">
      <w:pPr>
        <w:spacing w:line="360" w:lineRule="auto"/>
        <w:rPr>
          <w:rFonts w:ascii="Arial" w:hAnsi="Arial" w:cs="Arial"/>
          <w:color w:val="000000" w:themeColor="text1"/>
        </w:rPr>
      </w:pPr>
      <w:r w:rsidRPr="005306FC">
        <w:rPr>
          <w:rFonts w:ascii="Arial" w:hAnsi="Arial" w:cs="Arial"/>
          <w:color w:val="000000" w:themeColor="text1"/>
        </w:rPr>
        <w:t xml:space="preserve">This report critically evaluates the strategic viability of Lululemon Athletica’s expansion into the Indian market. Lululemon, a global leader in premium technical apparel, reported revenue of $10.3 billion and net </w:t>
      </w:r>
      <w:r w:rsidR="00725B86">
        <w:rPr>
          <w:rFonts w:ascii="Arial" w:hAnsi="Arial" w:cs="Arial"/>
          <w:color w:val="000000" w:themeColor="text1"/>
        </w:rPr>
        <w:t>profit</w:t>
      </w:r>
      <w:r w:rsidRPr="005306FC">
        <w:rPr>
          <w:rFonts w:ascii="Arial" w:hAnsi="Arial" w:cs="Arial"/>
          <w:color w:val="000000" w:themeColor="text1"/>
        </w:rPr>
        <w:t xml:space="preserve"> of $1.55 billion in FY2023 (Lululemon Annual Report, 2024), signalling strong financial capacity for further internationalisation. Despite significant growth in Asia-Pacific, India remains an untapped yet strategically aligned market, characterised by rising disposable incomes, a rapidly expanding wellness economy, and a growing premium consumer class.</w:t>
      </w:r>
    </w:p>
    <w:p w14:paraId="0E119C47" w14:textId="5A5B64DD" w:rsidR="005306FC" w:rsidRPr="005306FC" w:rsidRDefault="005306FC" w:rsidP="005306FC">
      <w:pPr>
        <w:spacing w:line="360" w:lineRule="auto"/>
        <w:rPr>
          <w:rFonts w:ascii="Arial" w:hAnsi="Arial" w:cs="Arial"/>
          <w:color w:val="000000" w:themeColor="text1"/>
        </w:rPr>
      </w:pPr>
      <w:r w:rsidRPr="005306FC">
        <w:rPr>
          <w:rFonts w:ascii="Arial" w:hAnsi="Arial" w:cs="Arial"/>
          <w:color w:val="000000" w:themeColor="text1"/>
        </w:rPr>
        <w:t>A comprehensive external analysis using PESTLE, CAGE, and Porter’s Five Forces reveals a dual landscape: high potential demand for premium athleisure, but substantial regulatory constraints</w:t>
      </w:r>
      <w:r>
        <w:rPr>
          <w:rFonts w:ascii="Arial" w:hAnsi="Arial" w:cs="Arial"/>
          <w:color w:val="000000" w:themeColor="text1"/>
        </w:rPr>
        <w:t xml:space="preserve">, </w:t>
      </w:r>
      <w:r w:rsidRPr="005306FC">
        <w:rPr>
          <w:rFonts w:ascii="Arial" w:hAnsi="Arial" w:cs="Arial"/>
          <w:color w:val="000000" w:themeColor="text1"/>
        </w:rPr>
        <w:t>most notably the 30% local sourcing requirement for single-brand retailers (DPIIT, 2018). Industry rivalry is intense, and buyer price sensitivity is high; however, the premium segment remains underdeveloped, creating a viable entry niche.</w:t>
      </w:r>
    </w:p>
    <w:p w14:paraId="59DFDB36" w14:textId="4888AA1E" w:rsidR="005306FC" w:rsidRPr="005306FC" w:rsidRDefault="005306FC" w:rsidP="005306FC">
      <w:pPr>
        <w:spacing w:line="360" w:lineRule="auto"/>
        <w:rPr>
          <w:rFonts w:ascii="Arial" w:hAnsi="Arial" w:cs="Arial"/>
          <w:color w:val="000000" w:themeColor="text1"/>
        </w:rPr>
      </w:pPr>
      <w:r w:rsidRPr="005306FC">
        <w:rPr>
          <w:rFonts w:ascii="Arial" w:hAnsi="Arial" w:cs="Arial"/>
          <w:color w:val="000000" w:themeColor="text1"/>
        </w:rPr>
        <w:t>Internal analysis demonstrates that Lululemon’s competitive advantage lies in its proprietary fabric technologies, experiential retail model, and strong brand equity, supported by valuable, rare, and difficult-to-imitate capabilities (Barney, 1991). These strengths justify a Focused Differentiation Strategy and support entry via a Joint Venture (JV) with a reputable local partner to mitigate regulatory and cultural distance.</w:t>
      </w:r>
    </w:p>
    <w:p w14:paraId="49422B0B" w14:textId="3DF323CE" w:rsidR="005306FC" w:rsidRPr="005306FC" w:rsidRDefault="005306FC" w:rsidP="005306FC">
      <w:pPr>
        <w:spacing w:line="360" w:lineRule="auto"/>
        <w:rPr>
          <w:rFonts w:ascii="Arial" w:hAnsi="Arial" w:cs="Arial"/>
          <w:color w:val="000000" w:themeColor="text1"/>
        </w:rPr>
      </w:pPr>
      <w:r w:rsidRPr="005306FC">
        <w:rPr>
          <w:rFonts w:ascii="Arial" w:hAnsi="Arial" w:cs="Arial"/>
          <w:color w:val="000000" w:themeColor="text1"/>
        </w:rPr>
        <w:t>The implementation plan outlines a phased market entry, starting with flagship stores in Mumbai and Delhi, supported by e-commerce integration, localised ambassador programmes, and climate-adapted product lines. Financial projections (Appendix E) indicate that a balanced strategy can achieve positive EBIT by Year 3.</w:t>
      </w:r>
    </w:p>
    <w:p w14:paraId="0C327996" w14:textId="0A7A2F06" w:rsidR="00637FDB" w:rsidRPr="005306FC" w:rsidRDefault="005306FC" w:rsidP="005306FC">
      <w:pPr>
        <w:spacing w:line="360" w:lineRule="auto"/>
        <w:rPr>
          <w:b/>
          <w:bCs/>
          <w:color w:val="000000" w:themeColor="text1"/>
        </w:rPr>
      </w:pPr>
      <w:r w:rsidRPr="005306FC">
        <w:rPr>
          <w:rFonts w:ascii="Arial" w:hAnsi="Arial" w:cs="Arial"/>
          <w:color w:val="000000" w:themeColor="text1"/>
        </w:rPr>
        <w:t>Overall, India represents a strategically attractive opportunity, contingent on maintaining global quality standards while adapting downstream activities to local cultural expectations.</w:t>
      </w:r>
    </w:p>
    <w:p w14:paraId="4CF0DD86" w14:textId="77777777" w:rsidR="00637FDB" w:rsidRDefault="00637FDB" w:rsidP="007F66E2">
      <w:pPr>
        <w:rPr>
          <w:b/>
          <w:bCs/>
        </w:rPr>
      </w:pPr>
    </w:p>
    <w:p w14:paraId="7B2FDE46" w14:textId="77777777" w:rsidR="00637FDB" w:rsidRDefault="00637FDB" w:rsidP="007F66E2">
      <w:pPr>
        <w:rPr>
          <w:b/>
          <w:bCs/>
        </w:rPr>
      </w:pPr>
    </w:p>
    <w:p w14:paraId="2185C64A" w14:textId="77777777" w:rsidR="00637FDB" w:rsidRDefault="00637FDB" w:rsidP="007F66E2">
      <w:pPr>
        <w:rPr>
          <w:b/>
          <w:bCs/>
        </w:rPr>
      </w:pPr>
    </w:p>
    <w:p w14:paraId="151A8B16" w14:textId="77777777" w:rsidR="00637FDB" w:rsidRDefault="00637FDB" w:rsidP="007F66E2">
      <w:pPr>
        <w:rPr>
          <w:b/>
          <w:bCs/>
        </w:rPr>
      </w:pPr>
    </w:p>
    <w:sdt>
      <w:sdtPr>
        <w:rPr>
          <w:rFonts w:asciiTheme="minorHAnsi" w:eastAsiaTheme="minorHAnsi" w:hAnsiTheme="minorHAnsi" w:cstheme="minorBidi"/>
          <w:color w:val="auto"/>
          <w:kern w:val="2"/>
          <w:sz w:val="22"/>
          <w:szCs w:val="22"/>
          <w:lang w:val="en-GB"/>
          <w14:ligatures w14:val="standardContextual"/>
        </w:rPr>
        <w:id w:val="1090742810"/>
        <w:docPartObj>
          <w:docPartGallery w:val="Table of Contents"/>
          <w:docPartUnique/>
        </w:docPartObj>
      </w:sdtPr>
      <w:sdtEndPr>
        <w:rPr>
          <w:rFonts w:ascii="Arial" w:hAnsi="Arial" w:cs="Arial"/>
          <w:b/>
          <w:bCs/>
          <w:noProof/>
          <w:color w:val="000000" w:themeColor="text1"/>
        </w:rPr>
      </w:sdtEndPr>
      <w:sdtContent>
        <w:p w14:paraId="45F77731" w14:textId="2C5CC1B7" w:rsidR="007D0BE6" w:rsidRPr="007D0BE6" w:rsidRDefault="007D0BE6" w:rsidP="007D0BE6">
          <w:pPr>
            <w:pStyle w:val="TOCHeading"/>
            <w:shd w:val="clear" w:color="auto" w:fill="FF4747"/>
            <w:rPr>
              <w:rFonts w:ascii="Arial" w:hAnsi="Arial" w:cs="Arial"/>
              <w:color w:val="FFFFFF" w:themeColor="background1"/>
              <w:sz w:val="36"/>
              <w:szCs w:val="36"/>
            </w:rPr>
          </w:pPr>
          <w:r w:rsidRPr="007D0BE6">
            <w:rPr>
              <w:rFonts w:ascii="Arial" w:hAnsi="Arial" w:cs="Arial"/>
              <w:color w:val="FFFFFF" w:themeColor="background1"/>
              <w:sz w:val="36"/>
              <w:szCs w:val="36"/>
            </w:rPr>
            <w:t>Table of Contents</w:t>
          </w:r>
        </w:p>
        <w:p w14:paraId="4A35052D" w14:textId="77777777" w:rsidR="00185373" w:rsidRDefault="00185373">
          <w:pPr>
            <w:pStyle w:val="TOC1"/>
            <w:tabs>
              <w:tab w:val="right" w:leader="dot" w:pos="9350"/>
            </w:tabs>
          </w:pPr>
        </w:p>
        <w:p w14:paraId="0472122E" w14:textId="25A2322B" w:rsidR="00016446" w:rsidRPr="00016446" w:rsidRDefault="007D0BE6">
          <w:pPr>
            <w:pStyle w:val="TOC1"/>
            <w:tabs>
              <w:tab w:val="right" w:leader="dot" w:pos="9350"/>
            </w:tabs>
            <w:rPr>
              <w:rFonts w:ascii="Arial" w:eastAsiaTheme="minorEastAsia" w:hAnsi="Arial" w:cs="Arial"/>
              <w:noProof/>
              <w:color w:val="000000" w:themeColor="text1"/>
              <w:sz w:val="24"/>
              <w:szCs w:val="24"/>
              <w:lang w:val="bg-BG" w:eastAsia="bg-BG"/>
            </w:rPr>
          </w:pPr>
          <w:r w:rsidRPr="00016446">
            <w:rPr>
              <w:rFonts w:ascii="Arial" w:hAnsi="Arial" w:cs="Arial"/>
              <w:color w:val="000000" w:themeColor="text1"/>
            </w:rPr>
            <w:fldChar w:fldCharType="begin"/>
          </w:r>
          <w:r w:rsidRPr="00016446">
            <w:rPr>
              <w:rFonts w:ascii="Arial" w:hAnsi="Arial" w:cs="Arial"/>
              <w:color w:val="000000" w:themeColor="text1"/>
            </w:rPr>
            <w:instrText xml:space="preserve"> TOC \o "1-3" \h \z \u </w:instrText>
          </w:r>
          <w:r w:rsidRPr="00016446">
            <w:rPr>
              <w:rFonts w:ascii="Arial" w:hAnsi="Arial" w:cs="Arial"/>
              <w:color w:val="000000" w:themeColor="text1"/>
            </w:rPr>
            <w:fldChar w:fldCharType="separate"/>
          </w:r>
          <w:hyperlink w:anchor="_Toc215314120" w:history="1">
            <w:r w:rsidR="00016446" w:rsidRPr="00016446">
              <w:rPr>
                <w:rStyle w:val="Hyperlink"/>
                <w:rFonts w:ascii="Arial" w:hAnsi="Arial" w:cs="Arial"/>
                <w:noProof/>
                <w:color w:val="000000" w:themeColor="text1"/>
              </w:rPr>
              <w:t>1. Introduction and Strategic Rationale</w:t>
            </w:r>
            <w:r w:rsidR="00016446" w:rsidRPr="00016446">
              <w:rPr>
                <w:rFonts w:ascii="Arial" w:hAnsi="Arial" w:cs="Arial"/>
                <w:noProof/>
                <w:webHidden/>
                <w:color w:val="000000" w:themeColor="text1"/>
              </w:rPr>
              <w:tab/>
            </w:r>
            <w:r w:rsidR="00016446" w:rsidRPr="00016446">
              <w:rPr>
                <w:rFonts w:ascii="Arial" w:hAnsi="Arial" w:cs="Arial"/>
                <w:noProof/>
                <w:webHidden/>
                <w:color w:val="000000" w:themeColor="text1"/>
              </w:rPr>
              <w:fldChar w:fldCharType="begin"/>
            </w:r>
            <w:r w:rsidR="00016446" w:rsidRPr="00016446">
              <w:rPr>
                <w:rFonts w:ascii="Arial" w:hAnsi="Arial" w:cs="Arial"/>
                <w:noProof/>
                <w:webHidden/>
                <w:color w:val="000000" w:themeColor="text1"/>
              </w:rPr>
              <w:instrText xml:space="preserve"> PAGEREF _Toc215314120 \h </w:instrText>
            </w:r>
            <w:r w:rsidR="00016446" w:rsidRPr="00016446">
              <w:rPr>
                <w:rFonts w:ascii="Arial" w:hAnsi="Arial" w:cs="Arial"/>
                <w:noProof/>
                <w:webHidden/>
                <w:color w:val="000000" w:themeColor="text1"/>
              </w:rPr>
            </w:r>
            <w:r w:rsidR="00016446" w:rsidRPr="00016446">
              <w:rPr>
                <w:rFonts w:ascii="Arial" w:hAnsi="Arial" w:cs="Arial"/>
                <w:noProof/>
                <w:webHidden/>
                <w:color w:val="000000" w:themeColor="text1"/>
              </w:rPr>
              <w:fldChar w:fldCharType="separate"/>
            </w:r>
            <w:r w:rsidR="00016446" w:rsidRPr="00016446">
              <w:rPr>
                <w:rFonts w:ascii="Arial" w:hAnsi="Arial" w:cs="Arial"/>
                <w:noProof/>
                <w:webHidden/>
                <w:color w:val="000000" w:themeColor="text1"/>
              </w:rPr>
              <w:t>5</w:t>
            </w:r>
            <w:r w:rsidR="00016446" w:rsidRPr="00016446">
              <w:rPr>
                <w:rFonts w:ascii="Arial" w:hAnsi="Arial" w:cs="Arial"/>
                <w:noProof/>
                <w:webHidden/>
                <w:color w:val="000000" w:themeColor="text1"/>
              </w:rPr>
              <w:fldChar w:fldCharType="end"/>
            </w:r>
          </w:hyperlink>
        </w:p>
        <w:p w14:paraId="273021E4" w14:textId="6410A95F" w:rsidR="00016446" w:rsidRPr="00016446" w:rsidRDefault="00016446">
          <w:pPr>
            <w:pStyle w:val="TOC2"/>
            <w:tabs>
              <w:tab w:val="left" w:pos="960"/>
              <w:tab w:val="right" w:leader="dot" w:pos="9350"/>
            </w:tabs>
            <w:rPr>
              <w:rFonts w:ascii="Arial" w:eastAsiaTheme="minorEastAsia" w:hAnsi="Arial" w:cs="Arial"/>
              <w:noProof/>
              <w:color w:val="000000" w:themeColor="text1"/>
              <w:sz w:val="24"/>
              <w:szCs w:val="24"/>
              <w:lang w:val="bg-BG" w:eastAsia="bg-BG"/>
            </w:rPr>
          </w:pPr>
          <w:hyperlink w:anchor="_Toc215314121" w:history="1">
            <w:r w:rsidRPr="00016446">
              <w:rPr>
                <w:rStyle w:val="Hyperlink"/>
                <w:rFonts w:ascii="Arial" w:hAnsi="Arial" w:cs="Arial"/>
                <w:noProof/>
                <w:color w:val="000000" w:themeColor="text1"/>
              </w:rPr>
              <w:t>1.1.</w:t>
            </w:r>
            <w:r w:rsidRPr="00016446">
              <w:rPr>
                <w:rFonts w:ascii="Arial" w:eastAsiaTheme="minorEastAsia" w:hAnsi="Arial" w:cs="Arial"/>
                <w:noProof/>
                <w:color w:val="000000" w:themeColor="text1"/>
                <w:sz w:val="24"/>
                <w:szCs w:val="24"/>
                <w:lang w:val="bg-BG" w:eastAsia="bg-BG"/>
              </w:rPr>
              <w:tab/>
            </w:r>
            <w:r w:rsidRPr="00016446">
              <w:rPr>
                <w:rStyle w:val="Hyperlink"/>
                <w:rFonts w:ascii="Arial" w:hAnsi="Arial" w:cs="Arial"/>
                <w:noProof/>
                <w:color w:val="000000" w:themeColor="text1"/>
              </w:rPr>
              <w:t>Selection of Organisation: Lululemon Athletica Inc.</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_Toc215314121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5</w:t>
            </w:r>
            <w:r w:rsidRPr="00016446">
              <w:rPr>
                <w:rFonts w:ascii="Arial" w:hAnsi="Arial" w:cs="Arial"/>
                <w:noProof/>
                <w:webHidden/>
                <w:color w:val="000000" w:themeColor="text1"/>
              </w:rPr>
              <w:fldChar w:fldCharType="end"/>
            </w:r>
          </w:hyperlink>
        </w:p>
        <w:p w14:paraId="7C90DDA0" w14:textId="6E7C3873"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22" w:history="1">
            <w:r w:rsidRPr="00016446">
              <w:rPr>
                <w:rStyle w:val="Hyperlink"/>
                <w:rFonts w:ascii="Arial" w:hAnsi="Arial" w:cs="Arial"/>
                <w:noProof/>
                <w:color w:val="000000" w:themeColor="text1"/>
              </w:rPr>
              <w:t>1.2. Selection of Target Market: India</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_Toc215314122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5</w:t>
            </w:r>
            <w:r w:rsidRPr="00016446">
              <w:rPr>
                <w:rFonts w:ascii="Arial" w:hAnsi="Arial" w:cs="Arial"/>
                <w:noProof/>
                <w:webHidden/>
                <w:color w:val="000000" w:themeColor="text1"/>
              </w:rPr>
              <w:fldChar w:fldCharType="end"/>
            </w:r>
          </w:hyperlink>
        </w:p>
        <w:p w14:paraId="5C932CFF" w14:textId="2E45DC24"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23" w:history="1">
            <w:r w:rsidRPr="00016446">
              <w:rPr>
                <w:rStyle w:val="Hyperlink"/>
                <w:rFonts w:ascii="Arial" w:hAnsi="Arial" w:cs="Arial"/>
                <w:noProof/>
                <w:color w:val="000000" w:themeColor="text1"/>
              </w:rPr>
              <w:t>2. Current Situation of Lululemon Athletica Inc.</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_Toc215314123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6</w:t>
            </w:r>
            <w:r w:rsidRPr="00016446">
              <w:rPr>
                <w:rFonts w:ascii="Arial" w:hAnsi="Arial" w:cs="Arial"/>
                <w:noProof/>
                <w:webHidden/>
                <w:color w:val="000000" w:themeColor="text1"/>
              </w:rPr>
              <w:fldChar w:fldCharType="end"/>
            </w:r>
          </w:hyperlink>
        </w:p>
        <w:p w14:paraId="153225CE" w14:textId="2E6A97A9"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24" w:history="1">
            <w:r w:rsidRPr="00016446">
              <w:rPr>
                <w:rStyle w:val="Hyperlink"/>
                <w:rFonts w:ascii="Arial" w:hAnsi="Arial" w:cs="Arial"/>
                <w:noProof/>
                <w:color w:val="000000" w:themeColor="text1"/>
              </w:rPr>
              <w:t>3. Comprehensive Strategic Analysis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_Toc215314124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7</w:t>
            </w:r>
            <w:r w:rsidRPr="00016446">
              <w:rPr>
                <w:rFonts w:ascii="Arial" w:hAnsi="Arial" w:cs="Arial"/>
                <w:noProof/>
                <w:webHidden/>
                <w:color w:val="000000" w:themeColor="text1"/>
              </w:rPr>
              <w:fldChar w:fldCharType="end"/>
            </w:r>
          </w:hyperlink>
        </w:p>
        <w:p w14:paraId="3FE10A48" w14:textId="6F15943C"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25" w:history="1">
            <w:r w:rsidRPr="00016446">
              <w:rPr>
                <w:rStyle w:val="Hyperlink"/>
                <w:rFonts w:ascii="Arial" w:hAnsi="Arial" w:cs="Arial"/>
                <w:noProof/>
                <w:color w:val="000000" w:themeColor="text1"/>
              </w:rPr>
              <w:t>3.1. Analysis of the General Environment (PESTLE and CAGE)</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_Toc215314125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7</w:t>
            </w:r>
            <w:r w:rsidRPr="00016446">
              <w:rPr>
                <w:rFonts w:ascii="Arial" w:hAnsi="Arial" w:cs="Arial"/>
                <w:noProof/>
                <w:webHidden/>
                <w:color w:val="000000" w:themeColor="text1"/>
              </w:rPr>
              <w:fldChar w:fldCharType="end"/>
            </w:r>
          </w:hyperlink>
        </w:p>
        <w:p w14:paraId="375439B5" w14:textId="43F119FE"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26" w:history="1">
            <w:r w:rsidRPr="00016446">
              <w:rPr>
                <w:rStyle w:val="Hyperlink"/>
                <w:rFonts w:ascii="Arial" w:hAnsi="Arial" w:cs="Arial"/>
                <w:noProof/>
                <w:color w:val="000000" w:themeColor="text1"/>
              </w:rPr>
              <w:t>3.1.1 PESTLE Analysis – India</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_Toc215314126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7</w:t>
            </w:r>
            <w:r w:rsidRPr="00016446">
              <w:rPr>
                <w:rFonts w:ascii="Arial" w:hAnsi="Arial" w:cs="Arial"/>
                <w:noProof/>
                <w:webHidden/>
                <w:color w:val="000000" w:themeColor="text1"/>
              </w:rPr>
              <w:fldChar w:fldCharType="end"/>
            </w:r>
          </w:hyperlink>
        </w:p>
        <w:p w14:paraId="3536AE85" w14:textId="085600FF"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27" w:history="1">
            <w:r w:rsidRPr="00016446">
              <w:rPr>
                <w:rStyle w:val="Hyperlink"/>
                <w:rFonts w:ascii="Arial" w:hAnsi="Arial" w:cs="Arial"/>
                <w:noProof/>
                <w:color w:val="000000" w:themeColor="text1"/>
              </w:rPr>
              <w:t>3.1.2 CAGE Distance Analysis – India</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_Toc215314127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9</w:t>
            </w:r>
            <w:r w:rsidRPr="00016446">
              <w:rPr>
                <w:rFonts w:ascii="Arial" w:hAnsi="Arial" w:cs="Arial"/>
                <w:noProof/>
                <w:webHidden/>
                <w:color w:val="000000" w:themeColor="text1"/>
              </w:rPr>
              <w:fldChar w:fldCharType="end"/>
            </w:r>
          </w:hyperlink>
        </w:p>
        <w:p w14:paraId="0DD1EF06" w14:textId="1741F025"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28" w:history="1">
            <w:r w:rsidRPr="00016446">
              <w:rPr>
                <w:rStyle w:val="Hyperlink"/>
                <w:rFonts w:ascii="Arial" w:hAnsi="Arial" w:cs="Arial"/>
                <w:noProof/>
                <w:color w:val="000000" w:themeColor="text1"/>
              </w:rPr>
              <w:t>3.2. Analysis of the Industry Environment (Porter's Five Forces)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_Toc215314128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10</w:t>
            </w:r>
            <w:r w:rsidRPr="00016446">
              <w:rPr>
                <w:rFonts w:ascii="Arial" w:hAnsi="Arial" w:cs="Arial"/>
                <w:noProof/>
                <w:webHidden/>
                <w:color w:val="000000" w:themeColor="text1"/>
              </w:rPr>
              <w:fldChar w:fldCharType="end"/>
            </w:r>
          </w:hyperlink>
        </w:p>
        <w:p w14:paraId="49CB7054" w14:textId="2ADF722B"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29" w:history="1">
            <w:r w:rsidRPr="00016446">
              <w:rPr>
                <w:rStyle w:val="Hyperlink"/>
                <w:rFonts w:ascii="Arial" w:hAnsi="Arial" w:cs="Arial"/>
                <w:noProof/>
                <w:color w:val="000000" w:themeColor="text1"/>
              </w:rPr>
              <w:t>3.3. Comprehensive SWOT Analysis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_Toc215314129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14</w:t>
            </w:r>
            <w:r w:rsidRPr="00016446">
              <w:rPr>
                <w:rFonts w:ascii="Arial" w:hAnsi="Arial" w:cs="Arial"/>
                <w:noProof/>
                <w:webHidden/>
                <w:color w:val="000000" w:themeColor="text1"/>
              </w:rPr>
              <w:fldChar w:fldCharType="end"/>
            </w:r>
          </w:hyperlink>
        </w:p>
        <w:p w14:paraId="1CA1145E" w14:textId="7B36B48C"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30" w:history="1">
            <w:r w:rsidRPr="00016446">
              <w:rPr>
                <w:rStyle w:val="Hyperlink"/>
                <w:rFonts w:ascii="Arial" w:hAnsi="Arial" w:cs="Arial"/>
                <w:noProof/>
                <w:color w:val="000000" w:themeColor="text1"/>
              </w:rPr>
              <w:t>3.3.1 From SWOT to Strategy: The TOWS Analysis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_Toc215314130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15</w:t>
            </w:r>
            <w:r w:rsidRPr="00016446">
              <w:rPr>
                <w:rFonts w:ascii="Arial" w:hAnsi="Arial" w:cs="Arial"/>
                <w:noProof/>
                <w:webHidden/>
                <w:color w:val="000000" w:themeColor="text1"/>
              </w:rPr>
              <w:fldChar w:fldCharType="end"/>
            </w:r>
          </w:hyperlink>
        </w:p>
        <w:p w14:paraId="6A97296C" w14:textId="6D3BE93F"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31" w:history="1">
            <w:r w:rsidRPr="00016446">
              <w:rPr>
                <w:rStyle w:val="Hyperlink"/>
                <w:rFonts w:ascii="Arial" w:hAnsi="Arial" w:cs="Arial"/>
                <w:noProof/>
                <w:color w:val="000000" w:themeColor="text1"/>
              </w:rPr>
              <w:t>4. Internal Organisational Analysis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_Toc215314131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17</w:t>
            </w:r>
            <w:r w:rsidRPr="00016446">
              <w:rPr>
                <w:rFonts w:ascii="Arial" w:hAnsi="Arial" w:cs="Arial"/>
                <w:noProof/>
                <w:webHidden/>
                <w:color w:val="000000" w:themeColor="text1"/>
              </w:rPr>
              <w:fldChar w:fldCharType="end"/>
            </w:r>
          </w:hyperlink>
        </w:p>
        <w:p w14:paraId="441CF4D1" w14:textId="1A20E3BB"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32" w:history="1">
            <w:r w:rsidRPr="00016446">
              <w:rPr>
                <w:rStyle w:val="Hyperlink"/>
                <w:rFonts w:ascii="Arial" w:hAnsi="Arial" w:cs="Arial"/>
                <w:noProof/>
                <w:color w:val="000000" w:themeColor="text1"/>
              </w:rPr>
              <w:t>4.1 Overview of Lululemon’s Internal Environment</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_Toc215314132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17</w:t>
            </w:r>
            <w:r w:rsidRPr="00016446">
              <w:rPr>
                <w:rFonts w:ascii="Arial" w:hAnsi="Arial" w:cs="Arial"/>
                <w:noProof/>
                <w:webHidden/>
                <w:color w:val="000000" w:themeColor="text1"/>
              </w:rPr>
              <w:fldChar w:fldCharType="end"/>
            </w:r>
          </w:hyperlink>
        </w:p>
        <w:p w14:paraId="25E8D4F0" w14:textId="2D599739"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33" w:history="1">
            <w:r w:rsidRPr="00016446">
              <w:rPr>
                <w:rStyle w:val="Hyperlink"/>
                <w:rFonts w:ascii="Arial" w:hAnsi="Arial" w:cs="Arial"/>
                <w:noProof/>
                <w:color w:val="000000" w:themeColor="text1"/>
              </w:rPr>
              <w:t>4.2 VRIO Analysis of Key Resources and Capabilities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_Toc215314133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17</w:t>
            </w:r>
            <w:r w:rsidRPr="00016446">
              <w:rPr>
                <w:rFonts w:ascii="Arial" w:hAnsi="Arial" w:cs="Arial"/>
                <w:noProof/>
                <w:webHidden/>
                <w:color w:val="000000" w:themeColor="text1"/>
              </w:rPr>
              <w:fldChar w:fldCharType="end"/>
            </w:r>
          </w:hyperlink>
        </w:p>
        <w:p w14:paraId="703DBAF3" w14:textId="04C30FDE"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34" w:history="1">
            <w:r w:rsidRPr="00016446">
              <w:rPr>
                <w:rStyle w:val="Hyperlink"/>
                <w:rFonts w:ascii="Arial" w:hAnsi="Arial" w:cs="Arial"/>
                <w:noProof/>
                <w:color w:val="000000" w:themeColor="text1"/>
              </w:rPr>
              <w:t>4.2.1 Brand Equity and the “Sweatlife” Community Ecosystem</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_Toc215314134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17</w:t>
            </w:r>
            <w:r w:rsidRPr="00016446">
              <w:rPr>
                <w:rFonts w:ascii="Arial" w:hAnsi="Arial" w:cs="Arial"/>
                <w:noProof/>
                <w:webHidden/>
                <w:color w:val="000000" w:themeColor="text1"/>
              </w:rPr>
              <w:fldChar w:fldCharType="end"/>
            </w:r>
          </w:hyperlink>
        </w:p>
        <w:p w14:paraId="0B39EC39" w14:textId="3CE886A5"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35" w:history="1">
            <w:r w:rsidRPr="00016446">
              <w:rPr>
                <w:rStyle w:val="Hyperlink"/>
                <w:rFonts w:ascii="Arial" w:hAnsi="Arial" w:cs="Arial"/>
                <w:noProof/>
                <w:color w:val="000000" w:themeColor="text1"/>
              </w:rPr>
              <w:t>4.2.2 Proprietary Fabric Technologies (Nulu™, Nulux™, Everlux™)</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_Toc215314135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18</w:t>
            </w:r>
            <w:r w:rsidRPr="00016446">
              <w:rPr>
                <w:rFonts w:ascii="Arial" w:hAnsi="Arial" w:cs="Arial"/>
                <w:noProof/>
                <w:webHidden/>
                <w:color w:val="000000" w:themeColor="text1"/>
              </w:rPr>
              <w:fldChar w:fldCharType="end"/>
            </w:r>
          </w:hyperlink>
        </w:p>
        <w:p w14:paraId="48280892" w14:textId="00BB4302"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36" w:history="1">
            <w:r w:rsidRPr="00016446">
              <w:rPr>
                <w:rStyle w:val="Hyperlink"/>
                <w:rFonts w:ascii="Arial" w:hAnsi="Arial" w:cs="Arial"/>
                <w:noProof/>
                <w:color w:val="000000" w:themeColor="text1"/>
              </w:rPr>
              <w:t>4.2.3 Organisational Culture and Human Capital</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_Toc215314136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18</w:t>
            </w:r>
            <w:r w:rsidRPr="00016446">
              <w:rPr>
                <w:rFonts w:ascii="Arial" w:hAnsi="Arial" w:cs="Arial"/>
                <w:noProof/>
                <w:webHidden/>
                <w:color w:val="000000" w:themeColor="text1"/>
              </w:rPr>
              <w:fldChar w:fldCharType="end"/>
            </w:r>
          </w:hyperlink>
        </w:p>
        <w:p w14:paraId="42DD95EA" w14:textId="2D29B91E"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37" w:history="1">
            <w:r w:rsidRPr="00016446">
              <w:rPr>
                <w:rStyle w:val="Hyperlink"/>
                <w:rFonts w:ascii="Arial" w:hAnsi="Arial" w:cs="Arial"/>
                <w:noProof/>
                <w:color w:val="000000" w:themeColor="text1"/>
              </w:rPr>
              <w:t>4.2.4 Financial Strength and Investment Capability</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_Toc215314137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19</w:t>
            </w:r>
            <w:r w:rsidRPr="00016446">
              <w:rPr>
                <w:rFonts w:ascii="Arial" w:hAnsi="Arial" w:cs="Arial"/>
                <w:noProof/>
                <w:webHidden/>
                <w:color w:val="000000" w:themeColor="text1"/>
              </w:rPr>
              <w:fldChar w:fldCharType="end"/>
            </w:r>
          </w:hyperlink>
        </w:p>
        <w:p w14:paraId="49CD19C9" w14:textId="4B6F0955" w:rsidR="00016446" w:rsidRPr="00016446" w:rsidRDefault="00016446">
          <w:pPr>
            <w:pStyle w:val="TOC3"/>
            <w:tabs>
              <w:tab w:val="right" w:leader="dot" w:pos="9350"/>
            </w:tabs>
            <w:rPr>
              <w:rFonts w:ascii="Arial" w:eastAsiaTheme="minorEastAsia" w:hAnsi="Arial" w:cs="Arial"/>
              <w:noProof/>
              <w:color w:val="000000" w:themeColor="text1"/>
              <w:sz w:val="24"/>
              <w:szCs w:val="24"/>
              <w:lang w:val="bg-BG" w:eastAsia="bg-BG"/>
            </w:rPr>
          </w:pPr>
          <w:hyperlink w:anchor="_Toc215314138" w:history="1">
            <w:r w:rsidRPr="00016446">
              <w:rPr>
                <w:rStyle w:val="Hyperlink"/>
                <w:rFonts w:ascii="Arial" w:hAnsi="Arial" w:cs="Arial"/>
                <w:noProof/>
                <w:color w:val="000000" w:themeColor="text1"/>
              </w:rPr>
              <w:t>4.2.5 Summary of VRIO Findings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_Toc215314138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19</w:t>
            </w:r>
            <w:r w:rsidRPr="00016446">
              <w:rPr>
                <w:rFonts w:ascii="Arial" w:hAnsi="Arial" w:cs="Arial"/>
                <w:noProof/>
                <w:webHidden/>
                <w:color w:val="000000" w:themeColor="text1"/>
              </w:rPr>
              <w:fldChar w:fldCharType="end"/>
            </w:r>
          </w:hyperlink>
        </w:p>
        <w:p w14:paraId="5C62FD73" w14:textId="2913D46F"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39" w:history="1">
            <w:r w:rsidRPr="00016446">
              <w:rPr>
                <w:rStyle w:val="Hyperlink"/>
                <w:rFonts w:ascii="Arial" w:hAnsi="Arial" w:cs="Arial"/>
                <w:noProof/>
                <w:color w:val="000000" w:themeColor="text1"/>
              </w:rPr>
              <w:t>5. Strategy Development and Formulation</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_Toc215314139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21</w:t>
            </w:r>
            <w:r w:rsidRPr="00016446">
              <w:rPr>
                <w:rFonts w:ascii="Arial" w:hAnsi="Arial" w:cs="Arial"/>
                <w:noProof/>
                <w:webHidden/>
                <w:color w:val="000000" w:themeColor="text1"/>
              </w:rPr>
              <w:fldChar w:fldCharType="end"/>
            </w:r>
          </w:hyperlink>
        </w:p>
        <w:p w14:paraId="5CA1FEEA" w14:textId="601C586B"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0" w:history="1">
            <w:r w:rsidRPr="00016446">
              <w:rPr>
                <w:rStyle w:val="Hyperlink"/>
                <w:rFonts w:ascii="Arial" w:hAnsi="Arial" w:cs="Arial"/>
                <w:noProof/>
                <w:color w:val="000000" w:themeColor="text1"/>
              </w:rPr>
              <w:t>5.1 Strategic Alignment (Ansoff’s Matrix)</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_Toc215314140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21</w:t>
            </w:r>
            <w:r w:rsidRPr="00016446">
              <w:rPr>
                <w:rFonts w:ascii="Arial" w:hAnsi="Arial" w:cs="Arial"/>
                <w:noProof/>
                <w:webHidden/>
                <w:color w:val="000000" w:themeColor="text1"/>
              </w:rPr>
              <w:fldChar w:fldCharType="end"/>
            </w:r>
          </w:hyperlink>
        </w:p>
        <w:p w14:paraId="4DBD448D" w14:textId="4BC12EE4"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1" w:history="1">
            <w:r w:rsidRPr="00016446">
              <w:rPr>
                <w:rStyle w:val="Hyperlink"/>
                <w:rFonts w:ascii="Arial" w:hAnsi="Arial" w:cs="Arial"/>
                <w:noProof/>
                <w:color w:val="000000" w:themeColor="text1"/>
              </w:rPr>
              <w:t>5.2 Strategic Options for Market Entry</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_Toc215314141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21</w:t>
            </w:r>
            <w:r w:rsidRPr="00016446">
              <w:rPr>
                <w:rFonts w:ascii="Arial" w:hAnsi="Arial" w:cs="Arial"/>
                <w:noProof/>
                <w:webHidden/>
                <w:color w:val="000000" w:themeColor="text1"/>
              </w:rPr>
              <w:fldChar w:fldCharType="end"/>
            </w:r>
          </w:hyperlink>
        </w:p>
        <w:p w14:paraId="70FBC47D" w14:textId="5F6ADB54"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2" w:history="1">
            <w:r w:rsidRPr="00016446">
              <w:rPr>
                <w:rStyle w:val="Hyperlink"/>
                <w:rFonts w:ascii="Arial" w:hAnsi="Arial" w:cs="Arial"/>
                <w:noProof/>
                <w:color w:val="000000" w:themeColor="text1"/>
              </w:rPr>
              <w:t>5.3 Recommended Strategic Positioning (Differentiation-Focus + STP)</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_Toc215314142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23</w:t>
            </w:r>
            <w:r w:rsidRPr="00016446">
              <w:rPr>
                <w:rFonts w:ascii="Arial" w:hAnsi="Arial" w:cs="Arial"/>
                <w:noProof/>
                <w:webHidden/>
                <w:color w:val="000000" w:themeColor="text1"/>
              </w:rPr>
              <w:fldChar w:fldCharType="end"/>
            </w:r>
          </w:hyperlink>
        </w:p>
        <w:p w14:paraId="05ADE580" w14:textId="70A67409"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3" w:history="1">
            <w:r w:rsidRPr="00016446">
              <w:rPr>
                <w:rStyle w:val="Hyperlink"/>
                <w:rFonts w:ascii="Arial" w:hAnsi="Arial" w:cs="Arial"/>
                <w:noProof/>
                <w:color w:val="000000" w:themeColor="text1"/>
              </w:rPr>
              <w:t>5.4 Strategy Implementation</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_Toc215314143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25</w:t>
            </w:r>
            <w:r w:rsidRPr="00016446">
              <w:rPr>
                <w:rFonts w:ascii="Arial" w:hAnsi="Arial" w:cs="Arial"/>
                <w:noProof/>
                <w:webHidden/>
                <w:color w:val="000000" w:themeColor="text1"/>
              </w:rPr>
              <w:fldChar w:fldCharType="end"/>
            </w:r>
          </w:hyperlink>
        </w:p>
        <w:p w14:paraId="7B4A1D2A" w14:textId="6F14C86A"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44" w:history="1">
            <w:r w:rsidRPr="00016446">
              <w:rPr>
                <w:rStyle w:val="Hyperlink"/>
                <w:rFonts w:ascii="Arial" w:hAnsi="Arial" w:cs="Arial"/>
                <w:noProof/>
                <w:color w:val="000000" w:themeColor="text1"/>
              </w:rPr>
              <w:t>6. Strategy Evaluation and Control</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_Toc215314144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27</w:t>
            </w:r>
            <w:r w:rsidRPr="00016446">
              <w:rPr>
                <w:rFonts w:ascii="Arial" w:hAnsi="Arial" w:cs="Arial"/>
                <w:noProof/>
                <w:webHidden/>
                <w:color w:val="000000" w:themeColor="text1"/>
              </w:rPr>
              <w:fldChar w:fldCharType="end"/>
            </w:r>
          </w:hyperlink>
        </w:p>
        <w:p w14:paraId="654DC0E7" w14:textId="022BBC53"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5" w:history="1">
            <w:r w:rsidRPr="00016446">
              <w:rPr>
                <w:rStyle w:val="Hyperlink"/>
                <w:rFonts w:ascii="Arial" w:hAnsi="Arial" w:cs="Arial"/>
                <w:noProof/>
                <w:color w:val="000000" w:themeColor="text1"/>
              </w:rPr>
              <w:t>6.1 Performance Evaluation Framework (Balanced Scorecard)</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_Toc215314145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27</w:t>
            </w:r>
            <w:r w:rsidRPr="00016446">
              <w:rPr>
                <w:rFonts w:ascii="Arial" w:hAnsi="Arial" w:cs="Arial"/>
                <w:noProof/>
                <w:webHidden/>
                <w:color w:val="000000" w:themeColor="text1"/>
              </w:rPr>
              <w:fldChar w:fldCharType="end"/>
            </w:r>
          </w:hyperlink>
        </w:p>
        <w:p w14:paraId="72EE4671" w14:textId="6EB57B04"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6" w:history="1">
            <w:r w:rsidRPr="00016446">
              <w:rPr>
                <w:rStyle w:val="Hyperlink"/>
                <w:rFonts w:ascii="Arial" w:hAnsi="Arial" w:cs="Arial"/>
                <w:noProof/>
                <w:color w:val="000000" w:themeColor="text1"/>
              </w:rPr>
              <w:t>6.2 Risk Analysis and Mitigation</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_Toc215314146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29</w:t>
            </w:r>
            <w:r w:rsidRPr="00016446">
              <w:rPr>
                <w:rFonts w:ascii="Arial" w:hAnsi="Arial" w:cs="Arial"/>
                <w:noProof/>
                <w:webHidden/>
                <w:color w:val="000000" w:themeColor="text1"/>
              </w:rPr>
              <w:fldChar w:fldCharType="end"/>
            </w:r>
          </w:hyperlink>
        </w:p>
        <w:p w14:paraId="3A1145CD" w14:textId="1F9DB7DA"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47" w:history="1">
            <w:r w:rsidRPr="00016446">
              <w:rPr>
                <w:rStyle w:val="Hyperlink"/>
                <w:rFonts w:ascii="Arial" w:hAnsi="Arial" w:cs="Arial"/>
                <w:noProof/>
                <w:color w:val="000000" w:themeColor="text1"/>
              </w:rPr>
              <w:t>7. Financial Plan</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_Toc215314147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30</w:t>
            </w:r>
            <w:r w:rsidRPr="00016446">
              <w:rPr>
                <w:rFonts w:ascii="Arial" w:hAnsi="Arial" w:cs="Arial"/>
                <w:noProof/>
                <w:webHidden/>
                <w:color w:val="000000" w:themeColor="text1"/>
              </w:rPr>
              <w:fldChar w:fldCharType="end"/>
            </w:r>
          </w:hyperlink>
        </w:p>
        <w:p w14:paraId="43AFA0EA" w14:textId="0487F603"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8" w:history="1">
            <w:r w:rsidRPr="00016446">
              <w:rPr>
                <w:rStyle w:val="Hyperlink"/>
                <w:rFonts w:ascii="Arial" w:hAnsi="Arial" w:cs="Arial"/>
                <w:noProof/>
                <w:color w:val="000000" w:themeColor="text1"/>
              </w:rPr>
              <w:t>7.1 Strategic Financial Assumptions (SFAS)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_Toc215314148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30</w:t>
            </w:r>
            <w:r w:rsidRPr="00016446">
              <w:rPr>
                <w:rFonts w:ascii="Arial" w:hAnsi="Arial" w:cs="Arial"/>
                <w:noProof/>
                <w:webHidden/>
                <w:color w:val="000000" w:themeColor="text1"/>
              </w:rPr>
              <w:fldChar w:fldCharType="end"/>
            </w:r>
          </w:hyperlink>
        </w:p>
        <w:p w14:paraId="43BD09DF" w14:textId="5A89FBC0"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49" w:history="1">
            <w:r w:rsidRPr="00016446">
              <w:rPr>
                <w:rStyle w:val="Hyperlink"/>
                <w:rFonts w:ascii="Arial" w:hAnsi="Arial" w:cs="Arial"/>
                <w:noProof/>
                <w:color w:val="000000" w:themeColor="text1"/>
              </w:rPr>
              <w:t>7.2 Financial Highlights and Strategic Impact</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_Toc215314149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31</w:t>
            </w:r>
            <w:r w:rsidRPr="00016446">
              <w:rPr>
                <w:rFonts w:ascii="Arial" w:hAnsi="Arial" w:cs="Arial"/>
                <w:noProof/>
                <w:webHidden/>
                <w:color w:val="000000" w:themeColor="text1"/>
              </w:rPr>
              <w:fldChar w:fldCharType="end"/>
            </w:r>
          </w:hyperlink>
        </w:p>
        <w:p w14:paraId="46309A2F" w14:textId="62BA6EEB" w:rsidR="00016446" w:rsidRPr="00016446" w:rsidRDefault="00016446">
          <w:pPr>
            <w:pStyle w:val="TOC2"/>
            <w:tabs>
              <w:tab w:val="right" w:leader="dot" w:pos="9350"/>
            </w:tabs>
            <w:rPr>
              <w:rFonts w:ascii="Arial" w:eastAsiaTheme="minorEastAsia" w:hAnsi="Arial" w:cs="Arial"/>
              <w:noProof/>
              <w:color w:val="000000" w:themeColor="text1"/>
              <w:sz w:val="24"/>
              <w:szCs w:val="24"/>
              <w:lang w:val="bg-BG" w:eastAsia="bg-BG"/>
            </w:rPr>
          </w:pPr>
          <w:hyperlink w:anchor="_Toc215314150" w:history="1">
            <w:r w:rsidRPr="00016446">
              <w:rPr>
                <w:rStyle w:val="Hyperlink"/>
                <w:rFonts w:ascii="Arial" w:hAnsi="Arial" w:cs="Arial"/>
                <w:noProof/>
                <w:color w:val="000000" w:themeColor="text1"/>
              </w:rPr>
              <w:t>7.3 Sensitivity Analysis: Testing Strategic Resilience</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_Toc215314150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32</w:t>
            </w:r>
            <w:r w:rsidRPr="00016446">
              <w:rPr>
                <w:rFonts w:ascii="Arial" w:hAnsi="Arial" w:cs="Arial"/>
                <w:noProof/>
                <w:webHidden/>
                <w:color w:val="000000" w:themeColor="text1"/>
              </w:rPr>
              <w:fldChar w:fldCharType="end"/>
            </w:r>
          </w:hyperlink>
        </w:p>
        <w:p w14:paraId="5197E5AC" w14:textId="5BC944B2"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51" w:history="1">
            <w:r w:rsidRPr="00016446">
              <w:rPr>
                <w:rStyle w:val="Hyperlink"/>
                <w:rFonts w:ascii="Arial" w:hAnsi="Arial" w:cs="Arial"/>
                <w:noProof/>
                <w:color w:val="000000" w:themeColor="text1"/>
              </w:rPr>
              <w:t>8. Recommendation and Conclusion</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_Toc215314151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34</w:t>
            </w:r>
            <w:r w:rsidRPr="00016446">
              <w:rPr>
                <w:rFonts w:ascii="Arial" w:hAnsi="Arial" w:cs="Arial"/>
                <w:noProof/>
                <w:webHidden/>
                <w:color w:val="000000" w:themeColor="text1"/>
              </w:rPr>
              <w:fldChar w:fldCharType="end"/>
            </w:r>
          </w:hyperlink>
        </w:p>
        <w:p w14:paraId="4B52E734" w14:textId="3D3ADA46"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52" w:history="1">
            <w:r w:rsidRPr="00016446">
              <w:rPr>
                <w:rStyle w:val="Hyperlink"/>
                <w:rFonts w:ascii="Arial" w:hAnsi="Arial" w:cs="Arial"/>
                <w:noProof/>
                <w:color w:val="000000" w:themeColor="text1"/>
              </w:rPr>
              <w:t>9. List of References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_Toc215314152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36</w:t>
            </w:r>
            <w:r w:rsidRPr="00016446">
              <w:rPr>
                <w:rFonts w:ascii="Arial" w:hAnsi="Arial" w:cs="Arial"/>
                <w:noProof/>
                <w:webHidden/>
                <w:color w:val="000000" w:themeColor="text1"/>
              </w:rPr>
              <w:fldChar w:fldCharType="end"/>
            </w:r>
          </w:hyperlink>
        </w:p>
        <w:p w14:paraId="467C8910" w14:textId="14C87792" w:rsidR="00016446" w:rsidRPr="00016446" w:rsidRDefault="00016446">
          <w:pPr>
            <w:pStyle w:val="TOC1"/>
            <w:tabs>
              <w:tab w:val="right" w:leader="dot" w:pos="9350"/>
            </w:tabs>
            <w:rPr>
              <w:rFonts w:ascii="Arial" w:eastAsiaTheme="minorEastAsia" w:hAnsi="Arial" w:cs="Arial"/>
              <w:noProof/>
              <w:color w:val="000000" w:themeColor="text1"/>
              <w:sz w:val="24"/>
              <w:szCs w:val="24"/>
              <w:lang w:val="bg-BG" w:eastAsia="bg-BG"/>
            </w:rPr>
          </w:pPr>
          <w:hyperlink w:anchor="_Toc215314153" w:history="1">
            <w:r w:rsidRPr="00016446">
              <w:rPr>
                <w:rStyle w:val="Hyperlink"/>
                <w:rFonts w:ascii="Arial" w:hAnsi="Arial" w:cs="Arial"/>
                <w:noProof/>
                <w:color w:val="000000" w:themeColor="text1"/>
              </w:rPr>
              <w:t>10. Appendices</w:t>
            </w:r>
            <w:r w:rsidRPr="00016446">
              <w:rPr>
                <w:rFonts w:ascii="Arial" w:hAnsi="Arial" w:cs="Arial"/>
                <w:noProof/>
                <w:webHidden/>
                <w:color w:val="000000" w:themeColor="text1"/>
              </w:rPr>
              <w:tab/>
            </w:r>
            <w:r w:rsidRPr="00016446">
              <w:rPr>
                <w:rFonts w:ascii="Arial" w:hAnsi="Arial" w:cs="Arial"/>
                <w:noProof/>
                <w:webHidden/>
                <w:color w:val="000000" w:themeColor="text1"/>
              </w:rPr>
              <w:fldChar w:fldCharType="begin"/>
            </w:r>
            <w:r w:rsidRPr="00016446">
              <w:rPr>
                <w:rFonts w:ascii="Arial" w:hAnsi="Arial" w:cs="Arial"/>
                <w:noProof/>
                <w:webHidden/>
                <w:color w:val="000000" w:themeColor="text1"/>
              </w:rPr>
              <w:instrText xml:space="preserve"> PAGEREF _Toc215314153 \h </w:instrText>
            </w:r>
            <w:r w:rsidRPr="00016446">
              <w:rPr>
                <w:rFonts w:ascii="Arial" w:hAnsi="Arial" w:cs="Arial"/>
                <w:noProof/>
                <w:webHidden/>
                <w:color w:val="000000" w:themeColor="text1"/>
              </w:rPr>
            </w:r>
            <w:r w:rsidRPr="00016446">
              <w:rPr>
                <w:rFonts w:ascii="Arial" w:hAnsi="Arial" w:cs="Arial"/>
                <w:noProof/>
                <w:webHidden/>
                <w:color w:val="000000" w:themeColor="text1"/>
              </w:rPr>
              <w:fldChar w:fldCharType="separate"/>
            </w:r>
            <w:r w:rsidRPr="00016446">
              <w:rPr>
                <w:rFonts w:ascii="Arial" w:hAnsi="Arial" w:cs="Arial"/>
                <w:noProof/>
                <w:webHidden/>
                <w:color w:val="000000" w:themeColor="text1"/>
              </w:rPr>
              <w:t>39</w:t>
            </w:r>
            <w:r w:rsidRPr="00016446">
              <w:rPr>
                <w:rFonts w:ascii="Arial" w:hAnsi="Arial" w:cs="Arial"/>
                <w:noProof/>
                <w:webHidden/>
                <w:color w:val="000000" w:themeColor="text1"/>
              </w:rPr>
              <w:fldChar w:fldCharType="end"/>
            </w:r>
          </w:hyperlink>
        </w:p>
        <w:p w14:paraId="41A46E10" w14:textId="32A2F61E" w:rsidR="007D0BE6" w:rsidRPr="00016446" w:rsidRDefault="007D0BE6">
          <w:pPr>
            <w:rPr>
              <w:rFonts w:ascii="Arial" w:hAnsi="Arial" w:cs="Arial"/>
              <w:color w:val="000000" w:themeColor="text1"/>
            </w:rPr>
          </w:pPr>
          <w:r w:rsidRPr="00016446">
            <w:rPr>
              <w:rFonts w:ascii="Arial" w:hAnsi="Arial" w:cs="Arial"/>
              <w:b/>
              <w:bCs/>
              <w:noProof/>
              <w:color w:val="000000" w:themeColor="text1"/>
            </w:rPr>
            <w:fldChar w:fldCharType="end"/>
          </w:r>
        </w:p>
      </w:sdtContent>
    </w:sdt>
    <w:p w14:paraId="331E46A6" w14:textId="77777777" w:rsidR="00637FDB" w:rsidRDefault="00637FDB" w:rsidP="007F66E2">
      <w:pPr>
        <w:rPr>
          <w:b/>
          <w:bCs/>
        </w:rPr>
      </w:pPr>
    </w:p>
    <w:p w14:paraId="0015FABE" w14:textId="77777777" w:rsidR="00F30BA4" w:rsidRDefault="00F30BA4" w:rsidP="007F66E2">
      <w:pPr>
        <w:rPr>
          <w:b/>
          <w:bCs/>
        </w:rPr>
      </w:pPr>
    </w:p>
    <w:p w14:paraId="664807FB" w14:textId="77777777" w:rsidR="00F30BA4" w:rsidRDefault="00F30BA4" w:rsidP="007F66E2">
      <w:pPr>
        <w:rPr>
          <w:b/>
          <w:bCs/>
        </w:rPr>
      </w:pPr>
    </w:p>
    <w:p w14:paraId="33A4F9BA" w14:textId="77777777" w:rsidR="00F30BA4" w:rsidRDefault="00F30BA4" w:rsidP="007F66E2">
      <w:pPr>
        <w:rPr>
          <w:b/>
          <w:bCs/>
        </w:rPr>
      </w:pPr>
    </w:p>
    <w:p w14:paraId="2016EDB8" w14:textId="77777777" w:rsidR="00F30BA4" w:rsidRDefault="00F30BA4" w:rsidP="007F66E2">
      <w:pPr>
        <w:rPr>
          <w:b/>
          <w:bCs/>
        </w:rPr>
      </w:pPr>
    </w:p>
    <w:p w14:paraId="69A6A9F4" w14:textId="77777777" w:rsidR="00F30BA4" w:rsidRDefault="00F30BA4" w:rsidP="007F66E2">
      <w:pPr>
        <w:rPr>
          <w:b/>
          <w:bCs/>
        </w:rPr>
      </w:pPr>
    </w:p>
    <w:p w14:paraId="69965A86" w14:textId="77777777" w:rsidR="00F30BA4" w:rsidRDefault="00F30BA4" w:rsidP="007F66E2">
      <w:pPr>
        <w:rPr>
          <w:b/>
          <w:bCs/>
        </w:rPr>
      </w:pPr>
    </w:p>
    <w:p w14:paraId="690087EE" w14:textId="77777777" w:rsidR="00F30BA4" w:rsidRDefault="00F30BA4" w:rsidP="007F66E2">
      <w:pPr>
        <w:rPr>
          <w:b/>
          <w:bCs/>
        </w:rPr>
      </w:pPr>
    </w:p>
    <w:p w14:paraId="43308BEA" w14:textId="77777777" w:rsidR="00F30BA4" w:rsidRDefault="00F30BA4" w:rsidP="007F66E2">
      <w:pPr>
        <w:rPr>
          <w:b/>
          <w:bCs/>
        </w:rPr>
      </w:pPr>
    </w:p>
    <w:p w14:paraId="6283D8BB" w14:textId="77777777" w:rsidR="00F30BA4" w:rsidRDefault="00F30BA4" w:rsidP="007F66E2">
      <w:pPr>
        <w:rPr>
          <w:b/>
          <w:bCs/>
        </w:rPr>
      </w:pPr>
    </w:p>
    <w:p w14:paraId="63A10703" w14:textId="77777777" w:rsidR="00F30BA4" w:rsidRDefault="00F30BA4" w:rsidP="007F66E2">
      <w:pPr>
        <w:rPr>
          <w:b/>
          <w:bCs/>
        </w:rPr>
      </w:pPr>
    </w:p>
    <w:p w14:paraId="3F19FDC9" w14:textId="77777777" w:rsidR="00F30BA4" w:rsidRDefault="00F30BA4" w:rsidP="007F66E2">
      <w:pPr>
        <w:rPr>
          <w:b/>
          <w:bCs/>
        </w:rPr>
      </w:pPr>
    </w:p>
    <w:p w14:paraId="5868CAFD" w14:textId="77777777" w:rsidR="00F30BA4" w:rsidRDefault="00F30BA4" w:rsidP="007F66E2">
      <w:pPr>
        <w:rPr>
          <w:b/>
          <w:bCs/>
        </w:rPr>
      </w:pPr>
    </w:p>
    <w:p w14:paraId="06A3DE02" w14:textId="77777777" w:rsidR="00F30BA4" w:rsidRDefault="00F30BA4" w:rsidP="007F66E2">
      <w:pPr>
        <w:rPr>
          <w:b/>
          <w:bCs/>
        </w:rPr>
      </w:pPr>
    </w:p>
    <w:p w14:paraId="2EF2BADC" w14:textId="77777777" w:rsidR="00F30BA4" w:rsidRDefault="00F30BA4" w:rsidP="007F66E2">
      <w:pPr>
        <w:rPr>
          <w:b/>
          <w:bCs/>
        </w:rPr>
      </w:pPr>
    </w:p>
    <w:p w14:paraId="1AFDA112" w14:textId="77777777" w:rsidR="00F30BA4" w:rsidRDefault="00F30BA4" w:rsidP="007F66E2">
      <w:pPr>
        <w:rPr>
          <w:b/>
          <w:bCs/>
        </w:rPr>
      </w:pPr>
    </w:p>
    <w:p w14:paraId="49EF14EF" w14:textId="77777777" w:rsidR="00F30BA4" w:rsidRDefault="00F30BA4" w:rsidP="007F66E2">
      <w:pPr>
        <w:rPr>
          <w:b/>
          <w:bCs/>
        </w:rPr>
      </w:pPr>
    </w:p>
    <w:p w14:paraId="2FB8BF5D" w14:textId="77777777" w:rsidR="00F30BA4" w:rsidRDefault="00F30BA4" w:rsidP="007F66E2">
      <w:pPr>
        <w:rPr>
          <w:b/>
          <w:bCs/>
        </w:rPr>
      </w:pPr>
    </w:p>
    <w:p w14:paraId="479977E8" w14:textId="77777777" w:rsidR="00F30BA4" w:rsidRDefault="00F30BA4" w:rsidP="007F66E2">
      <w:pPr>
        <w:rPr>
          <w:b/>
          <w:bCs/>
        </w:rPr>
      </w:pPr>
    </w:p>
    <w:p w14:paraId="59E08F4B" w14:textId="77777777" w:rsidR="00F30BA4" w:rsidRDefault="00F30BA4" w:rsidP="007F66E2">
      <w:pPr>
        <w:rPr>
          <w:b/>
          <w:bCs/>
        </w:rPr>
      </w:pPr>
    </w:p>
    <w:p w14:paraId="169B8BF0" w14:textId="77777777" w:rsidR="00F30BA4" w:rsidRDefault="00F30BA4" w:rsidP="007F66E2">
      <w:pPr>
        <w:rPr>
          <w:b/>
          <w:bCs/>
        </w:rPr>
      </w:pPr>
    </w:p>
    <w:p w14:paraId="7FEBEF22" w14:textId="77777777" w:rsidR="00F30BA4" w:rsidRDefault="00F30BA4" w:rsidP="007F66E2">
      <w:pPr>
        <w:rPr>
          <w:b/>
          <w:bCs/>
        </w:rPr>
      </w:pPr>
    </w:p>
    <w:p w14:paraId="1365AA74" w14:textId="77777777" w:rsidR="00637FDB" w:rsidRDefault="00637FDB" w:rsidP="007F66E2">
      <w:pPr>
        <w:rPr>
          <w:b/>
          <w:bCs/>
        </w:rPr>
      </w:pPr>
    </w:p>
    <w:p w14:paraId="0F1C70B0" w14:textId="46D29670" w:rsidR="00637FDB" w:rsidRPr="00570708" w:rsidRDefault="00C513C7" w:rsidP="00570708">
      <w:pPr>
        <w:pStyle w:val="Heading1"/>
        <w:shd w:val="clear" w:color="auto" w:fill="FF4747"/>
        <w:rPr>
          <w:rFonts w:ascii="Arial" w:hAnsi="Arial" w:cs="Arial"/>
          <w:color w:val="FFFFFF" w:themeColor="background1"/>
          <w:sz w:val="36"/>
          <w:szCs w:val="36"/>
        </w:rPr>
      </w:pPr>
      <w:bookmarkStart w:id="0" w:name="_Toc215314120"/>
      <w:r>
        <w:rPr>
          <w:rFonts w:ascii="Arial" w:hAnsi="Arial" w:cs="Arial"/>
          <w:color w:val="FFFFFF" w:themeColor="background1"/>
          <w:sz w:val="36"/>
          <w:szCs w:val="36"/>
        </w:rPr>
        <w:lastRenderedPageBreak/>
        <w:t xml:space="preserve">1. </w:t>
      </w:r>
      <w:r w:rsidR="007D0BE6" w:rsidRPr="00570708">
        <w:rPr>
          <w:rFonts w:ascii="Arial" w:hAnsi="Arial" w:cs="Arial"/>
          <w:color w:val="FFFFFF" w:themeColor="background1"/>
          <w:sz w:val="36"/>
          <w:szCs w:val="36"/>
        </w:rPr>
        <w:t>Introduction</w:t>
      </w:r>
      <w:r>
        <w:rPr>
          <w:rFonts w:ascii="Arial" w:hAnsi="Arial" w:cs="Arial"/>
          <w:color w:val="FFFFFF" w:themeColor="background1"/>
          <w:sz w:val="36"/>
          <w:szCs w:val="36"/>
        </w:rPr>
        <w:t xml:space="preserve"> </w:t>
      </w:r>
      <w:r w:rsidRPr="00C513C7">
        <w:rPr>
          <w:rFonts w:ascii="Arial" w:hAnsi="Arial" w:cs="Arial"/>
          <w:color w:val="FFFFFF" w:themeColor="background1"/>
          <w:sz w:val="36"/>
          <w:szCs w:val="36"/>
        </w:rPr>
        <w:t>and Strategic Rationale</w:t>
      </w:r>
      <w:bookmarkEnd w:id="0"/>
    </w:p>
    <w:p w14:paraId="6ED1F188" w14:textId="77777777" w:rsidR="007D0BE6" w:rsidRDefault="007D0BE6" w:rsidP="007F66E2">
      <w:pPr>
        <w:rPr>
          <w:b/>
          <w:bCs/>
        </w:rPr>
      </w:pPr>
    </w:p>
    <w:p w14:paraId="12847C66" w14:textId="4C388562" w:rsidR="00B86F51" w:rsidRDefault="00C513C7" w:rsidP="00772D6A">
      <w:pPr>
        <w:pStyle w:val="Heading2"/>
        <w:numPr>
          <w:ilvl w:val="1"/>
          <w:numId w:val="8"/>
        </w:numPr>
        <w:rPr>
          <w:rFonts w:ascii="Arial" w:hAnsi="Arial" w:cs="Arial"/>
          <w:color w:val="000000" w:themeColor="text1"/>
          <w:sz w:val="28"/>
          <w:szCs w:val="28"/>
        </w:rPr>
      </w:pPr>
      <w:bookmarkStart w:id="1" w:name="_Toc215314121"/>
      <w:r w:rsidRPr="00C513C7">
        <w:rPr>
          <w:rFonts w:ascii="Arial" w:hAnsi="Arial" w:cs="Arial"/>
          <w:color w:val="000000" w:themeColor="text1"/>
          <w:sz w:val="28"/>
          <w:szCs w:val="28"/>
        </w:rPr>
        <w:t>Selection of Organisation: Lululemon Athletica Inc.</w:t>
      </w:r>
      <w:bookmarkEnd w:id="1"/>
    </w:p>
    <w:p w14:paraId="6D78BEB1" w14:textId="77777777" w:rsidR="00772D6A" w:rsidRPr="00772D6A" w:rsidRDefault="00772D6A" w:rsidP="00772D6A"/>
    <w:p w14:paraId="435C6AD2" w14:textId="4D57691E" w:rsidR="00772D6A" w:rsidRDefault="00667316" w:rsidP="00667316">
      <w:pPr>
        <w:spacing w:line="360" w:lineRule="auto"/>
        <w:rPr>
          <w:rFonts w:ascii="Arial" w:hAnsi="Arial" w:cs="Arial"/>
          <w:color w:val="000000" w:themeColor="text1"/>
        </w:rPr>
      </w:pPr>
      <w:r w:rsidRPr="00667316">
        <w:rPr>
          <w:rFonts w:ascii="Arial" w:hAnsi="Arial" w:cs="Arial"/>
          <w:color w:val="000000" w:themeColor="text1"/>
        </w:rPr>
        <w:t>Lululemon Athletica Inc. is strategically compelling for international expansion analysis due to its distinctive competitive base and selective global footprint. The company has evolved into a premium global brand, driven by its differentiated design philosophy, proprietary fabric technologies, and strong community-based brand culture. Under the Resource-Based View (RBV), these capabilities constitute valuable, rare, and difficult-to-imitate resources that underpin sustained competitive advantage (Barney, 1991; Grant, 2019). Lululemon maintains a cautious internationalisation trajectory, focusing only on markets that can sustain its premium positioning, presenting a unique analytical opportunity to examine its competitive logic in a complex emerging economy.</w:t>
      </w:r>
    </w:p>
    <w:p w14:paraId="41B8A29F" w14:textId="77777777" w:rsidR="00667316" w:rsidRPr="00667316" w:rsidRDefault="00667316" w:rsidP="00667316">
      <w:pPr>
        <w:spacing w:line="360" w:lineRule="auto"/>
        <w:rPr>
          <w:color w:val="000000" w:themeColor="text1"/>
        </w:rPr>
      </w:pPr>
    </w:p>
    <w:p w14:paraId="5A472B01" w14:textId="58ADCEBF" w:rsidR="004E29BE" w:rsidRDefault="00C513C7" w:rsidP="00772D6A">
      <w:pPr>
        <w:pStyle w:val="Heading2"/>
        <w:rPr>
          <w:rFonts w:ascii="Arial" w:hAnsi="Arial" w:cs="Arial"/>
          <w:color w:val="000000" w:themeColor="text1"/>
          <w:sz w:val="28"/>
          <w:szCs w:val="28"/>
        </w:rPr>
      </w:pPr>
      <w:bookmarkStart w:id="2" w:name="_Toc215314122"/>
      <w:r w:rsidRPr="00C513C7">
        <w:rPr>
          <w:rFonts w:ascii="Arial" w:hAnsi="Arial" w:cs="Arial"/>
          <w:color w:val="000000" w:themeColor="text1"/>
          <w:sz w:val="28"/>
          <w:szCs w:val="28"/>
        </w:rPr>
        <w:t>1.2. Selection of Target Market: India</w:t>
      </w:r>
      <w:bookmarkEnd w:id="2"/>
    </w:p>
    <w:p w14:paraId="1E5EAFBF" w14:textId="77777777" w:rsidR="004E29BE" w:rsidRPr="00A722BD" w:rsidRDefault="004E29BE" w:rsidP="00A722BD">
      <w:pPr>
        <w:spacing w:line="360" w:lineRule="auto"/>
        <w:rPr>
          <w:color w:val="000000" w:themeColor="text1"/>
        </w:rPr>
      </w:pPr>
    </w:p>
    <w:p w14:paraId="24F83CD4" w14:textId="491FC11A" w:rsidR="00034A4B" w:rsidRPr="00A722BD" w:rsidRDefault="00A722BD" w:rsidP="00A722BD">
      <w:pPr>
        <w:spacing w:line="360" w:lineRule="auto"/>
        <w:rPr>
          <w:rFonts w:ascii="Arial" w:hAnsi="Arial" w:cs="Arial"/>
          <w:color w:val="000000" w:themeColor="text1"/>
        </w:rPr>
      </w:pPr>
      <w:r w:rsidRPr="00A722BD">
        <w:rPr>
          <w:rFonts w:ascii="Arial" w:hAnsi="Arial" w:cs="Arial"/>
          <w:color w:val="000000" w:themeColor="text1"/>
        </w:rPr>
        <w:t>India is selected as the proposed new market due to its combination of macroeconomic dynamism, increasing wellness orientation, and rapidly expanding premium consumer segment. As the fastest-growing major economy (IMF, 2025), India’s urban disposable incomes are rising. Furthermore, the athleisure category is structurally growing yet remains underpenetrated at the premium level, creating a clear opportunity for differentiated market entry (Statista, 2024). Culturally, while yoga originates from deep-rooted traditions, the commercial premium yoga-wear segment is emerging, requiring careful adaptation to avoid perceptions of Western commercialisation (Khanna and Sengupta, 2020). However, India presents material entry barriers: the 30% local sourcing rule (DPIIT, 2018) introduces supply chain constraints, while competitive intensity demands high differentiation. These factors necessitate an entry strategy that mitigates regulatory risk and supports strong localisation, balancing global quality standards with local market realities.</w:t>
      </w:r>
    </w:p>
    <w:p w14:paraId="482F8692" w14:textId="77777777" w:rsidR="000B06CC" w:rsidRDefault="000B06CC" w:rsidP="007F66E2">
      <w:pPr>
        <w:rPr>
          <w:b/>
          <w:bCs/>
        </w:rPr>
      </w:pPr>
    </w:p>
    <w:p w14:paraId="5AEE59B0" w14:textId="77777777" w:rsidR="000B06CC" w:rsidRDefault="000B06CC" w:rsidP="007F66E2">
      <w:pPr>
        <w:rPr>
          <w:b/>
          <w:bCs/>
        </w:rPr>
      </w:pPr>
    </w:p>
    <w:p w14:paraId="4A3108E0" w14:textId="77777777" w:rsidR="00635FFF" w:rsidRPr="00635FFF" w:rsidRDefault="00635FFF" w:rsidP="00635FFF">
      <w:pPr>
        <w:pStyle w:val="Heading1"/>
        <w:shd w:val="clear" w:color="auto" w:fill="FF4747"/>
        <w:rPr>
          <w:rFonts w:ascii="Arial" w:hAnsi="Arial" w:cs="Arial"/>
          <w:color w:val="FFFFFF" w:themeColor="background1"/>
          <w:sz w:val="36"/>
          <w:szCs w:val="36"/>
        </w:rPr>
      </w:pPr>
      <w:bookmarkStart w:id="3" w:name="_Toc215314123"/>
      <w:r w:rsidRPr="00635FFF">
        <w:rPr>
          <w:rFonts w:ascii="Arial" w:hAnsi="Arial" w:cs="Arial"/>
          <w:color w:val="FFFFFF" w:themeColor="background1"/>
          <w:sz w:val="36"/>
          <w:szCs w:val="36"/>
        </w:rPr>
        <w:lastRenderedPageBreak/>
        <w:t>2. Current Situation of Lululemon Athletica Inc.</w:t>
      </w:r>
      <w:bookmarkEnd w:id="3"/>
    </w:p>
    <w:p w14:paraId="562E6306" w14:textId="77777777" w:rsidR="00635FFF" w:rsidRPr="00635FFF" w:rsidRDefault="00635FFF" w:rsidP="00635FFF">
      <w:pPr>
        <w:rPr>
          <w:b/>
          <w:bCs/>
        </w:rPr>
      </w:pPr>
    </w:p>
    <w:p w14:paraId="42F14B8F" w14:textId="02E8D234" w:rsidR="00EA2760" w:rsidRDefault="00E35022" w:rsidP="00E35022">
      <w:pPr>
        <w:spacing w:line="360" w:lineRule="auto"/>
        <w:rPr>
          <w:rFonts w:ascii="Arial" w:hAnsi="Arial" w:cs="Arial"/>
          <w:color w:val="000000" w:themeColor="text1"/>
        </w:rPr>
      </w:pPr>
      <w:r w:rsidRPr="00E35022">
        <w:rPr>
          <w:rFonts w:ascii="Arial" w:hAnsi="Arial" w:cs="Arial"/>
          <w:color w:val="000000" w:themeColor="text1"/>
        </w:rPr>
        <w:t xml:space="preserve">Lululemon Athletica Inc. is a publicly listed North American company operating within the premium segment of the global athleisure industry. Its core purpose is encapsulated in its Vision (To elevate human potential...) and Mission (To design high-quality, innovative apparel...), driven by a strategic focus on international expansion and customer loyalty. The governance framework includes an independent Board of Directors, while the decentralised, functionally integrated organisational structure supports market agility (Lululemon Annual Report, 2024). Lululemon maintains a distinct market positioning through its product offering (detailed in Table 1), which spans yoga, running, and training, emphasising proprietary performance fabrics and community engagement (Euromonitor, 2024). Financially, the company reported $10.3 billion in revenue and $1.55 billion in net </w:t>
      </w:r>
      <w:r w:rsidR="00725B86">
        <w:rPr>
          <w:rFonts w:ascii="Arial" w:hAnsi="Arial" w:cs="Arial"/>
          <w:color w:val="000000" w:themeColor="text1"/>
        </w:rPr>
        <w:t>profit</w:t>
      </w:r>
      <w:r w:rsidRPr="00E35022">
        <w:rPr>
          <w:rFonts w:ascii="Arial" w:hAnsi="Arial" w:cs="Arial"/>
          <w:color w:val="000000" w:themeColor="text1"/>
        </w:rPr>
        <w:t xml:space="preserve"> for FY2023, demonstrating strong liquidity and capacity to invest in new markets (Lululemon Annual Report, 2024). A summary of key financial indicators is presented in Table A3 (Appendix A).</w:t>
      </w:r>
    </w:p>
    <w:p w14:paraId="7CE4D535" w14:textId="77777777" w:rsidR="00E35022" w:rsidRPr="00E35022" w:rsidRDefault="00E35022" w:rsidP="00E35022">
      <w:pPr>
        <w:spacing w:line="360" w:lineRule="auto"/>
        <w:rPr>
          <w:rFonts w:ascii="Arial" w:hAnsi="Arial" w:cs="Arial"/>
          <w:color w:val="000000" w:themeColor="text1"/>
        </w:rPr>
      </w:pPr>
    </w:p>
    <w:p w14:paraId="0F08CFB6" w14:textId="745D6B1F" w:rsidR="005E3CE9" w:rsidRDefault="005E3CE9" w:rsidP="00273429">
      <w:pPr>
        <w:spacing w:line="360" w:lineRule="auto"/>
        <w:rPr>
          <w:rFonts w:ascii="Arial" w:hAnsi="Arial" w:cs="Arial"/>
        </w:rPr>
      </w:pPr>
      <w:r w:rsidRPr="005E3CE9">
        <w:rPr>
          <w:rFonts w:ascii="Arial" w:hAnsi="Arial" w:cs="Arial"/>
          <w:b/>
          <w:bCs/>
        </w:rPr>
        <w:t>Table 1:</w:t>
      </w:r>
      <w:r w:rsidRPr="005E3CE9">
        <w:rPr>
          <w:rFonts w:ascii="Arial" w:hAnsi="Arial" w:cs="Arial"/>
        </w:rPr>
        <w:t xml:space="preserve"> </w:t>
      </w:r>
      <w:r w:rsidR="00EA2760" w:rsidRPr="00EA2760">
        <w:rPr>
          <w:rFonts w:ascii="Arial" w:hAnsi="Arial" w:cs="Arial"/>
        </w:rPr>
        <w:t>Lululemon Product Categories and Key Features</w:t>
      </w:r>
    </w:p>
    <w:p w14:paraId="1DD46091" w14:textId="04054A8C" w:rsidR="005E3CE9" w:rsidRDefault="005E3CE9" w:rsidP="00635FFF">
      <w:pPr>
        <w:spacing w:line="360" w:lineRule="auto"/>
        <w:rPr>
          <w:rFonts w:ascii="Arial" w:hAnsi="Arial" w:cs="Arial"/>
          <w:sz w:val="20"/>
          <w:szCs w:val="20"/>
        </w:rPr>
      </w:pPr>
      <w:r w:rsidRPr="005E3CE9">
        <w:rPr>
          <w:rFonts w:ascii="Arial" w:hAnsi="Arial" w:cs="Arial"/>
          <w:noProof/>
        </w:rPr>
        <w:drawing>
          <wp:inline distT="0" distB="0" distL="0" distR="0" wp14:anchorId="52346D64" wp14:editId="479B0951">
            <wp:extent cx="5995283" cy="1966580"/>
            <wp:effectExtent l="0" t="0" r="5715" b="0"/>
            <wp:docPr id="1120126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26880" name=""/>
                    <pic:cNvPicPr/>
                  </pic:nvPicPr>
                  <pic:blipFill>
                    <a:blip r:embed="rId10"/>
                    <a:stretch>
                      <a:fillRect/>
                    </a:stretch>
                  </pic:blipFill>
                  <pic:spPr>
                    <a:xfrm>
                      <a:off x="0" y="0"/>
                      <a:ext cx="6004981" cy="1969761"/>
                    </a:xfrm>
                    <a:prstGeom prst="rect">
                      <a:avLst/>
                    </a:prstGeom>
                  </pic:spPr>
                </pic:pic>
              </a:graphicData>
            </a:graphic>
          </wp:inline>
        </w:drawing>
      </w:r>
      <w:r w:rsidRPr="005E3CE9">
        <w:rPr>
          <w:rFonts w:ascii="Arial" w:hAnsi="Arial" w:cs="Arial"/>
          <w:sz w:val="20"/>
          <w:szCs w:val="20"/>
        </w:rPr>
        <w:t>Source:</w:t>
      </w:r>
      <w:r w:rsidR="0009600A">
        <w:rPr>
          <w:rFonts w:ascii="Arial" w:hAnsi="Arial" w:cs="Arial"/>
          <w:sz w:val="20"/>
          <w:szCs w:val="20"/>
        </w:rPr>
        <w:t xml:space="preserve"> </w:t>
      </w:r>
      <w:r w:rsidRPr="005E3CE9">
        <w:rPr>
          <w:rFonts w:ascii="Arial" w:hAnsi="Arial" w:cs="Arial"/>
          <w:sz w:val="20"/>
          <w:szCs w:val="20"/>
        </w:rPr>
        <w:t>Lululemon Product Descriptions, 2024.</w:t>
      </w:r>
    </w:p>
    <w:p w14:paraId="32D959A7" w14:textId="77777777" w:rsidR="00EA2760" w:rsidRDefault="00EA2760" w:rsidP="00635FFF">
      <w:pPr>
        <w:spacing w:line="360" w:lineRule="auto"/>
        <w:rPr>
          <w:rFonts w:ascii="Arial" w:hAnsi="Arial" w:cs="Arial"/>
        </w:rPr>
      </w:pPr>
    </w:p>
    <w:p w14:paraId="71690F07" w14:textId="77777777" w:rsidR="00841633" w:rsidRDefault="00841633" w:rsidP="00635FFF">
      <w:pPr>
        <w:spacing w:line="360" w:lineRule="auto"/>
        <w:rPr>
          <w:rFonts w:ascii="Arial" w:hAnsi="Arial" w:cs="Arial"/>
        </w:rPr>
      </w:pPr>
    </w:p>
    <w:p w14:paraId="0445429D" w14:textId="55D02276" w:rsidR="00841633" w:rsidRPr="00EA2760" w:rsidRDefault="00841633" w:rsidP="00635FFF">
      <w:pPr>
        <w:spacing w:line="360" w:lineRule="auto"/>
        <w:rPr>
          <w:rFonts w:ascii="Arial" w:hAnsi="Arial" w:cs="Arial"/>
        </w:rPr>
      </w:pPr>
    </w:p>
    <w:p w14:paraId="000BD114" w14:textId="19541D15" w:rsidR="007D0BE6" w:rsidRDefault="00273429" w:rsidP="00D12C90">
      <w:pPr>
        <w:pStyle w:val="Heading1"/>
        <w:shd w:val="clear" w:color="auto" w:fill="FF4747"/>
        <w:rPr>
          <w:rFonts w:ascii="Arial" w:hAnsi="Arial" w:cs="Arial"/>
          <w:color w:val="FFFFFF" w:themeColor="background1"/>
          <w:sz w:val="36"/>
          <w:szCs w:val="36"/>
        </w:rPr>
      </w:pPr>
      <w:bookmarkStart w:id="4" w:name="_Toc215314124"/>
      <w:r>
        <w:rPr>
          <w:rFonts w:ascii="Arial" w:hAnsi="Arial" w:cs="Arial"/>
          <w:color w:val="FFFFFF" w:themeColor="background1"/>
          <w:sz w:val="36"/>
          <w:szCs w:val="36"/>
        </w:rPr>
        <w:lastRenderedPageBreak/>
        <w:t>3</w:t>
      </w:r>
      <w:r w:rsidR="00C8281C" w:rsidRPr="00C8281C">
        <w:rPr>
          <w:rFonts w:ascii="Arial" w:hAnsi="Arial" w:cs="Arial"/>
          <w:color w:val="FFFFFF" w:themeColor="background1"/>
          <w:sz w:val="36"/>
          <w:szCs w:val="36"/>
        </w:rPr>
        <w:t>. Comprehensive Strategic Analysis</w:t>
      </w:r>
      <w:bookmarkEnd w:id="4"/>
    </w:p>
    <w:p w14:paraId="440046D7" w14:textId="77777777" w:rsidR="00D12C90" w:rsidRPr="00D12C90" w:rsidRDefault="00D12C90" w:rsidP="00D12C90"/>
    <w:p w14:paraId="762D8A13" w14:textId="01328190" w:rsidR="007D0BE6" w:rsidRDefault="00273429" w:rsidP="00C8281C">
      <w:pPr>
        <w:pStyle w:val="Heading2"/>
        <w:rPr>
          <w:rFonts w:ascii="Arial" w:hAnsi="Arial" w:cs="Arial"/>
          <w:color w:val="000000" w:themeColor="text1"/>
          <w:sz w:val="28"/>
          <w:szCs w:val="28"/>
        </w:rPr>
      </w:pPr>
      <w:bookmarkStart w:id="5" w:name="_Toc215314125"/>
      <w:r>
        <w:rPr>
          <w:rFonts w:ascii="Arial" w:hAnsi="Arial" w:cs="Arial"/>
          <w:color w:val="000000" w:themeColor="text1"/>
          <w:sz w:val="28"/>
          <w:szCs w:val="28"/>
        </w:rPr>
        <w:t>3</w:t>
      </w:r>
      <w:r w:rsidR="00C8281C" w:rsidRPr="00C8281C">
        <w:rPr>
          <w:rFonts w:ascii="Arial" w:hAnsi="Arial" w:cs="Arial"/>
          <w:color w:val="000000" w:themeColor="text1"/>
          <w:sz w:val="28"/>
          <w:szCs w:val="28"/>
        </w:rPr>
        <w:t xml:space="preserve">.1. Analysis of the General Environment (PESTLE </w:t>
      </w:r>
      <w:r w:rsidR="00C8281C">
        <w:rPr>
          <w:rFonts w:ascii="Arial" w:hAnsi="Arial" w:cs="Arial"/>
          <w:color w:val="000000" w:themeColor="text1"/>
          <w:sz w:val="28"/>
          <w:szCs w:val="28"/>
        </w:rPr>
        <w:t>and</w:t>
      </w:r>
      <w:r w:rsidR="00C8281C" w:rsidRPr="00C8281C">
        <w:rPr>
          <w:rFonts w:ascii="Arial" w:hAnsi="Arial" w:cs="Arial"/>
          <w:color w:val="000000" w:themeColor="text1"/>
          <w:sz w:val="28"/>
          <w:szCs w:val="28"/>
        </w:rPr>
        <w:t xml:space="preserve"> CAGE)</w:t>
      </w:r>
      <w:bookmarkEnd w:id="5"/>
    </w:p>
    <w:p w14:paraId="7EB024ED" w14:textId="77777777" w:rsidR="00D12C90" w:rsidRPr="00D12C90" w:rsidRDefault="00D12C90" w:rsidP="00D12C90"/>
    <w:p w14:paraId="5664F53D" w14:textId="04C2A56E" w:rsidR="00D12C90" w:rsidRPr="0067179E" w:rsidRDefault="00273429" w:rsidP="00D12C90">
      <w:pPr>
        <w:pStyle w:val="Heading3"/>
        <w:tabs>
          <w:tab w:val="center" w:pos="4680"/>
        </w:tabs>
        <w:rPr>
          <w:rFonts w:ascii="Arial" w:hAnsi="Arial" w:cs="Arial"/>
          <w:color w:val="000000" w:themeColor="text1"/>
          <w:sz w:val="24"/>
          <w:szCs w:val="24"/>
        </w:rPr>
      </w:pPr>
      <w:bookmarkStart w:id="6" w:name="_Toc215314126"/>
      <w:r>
        <w:rPr>
          <w:rFonts w:ascii="Arial" w:hAnsi="Arial" w:cs="Arial"/>
          <w:color w:val="000000" w:themeColor="text1"/>
          <w:sz w:val="24"/>
          <w:szCs w:val="24"/>
        </w:rPr>
        <w:t>3</w:t>
      </w:r>
      <w:r w:rsidR="00BE379A" w:rsidRPr="0067179E">
        <w:rPr>
          <w:rFonts w:ascii="Arial" w:hAnsi="Arial" w:cs="Arial"/>
          <w:color w:val="000000" w:themeColor="text1"/>
          <w:sz w:val="24"/>
          <w:szCs w:val="24"/>
        </w:rPr>
        <w:t>.1.1 PESTLE Analysis – India</w:t>
      </w:r>
      <w:bookmarkEnd w:id="6"/>
      <w:r w:rsidR="00D12C90" w:rsidRPr="0067179E">
        <w:rPr>
          <w:rFonts w:ascii="Arial" w:hAnsi="Arial" w:cs="Arial"/>
          <w:color w:val="000000" w:themeColor="text1"/>
          <w:sz w:val="24"/>
          <w:szCs w:val="24"/>
        </w:rPr>
        <w:tab/>
      </w:r>
    </w:p>
    <w:p w14:paraId="47034B8F" w14:textId="7F81B165" w:rsidR="00D12C90" w:rsidRPr="00D12C90" w:rsidRDefault="00D12C90" w:rsidP="00D12C90">
      <w:r>
        <w:rPr>
          <w:rFonts w:ascii="Arial" w:hAnsi="Arial" w:cs="Arial"/>
          <w:noProof/>
          <w:color w:val="000000" w:themeColor="text1"/>
        </w:rPr>
        <mc:AlternateContent>
          <mc:Choice Requires="wps">
            <w:drawing>
              <wp:anchor distT="0" distB="0" distL="114300" distR="114300" simplePos="0" relativeHeight="251612672" behindDoc="0" locked="0" layoutInCell="1" allowOverlap="1" wp14:anchorId="5DC68E8F" wp14:editId="1DA39AD6">
                <wp:simplePos x="0" y="0"/>
                <wp:positionH relativeFrom="column">
                  <wp:posOffset>231</wp:posOffset>
                </wp:positionH>
                <wp:positionV relativeFrom="paragraph">
                  <wp:posOffset>213937</wp:posOffset>
                </wp:positionV>
                <wp:extent cx="3183775" cy="0"/>
                <wp:effectExtent l="0" t="0" r="0" b="0"/>
                <wp:wrapNone/>
                <wp:docPr id="515803532"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4338FE" id="Straight Connector 4" o:spid="_x0000_s1026" style="position:absolute;flip:y;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6.85pt" to="250.7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" strokecolor="#ff4747" strokeweight=".5pt">
                <v:stroke joinstyle="miter"/>
              </v:line>
            </w:pict>
          </mc:Fallback>
        </mc:AlternateContent>
      </w:r>
    </w:p>
    <w:p w14:paraId="21289193" w14:textId="46858B43" w:rsidR="00D12C90" w:rsidRPr="00D12C90" w:rsidRDefault="00D12C90" w:rsidP="00D12C90">
      <w:pPr>
        <w:spacing w:line="360" w:lineRule="auto"/>
        <w:rPr>
          <w:rFonts w:ascii="Arial" w:hAnsi="Arial" w:cs="Arial"/>
          <w:color w:val="000000" w:themeColor="text1"/>
        </w:rPr>
      </w:pPr>
      <w:r w:rsidRPr="00D12C90">
        <w:rPr>
          <w:rFonts w:ascii="Arial" w:hAnsi="Arial" w:cs="Arial"/>
          <w:color w:val="000000" w:themeColor="text1"/>
        </w:rPr>
        <w:t>Political, Legal and Ethical Factors</w:t>
      </w:r>
    </w:p>
    <w:p w14:paraId="5231253D" w14:textId="77777777" w:rsidR="00C721D5" w:rsidRDefault="00685035" w:rsidP="00666FA5">
      <w:pPr>
        <w:spacing w:line="360" w:lineRule="auto"/>
        <w:rPr>
          <w:rFonts w:ascii="Arial" w:hAnsi="Arial" w:cs="Arial"/>
          <w:color w:val="000000" w:themeColor="text1"/>
        </w:rPr>
      </w:pPr>
      <w:r w:rsidRPr="00666FA5">
        <w:rPr>
          <w:rFonts w:ascii="Arial" w:hAnsi="Arial" w:cs="Arial"/>
          <w:color w:val="000000" w:themeColor="text1"/>
        </w:rPr>
        <w:t xml:space="preserve">Understanding the external institutional environment is critical (Hitt et al., 2024; Peng, 2022). </w:t>
      </w:r>
    </w:p>
    <w:p w14:paraId="5954C43D" w14:textId="3A9073A7" w:rsidR="00685035" w:rsidRPr="00666FA5" w:rsidRDefault="00BB69B6" w:rsidP="00666FA5">
      <w:pPr>
        <w:spacing w:line="360" w:lineRule="auto"/>
        <w:rPr>
          <w:rFonts w:ascii="Arial" w:hAnsi="Arial" w:cs="Arial"/>
          <w:color w:val="000000" w:themeColor="text1"/>
        </w:rPr>
      </w:pPr>
      <w:r w:rsidRPr="00BB69B6">
        <w:rPr>
          <w:rFonts w:ascii="Arial" w:hAnsi="Arial" w:cs="Arial"/>
          <w:color w:val="000000" w:themeColor="text1"/>
        </w:rPr>
        <w:t>The 30% mandatory local sourcing required by the FDI regime (DPIIT, 2018) is the single greatest operational threat, forcing Lululemon to either compromise its global, quality-controlled supply chain or rely heavily on a Joint Venture partner to manage local compliance and quality audits.</w:t>
      </w:r>
      <w:r>
        <w:rPr>
          <w:rFonts w:ascii="Arial" w:hAnsi="Arial" w:cs="Arial"/>
          <w:color w:val="000000" w:themeColor="text1"/>
        </w:rPr>
        <w:t xml:space="preserve"> </w:t>
      </w:r>
      <w:r w:rsidR="00685035" w:rsidRPr="00666FA5">
        <w:rPr>
          <w:rFonts w:ascii="Arial" w:hAnsi="Arial" w:cs="Arial"/>
          <w:color w:val="000000" w:themeColor="text1"/>
        </w:rPr>
        <w:t>India’s FDI regime allows 100% foreign ownership but mandates 30% local sourcing (DPIIT, 2018). While this supports national industrial development, it imposes supply-chain rigidity and threatens Lululemon’s VRIO-differentiation (See Figure C1, Appendix C). Political complexity is heightened by fragmented state-level regulation (labour rules, zoning), increasing transaction costs and administrative distance (World Bank, 2023). Legally, the weak IP environment allows agile domestic players like BlissClub to replicate designs. Consumer protection laws and the BRSR framework (MoEFCC, 2022) raise ethical expectations, requiring credible environmental leadership.</w:t>
      </w:r>
    </w:p>
    <w:p w14:paraId="5B4F2732" w14:textId="1F989DE9" w:rsidR="00FF3BA3" w:rsidRDefault="00FF3BA3" w:rsidP="00FF3BA3">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35200" behindDoc="0" locked="0" layoutInCell="1" allowOverlap="1" wp14:anchorId="3CEEBF74" wp14:editId="67B6BFA0">
                <wp:simplePos x="0" y="0"/>
                <wp:positionH relativeFrom="column">
                  <wp:posOffset>0</wp:posOffset>
                </wp:positionH>
                <wp:positionV relativeFrom="paragraph">
                  <wp:posOffset>286235</wp:posOffset>
                </wp:positionV>
                <wp:extent cx="3183775" cy="0"/>
                <wp:effectExtent l="0" t="0" r="0" b="0"/>
                <wp:wrapNone/>
                <wp:docPr id="999304818"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DB7747" id="Straight Connector 4" o:spid="_x0000_s1026" style="position:absolute;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2.55pt" to="250.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" strokecolor="#ff4747" strokeweight=".5pt">
                <v:stroke joinstyle="miter"/>
              </v:line>
            </w:pict>
          </mc:Fallback>
        </mc:AlternateContent>
      </w:r>
    </w:p>
    <w:p w14:paraId="0C48A523" w14:textId="05B8B828" w:rsidR="00846F10" w:rsidRPr="00846F10" w:rsidRDefault="00D12C90" w:rsidP="00846F10">
      <w:pPr>
        <w:spacing w:line="360" w:lineRule="auto"/>
        <w:rPr>
          <w:rFonts w:ascii="Arial" w:hAnsi="Arial" w:cs="Arial"/>
          <w:color w:val="000000" w:themeColor="text1"/>
        </w:rPr>
      </w:pPr>
      <w:r w:rsidRPr="00D12C90">
        <w:rPr>
          <w:rFonts w:ascii="Arial" w:hAnsi="Arial" w:cs="Arial"/>
          <w:color w:val="000000" w:themeColor="text1"/>
        </w:rPr>
        <w:t>Economic Factors</w:t>
      </w:r>
    </w:p>
    <w:p w14:paraId="238B170D" w14:textId="46C7C417" w:rsidR="005C3F79" w:rsidRPr="005C3F79" w:rsidRDefault="005C3F79" w:rsidP="005C3F79">
      <w:pPr>
        <w:spacing w:line="360" w:lineRule="auto"/>
        <w:rPr>
          <w:rFonts w:ascii="Arial" w:hAnsi="Arial" w:cs="Arial"/>
          <w:color w:val="000000" w:themeColor="text1"/>
        </w:rPr>
      </w:pPr>
      <w:r w:rsidRPr="005C3F79">
        <w:rPr>
          <w:rFonts w:ascii="Arial" w:hAnsi="Arial" w:cs="Arial"/>
          <w:color w:val="000000" w:themeColor="text1"/>
        </w:rPr>
        <w:t>India</w:t>
      </w:r>
      <w:r w:rsidRPr="005C3F79">
        <w:rPr>
          <w:rFonts w:ascii="Arial" w:hAnsi="Arial" w:cs="Arial"/>
          <w:color w:val="000000" w:themeColor="text1"/>
        </w:rPr>
        <w:t xml:space="preserve"> remains the fastest-growing major economy, with GDP growth projected at 6.6% in 2025 (IMF, 2025). Favourable demographics and rising disposable incomes create attractive conditions for lifestyle brands (Statista, 2024); activewear is forecast to reach USD 29.9 billion by 2030 (MarketLine, 2023; see Figure C2, Appendix C). </w:t>
      </w:r>
      <w:r w:rsidR="00BA41EB" w:rsidRPr="00BA41EB">
        <w:rPr>
          <w:rFonts w:ascii="Arial" w:hAnsi="Arial" w:cs="Arial"/>
          <w:color w:val="000000" w:themeColor="text1"/>
        </w:rPr>
        <w:t xml:space="preserve">Crucially, while the overall market is expanding, the premium segment remains fragmented. The key to success lies in rapidly establishing a dominant position in the underserved affluent, urban consumer base before competitors like Nike and Adidas fully </w:t>
      </w:r>
      <w:r w:rsidR="00D464D5">
        <w:rPr>
          <w:rFonts w:ascii="Arial" w:hAnsi="Arial" w:cs="Arial"/>
          <w:color w:val="000000" w:themeColor="text1"/>
        </w:rPr>
        <w:t>capitalise</w:t>
      </w:r>
      <w:r w:rsidR="00D93CD2" w:rsidRPr="00D93CD2">
        <w:t xml:space="preserve"> </w:t>
      </w:r>
      <w:r w:rsidR="00D93CD2" w:rsidRPr="00D93CD2">
        <w:rPr>
          <w:rFonts w:ascii="Arial" w:hAnsi="Arial" w:cs="Arial"/>
          <w:color w:val="000000" w:themeColor="text1"/>
        </w:rPr>
        <w:t>speciali</w:t>
      </w:r>
      <w:r w:rsidR="00D93CD2">
        <w:rPr>
          <w:rFonts w:ascii="Arial" w:hAnsi="Arial" w:cs="Arial"/>
          <w:b/>
          <w:bCs/>
          <w:color w:val="000000" w:themeColor="text1"/>
        </w:rPr>
        <w:t>s</w:t>
      </w:r>
      <w:r w:rsidR="00D93CD2" w:rsidRPr="00D93CD2">
        <w:rPr>
          <w:rFonts w:ascii="Arial" w:hAnsi="Arial" w:cs="Arial"/>
          <w:color w:val="000000" w:themeColor="text1"/>
        </w:rPr>
        <w:t>ation</w:t>
      </w:r>
      <w:r w:rsidR="00BA41EB" w:rsidRPr="00BA41EB">
        <w:rPr>
          <w:rFonts w:ascii="Arial" w:hAnsi="Arial" w:cs="Arial"/>
          <w:color w:val="000000" w:themeColor="text1"/>
        </w:rPr>
        <w:t xml:space="preserve"> on the high-end growth.</w:t>
      </w:r>
      <w:r w:rsidR="00BA41EB">
        <w:rPr>
          <w:rFonts w:ascii="Arial" w:hAnsi="Arial" w:cs="Arial"/>
          <w:color w:val="000000" w:themeColor="text1"/>
        </w:rPr>
        <w:t xml:space="preserve"> </w:t>
      </w:r>
      <w:r w:rsidRPr="005C3F79">
        <w:rPr>
          <w:rFonts w:ascii="Arial" w:hAnsi="Arial" w:cs="Arial"/>
          <w:color w:val="000000" w:themeColor="text1"/>
        </w:rPr>
        <w:t xml:space="preserve">However, uneven wealth distribution sharply limits the </w:t>
      </w:r>
      <w:r>
        <w:rPr>
          <w:rFonts w:ascii="Arial" w:hAnsi="Arial" w:cs="Arial"/>
          <w:color w:val="000000" w:themeColor="text1"/>
        </w:rPr>
        <w:t>immediately</w:t>
      </w:r>
      <w:r w:rsidRPr="005C3F79">
        <w:rPr>
          <w:rFonts w:ascii="Arial" w:hAnsi="Arial" w:cs="Arial"/>
          <w:color w:val="000000" w:themeColor="text1"/>
        </w:rPr>
        <w:t xml:space="preserve"> addressable market for premium-priced products (NITI Aayog, 2023). Currency volatility, inflationary pressures, and high GST </w:t>
      </w:r>
      <w:r w:rsidRPr="005C3F79">
        <w:rPr>
          <w:rFonts w:ascii="Arial" w:hAnsi="Arial" w:cs="Arial"/>
          <w:color w:val="000000" w:themeColor="text1"/>
        </w:rPr>
        <w:lastRenderedPageBreak/>
        <w:t>rates may compress import-driven margins. Logistics inefficiencies outside major cities still inhibit scalability (KPMG, 2023). Sustainable entry depends on microeconomic positioning, price-value optimisation, and selective geographic expansion.</w:t>
      </w:r>
    </w:p>
    <w:p w14:paraId="664FDDC8" w14:textId="239A972A" w:rsidR="00846F10" w:rsidRDefault="00846F10" w:rsidP="00846F10">
      <w:pPr>
        <w:spacing w:line="360" w:lineRule="auto"/>
        <w:rPr>
          <w:rFonts w:ascii="Arial" w:hAnsi="Arial" w:cs="Arial"/>
          <w:color w:val="000000" w:themeColor="text1"/>
        </w:rPr>
      </w:pPr>
    </w:p>
    <w:p w14:paraId="248368C1" w14:textId="7CA5E904" w:rsidR="00D12C90" w:rsidRPr="00B3560E" w:rsidRDefault="005C3F79" w:rsidP="00846F10">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40320" behindDoc="0" locked="0" layoutInCell="1" allowOverlap="1" wp14:anchorId="085D87C3" wp14:editId="142F748B">
                <wp:simplePos x="0" y="0"/>
                <wp:positionH relativeFrom="column">
                  <wp:posOffset>0</wp:posOffset>
                </wp:positionH>
                <wp:positionV relativeFrom="paragraph">
                  <wp:posOffset>-48211</wp:posOffset>
                </wp:positionV>
                <wp:extent cx="3183775" cy="0"/>
                <wp:effectExtent l="0" t="0" r="0" b="0"/>
                <wp:wrapNone/>
                <wp:docPr id="2107402821"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C0022" id="Straight Connector 4"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8pt" to="250.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" strokecolor="#ff4747" strokeweight=".5pt">
                <v:stroke joinstyle="miter"/>
              </v:line>
            </w:pict>
          </mc:Fallback>
        </mc:AlternateContent>
      </w:r>
      <w:r w:rsidR="00D12C90" w:rsidRPr="00B3560E">
        <w:rPr>
          <w:rFonts w:ascii="Arial" w:hAnsi="Arial" w:cs="Arial"/>
          <w:color w:val="000000" w:themeColor="text1"/>
        </w:rPr>
        <w:t>Sociocultural Factors</w:t>
      </w:r>
    </w:p>
    <w:p w14:paraId="0A268B55" w14:textId="77777777" w:rsidR="00375105" w:rsidRPr="00375105" w:rsidRDefault="00375105" w:rsidP="00846F10">
      <w:pPr>
        <w:spacing w:line="360" w:lineRule="auto"/>
        <w:rPr>
          <w:rFonts w:ascii="Arial" w:hAnsi="Arial" w:cs="Arial"/>
          <w:color w:val="000000" w:themeColor="text1"/>
        </w:rPr>
      </w:pPr>
      <w:r w:rsidRPr="00375105">
        <w:rPr>
          <w:rFonts w:ascii="Arial" w:hAnsi="Arial" w:cs="Arial"/>
          <w:color w:val="000000" w:themeColor="text1"/>
        </w:rPr>
        <w:t>India presents a complex sociocultural landscape regarding yoga. While Lululemon frames it as lifestyle-oriented, the discipline carries deep spiritual significance (Khanna and Sengupta, 2020), introducing reputational risk from "Western commercialisation." Conversely, major urban centres are experiencing rapid wellness adoption and aspirational consumption among affluent women. India’s collectivist orientation (Hofstede Insights, 2023) reinforces the value of experiential branding and community events. Lululemon must collaborate with local ambassadors and co-host culturally grounded activations. (See Figure C3, Appendix C.)</w:t>
      </w:r>
    </w:p>
    <w:p w14:paraId="5EB542FB" w14:textId="2EE7B564" w:rsidR="00846F10" w:rsidRDefault="00846F10" w:rsidP="00846F10">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16768" behindDoc="0" locked="0" layoutInCell="1" allowOverlap="1" wp14:anchorId="4221C93C" wp14:editId="484505CA">
                <wp:simplePos x="0" y="0"/>
                <wp:positionH relativeFrom="column">
                  <wp:posOffset>0</wp:posOffset>
                </wp:positionH>
                <wp:positionV relativeFrom="paragraph">
                  <wp:posOffset>278727</wp:posOffset>
                </wp:positionV>
                <wp:extent cx="3183775" cy="0"/>
                <wp:effectExtent l="0" t="0" r="0" b="0"/>
                <wp:wrapNone/>
                <wp:docPr id="1413345337"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3D5AE" id="Straight Connector 4" o:spid="_x0000_s1026" style="position:absolute;flip:y;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1.95pt" to="250.7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" strokecolor="#ff4747" strokeweight=".5pt">
                <v:stroke joinstyle="miter"/>
              </v:line>
            </w:pict>
          </mc:Fallback>
        </mc:AlternateContent>
      </w:r>
    </w:p>
    <w:p w14:paraId="60CDF43B" w14:textId="53CD941D" w:rsidR="00E661A5" w:rsidRPr="00D12C90" w:rsidRDefault="00D12C90" w:rsidP="00D12C90">
      <w:pPr>
        <w:spacing w:line="360" w:lineRule="auto"/>
        <w:rPr>
          <w:rFonts w:ascii="Arial" w:hAnsi="Arial" w:cs="Arial"/>
          <w:color w:val="000000" w:themeColor="text1"/>
        </w:rPr>
      </w:pPr>
      <w:r w:rsidRPr="00D12C90">
        <w:rPr>
          <w:rFonts w:ascii="Arial" w:hAnsi="Arial" w:cs="Arial"/>
          <w:color w:val="000000" w:themeColor="text1"/>
        </w:rPr>
        <w:t>Technological Factors</w:t>
      </w:r>
    </w:p>
    <w:p w14:paraId="20D61E83" w14:textId="77777777" w:rsidR="002C3FF1" w:rsidRPr="002C3FF1" w:rsidRDefault="002C3FF1" w:rsidP="00846F10">
      <w:pPr>
        <w:spacing w:line="360" w:lineRule="auto"/>
        <w:rPr>
          <w:rFonts w:ascii="Arial" w:hAnsi="Arial" w:cs="Arial"/>
          <w:color w:val="000000" w:themeColor="text1"/>
        </w:rPr>
      </w:pPr>
      <w:r w:rsidRPr="002C3FF1">
        <w:rPr>
          <w:rFonts w:ascii="Arial" w:hAnsi="Arial" w:cs="Arial"/>
          <w:color w:val="000000" w:themeColor="text1"/>
        </w:rPr>
        <w:t>India is a mobile-first digital economy, with over 800 million internet users and widespread UPI adoption (KPMG, 2023). The expansion of AI-driven personalisation and AR tools strengthens opportunities for integrated omnichannel experiences. Digital channels partially mitigate CAGE geographic distance; however, fragmented e-commerce increases the risk of channel cannibalisation and inconsistent brand signalling (Peng, 2022). Cybersecurity gaps create additional reputational vulnerabilities.</w:t>
      </w:r>
    </w:p>
    <w:p w14:paraId="11B7257A" w14:textId="48B69DF2" w:rsidR="00846F10" w:rsidRDefault="00A62B0E" w:rsidP="00846F10">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44416" behindDoc="0" locked="0" layoutInCell="1" allowOverlap="1" wp14:anchorId="33DBB2B2" wp14:editId="353EBC7B">
                <wp:simplePos x="0" y="0"/>
                <wp:positionH relativeFrom="column">
                  <wp:posOffset>0</wp:posOffset>
                </wp:positionH>
                <wp:positionV relativeFrom="paragraph">
                  <wp:posOffset>286235</wp:posOffset>
                </wp:positionV>
                <wp:extent cx="3183775" cy="0"/>
                <wp:effectExtent l="0" t="0" r="0" b="0"/>
                <wp:wrapNone/>
                <wp:docPr id="1007562919"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404726" id="Straight Connector 4" o:spid="_x0000_s1026" style="position:absolute;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2.55pt" to="250.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" strokecolor="#ff4747" strokeweight=".5pt">
                <v:stroke joinstyle="miter"/>
              </v:line>
            </w:pict>
          </mc:Fallback>
        </mc:AlternateContent>
      </w:r>
    </w:p>
    <w:p w14:paraId="533D3236" w14:textId="52FBDB98" w:rsidR="004B19FF" w:rsidRPr="00D12C90" w:rsidRDefault="00D12C90" w:rsidP="00D12C90">
      <w:pPr>
        <w:spacing w:line="360" w:lineRule="auto"/>
        <w:rPr>
          <w:rFonts w:ascii="Arial" w:hAnsi="Arial" w:cs="Arial"/>
          <w:color w:val="000000" w:themeColor="text1"/>
        </w:rPr>
      </w:pPr>
      <w:r w:rsidRPr="00D12C90">
        <w:rPr>
          <w:rFonts w:ascii="Arial" w:hAnsi="Arial" w:cs="Arial"/>
          <w:color w:val="000000" w:themeColor="text1"/>
        </w:rPr>
        <w:t>Environmental Factors</w:t>
      </w:r>
    </w:p>
    <w:p w14:paraId="512DC923" w14:textId="7DD255BE" w:rsidR="00665708" w:rsidRDefault="0050376E" w:rsidP="00A62B0E">
      <w:pPr>
        <w:spacing w:line="360" w:lineRule="auto"/>
        <w:rPr>
          <w:rFonts w:ascii="Arial" w:hAnsi="Arial" w:cs="Arial"/>
          <w:color w:val="000000" w:themeColor="text1"/>
        </w:rPr>
      </w:pPr>
      <w:r w:rsidRPr="0050376E">
        <w:rPr>
          <w:rFonts w:ascii="Arial" w:hAnsi="Arial" w:cs="Arial"/>
          <w:color w:val="000000" w:themeColor="text1"/>
        </w:rPr>
        <w:t>India’s diverse climatic conditions require climate-specific product innovation and strengthen the relevance of the “Science of Feel” platform. Designing region-specific collections demands flexible inventory and partial sourcing localisation to control margins. Environmental expectations are rising alongside regulatory pressure from the EPR framework (MoEFCC, 2022) on textile waste. Non-compliance poses significant risks. Lululemon must embed eco-compliance and transparent sourcing practices into its localisation strategy.</w:t>
      </w:r>
    </w:p>
    <w:p w14:paraId="016562ED" w14:textId="77777777" w:rsidR="00FF1CAC" w:rsidRDefault="00FF1CAC" w:rsidP="00A62B0E">
      <w:pPr>
        <w:spacing w:line="360" w:lineRule="auto"/>
        <w:rPr>
          <w:rFonts w:ascii="Arial" w:hAnsi="Arial" w:cs="Arial"/>
          <w:color w:val="000000" w:themeColor="text1"/>
        </w:rPr>
      </w:pPr>
    </w:p>
    <w:p w14:paraId="0C472375" w14:textId="09304E51" w:rsidR="00665708" w:rsidRDefault="00A314A0" w:rsidP="00A62B0E">
      <w:pPr>
        <w:spacing w:line="360" w:lineRule="auto"/>
        <w:rPr>
          <w:rFonts w:ascii="Arial" w:hAnsi="Arial" w:cs="Arial"/>
          <w:color w:val="000000" w:themeColor="text1"/>
        </w:rPr>
      </w:pPr>
      <w:r>
        <w:rPr>
          <w:rFonts w:ascii="Arial" w:hAnsi="Arial" w:cs="Arial"/>
          <w:noProof/>
          <w:color w:val="000000" w:themeColor="text1"/>
        </w:rPr>
        <w:lastRenderedPageBreak/>
        <mc:AlternateContent>
          <mc:Choice Requires="wps">
            <w:drawing>
              <wp:anchor distT="0" distB="0" distL="114300" distR="114300" simplePos="0" relativeHeight="251699712" behindDoc="0" locked="0" layoutInCell="1" allowOverlap="1" wp14:anchorId="7F834FFF" wp14:editId="3E4FBCDC">
                <wp:simplePos x="0" y="0"/>
                <wp:positionH relativeFrom="column">
                  <wp:posOffset>0</wp:posOffset>
                </wp:positionH>
                <wp:positionV relativeFrom="paragraph">
                  <wp:posOffset>-40005</wp:posOffset>
                </wp:positionV>
                <wp:extent cx="3183775" cy="0"/>
                <wp:effectExtent l="0" t="0" r="0" b="0"/>
                <wp:wrapNone/>
                <wp:docPr id="2008728036"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568F84" id="Straight Connector 4" o:spid="_x0000_s1026" style="position:absolute;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15pt" to="250.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" strokecolor="#ff4747" strokeweight=".5pt">
                <v:stroke joinstyle="miter"/>
              </v:line>
            </w:pict>
          </mc:Fallback>
        </mc:AlternateContent>
      </w:r>
      <w:r w:rsidR="00665708" w:rsidRPr="00665708">
        <w:rPr>
          <w:rFonts w:ascii="Arial" w:hAnsi="Arial" w:cs="Arial"/>
          <w:color w:val="000000" w:themeColor="text1"/>
        </w:rPr>
        <w:t xml:space="preserve">Critical Reflection on the PESTLE Framework </w:t>
      </w:r>
    </w:p>
    <w:p w14:paraId="6F52B6EF" w14:textId="09C5A4E1" w:rsidR="006A1C1F" w:rsidRDefault="006A1C1F" w:rsidP="00A62B0E">
      <w:pPr>
        <w:spacing w:line="360" w:lineRule="auto"/>
        <w:rPr>
          <w:rFonts w:ascii="Arial" w:hAnsi="Arial" w:cs="Arial"/>
          <w:color w:val="000000" w:themeColor="text1"/>
        </w:rPr>
      </w:pPr>
      <w:r w:rsidRPr="006A1C1F">
        <w:rPr>
          <w:rFonts w:ascii="Arial" w:hAnsi="Arial" w:cs="Arial"/>
          <w:color w:val="000000" w:themeColor="text1"/>
        </w:rPr>
        <w:t>While the PESTLE framework provides a systematic scan of the macro-environment, its application in the Indian context reveals inherent limitations. Firstly, the model tends to present a static snapshot of external factors, which may fail to capture the high velocity of regulatory change in India, such as the frequent amendments to FDI norms and e-commerce policies (Grant, 2019). Secondly, PESTLE treats India as a monolithic entity, obscuring significant state-level disparities in legal enforcement and cultural norms that directly impact operational feasibility (Panagariya, 2022). Finally, the framework analyses factors in isolation, potentially underestimating the complex interdependencies where political decisions (e.g., "Make in India" initiatives) directly override economic logic (Johnson et al., 2020). To mitigate these limitations, this report complements PESTLE with the CAGE framework to specifically measure the multidimensional "distance" between the home and host markets (Ghemawat, 2001).</w:t>
      </w:r>
    </w:p>
    <w:p w14:paraId="53DA42C6" w14:textId="77777777" w:rsidR="00FF1CAC" w:rsidRPr="0067179E" w:rsidRDefault="00FF1CAC" w:rsidP="00A62B0E">
      <w:pPr>
        <w:spacing w:line="360" w:lineRule="auto"/>
        <w:rPr>
          <w:rFonts w:ascii="Arial" w:hAnsi="Arial" w:cs="Arial"/>
          <w:color w:val="000000" w:themeColor="text1"/>
        </w:rPr>
      </w:pPr>
    </w:p>
    <w:p w14:paraId="2EE32366" w14:textId="586ECAE4" w:rsidR="006616C6" w:rsidRPr="00FF1CAC" w:rsidRDefault="00273429" w:rsidP="00FF1CAC">
      <w:pPr>
        <w:pStyle w:val="Heading3"/>
        <w:rPr>
          <w:rFonts w:ascii="Arial" w:hAnsi="Arial" w:cs="Arial"/>
          <w:color w:val="000000" w:themeColor="text1"/>
          <w:sz w:val="24"/>
          <w:szCs w:val="24"/>
        </w:rPr>
      </w:pPr>
      <w:bookmarkStart w:id="7" w:name="_Toc215314127"/>
      <w:r>
        <w:rPr>
          <w:rFonts w:ascii="Arial" w:hAnsi="Arial" w:cs="Arial"/>
          <w:color w:val="000000" w:themeColor="text1"/>
          <w:sz w:val="24"/>
          <w:szCs w:val="24"/>
        </w:rPr>
        <w:t>3</w:t>
      </w:r>
      <w:r w:rsidR="00374D8F" w:rsidRPr="00374D8F">
        <w:rPr>
          <w:rFonts w:ascii="Arial" w:hAnsi="Arial" w:cs="Arial"/>
          <w:color w:val="000000" w:themeColor="text1"/>
          <w:sz w:val="24"/>
          <w:szCs w:val="24"/>
        </w:rPr>
        <w:t>.1.2 CAGE Distance Analysis – India</w:t>
      </w:r>
      <w:bookmarkEnd w:id="7"/>
    </w:p>
    <w:p w14:paraId="5A627587" w14:textId="3942E0A4" w:rsidR="006616C6" w:rsidRPr="00486D19" w:rsidRDefault="008F5C62" w:rsidP="006616C6">
      <w:pPr>
        <w:rPr>
          <w:rFonts w:ascii="Arial" w:hAnsi="Arial" w:cs="Arial"/>
          <w:color w:val="000000" w:themeColor="text1"/>
        </w:rPr>
      </w:pPr>
      <w:r w:rsidRPr="008F5C62">
        <w:rPr>
          <w:rFonts w:ascii="Arial" w:hAnsi="Arial" w:cs="Arial"/>
          <w:b/>
          <w:bCs/>
          <w:color w:val="000000" w:themeColor="text1"/>
        </w:rPr>
        <w:t xml:space="preserve">Table </w:t>
      </w:r>
      <w:r w:rsidR="00273429">
        <w:rPr>
          <w:rFonts w:ascii="Arial" w:hAnsi="Arial" w:cs="Arial"/>
          <w:b/>
          <w:bCs/>
          <w:color w:val="000000" w:themeColor="text1"/>
        </w:rPr>
        <w:t>2</w:t>
      </w:r>
      <w:r w:rsidRPr="008F5C62">
        <w:rPr>
          <w:rFonts w:ascii="Arial" w:hAnsi="Arial" w:cs="Arial"/>
          <w:b/>
          <w:bCs/>
          <w:color w:val="000000" w:themeColor="text1"/>
        </w:rPr>
        <w:t xml:space="preserve">. </w:t>
      </w:r>
      <w:r w:rsidRPr="00486D19">
        <w:rPr>
          <w:rFonts w:ascii="Arial" w:hAnsi="Arial" w:cs="Arial"/>
          <w:color w:val="000000" w:themeColor="text1"/>
        </w:rPr>
        <w:t>CAGE Distance Analysis for Lululemon’s Entry into India</w:t>
      </w:r>
    </w:p>
    <w:p w14:paraId="4D8F0311" w14:textId="259BBB96" w:rsidR="006616C6" w:rsidRDefault="006616C6" w:rsidP="008F5C62">
      <w:pPr>
        <w:spacing w:line="360" w:lineRule="auto"/>
        <w:rPr>
          <w:rFonts w:ascii="Arial" w:hAnsi="Arial" w:cs="Arial"/>
          <w:b/>
          <w:bCs/>
          <w:sz w:val="20"/>
          <w:szCs w:val="20"/>
        </w:rPr>
      </w:pPr>
      <w:r w:rsidRPr="006616C6">
        <w:rPr>
          <w:rFonts w:ascii="Arial" w:hAnsi="Arial" w:cs="Arial"/>
          <w:b/>
          <w:bCs/>
          <w:noProof/>
          <w:sz w:val="20"/>
          <w:szCs w:val="20"/>
        </w:rPr>
        <w:drawing>
          <wp:inline distT="0" distB="0" distL="0" distR="0" wp14:anchorId="5EAC6C0F" wp14:editId="6B37811E">
            <wp:extent cx="5948313" cy="3288957"/>
            <wp:effectExtent l="0" t="0" r="0" b="6985"/>
            <wp:docPr id="1327627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27238" name=""/>
                    <pic:cNvPicPr/>
                  </pic:nvPicPr>
                  <pic:blipFill>
                    <a:blip r:embed="rId11"/>
                    <a:stretch>
                      <a:fillRect/>
                    </a:stretch>
                  </pic:blipFill>
                  <pic:spPr>
                    <a:xfrm>
                      <a:off x="0" y="0"/>
                      <a:ext cx="5961604" cy="3296306"/>
                    </a:xfrm>
                    <a:prstGeom prst="rect">
                      <a:avLst/>
                    </a:prstGeom>
                  </pic:spPr>
                </pic:pic>
              </a:graphicData>
            </a:graphic>
          </wp:inline>
        </w:drawing>
      </w:r>
    </w:p>
    <w:p w14:paraId="233BE6FE" w14:textId="624A0AD9" w:rsidR="008F5C62" w:rsidRPr="008F5C62" w:rsidRDefault="008F5C62" w:rsidP="008F5C62">
      <w:pPr>
        <w:spacing w:line="360" w:lineRule="auto"/>
        <w:rPr>
          <w:rFonts w:ascii="Arial" w:hAnsi="Arial" w:cs="Arial"/>
          <w:sz w:val="20"/>
          <w:szCs w:val="20"/>
        </w:rPr>
      </w:pPr>
      <w:r w:rsidRPr="008F5C62">
        <w:rPr>
          <w:rFonts w:ascii="Arial" w:hAnsi="Arial" w:cs="Arial"/>
          <w:b/>
          <w:bCs/>
          <w:sz w:val="20"/>
          <w:szCs w:val="20"/>
        </w:rPr>
        <w:t>Source</w:t>
      </w:r>
      <w:r w:rsidRPr="008F5C62">
        <w:rPr>
          <w:rFonts w:ascii="Arial" w:hAnsi="Arial" w:cs="Arial"/>
          <w:sz w:val="20"/>
          <w:szCs w:val="20"/>
        </w:rPr>
        <w:t>: Adapted from Ghemawat’s CAGE Distance Framework (2001), with additional data from DPIIT (2018) and IMF (2025).</w:t>
      </w:r>
    </w:p>
    <w:p w14:paraId="4AFA57E3" w14:textId="78F9B0E4" w:rsidR="00C8281C" w:rsidRDefault="00A62B0E" w:rsidP="00A62B0E">
      <w:pPr>
        <w:spacing w:line="360" w:lineRule="auto"/>
        <w:rPr>
          <w:rFonts w:ascii="Arial" w:hAnsi="Arial" w:cs="Arial"/>
          <w:color w:val="000000" w:themeColor="text1"/>
        </w:rPr>
      </w:pPr>
      <w:r w:rsidRPr="00A62B0E">
        <w:rPr>
          <w:rFonts w:ascii="Arial" w:hAnsi="Arial" w:cs="Arial"/>
          <w:color w:val="000000" w:themeColor="text1"/>
        </w:rPr>
        <w:lastRenderedPageBreak/>
        <w:t>The CAGE framework (Ghemawat, 2001) highlights moderate-to-high distance between Canada and India, particularly across cultural and administrative dimensions. Cultural distance stems from the spiritual significance of yoga in India, which may clash with Lululemon’s commercialised positioning. Administratively, the 30% local sourcing requirement increases entry barriers and reinforces the need for a Joint Venture strategy (DPIIT, 2018). Geographic distance continues to influence logistics, although India’s strong e-commerce infrastructure helps mitigate distribution challenges. Economically, income inequality narrows the immediate premium customer base, requiring careful segmentation and mid-premium pricing (IMF, 2025).</w:t>
      </w:r>
    </w:p>
    <w:p w14:paraId="0077764D" w14:textId="77777777" w:rsidR="00A62B0E" w:rsidRPr="00A62B0E" w:rsidRDefault="00A62B0E" w:rsidP="00A62B0E"/>
    <w:p w14:paraId="15371C0E" w14:textId="7A103BB0" w:rsidR="007D0BE6" w:rsidRDefault="00273429" w:rsidP="00F60CF7">
      <w:pPr>
        <w:pStyle w:val="Heading2"/>
        <w:rPr>
          <w:rFonts w:ascii="Arial" w:hAnsi="Arial" w:cs="Arial"/>
          <w:color w:val="000000" w:themeColor="text1"/>
          <w:sz w:val="28"/>
          <w:szCs w:val="28"/>
        </w:rPr>
      </w:pPr>
      <w:bookmarkStart w:id="8" w:name="_Toc215314128"/>
      <w:r>
        <w:rPr>
          <w:rFonts w:ascii="Arial" w:hAnsi="Arial" w:cs="Arial"/>
          <w:color w:val="000000" w:themeColor="text1"/>
          <w:sz w:val="28"/>
          <w:szCs w:val="28"/>
        </w:rPr>
        <w:t>3</w:t>
      </w:r>
      <w:r w:rsidR="00C8281C" w:rsidRPr="00C8281C">
        <w:rPr>
          <w:rFonts w:ascii="Arial" w:hAnsi="Arial" w:cs="Arial"/>
          <w:color w:val="000000" w:themeColor="text1"/>
          <w:sz w:val="28"/>
          <w:szCs w:val="28"/>
        </w:rPr>
        <w:t>.2. Analysis of the Industry Environment (Porter's Five Forces)</w:t>
      </w:r>
      <w:bookmarkEnd w:id="8"/>
    </w:p>
    <w:p w14:paraId="235FC294" w14:textId="77777777" w:rsidR="004F5922" w:rsidRPr="004F5922" w:rsidRDefault="004F5922" w:rsidP="004F5922"/>
    <w:p w14:paraId="5972D9F1" w14:textId="6B52971E" w:rsidR="002F058D" w:rsidRDefault="002F058D" w:rsidP="004F5922">
      <w:pPr>
        <w:spacing w:line="360" w:lineRule="auto"/>
        <w:rPr>
          <w:rFonts w:ascii="Arial" w:hAnsi="Arial" w:cs="Arial"/>
          <w:noProof/>
          <w:color w:val="000000" w:themeColor="text1"/>
        </w:rPr>
      </w:pPr>
      <w:r w:rsidRPr="002F058D">
        <w:rPr>
          <w:rFonts w:ascii="Arial" w:hAnsi="Arial" w:cs="Arial"/>
          <w:noProof/>
          <w:color w:val="000000" w:themeColor="text1"/>
        </w:rPr>
        <w:t xml:space="preserve">Porter’s Five Forces framework (Porter, 1980; 2008) provides a structured assessment of competitive pressures shaping the Indian athleisure market. Consistent with the Industrial Organisation (I/O) perspective, industry structure strongly influences firm performance (Hitt, Ireland </w:t>
      </w:r>
      <w:r>
        <w:rPr>
          <w:rFonts w:ascii="Arial" w:hAnsi="Arial" w:cs="Arial"/>
          <w:noProof/>
          <w:color w:val="000000" w:themeColor="text1"/>
        </w:rPr>
        <w:t>and</w:t>
      </w:r>
      <w:r w:rsidRPr="002F058D">
        <w:rPr>
          <w:rFonts w:ascii="Arial" w:hAnsi="Arial" w:cs="Arial"/>
          <w:noProof/>
          <w:color w:val="000000" w:themeColor="text1"/>
        </w:rPr>
        <w:t xml:space="preserve"> Hoskisson, 2024). India’s market displays both significant growth potential and structural challenges, requiring a differentiated, premium-focused approach for a brand such as Lululemon. Key market indicators supporting this analysis are summarised in Table C1, Appendix C.</w:t>
      </w:r>
    </w:p>
    <w:p w14:paraId="7D89C099" w14:textId="28AEB38D" w:rsidR="002F058D" w:rsidRDefault="002F058D" w:rsidP="004F5922">
      <w:pPr>
        <w:spacing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648512" behindDoc="0" locked="0" layoutInCell="1" allowOverlap="1" wp14:anchorId="512AE92F" wp14:editId="32EBBE39">
                <wp:simplePos x="0" y="0"/>
                <wp:positionH relativeFrom="column">
                  <wp:posOffset>0</wp:posOffset>
                </wp:positionH>
                <wp:positionV relativeFrom="paragraph">
                  <wp:posOffset>253889</wp:posOffset>
                </wp:positionV>
                <wp:extent cx="3183775" cy="0"/>
                <wp:effectExtent l="0" t="0" r="0" b="0"/>
                <wp:wrapNone/>
                <wp:docPr id="352926281"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BE1744" id="Straight Connector 4"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pt" to="250.7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" strokecolor="#ff4747" strokeweight=".5pt">
                <v:stroke joinstyle="miter"/>
              </v:line>
            </w:pict>
          </mc:Fallback>
        </mc:AlternateContent>
      </w:r>
    </w:p>
    <w:p w14:paraId="09FB659E" w14:textId="7A48E47F" w:rsidR="004F5922" w:rsidRPr="004F5922" w:rsidRDefault="004F5922" w:rsidP="004F5922">
      <w:pPr>
        <w:spacing w:line="360" w:lineRule="auto"/>
        <w:rPr>
          <w:rFonts w:ascii="Arial" w:hAnsi="Arial" w:cs="Arial"/>
          <w:color w:val="000000" w:themeColor="text1"/>
        </w:rPr>
      </w:pPr>
      <w:r w:rsidRPr="004F5922">
        <w:rPr>
          <w:rFonts w:ascii="Arial" w:hAnsi="Arial" w:cs="Arial"/>
          <w:color w:val="000000" w:themeColor="text1"/>
        </w:rPr>
        <w:t xml:space="preserve">Threat of New Entrants </w:t>
      </w:r>
      <w:r>
        <w:rPr>
          <w:rFonts w:ascii="Arial" w:hAnsi="Arial" w:cs="Arial"/>
          <w:color w:val="000000" w:themeColor="text1"/>
        </w:rPr>
        <w:t xml:space="preserve">- </w:t>
      </w:r>
      <w:r w:rsidRPr="004F5922">
        <w:rPr>
          <w:rFonts w:ascii="Arial" w:hAnsi="Arial" w:cs="Arial"/>
          <w:color w:val="E89424"/>
        </w:rPr>
        <w:t>Moderate</w:t>
      </w:r>
    </w:p>
    <w:p w14:paraId="5FA8D559" w14:textId="0CD51D3B" w:rsidR="002F058D" w:rsidRPr="002F058D" w:rsidRDefault="002F058D" w:rsidP="002F058D">
      <w:pPr>
        <w:spacing w:line="360" w:lineRule="auto"/>
        <w:rPr>
          <w:rFonts w:ascii="Arial" w:hAnsi="Arial" w:cs="Arial"/>
          <w:noProof/>
          <w:color w:val="000000" w:themeColor="text1"/>
        </w:rPr>
      </w:pPr>
      <w:r w:rsidRPr="002F058D">
        <w:rPr>
          <w:rFonts w:ascii="Arial" w:hAnsi="Arial" w:cs="Arial"/>
          <w:noProof/>
          <w:color w:val="000000" w:themeColor="text1"/>
        </w:rPr>
        <w:t>India’s strong e-commerce penetration and accessible contract manufacturing lower barriers for digital-first brands (MarketLine, 2023). D2C activewear startups can scale quickly through social media visibility and influencer partnerships. However, entering the premium technical apparel segment requires advanced fabric technologies, consistent quality and global-grade supply chains</w:t>
      </w:r>
      <w:r>
        <w:rPr>
          <w:rFonts w:ascii="Arial" w:hAnsi="Arial" w:cs="Arial"/>
          <w:noProof/>
          <w:color w:val="000000" w:themeColor="text1"/>
        </w:rPr>
        <w:t xml:space="preserve">, </w:t>
      </w:r>
      <w:r w:rsidRPr="002F058D">
        <w:rPr>
          <w:rFonts w:ascii="Arial" w:hAnsi="Arial" w:cs="Arial"/>
          <w:noProof/>
          <w:color w:val="000000" w:themeColor="text1"/>
        </w:rPr>
        <w:t>capabilities that most new entrants lack (Redseer, 2023).</w:t>
      </w:r>
    </w:p>
    <w:p w14:paraId="06278CE3" w14:textId="24873667" w:rsidR="002F058D" w:rsidRPr="002F058D" w:rsidRDefault="002F058D" w:rsidP="002F058D">
      <w:pPr>
        <w:spacing w:line="360" w:lineRule="auto"/>
        <w:rPr>
          <w:rFonts w:ascii="Arial" w:hAnsi="Arial" w:cs="Arial"/>
          <w:noProof/>
          <w:color w:val="000000" w:themeColor="text1"/>
        </w:rPr>
      </w:pPr>
      <w:r w:rsidRPr="002F058D">
        <w:rPr>
          <w:rFonts w:ascii="Arial" w:hAnsi="Arial" w:cs="Arial"/>
          <w:noProof/>
          <w:color w:val="000000" w:themeColor="text1"/>
        </w:rPr>
        <w:t>While capital requirements for online entry are low, sustaining long-term loyalty in premium segments demands high R&amp;D investment, brand reputation and superior product performance. New foreign brands face regulatory and supply chain barriers, particularly the 30% local sourcing requirement (DPIIT, 2018).</w:t>
      </w:r>
    </w:p>
    <w:p w14:paraId="7A3ABCC3" w14:textId="77777777" w:rsidR="002F058D" w:rsidRDefault="002F058D" w:rsidP="002F058D">
      <w:pPr>
        <w:spacing w:line="360" w:lineRule="auto"/>
        <w:rPr>
          <w:rFonts w:ascii="Arial" w:hAnsi="Arial" w:cs="Arial"/>
          <w:noProof/>
          <w:color w:val="000000" w:themeColor="text1"/>
        </w:rPr>
      </w:pPr>
      <w:r w:rsidRPr="002F058D">
        <w:rPr>
          <w:rFonts w:ascii="Arial" w:hAnsi="Arial" w:cs="Arial"/>
          <w:noProof/>
          <w:color w:val="000000" w:themeColor="text1"/>
        </w:rPr>
        <w:lastRenderedPageBreak/>
        <w:t>Strategic Implication: Entry barriers protect Lululemon’s differentiation advantage but do not prevent mid-tier imitation, necessitating strong IP vigilance and local partnerships.</w:t>
      </w:r>
    </w:p>
    <w:p w14:paraId="588AF44F" w14:textId="66CF0F1D" w:rsidR="002F058D" w:rsidRDefault="002F058D" w:rsidP="002F058D">
      <w:pPr>
        <w:spacing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652608" behindDoc="0" locked="0" layoutInCell="1" allowOverlap="1" wp14:anchorId="3083AB98" wp14:editId="0707A0DF">
                <wp:simplePos x="0" y="0"/>
                <wp:positionH relativeFrom="column">
                  <wp:posOffset>0</wp:posOffset>
                </wp:positionH>
                <wp:positionV relativeFrom="paragraph">
                  <wp:posOffset>272742</wp:posOffset>
                </wp:positionV>
                <wp:extent cx="3183775" cy="0"/>
                <wp:effectExtent l="0" t="0" r="0" b="0"/>
                <wp:wrapNone/>
                <wp:docPr id="1371531655"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3A7C66" id="Straight Connector 4" o:spid="_x0000_s1026" style="position:absolute;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1.5pt" to="25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" strokecolor="#ff4747" strokeweight=".5pt">
                <v:stroke joinstyle="miter"/>
              </v:line>
            </w:pict>
          </mc:Fallback>
        </mc:AlternateContent>
      </w:r>
    </w:p>
    <w:p w14:paraId="7103FB0E" w14:textId="3A6890E2" w:rsidR="004F5922" w:rsidRPr="004F5922" w:rsidRDefault="004F5922" w:rsidP="002F058D">
      <w:pPr>
        <w:spacing w:line="360" w:lineRule="auto"/>
        <w:rPr>
          <w:rFonts w:ascii="Arial" w:hAnsi="Arial" w:cs="Arial"/>
          <w:color w:val="000000" w:themeColor="text1"/>
        </w:rPr>
      </w:pPr>
      <w:r w:rsidRPr="004F5922">
        <w:rPr>
          <w:rFonts w:ascii="Arial" w:hAnsi="Arial" w:cs="Arial"/>
          <w:color w:val="000000" w:themeColor="text1"/>
        </w:rPr>
        <w:t>Competitive Rivalry</w:t>
      </w:r>
      <w:r>
        <w:rPr>
          <w:rFonts w:ascii="Arial" w:hAnsi="Arial" w:cs="Arial"/>
          <w:color w:val="000000" w:themeColor="text1"/>
        </w:rPr>
        <w:t xml:space="preserve"> - </w:t>
      </w:r>
      <w:r w:rsidRPr="004F5922">
        <w:rPr>
          <w:rFonts w:ascii="Arial" w:hAnsi="Arial" w:cs="Arial"/>
          <w:color w:val="EE0000"/>
        </w:rPr>
        <w:t>High</w:t>
      </w:r>
    </w:p>
    <w:p w14:paraId="049448A2" w14:textId="7EF7B57B" w:rsidR="002F058D" w:rsidRPr="002F058D" w:rsidRDefault="002F058D" w:rsidP="002F058D">
      <w:pPr>
        <w:spacing w:line="360" w:lineRule="auto"/>
        <w:rPr>
          <w:rFonts w:ascii="Arial" w:hAnsi="Arial" w:cs="Arial"/>
          <w:color w:val="000000" w:themeColor="text1"/>
        </w:rPr>
      </w:pPr>
      <w:r w:rsidRPr="002F058D">
        <w:rPr>
          <w:rFonts w:ascii="Arial" w:hAnsi="Arial" w:cs="Arial"/>
          <w:color w:val="000000" w:themeColor="text1"/>
        </w:rPr>
        <w:t>Rivalry in the Indian athleisure market is intense due to the presence of established global competitors (Nike, Adidas, Puma) with strong brand equity, omnichannel networks and high promotional spending (Statista, 2024). Domestic players such as BlissClub, HRX, Hummel India and Cultsport intensify competition by leveraging influencer-led marketing, rapid design imitation and aggressive pricing. Multi-brand e-commerce platforms</w:t>
      </w:r>
      <w:r>
        <w:rPr>
          <w:rFonts w:ascii="Arial" w:hAnsi="Arial" w:cs="Arial"/>
          <w:color w:val="000000" w:themeColor="text1"/>
        </w:rPr>
        <w:t xml:space="preserve">: </w:t>
      </w:r>
      <w:r w:rsidRPr="002F058D">
        <w:rPr>
          <w:rFonts w:ascii="Arial" w:hAnsi="Arial" w:cs="Arial"/>
          <w:color w:val="000000" w:themeColor="text1"/>
        </w:rPr>
        <w:t>Myntra, Ajio and Tata CLiQ</w:t>
      </w:r>
      <w:r>
        <w:rPr>
          <w:rFonts w:ascii="Arial" w:hAnsi="Arial" w:cs="Arial"/>
          <w:color w:val="000000" w:themeColor="text1"/>
        </w:rPr>
        <w:t xml:space="preserve"> </w:t>
      </w:r>
      <w:r w:rsidRPr="002F058D">
        <w:rPr>
          <w:rFonts w:ascii="Arial" w:hAnsi="Arial" w:cs="Arial"/>
          <w:color w:val="000000" w:themeColor="text1"/>
        </w:rPr>
        <w:t>reinforce rivalry through discount-driven festival sales and high price transparency (KPMG, 2023).</w:t>
      </w:r>
    </w:p>
    <w:p w14:paraId="3DEB25AE" w14:textId="04F334C7" w:rsidR="002F058D" w:rsidRPr="002F058D" w:rsidRDefault="002F058D" w:rsidP="002F058D">
      <w:pPr>
        <w:spacing w:line="360" w:lineRule="auto"/>
        <w:rPr>
          <w:rFonts w:ascii="Arial" w:hAnsi="Arial" w:cs="Arial"/>
          <w:color w:val="000000" w:themeColor="text1"/>
        </w:rPr>
      </w:pPr>
      <w:r w:rsidRPr="002F058D">
        <w:rPr>
          <w:rFonts w:ascii="Arial" w:hAnsi="Arial" w:cs="Arial"/>
          <w:color w:val="000000" w:themeColor="text1"/>
        </w:rPr>
        <w:t xml:space="preserve">Switching costs are minimal, product lifecycles are short, and digital comparison tools increase competitive pressure. In this environment, sustained product uniqueness is difficult, and premium </w:t>
      </w:r>
      <w:r w:rsidR="00050C92">
        <w:rPr>
          <w:rFonts w:ascii="Arial" w:hAnsi="Arial" w:cs="Arial"/>
          <w:color w:val="000000" w:themeColor="text1"/>
        </w:rPr>
        <w:t>entrants’</w:t>
      </w:r>
      <w:r w:rsidRPr="002F058D">
        <w:rPr>
          <w:rFonts w:ascii="Arial" w:hAnsi="Arial" w:cs="Arial"/>
          <w:color w:val="000000" w:themeColor="text1"/>
        </w:rPr>
        <w:t xml:space="preserve"> risk being drawn into price-based competition.</w:t>
      </w:r>
    </w:p>
    <w:p w14:paraId="033E91A4" w14:textId="011159C9" w:rsidR="002F058D" w:rsidRDefault="002F058D" w:rsidP="002F058D">
      <w:pPr>
        <w:spacing w:line="360" w:lineRule="auto"/>
        <w:rPr>
          <w:rFonts w:ascii="Arial" w:hAnsi="Arial" w:cs="Arial"/>
          <w:color w:val="000000" w:themeColor="text1"/>
        </w:rPr>
      </w:pPr>
      <w:r w:rsidRPr="002F058D">
        <w:rPr>
          <w:rFonts w:ascii="Arial" w:hAnsi="Arial" w:cs="Arial"/>
          <w:color w:val="000000" w:themeColor="text1"/>
        </w:rPr>
        <w:t>Strategic Implication: Lululemon must emphasise technical innovation, experiential retail and community-based engagement to defend a premium position and avoid dilution in a saturated landscape.</w:t>
      </w:r>
    </w:p>
    <w:p w14:paraId="15F26B7C" w14:textId="6EFD4CAE" w:rsidR="002F058D" w:rsidRPr="004F5922" w:rsidRDefault="002F058D" w:rsidP="002F058D">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20864" behindDoc="0" locked="0" layoutInCell="1" allowOverlap="1" wp14:anchorId="4E340CB5" wp14:editId="4D49A7D2">
                <wp:simplePos x="0" y="0"/>
                <wp:positionH relativeFrom="column">
                  <wp:posOffset>0</wp:posOffset>
                </wp:positionH>
                <wp:positionV relativeFrom="paragraph">
                  <wp:posOffset>292428</wp:posOffset>
                </wp:positionV>
                <wp:extent cx="3183775" cy="0"/>
                <wp:effectExtent l="0" t="0" r="0" b="0"/>
                <wp:wrapNone/>
                <wp:docPr id="128810231"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D151F8" id="Straight Connector 4" o:spid="_x0000_s1026" style="position:absolute;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3.05pt" to="250.7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" strokecolor="#ff4747" strokeweight=".5pt">
                <v:stroke joinstyle="miter"/>
              </v:line>
            </w:pict>
          </mc:Fallback>
        </mc:AlternateContent>
      </w:r>
    </w:p>
    <w:p w14:paraId="06E69D8B" w14:textId="4A432CA0" w:rsidR="0029287D" w:rsidRPr="0029287D" w:rsidRDefault="004F5922" w:rsidP="004F5922">
      <w:pPr>
        <w:spacing w:line="360" w:lineRule="auto"/>
        <w:rPr>
          <w:rFonts w:ascii="Arial" w:hAnsi="Arial" w:cs="Arial"/>
          <w:color w:val="EE0000"/>
        </w:rPr>
      </w:pPr>
      <w:r w:rsidRPr="004F5922">
        <w:rPr>
          <w:rFonts w:ascii="Arial" w:hAnsi="Arial" w:cs="Arial"/>
          <w:color w:val="000000" w:themeColor="text1"/>
        </w:rPr>
        <w:t xml:space="preserve">Bargaining Power of Buyers </w:t>
      </w:r>
      <w:r w:rsidR="002F058D">
        <w:rPr>
          <w:rFonts w:ascii="Arial" w:hAnsi="Arial" w:cs="Arial"/>
          <w:color w:val="000000" w:themeColor="text1"/>
        </w:rPr>
        <w:t>-</w:t>
      </w:r>
      <w:r>
        <w:rPr>
          <w:rFonts w:ascii="Arial" w:hAnsi="Arial" w:cs="Arial"/>
          <w:color w:val="000000" w:themeColor="text1"/>
        </w:rPr>
        <w:t xml:space="preserve"> </w:t>
      </w:r>
      <w:r w:rsidRPr="004F5922">
        <w:rPr>
          <w:rFonts w:ascii="Arial" w:hAnsi="Arial" w:cs="Arial"/>
          <w:color w:val="EE0000"/>
        </w:rPr>
        <w:t>High</w:t>
      </w:r>
    </w:p>
    <w:p w14:paraId="2B04EC53" w14:textId="00CF8475" w:rsidR="002F058D" w:rsidRPr="002F058D" w:rsidRDefault="002F058D" w:rsidP="002F058D">
      <w:pPr>
        <w:spacing w:line="360" w:lineRule="auto"/>
        <w:rPr>
          <w:rFonts w:ascii="Arial" w:hAnsi="Arial" w:cs="Arial"/>
          <w:color w:val="000000" w:themeColor="text1"/>
        </w:rPr>
      </w:pPr>
      <w:r w:rsidRPr="002F058D">
        <w:rPr>
          <w:rFonts w:ascii="Arial" w:hAnsi="Arial" w:cs="Arial"/>
          <w:color w:val="000000" w:themeColor="text1"/>
        </w:rPr>
        <w:t>Digitally empowered Indian consumers utilise e-commerce platforms for price and quality comparison, significantly strengthening buyer leverage. Even premium consumers exhibit high value-consciousness, expecting superior fabric performance, ethical sourcing and a compelling brand story (KPMG, 2023). High return rates in Indian e-commerce further increase operational costs, reinforcing the need for clear value communication.</w:t>
      </w:r>
    </w:p>
    <w:p w14:paraId="2F91471F" w14:textId="5AEEDE13" w:rsidR="002F058D" w:rsidRPr="002F058D" w:rsidRDefault="002F058D" w:rsidP="002F058D">
      <w:pPr>
        <w:spacing w:line="360" w:lineRule="auto"/>
        <w:rPr>
          <w:rFonts w:ascii="Arial" w:hAnsi="Arial" w:cs="Arial"/>
          <w:color w:val="000000" w:themeColor="text1"/>
        </w:rPr>
      </w:pPr>
      <w:r w:rsidRPr="002F058D">
        <w:rPr>
          <w:rFonts w:ascii="Arial" w:hAnsi="Arial" w:cs="Arial"/>
          <w:color w:val="000000" w:themeColor="text1"/>
        </w:rPr>
        <w:t>Income inequality narrows the premium customer base, intensifying expectations among affluent segments while heightening product scrutiny. Price elasticity remains high even in Tier 1 markets, requiring precise alignment between price, performance and perceived lifestyle value.</w:t>
      </w:r>
    </w:p>
    <w:p w14:paraId="5BF6651F" w14:textId="146A9435" w:rsidR="002F058D" w:rsidRDefault="002F058D" w:rsidP="002F058D">
      <w:pPr>
        <w:spacing w:line="360" w:lineRule="auto"/>
        <w:rPr>
          <w:rFonts w:ascii="Arial" w:hAnsi="Arial" w:cs="Arial"/>
          <w:color w:val="000000" w:themeColor="text1"/>
        </w:rPr>
      </w:pPr>
      <w:r w:rsidRPr="002F058D">
        <w:rPr>
          <w:rFonts w:ascii="Arial" w:hAnsi="Arial" w:cs="Arial"/>
          <w:color w:val="000000" w:themeColor="text1"/>
        </w:rPr>
        <w:t>Strategic Implication: Lululemon must justify premium pricing through superior functionality, sustainability credentials and personalised in-store experiences.</w:t>
      </w:r>
    </w:p>
    <w:p w14:paraId="45BD813C" w14:textId="57C474F1" w:rsidR="002F058D" w:rsidRPr="002F058D" w:rsidRDefault="00255639" w:rsidP="002F058D">
      <w:pPr>
        <w:spacing w:line="360" w:lineRule="auto"/>
        <w:rPr>
          <w:rFonts w:ascii="Arial" w:hAnsi="Arial" w:cs="Arial"/>
          <w:color w:val="E89424"/>
        </w:rPr>
      </w:pPr>
      <w:r>
        <w:rPr>
          <w:rFonts w:ascii="Arial" w:hAnsi="Arial" w:cs="Arial"/>
          <w:noProof/>
          <w:color w:val="000000" w:themeColor="text1"/>
        </w:rPr>
        <w:lastRenderedPageBreak/>
        <mc:AlternateContent>
          <mc:Choice Requires="wps">
            <w:drawing>
              <wp:anchor distT="0" distB="0" distL="114300" distR="114300" simplePos="0" relativeHeight="251658752" behindDoc="0" locked="0" layoutInCell="1" allowOverlap="1" wp14:anchorId="67D7EAEB" wp14:editId="1B9150C8">
                <wp:simplePos x="0" y="0"/>
                <wp:positionH relativeFrom="column">
                  <wp:posOffset>0</wp:posOffset>
                </wp:positionH>
                <wp:positionV relativeFrom="paragraph">
                  <wp:posOffset>-77763</wp:posOffset>
                </wp:positionV>
                <wp:extent cx="3183775" cy="0"/>
                <wp:effectExtent l="0" t="0" r="0" b="0"/>
                <wp:wrapNone/>
                <wp:docPr id="800239463"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B2CEC" id="Straight Connector 4"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1pt" to="250.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" strokecolor="#ff4747" strokeweight=".5pt">
                <v:stroke joinstyle="miter"/>
              </v:line>
            </w:pict>
          </mc:Fallback>
        </mc:AlternateContent>
      </w:r>
      <w:r w:rsidR="004F5922" w:rsidRPr="004F5922">
        <w:rPr>
          <w:rFonts w:ascii="Arial" w:hAnsi="Arial" w:cs="Arial"/>
          <w:color w:val="000000" w:themeColor="text1"/>
        </w:rPr>
        <w:t xml:space="preserve">Bargaining Power of Suppliers </w:t>
      </w:r>
      <w:r w:rsidR="002F058D">
        <w:rPr>
          <w:rFonts w:ascii="Arial" w:hAnsi="Arial" w:cs="Arial"/>
          <w:color w:val="000000" w:themeColor="text1"/>
        </w:rPr>
        <w:t>–</w:t>
      </w:r>
      <w:r w:rsidR="004F5922">
        <w:rPr>
          <w:rFonts w:ascii="Arial" w:hAnsi="Arial" w:cs="Arial"/>
          <w:color w:val="000000" w:themeColor="text1"/>
        </w:rPr>
        <w:t xml:space="preserve"> </w:t>
      </w:r>
      <w:r w:rsidR="004F5922" w:rsidRPr="004F5922">
        <w:rPr>
          <w:rFonts w:ascii="Arial" w:hAnsi="Arial" w:cs="Arial"/>
          <w:color w:val="E89424"/>
        </w:rPr>
        <w:t>Moderate</w:t>
      </w:r>
    </w:p>
    <w:p w14:paraId="12A47C8D" w14:textId="77777777" w:rsidR="002F058D" w:rsidRPr="002F058D" w:rsidRDefault="002F058D" w:rsidP="002F058D">
      <w:pPr>
        <w:spacing w:line="360" w:lineRule="auto"/>
        <w:rPr>
          <w:rFonts w:ascii="Arial" w:hAnsi="Arial" w:cs="Arial"/>
          <w:noProof/>
          <w:color w:val="000000" w:themeColor="text1"/>
        </w:rPr>
      </w:pPr>
      <w:r w:rsidRPr="002F058D">
        <w:rPr>
          <w:rFonts w:ascii="Arial" w:hAnsi="Arial" w:cs="Arial"/>
          <w:noProof/>
          <w:color w:val="000000" w:themeColor="text1"/>
        </w:rPr>
        <w:t>Supplier power is shaped by the interaction between India’s fragmented textile sector and Lululemon’s dependence on specialised technical materials. Domestic suppliers capable of producing high-performance fabrics are limited, increasing switching costs and raising leverage for qualified manufacturers (Hitt et al., 2024). The 30% FDI local sourcing requirement (DPIIT, 2018) further constrains supplier choice and operational flexibility.</w:t>
      </w:r>
    </w:p>
    <w:p w14:paraId="4B4AE86A" w14:textId="77777777" w:rsidR="002F058D" w:rsidRPr="002F058D" w:rsidRDefault="002F058D" w:rsidP="002F058D">
      <w:pPr>
        <w:spacing w:line="360" w:lineRule="auto"/>
        <w:rPr>
          <w:rFonts w:ascii="Arial" w:hAnsi="Arial" w:cs="Arial"/>
          <w:noProof/>
          <w:color w:val="000000" w:themeColor="text1"/>
        </w:rPr>
      </w:pPr>
    </w:p>
    <w:p w14:paraId="3E64BB28" w14:textId="00CCFF5C" w:rsidR="002F058D" w:rsidRPr="002F058D" w:rsidRDefault="002F058D" w:rsidP="002F058D">
      <w:pPr>
        <w:spacing w:line="360" w:lineRule="auto"/>
        <w:rPr>
          <w:rFonts w:ascii="Arial" w:hAnsi="Arial" w:cs="Arial"/>
          <w:noProof/>
          <w:color w:val="000000" w:themeColor="text1"/>
        </w:rPr>
      </w:pPr>
      <w:r w:rsidRPr="002F058D">
        <w:rPr>
          <w:rFonts w:ascii="Arial" w:hAnsi="Arial" w:cs="Arial"/>
          <w:noProof/>
          <w:color w:val="000000" w:themeColor="text1"/>
        </w:rPr>
        <w:t>However, India has a large garment manufacturing base for non-technical components, enabling partial localisation without compromising core fabric technology.</w:t>
      </w:r>
    </w:p>
    <w:p w14:paraId="0F3FA4BE" w14:textId="743C4D48" w:rsidR="002F058D" w:rsidRDefault="002F058D" w:rsidP="002F058D">
      <w:pPr>
        <w:spacing w:line="360" w:lineRule="auto"/>
        <w:rPr>
          <w:rFonts w:ascii="Arial" w:hAnsi="Arial" w:cs="Arial"/>
          <w:noProof/>
          <w:color w:val="000000" w:themeColor="text1"/>
        </w:rPr>
      </w:pPr>
      <w:r w:rsidRPr="002F058D">
        <w:rPr>
          <w:rFonts w:ascii="Arial" w:hAnsi="Arial" w:cs="Arial"/>
          <w:noProof/>
          <w:color w:val="000000" w:themeColor="text1"/>
        </w:rPr>
        <w:t>Strategic Implication: A hybrid sourcing model</w:t>
      </w:r>
      <w:r>
        <w:rPr>
          <w:rFonts w:ascii="Arial" w:hAnsi="Arial" w:cs="Arial"/>
          <w:noProof/>
          <w:color w:val="000000" w:themeColor="text1"/>
        </w:rPr>
        <w:t xml:space="preserve">, </w:t>
      </w:r>
      <w:r w:rsidRPr="002F058D">
        <w:rPr>
          <w:rFonts w:ascii="Arial" w:hAnsi="Arial" w:cs="Arial"/>
          <w:noProof/>
          <w:color w:val="000000" w:themeColor="text1"/>
        </w:rPr>
        <w:t>importing proprietary fabrics while partnering with certified MSMEs for other components</w:t>
      </w:r>
      <w:r>
        <w:rPr>
          <w:rFonts w:ascii="Arial" w:hAnsi="Arial" w:cs="Arial"/>
          <w:noProof/>
          <w:color w:val="000000" w:themeColor="text1"/>
        </w:rPr>
        <w:t xml:space="preserve"> - </w:t>
      </w:r>
      <w:r w:rsidRPr="002F058D">
        <w:rPr>
          <w:rFonts w:ascii="Arial" w:hAnsi="Arial" w:cs="Arial"/>
          <w:noProof/>
          <w:color w:val="000000" w:themeColor="text1"/>
        </w:rPr>
        <w:t>optimises quality, cost and compliance.</w:t>
      </w:r>
    </w:p>
    <w:p w14:paraId="65D6E99C" w14:textId="6C1375EF" w:rsidR="002F058D" w:rsidRDefault="006053D6" w:rsidP="002F058D">
      <w:pPr>
        <w:spacing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662848" behindDoc="0" locked="0" layoutInCell="1" allowOverlap="1" wp14:anchorId="41A050FA" wp14:editId="664D5FB0">
                <wp:simplePos x="0" y="0"/>
                <wp:positionH relativeFrom="column">
                  <wp:posOffset>0</wp:posOffset>
                </wp:positionH>
                <wp:positionV relativeFrom="paragraph">
                  <wp:posOffset>235035</wp:posOffset>
                </wp:positionV>
                <wp:extent cx="3183775" cy="0"/>
                <wp:effectExtent l="0" t="0" r="0" b="0"/>
                <wp:wrapNone/>
                <wp:docPr id="939489139"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0B421A" id="Straight Connector 4"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8.5pt" to="250.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" strokecolor="#ff4747" strokeweight=".5pt">
                <v:stroke joinstyle="miter"/>
              </v:line>
            </w:pict>
          </mc:Fallback>
        </mc:AlternateContent>
      </w:r>
    </w:p>
    <w:p w14:paraId="5CF09C54" w14:textId="65D09DB9" w:rsidR="007E22AA" w:rsidRPr="007E22AA" w:rsidRDefault="004F5922" w:rsidP="002F058D">
      <w:pPr>
        <w:spacing w:line="360" w:lineRule="auto"/>
        <w:rPr>
          <w:rFonts w:ascii="Arial" w:hAnsi="Arial" w:cs="Arial"/>
          <w:color w:val="EE0000"/>
        </w:rPr>
      </w:pPr>
      <w:r w:rsidRPr="004F5922">
        <w:rPr>
          <w:rFonts w:ascii="Arial" w:hAnsi="Arial" w:cs="Arial"/>
          <w:color w:val="000000" w:themeColor="text1"/>
        </w:rPr>
        <w:t>Threat of Substitutes</w:t>
      </w:r>
      <w:r>
        <w:rPr>
          <w:rFonts w:ascii="Arial" w:hAnsi="Arial" w:cs="Arial"/>
          <w:color w:val="000000" w:themeColor="text1"/>
        </w:rPr>
        <w:t xml:space="preserve"> -</w:t>
      </w:r>
      <w:r w:rsidRPr="004F5922">
        <w:rPr>
          <w:rFonts w:ascii="Arial" w:hAnsi="Arial" w:cs="Arial"/>
          <w:color w:val="000000" w:themeColor="text1"/>
        </w:rPr>
        <w:t xml:space="preserve"> </w:t>
      </w:r>
      <w:r w:rsidRPr="004F5922">
        <w:rPr>
          <w:rFonts w:ascii="Arial" w:hAnsi="Arial" w:cs="Arial"/>
          <w:color w:val="E89424"/>
        </w:rPr>
        <w:t xml:space="preserve">Moderate </w:t>
      </w:r>
      <w:r w:rsidRPr="004F5922">
        <w:rPr>
          <w:rFonts w:ascii="Arial" w:hAnsi="Arial" w:cs="Arial"/>
          <w:color w:val="000000" w:themeColor="text1"/>
        </w:rPr>
        <w:t xml:space="preserve">to </w:t>
      </w:r>
      <w:r w:rsidRPr="004F5922">
        <w:rPr>
          <w:rFonts w:ascii="Arial" w:hAnsi="Arial" w:cs="Arial"/>
          <w:color w:val="EE0000"/>
        </w:rPr>
        <w:t>High</w:t>
      </w:r>
    </w:p>
    <w:p w14:paraId="67E9C040" w14:textId="7C7F1A9E" w:rsidR="006053D6" w:rsidRPr="006053D6" w:rsidRDefault="006053D6" w:rsidP="006053D6">
      <w:pPr>
        <w:spacing w:line="360" w:lineRule="auto"/>
        <w:rPr>
          <w:rFonts w:ascii="Arial" w:hAnsi="Arial" w:cs="Arial"/>
          <w:color w:val="000000" w:themeColor="text1"/>
        </w:rPr>
      </w:pPr>
      <w:r w:rsidRPr="006053D6">
        <w:rPr>
          <w:rFonts w:ascii="Arial" w:hAnsi="Arial" w:cs="Arial"/>
          <w:color w:val="000000" w:themeColor="text1"/>
        </w:rPr>
        <w:t>Substitutes include unbranded activewear, budget sportswear, fast-fashion alternatives (H&amp;M, Zara), and traditional cotton garments commonly used for yoga. These options are significantly cheaper and culturally familiar, especially outside Tier 1 cities. Even premium consumers experiment with substitutes due to high price sensitivity.</w:t>
      </w:r>
    </w:p>
    <w:p w14:paraId="386F9513" w14:textId="316DD743" w:rsidR="00B37E8F" w:rsidRDefault="006053D6" w:rsidP="006053D6">
      <w:pPr>
        <w:spacing w:line="360" w:lineRule="auto"/>
        <w:rPr>
          <w:rFonts w:ascii="Arial" w:hAnsi="Arial" w:cs="Arial"/>
          <w:color w:val="000000" w:themeColor="text1"/>
        </w:rPr>
      </w:pPr>
      <w:r w:rsidRPr="006053D6">
        <w:rPr>
          <w:rFonts w:ascii="Arial" w:hAnsi="Arial" w:cs="Arial"/>
          <w:color w:val="000000" w:themeColor="text1"/>
        </w:rPr>
        <w:t>Strategic Implication: Lululemon must continuously reinforce the value of technical performance, longevity, fit and community-driven lifestyle identity.</w:t>
      </w:r>
    </w:p>
    <w:p w14:paraId="2E6C89E5" w14:textId="77777777" w:rsidR="006053D6" w:rsidRDefault="006053D6" w:rsidP="006053D6">
      <w:pPr>
        <w:spacing w:line="360" w:lineRule="auto"/>
        <w:rPr>
          <w:rFonts w:ascii="Arial" w:hAnsi="Arial" w:cs="Arial"/>
          <w:color w:val="000000" w:themeColor="text1"/>
        </w:rPr>
      </w:pPr>
    </w:p>
    <w:p w14:paraId="2942D521" w14:textId="6DEC25F5" w:rsidR="006053D6" w:rsidRPr="006053D6" w:rsidRDefault="006053D6" w:rsidP="006053D6">
      <w:pPr>
        <w:spacing w:line="360" w:lineRule="auto"/>
        <w:rPr>
          <w:rFonts w:ascii="Arial" w:hAnsi="Arial" w:cs="Arial"/>
          <w:color w:val="000000" w:themeColor="text1"/>
        </w:rPr>
      </w:pPr>
      <w:r w:rsidRPr="006053D6">
        <w:rPr>
          <w:rFonts w:ascii="Arial" w:hAnsi="Arial" w:cs="Arial"/>
          <w:color w:val="000000" w:themeColor="text1"/>
        </w:rPr>
        <w:t>The industry’s high rivalry, strong buyer power, regulatory constraints and substitute availability make cost leadership unviable, confirming the I/O model’s prediction of low structural attractiveness for price-based strategies. However, the absence of a dominant premium leader and the expansion of affluent urban consumers create a viable niche.</w:t>
      </w:r>
    </w:p>
    <w:p w14:paraId="433D7F20" w14:textId="04A79D51" w:rsidR="006053D6" w:rsidRDefault="006053D6" w:rsidP="006053D6">
      <w:pPr>
        <w:spacing w:line="360" w:lineRule="auto"/>
        <w:rPr>
          <w:rFonts w:ascii="Arial" w:hAnsi="Arial" w:cs="Arial"/>
          <w:color w:val="000000" w:themeColor="text1"/>
        </w:rPr>
      </w:pPr>
      <w:r w:rsidRPr="006053D6">
        <w:rPr>
          <w:rFonts w:ascii="Arial" w:hAnsi="Arial" w:cs="Arial"/>
          <w:color w:val="000000" w:themeColor="text1"/>
        </w:rPr>
        <w:t>Conclusion: India’s industry dynamics strongly favour a Differentiation-Focus strategy, supported by premium innovation, cultural localisation and a partnership-based entry mode.</w:t>
      </w:r>
    </w:p>
    <w:p w14:paraId="0CC20ECA" w14:textId="74CBCBD4" w:rsidR="00715C8C" w:rsidRDefault="00715C8C" w:rsidP="00715C8C">
      <w:pPr>
        <w:spacing w:line="360" w:lineRule="auto"/>
        <w:rPr>
          <w:rFonts w:ascii="Arial" w:hAnsi="Arial" w:cs="Arial"/>
          <w:noProof/>
          <w:color w:val="000000" w:themeColor="text1"/>
        </w:rPr>
      </w:pPr>
    </w:p>
    <w:p w14:paraId="19C35D7B" w14:textId="33D3A035" w:rsidR="00715C8C" w:rsidRPr="00715C8C" w:rsidRDefault="00715C8C" w:rsidP="00715C8C">
      <w:pPr>
        <w:spacing w:line="360" w:lineRule="auto"/>
        <w:rPr>
          <w:rFonts w:ascii="Arial" w:hAnsi="Arial" w:cs="Arial"/>
          <w:noProof/>
          <w:color w:val="000000" w:themeColor="text1"/>
        </w:rPr>
      </w:pPr>
      <w:r>
        <w:rPr>
          <w:rFonts w:ascii="Arial" w:hAnsi="Arial" w:cs="Arial"/>
          <w:noProof/>
          <w:color w:val="000000" w:themeColor="text1"/>
        </w:rPr>
        <mc:AlternateContent>
          <mc:Choice Requires="wps">
            <w:drawing>
              <wp:anchor distT="0" distB="0" distL="114300" distR="114300" simplePos="0" relativeHeight="251705856" behindDoc="0" locked="0" layoutInCell="1" allowOverlap="1" wp14:anchorId="13C03172" wp14:editId="3BDF6796">
                <wp:simplePos x="0" y="0"/>
                <wp:positionH relativeFrom="column">
                  <wp:posOffset>17341</wp:posOffset>
                </wp:positionH>
                <wp:positionV relativeFrom="paragraph">
                  <wp:posOffset>-69019</wp:posOffset>
                </wp:positionV>
                <wp:extent cx="3183775" cy="0"/>
                <wp:effectExtent l="0" t="0" r="0" b="0"/>
                <wp:wrapNone/>
                <wp:docPr id="1888715763"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D8C166" id="Straight Connector 4" o:spid="_x0000_s1026" style="position:absolute;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5.45pt" to="252.0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" strokecolor="#ff4747" strokeweight=".5pt">
                <v:stroke joinstyle="miter"/>
              </v:line>
            </w:pict>
          </mc:Fallback>
        </mc:AlternateContent>
      </w:r>
      <w:r w:rsidRPr="00715C8C">
        <w:rPr>
          <w:rFonts w:ascii="Arial" w:hAnsi="Arial" w:cs="Arial"/>
          <w:noProof/>
          <w:color w:val="000000" w:themeColor="text1"/>
        </w:rPr>
        <w:t xml:space="preserve">Critical Evaluation of Porter’s Five Forces Model </w:t>
      </w:r>
    </w:p>
    <w:p w14:paraId="2F6D6966" w14:textId="19A1C6C0" w:rsidR="006053D6" w:rsidRDefault="00255639" w:rsidP="006053D6">
      <w:pPr>
        <w:spacing w:line="360" w:lineRule="auto"/>
        <w:rPr>
          <w:rFonts w:ascii="Arial" w:hAnsi="Arial" w:cs="Arial"/>
          <w:noProof/>
          <w:color w:val="000000" w:themeColor="text1"/>
        </w:rPr>
      </w:pPr>
      <w:r w:rsidRPr="00255639">
        <w:rPr>
          <w:rFonts w:ascii="Arial" w:hAnsi="Arial" w:cs="Arial"/>
          <w:noProof/>
          <w:color w:val="000000" w:themeColor="text1"/>
        </w:rPr>
        <w:lastRenderedPageBreak/>
        <w:t>Although Porter’s Five Forces effectively maps competitive intensity, its applicability to the Indian athleisure sector requires critical qualification. The framework is rooted in the structure-conduct-performance (SCP) paradigm, which assumes relatively stable industry boundaries and zero-sum competition (Hitt et al., 2024). In the context of India’s emerging wellness economy, this perspective may underestimate the role of "complementors" (e.g., wellness apps, boutique gyms)</w:t>
      </w:r>
      <w:r>
        <w:rPr>
          <w:rFonts w:ascii="Arial" w:hAnsi="Arial" w:cs="Arial"/>
          <w:noProof/>
          <w:color w:val="000000" w:themeColor="text1"/>
        </w:rPr>
        <w:t>,</w:t>
      </w:r>
      <w:r w:rsidRPr="00255639">
        <w:rPr>
          <w:rFonts w:ascii="Arial" w:hAnsi="Arial" w:cs="Arial"/>
          <w:noProof/>
          <w:color w:val="000000" w:themeColor="text1"/>
        </w:rPr>
        <w:t xml:space="preserve"> which expand the total market value rather than just competing for share (Grant, 2019). Furthermore, the model was developed primarily for developed economies and may not fully account for the disruptive influence of the unorganised (informal) sector, which significantly distorts price expectations and buyer power in India. Consequently, while the analysis confirms </w:t>
      </w:r>
      <w:r>
        <w:rPr>
          <w:rFonts w:ascii="Arial" w:hAnsi="Arial" w:cs="Arial"/>
          <w:noProof/>
          <w:color w:val="000000" w:themeColor="text1"/>
        </w:rPr>
        <w:t>intense</w:t>
      </w:r>
      <w:r w:rsidRPr="00255639">
        <w:rPr>
          <w:rFonts w:ascii="Arial" w:hAnsi="Arial" w:cs="Arial"/>
          <w:noProof/>
          <w:color w:val="000000" w:themeColor="text1"/>
        </w:rPr>
        <w:t xml:space="preserve"> rivalry, Lululemon’s strategy must look beyond purely structural defences and focus on creating new market space through community engagement, akin to a Blue Ocean Strategy (Kim and Mauborgne, 2005).</w:t>
      </w:r>
    </w:p>
    <w:p w14:paraId="2AF38C81" w14:textId="77777777" w:rsidR="00255639" w:rsidRDefault="00255639" w:rsidP="006053D6">
      <w:pPr>
        <w:spacing w:line="360" w:lineRule="auto"/>
        <w:rPr>
          <w:rFonts w:ascii="Arial" w:hAnsi="Arial" w:cs="Arial"/>
          <w:color w:val="000000" w:themeColor="text1"/>
        </w:rPr>
      </w:pPr>
    </w:p>
    <w:p w14:paraId="05A0676A" w14:textId="77777777" w:rsidR="00C660E1" w:rsidRDefault="00C660E1" w:rsidP="006053D6">
      <w:pPr>
        <w:spacing w:line="360" w:lineRule="auto"/>
        <w:rPr>
          <w:rFonts w:ascii="Arial" w:hAnsi="Arial" w:cs="Arial"/>
          <w:color w:val="000000" w:themeColor="text1"/>
        </w:rPr>
      </w:pPr>
    </w:p>
    <w:p w14:paraId="6560762E" w14:textId="77777777" w:rsidR="00C660E1" w:rsidRDefault="00C660E1" w:rsidP="006053D6">
      <w:pPr>
        <w:spacing w:line="360" w:lineRule="auto"/>
        <w:rPr>
          <w:rFonts w:ascii="Arial" w:hAnsi="Arial" w:cs="Arial"/>
          <w:color w:val="000000" w:themeColor="text1"/>
        </w:rPr>
      </w:pPr>
    </w:p>
    <w:p w14:paraId="5BB37BAB" w14:textId="77777777" w:rsidR="00C660E1" w:rsidRDefault="00C660E1" w:rsidP="006053D6">
      <w:pPr>
        <w:spacing w:line="360" w:lineRule="auto"/>
        <w:rPr>
          <w:rFonts w:ascii="Arial" w:hAnsi="Arial" w:cs="Arial"/>
          <w:color w:val="000000" w:themeColor="text1"/>
        </w:rPr>
      </w:pPr>
    </w:p>
    <w:p w14:paraId="1E145B20" w14:textId="77777777" w:rsidR="00C660E1" w:rsidRDefault="00C660E1" w:rsidP="006053D6">
      <w:pPr>
        <w:spacing w:line="360" w:lineRule="auto"/>
        <w:rPr>
          <w:rFonts w:ascii="Arial" w:hAnsi="Arial" w:cs="Arial"/>
          <w:color w:val="000000" w:themeColor="text1"/>
        </w:rPr>
      </w:pPr>
    </w:p>
    <w:p w14:paraId="6AFD4284" w14:textId="77777777" w:rsidR="00C660E1" w:rsidRDefault="00C660E1" w:rsidP="006053D6">
      <w:pPr>
        <w:spacing w:line="360" w:lineRule="auto"/>
        <w:rPr>
          <w:rFonts w:ascii="Arial" w:hAnsi="Arial" w:cs="Arial"/>
          <w:color w:val="000000" w:themeColor="text1"/>
        </w:rPr>
      </w:pPr>
    </w:p>
    <w:p w14:paraId="20407B73" w14:textId="77777777" w:rsidR="00C660E1" w:rsidRDefault="00C660E1" w:rsidP="006053D6">
      <w:pPr>
        <w:spacing w:line="360" w:lineRule="auto"/>
        <w:rPr>
          <w:rFonts w:ascii="Arial" w:hAnsi="Arial" w:cs="Arial"/>
          <w:color w:val="000000" w:themeColor="text1"/>
        </w:rPr>
      </w:pPr>
    </w:p>
    <w:p w14:paraId="01D665E8" w14:textId="77777777" w:rsidR="00C660E1" w:rsidRDefault="00C660E1" w:rsidP="006053D6">
      <w:pPr>
        <w:spacing w:line="360" w:lineRule="auto"/>
        <w:rPr>
          <w:rFonts w:ascii="Arial" w:hAnsi="Arial" w:cs="Arial"/>
          <w:color w:val="000000" w:themeColor="text1"/>
        </w:rPr>
      </w:pPr>
    </w:p>
    <w:p w14:paraId="728383E6" w14:textId="77777777" w:rsidR="00C660E1" w:rsidRDefault="00C660E1" w:rsidP="006053D6">
      <w:pPr>
        <w:spacing w:line="360" w:lineRule="auto"/>
        <w:rPr>
          <w:rFonts w:ascii="Arial" w:hAnsi="Arial" w:cs="Arial"/>
          <w:color w:val="000000" w:themeColor="text1"/>
        </w:rPr>
      </w:pPr>
    </w:p>
    <w:p w14:paraId="2B7EC700" w14:textId="77777777" w:rsidR="00C660E1" w:rsidRDefault="00C660E1" w:rsidP="006053D6">
      <w:pPr>
        <w:spacing w:line="360" w:lineRule="auto"/>
        <w:rPr>
          <w:rFonts w:ascii="Arial" w:hAnsi="Arial" w:cs="Arial"/>
          <w:color w:val="000000" w:themeColor="text1"/>
        </w:rPr>
      </w:pPr>
    </w:p>
    <w:p w14:paraId="6493F545" w14:textId="77777777" w:rsidR="00C660E1" w:rsidRDefault="00C660E1" w:rsidP="006053D6">
      <w:pPr>
        <w:spacing w:line="360" w:lineRule="auto"/>
        <w:rPr>
          <w:rFonts w:ascii="Arial" w:hAnsi="Arial" w:cs="Arial"/>
          <w:color w:val="000000" w:themeColor="text1"/>
        </w:rPr>
      </w:pPr>
    </w:p>
    <w:p w14:paraId="6A90EF95" w14:textId="77777777" w:rsidR="00C660E1" w:rsidRDefault="00C660E1" w:rsidP="006053D6">
      <w:pPr>
        <w:spacing w:line="360" w:lineRule="auto"/>
        <w:rPr>
          <w:rFonts w:ascii="Arial" w:hAnsi="Arial" w:cs="Arial"/>
          <w:color w:val="000000" w:themeColor="text1"/>
        </w:rPr>
      </w:pPr>
    </w:p>
    <w:p w14:paraId="5B8DC810" w14:textId="77777777" w:rsidR="00C660E1" w:rsidRDefault="00C660E1" w:rsidP="006053D6">
      <w:pPr>
        <w:spacing w:line="360" w:lineRule="auto"/>
        <w:rPr>
          <w:rFonts w:ascii="Arial" w:hAnsi="Arial" w:cs="Arial"/>
          <w:color w:val="000000" w:themeColor="text1"/>
        </w:rPr>
      </w:pPr>
    </w:p>
    <w:p w14:paraId="35C80A48" w14:textId="77777777" w:rsidR="00C660E1" w:rsidRPr="00CB4455" w:rsidRDefault="00C660E1" w:rsidP="006053D6">
      <w:pPr>
        <w:spacing w:line="360" w:lineRule="auto"/>
        <w:rPr>
          <w:rFonts w:ascii="Arial" w:hAnsi="Arial" w:cs="Arial"/>
          <w:color w:val="000000" w:themeColor="text1"/>
        </w:rPr>
      </w:pPr>
    </w:p>
    <w:p w14:paraId="192819C7" w14:textId="558259EF" w:rsidR="0064637B" w:rsidRPr="00CB4455" w:rsidRDefault="00273429" w:rsidP="00CB4455">
      <w:pPr>
        <w:pStyle w:val="Heading2"/>
        <w:rPr>
          <w:rFonts w:ascii="Arial" w:hAnsi="Arial" w:cs="Arial"/>
          <w:color w:val="000000" w:themeColor="text1"/>
          <w:sz w:val="28"/>
          <w:szCs w:val="28"/>
        </w:rPr>
      </w:pPr>
      <w:bookmarkStart w:id="9" w:name="_Toc215314129"/>
      <w:r>
        <w:rPr>
          <w:rFonts w:ascii="Arial" w:hAnsi="Arial" w:cs="Arial"/>
          <w:color w:val="000000" w:themeColor="text1"/>
          <w:sz w:val="28"/>
          <w:szCs w:val="28"/>
        </w:rPr>
        <w:lastRenderedPageBreak/>
        <w:t>3</w:t>
      </w:r>
      <w:r w:rsidR="00F60CF7" w:rsidRPr="00F60CF7">
        <w:rPr>
          <w:rFonts w:ascii="Arial" w:hAnsi="Arial" w:cs="Arial"/>
          <w:color w:val="000000" w:themeColor="text1"/>
          <w:sz w:val="28"/>
          <w:szCs w:val="28"/>
        </w:rPr>
        <w:t xml:space="preserve">.3. </w:t>
      </w:r>
      <w:r w:rsidR="0000233A" w:rsidRPr="0000233A">
        <w:rPr>
          <w:rFonts w:ascii="Arial" w:hAnsi="Arial" w:cs="Arial"/>
          <w:color w:val="000000" w:themeColor="text1"/>
          <w:sz w:val="28"/>
          <w:szCs w:val="28"/>
        </w:rPr>
        <w:t>Comprehensive SWOT Analysis</w:t>
      </w:r>
      <w:bookmarkEnd w:id="9"/>
    </w:p>
    <w:p w14:paraId="56FE8789" w14:textId="77777777" w:rsidR="00CA2C80" w:rsidRDefault="00CA2C80" w:rsidP="007F66E2">
      <w:pPr>
        <w:rPr>
          <w:b/>
          <w:bCs/>
        </w:rPr>
      </w:pPr>
    </w:p>
    <w:p w14:paraId="25326203" w14:textId="10B8BD7F" w:rsidR="00966AD7" w:rsidRDefault="00966AD7" w:rsidP="00966AD7">
      <w:pPr>
        <w:spacing w:line="360" w:lineRule="auto"/>
        <w:rPr>
          <w:rFonts w:ascii="Arial" w:hAnsi="Arial" w:cs="Arial"/>
          <w:color w:val="000000" w:themeColor="text1"/>
        </w:rPr>
      </w:pPr>
      <w:r w:rsidRPr="00966AD7">
        <w:rPr>
          <w:rFonts w:ascii="Arial" w:hAnsi="Arial" w:cs="Arial"/>
          <w:color w:val="000000" w:themeColor="text1"/>
        </w:rPr>
        <w:t xml:space="preserve">Following the comprehensive external audit (PESTLE, CAGE, Porter’s Five Forces), Table </w:t>
      </w:r>
      <w:r w:rsidR="0040306B">
        <w:rPr>
          <w:rFonts w:ascii="Arial" w:hAnsi="Arial" w:cs="Arial"/>
          <w:color w:val="000000" w:themeColor="text1"/>
        </w:rPr>
        <w:t>3</w:t>
      </w:r>
      <w:r w:rsidRPr="00966AD7">
        <w:rPr>
          <w:rFonts w:ascii="Arial" w:hAnsi="Arial" w:cs="Arial"/>
          <w:color w:val="000000" w:themeColor="text1"/>
        </w:rPr>
        <w:t xml:space="preserve"> synthesises the key findings into a Strategic Factor Analysis Summary (SWOT) to facilitate strategic option generation.</w:t>
      </w:r>
    </w:p>
    <w:p w14:paraId="4030B479" w14:textId="19179C1C" w:rsidR="00284318" w:rsidRDefault="00857624" w:rsidP="00966AD7">
      <w:pPr>
        <w:spacing w:line="360" w:lineRule="auto"/>
        <w:rPr>
          <w:rFonts w:ascii="Arial" w:hAnsi="Arial" w:cs="Arial"/>
          <w:color w:val="000000" w:themeColor="text1"/>
        </w:rPr>
      </w:pPr>
      <w:r w:rsidRPr="00857624">
        <w:rPr>
          <w:rFonts w:ascii="Arial" w:hAnsi="Arial" w:cs="Arial"/>
          <w:b/>
          <w:bCs/>
          <w:color w:val="000000" w:themeColor="text1"/>
        </w:rPr>
        <w:t xml:space="preserve">Table </w:t>
      </w:r>
      <w:r w:rsidRPr="00857624">
        <w:rPr>
          <w:rFonts w:ascii="Arial" w:hAnsi="Arial" w:cs="Arial"/>
          <w:b/>
          <w:bCs/>
          <w:color w:val="000000" w:themeColor="text1"/>
        </w:rPr>
        <w:t>3</w:t>
      </w:r>
      <w:r w:rsidRPr="00857624">
        <w:rPr>
          <w:rFonts w:ascii="Arial" w:hAnsi="Arial" w:cs="Arial"/>
          <w:color w:val="000000" w:themeColor="text1"/>
        </w:rPr>
        <w:t>: Strategic Factor Analysis Summary (SWOT) for Lululemon’s Entry into India</w:t>
      </w:r>
    </w:p>
    <w:p w14:paraId="4B93FD51" w14:textId="113BEED5" w:rsidR="00262F48" w:rsidRPr="00966AD7" w:rsidRDefault="00262F48" w:rsidP="00966AD7">
      <w:pPr>
        <w:spacing w:line="360" w:lineRule="auto"/>
        <w:rPr>
          <w:rFonts w:ascii="Arial" w:hAnsi="Arial" w:cs="Arial"/>
          <w:color w:val="000000" w:themeColor="text1"/>
        </w:rPr>
      </w:pPr>
      <w:r w:rsidRPr="00262F48">
        <w:rPr>
          <w:rFonts w:ascii="Arial" w:hAnsi="Arial" w:cs="Arial"/>
          <w:color w:val="000000" w:themeColor="text1"/>
        </w:rPr>
        <w:drawing>
          <wp:inline distT="0" distB="0" distL="0" distR="0" wp14:anchorId="43461142" wp14:editId="3BD37B62">
            <wp:extent cx="6066155" cy="5090746"/>
            <wp:effectExtent l="0" t="0" r="0" b="0"/>
            <wp:docPr id="1247688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88424" name=""/>
                    <pic:cNvPicPr/>
                  </pic:nvPicPr>
                  <pic:blipFill>
                    <a:blip r:embed="rId12"/>
                    <a:stretch>
                      <a:fillRect/>
                    </a:stretch>
                  </pic:blipFill>
                  <pic:spPr>
                    <a:xfrm>
                      <a:off x="0" y="0"/>
                      <a:ext cx="6081514" cy="5103635"/>
                    </a:xfrm>
                    <a:prstGeom prst="rect">
                      <a:avLst/>
                    </a:prstGeom>
                  </pic:spPr>
                </pic:pic>
              </a:graphicData>
            </a:graphic>
          </wp:inline>
        </w:drawing>
      </w:r>
    </w:p>
    <w:p w14:paraId="559F4A2E" w14:textId="4C8742DC" w:rsidR="006053D6" w:rsidRDefault="0041604C" w:rsidP="0041604C">
      <w:pPr>
        <w:spacing w:line="360" w:lineRule="auto"/>
        <w:rPr>
          <w:rFonts w:ascii="Arial" w:hAnsi="Arial" w:cs="Arial"/>
          <w:color w:val="000000" w:themeColor="text1"/>
          <w:sz w:val="20"/>
          <w:szCs w:val="20"/>
        </w:rPr>
      </w:pPr>
      <w:r w:rsidRPr="0041604C">
        <w:rPr>
          <w:rFonts w:ascii="Arial" w:hAnsi="Arial" w:cs="Arial"/>
          <w:color w:val="000000" w:themeColor="text1"/>
          <w:sz w:val="20"/>
          <w:szCs w:val="20"/>
        </w:rPr>
        <w:t>Source: Developed by the author based on analysis in Sections 3.1, 3.2, and 4.2 (Porter, 1985; Barney, 1991).</w:t>
      </w:r>
    </w:p>
    <w:p w14:paraId="30856C0C" w14:textId="77777777" w:rsidR="00BB29B1" w:rsidRPr="0041604C" w:rsidRDefault="00BB29B1" w:rsidP="0041604C">
      <w:pPr>
        <w:spacing w:line="360" w:lineRule="auto"/>
        <w:rPr>
          <w:rFonts w:ascii="Arial" w:hAnsi="Arial" w:cs="Arial"/>
          <w:color w:val="000000" w:themeColor="text1"/>
          <w:sz w:val="20"/>
          <w:szCs w:val="20"/>
        </w:rPr>
      </w:pPr>
    </w:p>
    <w:p w14:paraId="499E4F71" w14:textId="5C3BCE94" w:rsidR="00C660E1" w:rsidRPr="00BB29B1" w:rsidRDefault="00BB29B1" w:rsidP="00BB29B1">
      <w:pPr>
        <w:pStyle w:val="Heading3"/>
        <w:rPr>
          <w:rFonts w:ascii="Arial" w:hAnsi="Arial" w:cs="Arial"/>
          <w:color w:val="000000" w:themeColor="text1"/>
          <w:sz w:val="24"/>
          <w:szCs w:val="24"/>
        </w:rPr>
      </w:pPr>
      <w:bookmarkStart w:id="10" w:name="_Toc215314130"/>
      <w:r w:rsidRPr="00BB29B1">
        <w:rPr>
          <w:rFonts w:ascii="Arial" w:hAnsi="Arial" w:cs="Arial"/>
          <w:color w:val="000000" w:themeColor="text1"/>
          <w:sz w:val="24"/>
          <w:szCs w:val="24"/>
        </w:rPr>
        <w:lastRenderedPageBreak/>
        <w:t>3.3.1 From SWOT to Strategy: The TOWS Analysis</w:t>
      </w:r>
      <w:bookmarkEnd w:id="10"/>
    </w:p>
    <w:p w14:paraId="0E71A198" w14:textId="77777777" w:rsidR="00B20481" w:rsidRDefault="00B20481" w:rsidP="006053D6">
      <w:pPr>
        <w:spacing w:line="360" w:lineRule="auto"/>
        <w:rPr>
          <w:rFonts w:ascii="Arial" w:hAnsi="Arial" w:cs="Arial"/>
          <w:color w:val="000000" w:themeColor="text1"/>
        </w:rPr>
      </w:pPr>
    </w:p>
    <w:p w14:paraId="699CC348" w14:textId="77777777" w:rsidR="00EA3A8F" w:rsidRDefault="00EA3A8F" w:rsidP="00EA3A8F">
      <w:pPr>
        <w:spacing w:line="360" w:lineRule="auto"/>
        <w:rPr>
          <w:rFonts w:ascii="Arial" w:hAnsi="Arial" w:cs="Arial"/>
          <w:color w:val="000000" w:themeColor="text1"/>
        </w:rPr>
      </w:pPr>
      <w:r w:rsidRPr="00EA3A8F">
        <w:rPr>
          <w:rFonts w:ascii="Arial" w:hAnsi="Arial" w:cs="Arial"/>
          <w:color w:val="000000" w:themeColor="text1"/>
        </w:rPr>
        <w:t>The TOWS framework is applied to synthesise the situational analysis, transitioning findings into specific strategic options (Weihrich, 1982).</w:t>
      </w:r>
    </w:p>
    <w:p w14:paraId="05E54AA3" w14:textId="77777777" w:rsidR="00EA3A8F" w:rsidRPr="00EA3A8F" w:rsidRDefault="00EA3A8F" w:rsidP="00EA3A8F">
      <w:pPr>
        <w:spacing w:line="360" w:lineRule="auto"/>
        <w:rPr>
          <w:rFonts w:ascii="Arial" w:hAnsi="Arial" w:cs="Arial"/>
          <w:color w:val="000000" w:themeColor="text1"/>
        </w:rPr>
      </w:pPr>
    </w:p>
    <w:p w14:paraId="784E0649" w14:textId="1BB75A58" w:rsidR="00715C8C" w:rsidRDefault="00DB35AD" w:rsidP="006053D6">
      <w:pPr>
        <w:spacing w:line="360" w:lineRule="auto"/>
        <w:rPr>
          <w:rFonts w:ascii="Arial" w:hAnsi="Arial" w:cs="Arial"/>
          <w:color w:val="000000" w:themeColor="text1"/>
        </w:rPr>
      </w:pPr>
      <w:r w:rsidRPr="00956572">
        <w:rPr>
          <w:rFonts w:ascii="Arial" w:hAnsi="Arial" w:cs="Arial"/>
          <w:b/>
          <w:bCs/>
          <w:color w:val="000000" w:themeColor="text1"/>
        </w:rPr>
        <w:t>Figure 1</w:t>
      </w:r>
      <w:r w:rsidRPr="00DB35AD">
        <w:rPr>
          <w:rFonts w:ascii="Arial" w:hAnsi="Arial" w:cs="Arial"/>
          <w:color w:val="000000" w:themeColor="text1"/>
        </w:rPr>
        <w:t>: TOWS Strategic Option Generation Matrix</w:t>
      </w:r>
    </w:p>
    <w:p w14:paraId="5D8378A8" w14:textId="735DEA65" w:rsidR="00D23266" w:rsidRDefault="00D23266" w:rsidP="006053D6">
      <w:pPr>
        <w:spacing w:line="360" w:lineRule="auto"/>
        <w:rPr>
          <w:rFonts w:ascii="Arial" w:hAnsi="Arial" w:cs="Arial"/>
          <w:color w:val="000000" w:themeColor="text1"/>
        </w:rPr>
      </w:pPr>
      <w:r w:rsidRPr="00D23266">
        <w:rPr>
          <w:rFonts w:ascii="Arial" w:hAnsi="Arial" w:cs="Arial"/>
          <w:color w:val="000000" w:themeColor="text1"/>
        </w:rPr>
        <w:drawing>
          <wp:inline distT="0" distB="0" distL="0" distR="0" wp14:anchorId="74F6280A" wp14:editId="2782A584">
            <wp:extent cx="3543300" cy="3581156"/>
            <wp:effectExtent l="0" t="0" r="0" b="635"/>
            <wp:docPr id="630135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35947" name=""/>
                    <pic:cNvPicPr/>
                  </pic:nvPicPr>
                  <pic:blipFill>
                    <a:blip r:embed="rId13"/>
                    <a:stretch>
                      <a:fillRect/>
                    </a:stretch>
                  </pic:blipFill>
                  <pic:spPr>
                    <a:xfrm>
                      <a:off x="0" y="0"/>
                      <a:ext cx="3550370" cy="3588302"/>
                    </a:xfrm>
                    <a:prstGeom prst="rect">
                      <a:avLst/>
                    </a:prstGeom>
                  </pic:spPr>
                </pic:pic>
              </a:graphicData>
            </a:graphic>
          </wp:inline>
        </w:drawing>
      </w:r>
    </w:p>
    <w:p w14:paraId="0FAC9747" w14:textId="0F1C2946" w:rsidR="00086245" w:rsidRDefault="00086245" w:rsidP="006053D6">
      <w:pPr>
        <w:spacing w:line="360" w:lineRule="auto"/>
        <w:rPr>
          <w:rFonts w:ascii="Arial" w:hAnsi="Arial" w:cs="Arial"/>
          <w:color w:val="000000" w:themeColor="text1"/>
          <w:sz w:val="20"/>
          <w:szCs w:val="20"/>
        </w:rPr>
      </w:pPr>
      <w:r w:rsidRPr="00956572">
        <w:rPr>
          <w:rFonts w:ascii="Arial" w:hAnsi="Arial" w:cs="Arial"/>
          <w:color w:val="000000" w:themeColor="text1"/>
          <w:sz w:val="20"/>
          <w:szCs w:val="20"/>
        </w:rPr>
        <w:t>Source</w:t>
      </w:r>
      <w:r w:rsidRPr="00956572">
        <w:rPr>
          <w:rFonts w:ascii="Arial" w:hAnsi="Arial" w:cs="Arial"/>
          <w:b/>
          <w:bCs/>
          <w:color w:val="000000" w:themeColor="text1"/>
          <w:sz w:val="20"/>
          <w:szCs w:val="20"/>
        </w:rPr>
        <w:t>:</w:t>
      </w:r>
      <w:r w:rsidRPr="00956572">
        <w:rPr>
          <w:rFonts w:ascii="Arial" w:hAnsi="Arial" w:cs="Arial"/>
          <w:color w:val="000000" w:themeColor="text1"/>
          <w:sz w:val="20"/>
          <w:szCs w:val="20"/>
        </w:rPr>
        <w:t xml:space="preserve"> Adapted from Weihrich (1982), developed by the author.</w:t>
      </w:r>
    </w:p>
    <w:p w14:paraId="44C9DD4B" w14:textId="77777777" w:rsidR="00EA3A8F" w:rsidRPr="00EA3A8F" w:rsidRDefault="00EA3A8F" w:rsidP="00EA3A8F">
      <w:pPr>
        <w:spacing w:line="360" w:lineRule="auto"/>
        <w:rPr>
          <w:rFonts w:ascii="Arial" w:hAnsi="Arial" w:cs="Arial"/>
          <w:color w:val="000000" w:themeColor="text1"/>
          <w:sz w:val="20"/>
          <w:szCs w:val="20"/>
        </w:rPr>
      </w:pPr>
    </w:p>
    <w:p w14:paraId="71A31787" w14:textId="44BF639E" w:rsidR="00EA3A8F" w:rsidRPr="00BC2B35" w:rsidRDefault="00EA3A8F" w:rsidP="00EA3A8F">
      <w:pPr>
        <w:spacing w:line="360" w:lineRule="auto"/>
        <w:rPr>
          <w:rFonts w:ascii="Arial" w:hAnsi="Arial" w:cs="Arial"/>
          <w:color w:val="000000" w:themeColor="text1"/>
        </w:rPr>
      </w:pPr>
      <w:r w:rsidRPr="00BC2B35">
        <w:rPr>
          <w:rFonts w:ascii="Arial" w:hAnsi="Arial" w:cs="Arial"/>
          <w:color w:val="000000" w:themeColor="text1"/>
        </w:rPr>
        <w:t>SO (Maxi-Maxi): Leverage Experiential Retail (S3) and Brand Equity (S1) to capture the Underdeveloped Premium Segment (O2), supporting a high-value, low-volume entry strategy.</w:t>
      </w:r>
    </w:p>
    <w:p w14:paraId="2BEAA38E" w14:textId="331027CC" w:rsidR="00EA3A8F" w:rsidRPr="00BC2B35" w:rsidRDefault="00EA3A8F" w:rsidP="00EA3A8F">
      <w:pPr>
        <w:spacing w:line="360" w:lineRule="auto"/>
        <w:rPr>
          <w:rFonts w:ascii="Arial" w:hAnsi="Arial" w:cs="Arial"/>
          <w:color w:val="000000" w:themeColor="text1"/>
        </w:rPr>
      </w:pPr>
      <w:r w:rsidRPr="00BC2B35">
        <w:rPr>
          <w:rFonts w:ascii="Arial" w:hAnsi="Arial" w:cs="Arial"/>
          <w:color w:val="000000" w:themeColor="text1"/>
        </w:rPr>
        <w:t>ST (Maxi-Mini): Utilise Vertical Integration (S2) to strategically address the 30% Local Sourcing Requirement (T1), transforming the regulatory threat into a supply chain advantage.</w:t>
      </w:r>
    </w:p>
    <w:p w14:paraId="553A35F9" w14:textId="7AEDB010" w:rsidR="00EA3A8F" w:rsidRPr="00BC2B35" w:rsidRDefault="00EA3A8F" w:rsidP="00EA3A8F">
      <w:pPr>
        <w:spacing w:line="360" w:lineRule="auto"/>
        <w:rPr>
          <w:rFonts w:ascii="Arial" w:hAnsi="Arial" w:cs="Arial"/>
          <w:color w:val="000000" w:themeColor="text1"/>
        </w:rPr>
      </w:pPr>
      <w:r w:rsidRPr="00BC2B35">
        <w:rPr>
          <w:rFonts w:ascii="Arial" w:hAnsi="Arial" w:cs="Arial"/>
          <w:color w:val="000000" w:themeColor="text1"/>
        </w:rPr>
        <w:t>WO (Mini-Maxi): Overcome Limited Distribution (W2) by capitalising on the Rising Wellness Culture (O3) through initial digital penetration, mitigating the need for heavy capital outlay.</w:t>
      </w:r>
    </w:p>
    <w:p w14:paraId="5FD797F5" w14:textId="3C8F5BAB" w:rsidR="00EA3A8F" w:rsidRPr="00BC2B35" w:rsidRDefault="00EA3A8F" w:rsidP="00EA3A8F">
      <w:pPr>
        <w:spacing w:line="360" w:lineRule="auto"/>
        <w:rPr>
          <w:rFonts w:ascii="Arial" w:hAnsi="Arial" w:cs="Arial"/>
          <w:color w:val="000000" w:themeColor="text1"/>
        </w:rPr>
      </w:pPr>
      <w:r w:rsidRPr="00BC2B35">
        <w:rPr>
          <w:rFonts w:ascii="Arial" w:hAnsi="Arial" w:cs="Arial"/>
          <w:color w:val="000000" w:themeColor="text1"/>
        </w:rPr>
        <w:lastRenderedPageBreak/>
        <w:t>WT (Mini-Mini): The combination of High Price Point (W1) and Buyer Price Sensitivity (T3) mandates the Joint Venture (JV) Entry Strategy (Section 5.3) to share financial risk and secure local distribution.</w:t>
      </w:r>
    </w:p>
    <w:p w14:paraId="1AA37736" w14:textId="6CED7D99" w:rsidR="009E2DEE" w:rsidRPr="00BC2B35" w:rsidRDefault="00EA3A8F" w:rsidP="00EA3A8F">
      <w:pPr>
        <w:spacing w:line="360" w:lineRule="auto"/>
        <w:rPr>
          <w:rFonts w:ascii="Arial" w:hAnsi="Arial" w:cs="Arial"/>
          <w:color w:val="000000" w:themeColor="text1"/>
        </w:rPr>
      </w:pPr>
      <w:r w:rsidRPr="00BC2B35">
        <w:rPr>
          <w:rFonts w:ascii="Arial" w:hAnsi="Arial" w:cs="Arial"/>
          <w:color w:val="000000" w:themeColor="text1"/>
        </w:rPr>
        <w:t>Strategic Rationale: The strategy relies heavily on SO and ST alignment, confirming the feasibility of a Differentiation-Focus approach by leveraging unique internal competencies to exploit the market gap while systematically mitigating regulatory and price risks.</w:t>
      </w:r>
    </w:p>
    <w:p w14:paraId="6E6F39B6" w14:textId="77777777" w:rsidR="00956572" w:rsidRDefault="00956572" w:rsidP="006053D6">
      <w:pPr>
        <w:spacing w:line="360" w:lineRule="auto"/>
        <w:rPr>
          <w:rFonts w:ascii="Arial" w:hAnsi="Arial" w:cs="Arial"/>
          <w:color w:val="000000" w:themeColor="text1"/>
          <w:sz w:val="20"/>
          <w:szCs w:val="20"/>
        </w:rPr>
      </w:pPr>
    </w:p>
    <w:p w14:paraId="6925F381" w14:textId="77777777" w:rsidR="00BC2B35" w:rsidRDefault="00BC2B35" w:rsidP="006053D6">
      <w:pPr>
        <w:spacing w:line="360" w:lineRule="auto"/>
        <w:rPr>
          <w:rFonts w:ascii="Arial" w:hAnsi="Arial" w:cs="Arial"/>
          <w:color w:val="000000" w:themeColor="text1"/>
          <w:sz w:val="20"/>
          <w:szCs w:val="20"/>
        </w:rPr>
      </w:pPr>
    </w:p>
    <w:p w14:paraId="2103FC58" w14:textId="77777777" w:rsidR="00BC2B35" w:rsidRDefault="00BC2B35" w:rsidP="006053D6">
      <w:pPr>
        <w:spacing w:line="360" w:lineRule="auto"/>
        <w:rPr>
          <w:rFonts w:ascii="Arial" w:hAnsi="Arial" w:cs="Arial"/>
          <w:color w:val="000000" w:themeColor="text1"/>
          <w:sz w:val="20"/>
          <w:szCs w:val="20"/>
        </w:rPr>
      </w:pPr>
    </w:p>
    <w:p w14:paraId="2E69A2CF" w14:textId="77777777" w:rsidR="00BC2B35" w:rsidRDefault="00BC2B35" w:rsidP="006053D6">
      <w:pPr>
        <w:spacing w:line="360" w:lineRule="auto"/>
        <w:rPr>
          <w:rFonts w:ascii="Arial" w:hAnsi="Arial" w:cs="Arial"/>
          <w:color w:val="000000" w:themeColor="text1"/>
          <w:sz w:val="20"/>
          <w:szCs w:val="20"/>
        </w:rPr>
      </w:pPr>
    </w:p>
    <w:p w14:paraId="46A2DD53" w14:textId="77777777" w:rsidR="00BC2B35" w:rsidRDefault="00BC2B35" w:rsidP="006053D6">
      <w:pPr>
        <w:spacing w:line="360" w:lineRule="auto"/>
        <w:rPr>
          <w:rFonts w:ascii="Arial" w:hAnsi="Arial" w:cs="Arial"/>
          <w:color w:val="000000" w:themeColor="text1"/>
          <w:sz w:val="20"/>
          <w:szCs w:val="20"/>
        </w:rPr>
      </w:pPr>
    </w:p>
    <w:p w14:paraId="4AE1E4B4" w14:textId="77777777" w:rsidR="00BC2B35" w:rsidRDefault="00BC2B35" w:rsidP="006053D6">
      <w:pPr>
        <w:spacing w:line="360" w:lineRule="auto"/>
        <w:rPr>
          <w:rFonts w:ascii="Arial" w:hAnsi="Arial" w:cs="Arial"/>
          <w:color w:val="000000" w:themeColor="text1"/>
          <w:sz w:val="20"/>
          <w:szCs w:val="20"/>
        </w:rPr>
      </w:pPr>
    </w:p>
    <w:p w14:paraId="0E6CD5A9" w14:textId="77777777" w:rsidR="00BC2B35" w:rsidRDefault="00BC2B35" w:rsidP="006053D6">
      <w:pPr>
        <w:spacing w:line="360" w:lineRule="auto"/>
        <w:rPr>
          <w:rFonts w:ascii="Arial" w:hAnsi="Arial" w:cs="Arial"/>
          <w:color w:val="000000" w:themeColor="text1"/>
          <w:sz w:val="20"/>
          <w:szCs w:val="20"/>
        </w:rPr>
      </w:pPr>
    </w:p>
    <w:p w14:paraId="362ED552" w14:textId="77777777" w:rsidR="00BC2B35" w:rsidRDefault="00BC2B35" w:rsidP="006053D6">
      <w:pPr>
        <w:spacing w:line="360" w:lineRule="auto"/>
        <w:rPr>
          <w:rFonts w:ascii="Arial" w:hAnsi="Arial" w:cs="Arial"/>
          <w:color w:val="000000" w:themeColor="text1"/>
          <w:sz w:val="20"/>
          <w:szCs w:val="20"/>
        </w:rPr>
      </w:pPr>
    </w:p>
    <w:p w14:paraId="35F80623" w14:textId="77777777" w:rsidR="00BC2B35" w:rsidRDefault="00BC2B35" w:rsidP="006053D6">
      <w:pPr>
        <w:spacing w:line="360" w:lineRule="auto"/>
        <w:rPr>
          <w:rFonts w:ascii="Arial" w:hAnsi="Arial" w:cs="Arial"/>
          <w:color w:val="000000" w:themeColor="text1"/>
          <w:sz w:val="20"/>
          <w:szCs w:val="20"/>
        </w:rPr>
      </w:pPr>
    </w:p>
    <w:p w14:paraId="13676A2E" w14:textId="77777777" w:rsidR="00BC2B35" w:rsidRDefault="00BC2B35" w:rsidP="006053D6">
      <w:pPr>
        <w:spacing w:line="360" w:lineRule="auto"/>
        <w:rPr>
          <w:rFonts w:ascii="Arial" w:hAnsi="Arial" w:cs="Arial"/>
          <w:color w:val="000000" w:themeColor="text1"/>
          <w:sz w:val="20"/>
          <w:szCs w:val="20"/>
        </w:rPr>
      </w:pPr>
    </w:p>
    <w:p w14:paraId="052AF5A1" w14:textId="77777777" w:rsidR="00BC2B35" w:rsidRDefault="00BC2B35" w:rsidP="006053D6">
      <w:pPr>
        <w:spacing w:line="360" w:lineRule="auto"/>
        <w:rPr>
          <w:rFonts w:ascii="Arial" w:hAnsi="Arial" w:cs="Arial"/>
          <w:color w:val="000000" w:themeColor="text1"/>
          <w:sz w:val="20"/>
          <w:szCs w:val="20"/>
        </w:rPr>
      </w:pPr>
    </w:p>
    <w:p w14:paraId="01E7093A" w14:textId="77777777" w:rsidR="00BC2B35" w:rsidRDefault="00BC2B35" w:rsidP="006053D6">
      <w:pPr>
        <w:spacing w:line="360" w:lineRule="auto"/>
        <w:rPr>
          <w:rFonts w:ascii="Arial" w:hAnsi="Arial" w:cs="Arial"/>
          <w:color w:val="000000" w:themeColor="text1"/>
          <w:sz w:val="20"/>
          <w:szCs w:val="20"/>
        </w:rPr>
      </w:pPr>
    </w:p>
    <w:p w14:paraId="66D86560" w14:textId="77777777" w:rsidR="00BC2B35" w:rsidRDefault="00BC2B35" w:rsidP="006053D6">
      <w:pPr>
        <w:spacing w:line="360" w:lineRule="auto"/>
        <w:rPr>
          <w:rFonts w:ascii="Arial" w:hAnsi="Arial" w:cs="Arial"/>
          <w:color w:val="000000" w:themeColor="text1"/>
          <w:sz w:val="20"/>
          <w:szCs w:val="20"/>
        </w:rPr>
      </w:pPr>
    </w:p>
    <w:p w14:paraId="5F3ED6B1" w14:textId="77777777" w:rsidR="00BC2B35" w:rsidRDefault="00BC2B35" w:rsidP="006053D6">
      <w:pPr>
        <w:spacing w:line="360" w:lineRule="auto"/>
        <w:rPr>
          <w:rFonts w:ascii="Arial" w:hAnsi="Arial" w:cs="Arial"/>
          <w:color w:val="000000" w:themeColor="text1"/>
          <w:sz w:val="20"/>
          <w:szCs w:val="20"/>
        </w:rPr>
      </w:pPr>
    </w:p>
    <w:p w14:paraId="27197B12" w14:textId="77777777" w:rsidR="00BC2B35" w:rsidRDefault="00BC2B35" w:rsidP="006053D6">
      <w:pPr>
        <w:spacing w:line="360" w:lineRule="auto"/>
        <w:rPr>
          <w:rFonts w:ascii="Arial" w:hAnsi="Arial" w:cs="Arial"/>
          <w:color w:val="000000" w:themeColor="text1"/>
          <w:sz w:val="20"/>
          <w:szCs w:val="20"/>
        </w:rPr>
      </w:pPr>
    </w:p>
    <w:p w14:paraId="040104F1" w14:textId="77777777" w:rsidR="00BC2B35" w:rsidRDefault="00BC2B35" w:rsidP="006053D6">
      <w:pPr>
        <w:spacing w:line="360" w:lineRule="auto"/>
        <w:rPr>
          <w:rFonts w:ascii="Arial" w:hAnsi="Arial" w:cs="Arial"/>
          <w:color w:val="000000" w:themeColor="text1"/>
          <w:sz w:val="20"/>
          <w:szCs w:val="20"/>
        </w:rPr>
      </w:pPr>
    </w:p>
    <w:p w14:paraId="4831BC75" w14:textId="77777777" w:rsidR="00956572" w:rsidRDefault="00956572" w:rsidP="006053D6">
      <w:pPr>
        <w:spacing w:line="360" w:lineRule="auto"/>
        <w:rPr>
          <w:rFonts w:ascii="Arial" w:hAnsi="Arial" w:cs="Arial"/>
          <w:color w:val="000000" w:themeColor="text1"/>
          <w:sz w:val="20"/>
          <w:szCs w:val="20"/>
        </w:rPr>
      </w:pPr>
    </w:p>
    <w:p w14:paraId="063C4184" w14:textId="77777777" w:rsidR="00C21D7F" w:rsidRPr="00956572" w:rsidRDefault="00C21D7F" w:rsidP="006053D6">
      <w:pPr>
        <w:spacing w:line="360" w:lineRule="auto"/>
        <w:rPr>
          <w:rFonts w:ascii="Arial" w:hAnsi="Arial" w:cs="Arial"/>
          <w:color w:val="000000" w:themeColor="text1"/>
          <w:sz w:val="20"/>
          <w:szCs w:val="20"/>
        </w:rPr>
      </w:pPr>
    </w:p>
    <w:p w14:paraId="2609B13B" w14:textId="5E0111BD" w:rsidR="00CA2C80" w:rsidRPr="00CA2C80" w:rsidRDefault="00273429" w:rsidP="00CA2C80">
      <w:pPr>
        <w:pStyle w:val="Heading1"/>
        <w:shd w:val="clear" w:color="auto" w:fill="FF4747"/>
        <w:rPr>
          <w:rFonts w:ascii="Arial" w:hAnsi="Arial" w:cs="Arial"/>
          <w:color w:val="FFFFFF" w:themeColor="background1"/>
          <w:sz w:val="36"/>
          <w:szCs w:val="36"/>
        </w:rPr>
      </w:pPr>
      <w:bookmarkStart w:id="11" w:name="_Toc215314131"/>
      <w:r>
        <w:rPr>
          <w:rFonts w:ascii="Arial" w:hAnsi="Arial" w:cs="Arial"/>
          <w:color w:val="FFFFFF" w:themeColor="background1"/>
          <w:sz w:val="36"/>
          <w:szCs w:val="36"/>
        </w:rPr>
        <w:lastRenderedPageBreak/>
        <w:t>4</w:t>
      </w:r>
      <w:r w:rsidR="00CA2C80" w:rsidRPr="00CA2C80">
        <w:rPr>
          <w:rFonts w:ascii="Arial" w:hAnsi="Arial" w:cs="Arial"/>
          <w:color w:val="FFFFFF" w:themeColor="background1"/>
          <w:sz w:val="36"/>
          <w:szCs w:val="36"/>
        </w:rPr>
        <w:t>. Internal Organisational Analysis</w:t>
      </w:r>
      <w:bookmarkEnd w:id="11"/>
    </w:p>
    <w:p w14:paraId="736A1B8E" w14:textId="77777777" w:rsidR="00CA2C80" w:rsidRDefault="00CA2C80" w:rsidP="00CA2C80">
      <w:pPr>
        <w:rPr>
          <w:b/>
          <w:bCs/>
        </w:rPr>
      </w:pPr>
    </w:p>
    <w:p w14:paraId="5CE0E98E" w14:textId="5DBB383A" w:rsidR="00CA2C80" w:rsidRPr="00CA2C80" w:rsidRDefault="00273429" w:rsidP="00CA2C80">
      <w:pPr>
        <w:pStyle w:val="Heading2"/>
        <w:rPr>
          <w:rFonts w:ascii="Arial" w:hAnsi="Arial" w:cs="Arial"/>
          <w:color w:val="000000" w:themeColor="text1"/>
          <w:sz w:val="28"/>
          <w:szCs w:val="28"/>
        </w:rPr>
      </w:pPr>
      <w:bookmarkStart w:id="12" w:name="_Toc215314132"/>
      <w:r>
        <w:rPr>
          <w:rFonts w:ascii="Arial" w:hAnsi="Arial" w:cs="Arial"/>
          <w:color w:val="000000" w:themeColor="text1"/>
          <w:sz w:val="28"/>
          <w:szCs w:val="28"/>
        </w:rPr>
        <w:t>4</w:t>
      </w:r>
      <w:r w:rsidR="00CA2C80" w:rsidRPr="00CA2C80">
        <w:rPr>
          <w:rFonts w:ascii="Arial" w:hAnsi="Arial" w:cs="Arial"/>
          <w:color w:val="000000" w:themeColor="text1"/>
          <w:sz w:val="28"/>
          <w:szCs w:val="28"/>
        </w:rPr>
        <w:t>.1 Overview of Lululemon’s Internal Environment</w:t>
      </w:r>
      <w:bookmarkEnd w:id="12"/>
    </w:p>
    <w:p w14:paraId="3B6CC8DC" w14:textId="77777777" w:rsidR="00CA2C80" w:rsidRPr="00CA2C80" w:rsidRDefault="00CA2C80" w:rsidP="00CA2C80">
      <w:pPr>
        <w:rPr>
          <w:b/>
          <w:bCs/>
        </w:rPr>
      </w:pPr>
    </w:p>
    <w:p w14:paraId="09C65270" w14:textId="22F86685"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 xml:space="preserve">Lululemon’s internal environment is defined by a portfolio of intangible resources and capabilities that align strongly with the assumptions of the Resource-Based View (RBV). According to Barney (1991) and Peteraf (1993), sustainable competitive advantage arises when resources are valuable, rare, inimitable, and supported by an organisation capable of leveraging them effectively. Yet, RBV has been criticised for insufficiently addressing contextual contingencies (Priem </w:t>
      </w:r>
      <w:r>
        <w:rPr>
          <w:rFonts w:ascii="Arial" w:hAnsi="Arial" w:cs="Arial"/>
          <w:color w:val="000000" w:themeColor="text1"/>
        </w:rPr>
        <w:t>and</w:t>
      </w:r>
      <w:r w:rsidRPr="00BA12D8">
        <w:rPr>
          <w:rFonts w:ascii="Arial" w:hAnsi="Arial" w:cs="Arial"/>
          <w:color w:val="000000" w:themeColor="text1"/>
        </w:rPr>
        <w:t xml:space="preserve"> Butler, 2001); therefore, when assessing transferability to emerging markets, institutional distance and local constraints must be considered (Peng, 2022).</w:t>
      </w:r>
    </w:p>
    <w:p w14:paraId="2613A992" w14:textId="185549D6" w:rsidR="00984F6D" w:rsidRDefault="00BA12D8" w:rsidP="00BA12D8">
      <w:pPr>
        <w:spacing w:line="360" w:lineRule="auto"/>
        <w:rPr>
          <w:rFonts w:ascii="Arial" w:hAnsi="Arial" w:cs="Arial"/>
          <w:color w:val="000000" w:themeColor="text1"/>
        </w:rPr>
      </w:pPr>
      <w:r w:rsidRPr="00BA12D8">
        <w:rPr>
          <w:rFonts w:ascii="Arial" w:hAnsi="Arial" w:cs="Arial"/>
          <w:color w:val="000000" w:themeColor="text1"/>
        </w:rPr>
        <w:t>This section applies a VRIO lens to identify which of Lululemon’s key resources can realistically support competitive advantage in India’s regulatory, cultural and price-sensitive environment. A summary matrix is presented in Table A1 (Appendix A), followed by targeted managerial recommendations aligned with India-specific constraints.</w:t>
      </w:r>
    </w:p>
    <w:p w14:paraId="35E37245" w14:textId="77777777" w:rsidR="00BA12D8" w:rsidRDefault="00BA12D8" w:rsidP="00BA12D8">
      <w:pPr>
        <w:spacing w:line="360" w:lineRule="auto"/>
        <w:rPr>
          <w:rFonts w:ascii="Arial" w:hAnsi="Arial" w:cs="Arial"/>
          <w:color w:val="000000" w:themeColor="text1"/>
        </w:rPr>
      </w:pPr>
    </w:p>
    <w:p w14:paraId="2B289C70" w14:textId="6863E728" w:rsidR="00B1795F" w:rsidRPr="00B1795F" w:rsidRDefault="00B1795F" w:rsidP="00B1795F">
      <w:pPr>
        <w:pStyle w:val="Heading2"/>
        <w:rPr>
          <w:rFonts w:ascii="Arial" w:hAnsi="Arial" w:cs="Arial"/>
          <w:color w:val="000000" w:themeColor="text1"/>
          <w:sz w:val="28"/>
          <w:szCs w:val="28"/>
        </w:rPr>
      </w:pPr>
      <w:bookmarkStart w:id="13" w:name="_Toc215314133"/>
      <w:r w:rsidRPr="00B1795F">
        <w:rPr>
          <w:rFonts w:ascii="Arial" w:hAnsi="Arial" w:cs="Arial"/>
          <w:color w:val="000000" w:themeColor="text1"/>
          <w:sz w:val="28"/>
          <w:szCs w:val="28"/>
        </w:rPr>
        <w:t>4.2 VRIO Analysis of Key Resources and Capabilities</w:t>
      </w:r>
      <w:bookmarkEnd w:id="13"/>
    </w:p>
    <w:p w14:paraId="24E88C17" w14:textId="77777777" w:rsidR="00EF5AD7" w:rsidRPr="00EF5AD7" w:rsidRDefault="00EF5AD7" w:rsidP="00EF5AD7">
      <w:pPr>
        <w:spacing w:line="360" w:lineRule="auto"/>
        <w:rPr>
          <w:rFonts w:ascii="Arial" w:hAnsi="Arial" w:cs="Arial"/>
          <w:color w:val="000000" w:themeColor="text1"/>
        </w:rPr>
      </w:pPr>
    </w:p>
    <w:p w14:paraId="195C0C9E" w14:textId="4BC4786C" w:rsidR="00B1795F" w:rsidRDefault="00B1795F" w:rsidP="00D15280">
      <w:pPr>
        <w:pStyle w:val="Heading3"/>
        <w:tabs>
          <w:tab w:val="center" w:pos="4680"/>
        </w:tabs>
        <w:rPr>
          <w:rFonts w:ascii="Arial" w:hAnsi="Arial" w:cs="Arial"/>
          <w:color w:val="000000" w:themeColor="text1"/>
          <w:sz w:val="24"/>
          <w:szCs w:val="24"/>
        </w:rPr>
      </w:pPr>
      <w:bookmarkStart w:id="14" w:name="_Toc215314134"/>
      <w:r>
        <w:rPr>
          <w:rFonts w:ascii="Arial" w:hAnsi="Arial" w:cs="Arial"/>
          <w:color w:val="000000" w:themeColor="text1"/>
          <w:sz w:val="24"/>
          <w:szCs w:val="24"/>
        </w:rPr>
        <w:t>4</w:t>
      </w:r>
      <w:r w:rsidRPr="00B1795F">
        <w:rPr>
          <w:rFonts w:ascii="Arial" w:hAnsi="Arial" w:cs="Arial"/>
          <w:color w:val="000000" w:themeColor="text1"/>
          <w:sz w:val="24"/>
          <w:szCs w:val="24"/>
        </w:rPr>
        <w:t xml:space="preserve">.2.1 </w:t>
      </w:r>
      <w:r w:rsidR="00BA12D8" w:rsidRPr="00BA12D8">
        <w:rPr>
          <w:rFonts w:ascii="Arial" w:hAnsi="Arial" w:cs="Arial"/>
          <w:color w:val="000000" w:themeColor="text1"/>
          <w:sz w:val="24"/>
          <w:szCs w:val="24"/>
        </w:rPr>
        <w:t>Brand Equity and the “Sweatlife” Community Ecosystem</w:t>
      </w:r>
      <w:bookmarkEnd w:id="14"/>
    </w:p>
    <w:p w14:paraId="17726BA0" w14:textId="77777777" w:rsidR="00D15280" w:rsidRPr="00D15280" w:rsidRDefault="00D15280" w:rsidP="00D15280"/>
    <w:p w14:paraId="71E375C6" w14:textId="7D7675D8"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Lululemon’s brand equity</w:t>
      </w:r>
      <w:r>
        <w:rPr>
          <w:rFonts w:ascii="Arial" w:hAnsi="Arial" w:cs="Arial"/>
          <w:color w:val="000000" w:themeColor="text1"/>
        </w:rPr>
        <w:t xml:space="preserve">, </w:t>
      </w:r>
      <w:r w:rsidRPr="00BA12D8">
        <w:rPr>
          <w:rFonts w:ascii="Arial" w:hAnsi="Arial" w:cs="Arial"/>
          <w:color w:val="000000" w:themeColor="text1"/>
        </w:rPr>
        <w:t>rooted in emotional identification, experiential retail, and lifestyle signalling</w:t>
      </w:r>
      <w:r>
        <w:rPr>
          <w:rFonts w:ascii="Arial" w:hAnsi="Arial" w:cs="Arial"/>
          <w:color w:val="000000" w:themeColor="text1"/>
        </w:rPr>
        <w:t xml:space="preserve">, </w:t>
      </w:r>
      <w:r w:rsidRPr="00BA12D8">
        <w:rPr>
          <w:rFonts w:ascii="Arial" w:hAnsi="Arial" w:cs="Arial"/>
          <w:color w:val="000000" w:themeColor="text1"/>
        </w:rPr>
        <w:t>meets VRIO criteria of rarity and inimitability (Aaker, 1996; Keller, 2013). The “Sweatlife” community model and ambassador programme create tacit, socially embedded value that mass-market competitors struggle to replicate (Holt, 2004).</w:t>
      </w:r>
    </w:p>
    <w:p w14:paraId="3E2A3380" w14:textId="77777777"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Contextual limitation:</w:t>
      </w:r>
    </w:p>
    <w:p w14:paraId="3C033F47" w14:textId="74F58CA5"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 xml:space="preserve">In India, yoga is culturally embedded as a spiritual and philosophical practice. Lululemon’s Westernised “yoga-as-lifestyle” framing may risk cultural incongruence (Khanna </w:t>
      </w:r>
      <w:r>
        <w:rPr>
          <w:rFonts w:ascii="Arial" w:hAnsi="Arial" w:cs="Arial"/>
          <w:color w:val="000000" w:themeColor="text1"/>
        </w:rPr>
        <w:t>and</w:t>
      </w:r>
      <w:r w:rsidRPr="00BA12D8">
        <w:rPr>
          <w:rFonts w:ascii="Arial" w:hAnsi="Arial" w:cs="Arial"/>
          <w:color w:val="000000" w:themeColor="text1"/>
        </w:rPr>
        <w:t xml:space="preserve"> Sengupta, 2020), reducing authenticity.</w:t>
      </w:r>
    </w:p>
    <w:p w14:paraId="639F4EA6" w14:textId="77777777"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Managerial implication:</w:t>
      </w:r>
    </w:p>
    <w:p w14:paraId="7D03F617" w14:textId="7199178F" w:rsidR="00EF5AD7" w:rsidRDefault="00BA12D8" w:rsidP="00BA12D8">
      <w:pPr>
        <w:spacing w:line="360" w:lineRule="auto"/>
        <w:rPr>
          <w:rFonts w:ascii="Arial" w:hAnsi="Arial" w:cs="Arial"/>
          <w:color w:val="000000" w:themeColor="text1"/>
        </w:rPr>
      </w:pPr>
      <w:r w:rsidRPr="00BA12D8">
        <w:rPr>
          <w:rFonts w:ascii="Arial" w:hAnsi="Arial" w:cs="Arial"/>
          <w:color w:val="000000" w:themeColor="text1"/>
        </w:rPr>
        <w:lastRenderedPageBreak/>
        <w:t>Lululemon must re-contextualise its brand narrative, institutionalising a local ambassador system that features Indian yoga teachers, spiritual practitioners, and wellness influencers. This adaptation enhances authenticity and protects brand equity in a culturally sensitive environment.</w:t>
      </w:r>
    </w:p>
    <w:p w14:paraId="217D572C" w14:textId="2E745F1F" w:rsidR="008B24EC" w:rsidRDefault="008B24EC" w:rsidP="00BA12D8">
      <w:pPr>
        <w:spacing w:line="360" w:lineRule="auto"/>
        <w:rPr>
          <w:rFonts w:ascii="Arial" w:hAnsi="Arial" w:cs="Arial"/>
          <w:color w:val="000000" w:themeColor="text1"/>
        </w:rPr>
      </w:pPr>
      <w:r w:rsidRPr="008B24EC">
        <w:rPr>
          <w:rFonts w:ascii="Arial" w:hAnsi="Arial" w:cs="Arial"/>
          <w:color w:val="000000" w:themeColor="text1"/>
        </w:rPr>
        <w:t>Brand authenticity and cultural resonance are critical for sustaining premium positioning in emerging markets (Beverland, 2005).</w:t>
      </w:r>
    </w:p>
    <w:p w14:paraId="46F6B02F" w14:textId="77777777" w:rsidR="00BA12D8" w:rsidRPr="00EF5AD7" w:rsidRDefault="00BA12D8" w:rsidP="00BA12D8">
      <w:pPr>
        <w:spacing w:line="360" w:lineRule="auto"/>
        <w:rPr>
          <w:b/>
          <w:bCs/>
          <w:color w:val="000000" w:themeColor="text1"/>
        </w:rPr>
      </w:pPr>
    </w:p>
    <w:p w14:paraId="34BF916C" w14:textId="76FB4A6B" w:rsidR="00D15280" w:rsidRDefault="00D15280" w:rsidP="00D15280">
      <w:pPr>
        <w:pStyle w:val="Heading3"/>
        <w:tabs>
          <w:tab w:val="center" w:pos="4680"/>
        </w:tabs>
        <w:rPr>
          <w:rFonts w:ascii="Arial" w:hAnsi="Arial" w:cs="Arial"/>
          <w:color w:val="000000" w:themeColor="text1"/>
          <w:sz w:val="24"/>
          <w:szCs w:val="24"/>
        </w:rPr>
      </w:pPr>
      <w:bookmarkStart w:id="15" w:name="_Toc215314135"/>
      <w:r w:rsidRPr="00D15280">
        <w:rPr>
          <w:rFonts w:ascii="Arial" w:hAnsi="Arial" w:cs="Arial"/>
          <w:color w:val="000000" w:themeColor="text1"/>
          <w:sz w:val="24"/>
          <w:szCs w:val="24"/>
        </w:rPr>
        <w:t xml:space="preserve">4.2.2 </w:t>
      </w:r>
      <w:r w:rsidR="0018775D" w:rsidRPr="0018775D">
        <w:rPr>
          <w:rFonts w:ascii="Arial" w:hAnsi="Arial" w:cs="Arial"/>
          <w:color w:val="000000" w:themeColor="text1"/>
          <w:sz w:val="24"/>
          <w:szCs w:val="24"/>
        </w:rPr>
        <w:t>Proprietary Fabric Technologies (Nulu™, Nulux™, Everlux™</w:t>
      </w:r>
      <w:r w:rsidRPr="00D15280">
        <w:rPr>
          <w:rFonts w:ascii="Arial" w:hAnsi="Arial" w:cs="Arial"/>
          <w:color w:val="000000" w:themeColor="text1"/>
          <w:sz w:val="24"/>
          <w:szCs w:val="24"/>
        </w:rPr>
        <w:t>)</w:t>
      </w:r>
      <w:bookmarkEnd w:id="15"/>
    </w:p>
    <w:p w14:paraId="0C04A810" w14:textId="77777777" w:rsidR="00D15280" w:rsidRPr="00D15280" w:rsidRDefault="00D15280" w:rsidP="00D15280"/>
    <w:p w14:paraId="4E1646BC" w14:textId="6E12041E" w:rsidR="00BA12D8" w:rsidRPr="00BA12D8" w:rsidRDefault="00BA12D8" w:rsidP="00BA12D8">
      <w:pPr>
        <w:spacing w:line="360" w:lineRule="auto"/>
        <w:rPr>
          <w:rFonts w:ascii="Arial" w:hAnsi="Arial" w:cs="Arial"/>
        </w:rPr>
      </w:pPr>
      <w:r w:rsidRPr="00BA12D8">
        <w:rPr>
          <w:rFonts w:ascii="Arial" w:hAnsi="Arial" w:cs="Arial"/>
        </w:rPr>
        <w:t>Lululemon’s differentiating technological capabilities</w:t>
      </w:r>
      <w:r>
        <w:rPr>
          <w:rFonts w:ascii="Arial" w:hAnsi="Arial" w:cs="Arial"/>
        </w:rPr>
        <w:t xml:space="preserve">, </w:t>
      </w:r>
      <w:r w:rsidRPr="00BA12D8">
        <w:rPr>
          <w:rFonts w:ascii="Arial" w:hAnsi="Arial" w:cs="Arial"/>
        </w:rPr>
        <w:t>moisture-wicking innovations, stretch engineering and proprietary fabric IP</w:t>
      </w:r>
      <w:r>
        <w:rPr>
          <w:rFonts w:ascii="Arial" w:hAnsi="Arial" w:cs="Arial"/>
        </w:rPr>
        <w:t xml:space="preserve"> </w:t>
      </w:r>
      <w:r w:rsidRPr="00BA12D8">
        <w:rPr>
          <w:rFonts w:ascii="Arial" w:hAnsi="Arial" w:cs="Arial"/>
        </w:rPr>
        <w:t>are rare, valuable and costly to imitate (Grant, 2019). These underlie its premium positioning and justify higher price points relative to domestic competitors such as BlissClub and HRX.</w:t>
      </w:r>
    </w:p>
    <w:p w14:paraId="47A47C87" w14:textId="77777777" w:rsidR="00BA12D8" w:rsidRPr="00BA12D8" w:rsidRDefault="00BA12D8" w:rsidP="00BA12D8">
      <w:pPr>
        <w:spacing w:line="360" w:lineRule="auto"/>
        <w:rPr>
          <w:rFonts w:ascii="Arial" w:hAnsi="Arial" w:cs="Arial"/>
        </w:rPr>
      </w:pPr>
      <w:r w:rsidRPr="00BA12D8">
        <w:rPr>
          <w:rFonts w:ascii="Arial" w:hAnsi="Arial" w:cs="Arial"/>
        </w:rPr>
        <w:t>Contextual limitation:</w:t>
      </w:r>
    </w:p>
    <w:p w14:paraId="139CE71D" w14:textId="3876833C" w:rsidR="00BA12D8" w:rsidRPr="00BA12D8" w:rsidRDefault="00BA12D8" w:rsidP="00BA12D8">
      <w:pPr>
        <w:spacing w:line="360" w:lineRule="auto"/>
        <w:rPr>
          <w:rFonts w:ascii="Arial" w:hAnsi="Arial" w:cs="Arial"/>
        </w:rPr>
      </w:pPr>
      <w:r w:rsidRPr="00BA12D8">
        <w:rPr>
          <w:rFonts w:ascii="Arial" w:hAnsi="Arial" w:cs="Arial"/>
        </w:rPr>
        <w:t>India’s 30% local sourcing requirement (DPIIT, 2018) may force dependence on MSME suppliers with limited capacity to meet technical specifications, risking lower product integrity and eroding inimitability.</w:t>
      </w:r>
    </w:p>
    <w:p w14:paraId="055AEEFF" w14:textId="77777777" w:rsidR="00BA12D8" w:rsidRPr="00BA12D8" w:rsidRDefault="00BA12D8" w:rsidP="00BA12D8">
      <w:pPr>
        <w:spacing w:line="360" w:lineRule="auto"/>
        <w:rPr>
          <w:rFonts w:ascii="Arial" w:hAnsi="Arial" w:cs="Arial"/>
        </w:rPr>
      </w:pPr>
      <w:r w:rsidRPr="00BA12D8">
        <w:rPr>
          <w:rFonts w:ascii="Arial" w:hAnsi="Arial" w:cs="Arial"/>
        </w:rPr>
        <w:t>Managerial implication:</w:t>
      </w:r>
    </w:p>
    <w:p w14:paraId="756C72ED" w14:textId="4434D9A0" w:rsidR="00BA12D8" w:rsidRPr="00BA12D8" w:rsidRDefault="00BA12D8" w:rsidP="00BA12D8">
      <w:pPr>
        <w:spacing w:line="360" w:lineRule="auto"/>
        <w:rPr>
          <w:rFonts w:ascii="Arial" w:hAnsi="Arial" w:cs="Arial"/>
        </w:rPr>
      </w:pPr>
      <w:r w:rsidRPr="00BA12D8">
        <w:rPr>
          <w:rFonts w:ascii="Arial" w:hAnsi="Arial" w:cs="Arial"/>
        </w:rPr>
        <w:t>Lululemon should maintain centralised production for core technical fabrics while localising only low-risk SKUs (mats, accessories, basic tops). This hybrid sourcing model ensures both regulatory compliance and quality preservation.</w:t>
      </w:r>
    </w:p>
    <w:p w14:paraId="3102BBDC" w14:textId="5C81E0F6" w:rsidR="00D17F9C" w:rsidRDefault="00BA12D8" w:rsidP="00BA12D8">
      <w:pPr>
        <w:spacing w:line="360" w:lineRule="auto"/>
        <w:rPr>
          <w:rFonts w:ascii="Arial" w:hAnsi="Arial" w:cs="Arial"/>
        </w:rPr>
      </w:pPr>
      <w:r w:rsidRPr="00BA12D8">
        <w:rPr>
          <w:rFonts w:ascii="Arial" w:hAnsi="Arial" w:cs="Arial"/>
        </w:rPr>
        <w:t>Reference details are summarised in Table A1 and Table A3 (Appendix A).</w:t>
      </w:r>
    </w:p>
    <w:p w14:paraId="67C5DB55" w14:textId="77777777" w:rsidR="00BA12D8" w:rsidRPr="00D17F9C" w:rsidRDefault="00BA12D8" w:rsidP="00BA12D8">
      <w:pPr>
        <w:spacing w:line="360" w:lineRule="auto"/>
        <w:rPr>
          <w:rFonts w:ascii="Arial" w:hAnsi="Arial" w:cs="Arial"/>
        </w:rPr>
      </w:pPr>
    </w:p>
    <w:p w14:paraId="683D005D" w14:textId="0AC1329B" w:rsidR="006C7EA4" w:rsidRDefault="00D17F9C" w:rsidP="00BA12D8">
      <w:pPr>
        <w:pStyle w:val="Heading3"/>
        <w:tabs>
          <w:tab w:val="center" w:pos="4680"/>
        </w:tabs>
        <w:rPr>
          <w:rFonts w:ascii="Arial" w:hAnsi="Arial" w:cs="Arial"/>
          <w:color w:val="000000" w:themeColor="text1"/>
          <w:sz w:val="24"/>
          <w:szCs w:val="24"/>
        </w:rPr>
      </w:pPr>
      <w:bookmarkStart w:id="16" w:name="_Toc215314136"/>
      <w:r w:rsidRPr="00D17F9C">
        <w:rPr>
          <w:rFonts w:ascii="Arial" w:hAnsi="Arial" w:cs="Arial"/>
          <w:color w:val="000000" w:themeColor="text1"/>
          <w:sz w:val="24"/>
          <w:szCs w:val="24"/>
        </w:rPr>
        <w:t>4</w:t>
      </w:r>
      <w:r w:rsidR="006C7EA4" w:rsidRPr="00D17F9C">
        <w:rPr>
          <w:rFonts w:ascii="Arial" w:hAnsi="Arial" w:cs="Arial"/>
          <w:color w:val="000000" w:themeColor="text1"/>
          <w:sz w:val="24"/>
          <w:szCs w:val="24"/>
        </w:rPr>
        <w:t xml:space="preserve">.2.3 Organisational Culture </w:t>
      </w:r>
      <w:r w:rsidRPr="00D17F9C">
        <w:rPr>
          <w:rFonts w:ascii="Arial" w:hAnsi="Arial" w:cs="Arial"/>
          <w:color w:val="000000" w:themeColor="text1"/>
          <w:sz w:val="24"/>
          <w:szCs w:val="24"/>
        </w:rPr>
        <w:t>and</w:t>
      </w:r>
      <w:r w:rsidR="006C7EA4" w:rsidRPr="00D17F9C">
        <w:rPr>
          <w:rFonts w:ascii="Arial" w:hAnsi="Arial" w:cs="Arial"/>
          <w:color w:val="000000" w:themeColor="text1"/>
          <w:sz w:val="24"/>
          <w:szCs w:val="24"/>
        </w:rPr>
        <w:t xml:space="preserve"> Human Capital</w:t>
      </w:r>
      <w:bookmarkEnd w:id="16"/>
    </w:p>
    <w:p w14:paraId="2E8D255B" w14:textId="77777777" w:rsidR="00BA12D8" w:rsidRPr="00BA12D8" w:rsidRDefault="00BA12D8" w:rsidP="00BA12D8"/>
    <w:p w14:paraId="0E2679CD" w14:textId="367BDC56"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Lululemon’s organisational culture</w:t>
      </w:r>
      <w:r>
        <w:rPr>
          <w:rFonts w:ascii="Arial" w:hAnsi="Arial" w:cs="Arial"/>
          <w:color w:val="000000" w:themeColor="text1"/>
        </w:rPr>
        <w:t xml:space="preserve">, </w:t>
      </w:r>
      <w:r w:rsidRPr="00BA12D8">
        <w:rPr>
          <w:rFonts w:ascii="Arial" w:hAnsi="Arial" w:cs="Arial"/>
          <w:color w:val="000000" w:themeColor="text1"/>
        </w:rPr>
        <w:t>characterised by empowerment, decentralised decision-making, and experiential service</w:t>
      </w:r>
      <w:r>
        <w:rPr>
          <w:rFonts w:ascii="Arial" w:hAnsi="Arial" w:cs="Arial"/>
          <w:color w:val="000000" w:themeColor="text1"/>
        </w:rPr>
        <w:t xml:space="preserve">, </w:t>
      </w:r>
      <w:r w:rsidRPr="00BA12D8">
        <w:rPr>
          <w:rFonts w:ascii="Arial" w:hAnsi="Arial" w:cs="Arial"/>
          <w:color w:val="000000" w:themeColor="text1"/>
        </w:rPr>
        <w:t>constitutes a deeply tacit and hard-to-imitate capability (Teece, 2014). Employee training, goal-setting practices and in-store rituals create strong internal cohesion and customer engagement (Kozinets et al., 2010).</w:t>
      </w:r>
    </w:p>
    <w:p w14:paraId="751B61B2" w14:textId="77777777"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lastRenderedPageBreak/>
        <w:t>Contextual limitation:</w:t>
      </w:r>
    </w:p>
    <w:p w14:paraId="61F43592" w14:textId="087EFD1F"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Cultural distance (Ghemawat, 2001) limits the automatic transferability of these routines. Misalignment with Indian expectations around modesty, spirituality, gender norms and service scripts could reduce customer resonance and employee effectiveness.</w:t>
      </w:r>
    </w:p>
    <w:p w14:paraId="70B81A5F" w14:textId="77777777"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Managerial implication:</w:t>
      </w:r>
    </w:p>
    <w:p w14:paraId="7C71E5FC" w14:textId="61D8A3C6" w:rsidR="00DC3DDD" w:rsidRDefault="00BA12D8" w:rsidP="00BA12D8">
      <w:pPr>
        <w:spacing w:line="360" w:lineRule="auto"/>
        <w:rPr>
          <w:rFonts w:ascii="Arial" w:hAnsi="Arial" w:cs="Arial"/>
          <w:color w:val="000000" w:themeColor="text1"/>
        </w:rPr>
      </w:pPr>
      <w:r w:rsidRPr="00BA12D8">
        <w:rPr>
          <w:rFonts w:ascii="Arial" w:hAnsi="Arial" w:cs="Arial"/>
          <w:color w:val="000000" w:themeColor="text1"/>
        </w:rPr>
        <w:t>Lululemon should implement a Cultural Integration Training Toolkit (see Table A2, Appendix A), incorporating Indian wellness traditions, greeting norms, and community-building practices. This ensures organisational culture remains valuable and relevant in context.</w:t>
      </w:r>
    </w:p>
    <w:p w14:paraId="6387B260" w14:textId="77777777" w:rsidR="00BA12D8" w:rsidRPr="001B614C" w:rsidRDefault="00BA12D8" w:rsidP="00BA12D8">
      <w:pPr>
        <w:spacing w:line="360" w:lineRule="auto"/>
        <w:rPr>
          <w:rFonts w:ascii="Arial" w:hAnsi="Arial" w:cs="Arial"/>
          <w:color w:val="000000" w:themeColor="text1"/>
        </w:rPr>
      </w:pPr>
    </w:p>
    <w:p w14:paraId="023A472C" w14:textId="3B4D6526" w:rsidR="001B614C" w:rsidRDefault="00C76DE7" w:rsidP="00C76DE7">
      <w:pPr>
        <w:pStyle w:val="Heading3"/>
        <w:tabs>
          <w:tab w:val="center" w:pos="4680"/>
        </w:tabs>
        <w:rPr>
          <w:rFonts w:ascii="Arial" w:hAnsi="Arial" w:cs="Arial"/>
          <w:color w:val="000000" w:themeColor="text1"/>
          <w:sz w:val="24"/>
          <w:szCs w:val="24"/>
        </w:rPr>
      </w:pPr>
      <w:bookmarkStart w:id="17" w:name="_Toc215314137"/>
      <w:r>
        <w:rPr>
          <w:rFonts w:ascii="Arial" w:hAnsi="Arial" w:cs="Arial"/>
          <w:color w:val="000000" w:themeColor="text1"/>
          <w:sz w:val="24"/>
          <w:szCs w:val="24"/>
        </w:rPr>
        <w:t>4</w:t>
      </w:r>
      <w:r w:rsidR="001B614C" w:rsidRPr="001B614C">
        <w:rPr>
          <w:rFonts w:ascii="Arial" w:hAnsi="Arial" w:cs="Arial"/>
          <w:color w:val="000000" w:themeColor="text1"/>
          <w:sz w:val="24"/>
          <w:szCs w:val="24"/>
        </w:rPr>
        <w:t xml:space="preserve">.2.4 </w:t>
      </w:r>
      <w:r w:rsidR="00BA12D8" w:rsidRPr="00BA12D8">
        <w:rPr>
          <w:rFonts w:ascii="Arial" w:hAnsi="Arial" w:cs="Arial"/>
          <w:color w:val="000000" w:themeColor="text1"/>
          <w:sz w:val="24"/>
          <w:szCs w:val="24"/>
        </w:rPr>
        <w:t>Financial Strength and Investment Capability</w:t>
      </w:r>
      <w:bookmarkEnd w:id="17"/>
    </w:p>
    <w:p w14:paraId="30413A84" w14:textId="77777777" w:rsidR="00C76DE7" w:rsidRPr="00C76DE7" w:rsidRDefault="00C76DE7" w:rsidP="00C76DE7"/>
    <w:p w14:paraId="5A5FBBE9" w14:textId="1D714150"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Lululemon’s strong financial base</w:t>
      </w:r>
      <w:r>
        <w:rPr>
          <w:rFonts w:ascii="Arial" w:hAnsi="Arial" w:cs="Arial"/>
          <w:color w:val="000000" w:themeColor="text1"/>
        </w:rPr>
        <w:t xml:space="preserve"> - </w:t>
      </w:r>
      <w:r w:rsidRPr="00BA12D8">
        <w:rPr>
          <w:rFonts w:ascii="Arial" w:hAnsi="Arial" w:cs="Arial"/>
          <w:color w:val="000000" w:themeColor="text1"/>
        </w:rPr>
        <w:t xml:space="preserve">$10.3bn revenue, $1.55bn net </w:t>
      </w:r>
      <w:r w:rsidR="00725B86">
        <w:rPr>
          <w:rFonts w:ascii="Arial" w:hAnsi="Arial" w:cs="Arial"/>
          <w:color w:val="000000" w:themeColor="text1"/>
        </w:rPr>
        <w:t>profit</w:t>
      </w:r>
      <w:r w:rsidRPr="00BA12D8">
        <w:rPr>
          <w:rFonts w:ascii="Arial" w:hAnsi="Arial" w:cs="Arial"/>
          <w:color w:val="000000" w:themeColor="text1"/>
        </w:rPr>
        <w:t xml:space="preserve"> and $2.2bn in cash reserves (Lululemon Annual Report, 2024)</w:t>
      </w:r>
      <w:r>
        <w:rPr>
          <w:rFonts w:ascii="Arial" w:hAnsi="Arial" w:cs="Arial"/>
          <w:color w:val="000000" w:themeColor="text1"/>
        </w:rPr>
        <w:t xml:space="preserve"> - </w:t>
      </w:r>
      <w:r w:rsidRPr="00BA12D8">
        <w:rPr>
          <w:rFonts w:ascii="Arial" w:hAnsi="Arial" w:cs="Arial"/>
          <w:color w:val="000000" w:themeColor="text1"/>
        </w:rPr>
        <w:t>confirms significant investment capacity for international expansion. High gross margins (≈58%) provide strategic flexibility to sustain premium entry in price-sensitive markets. Financial capability indicators are summarised in Table A3 (Appendix A).</w:t>
      </w:r>
    </w:p>
    <w:p w14:paraId="25B8C4B8" w14:textId="77777777"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Critical constraint:</w:t>
      </w:r>
    </w:p>
    <w:p w14:paraId="39232816" w14:textId="0F86B1B7"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A vertically controlled supply chain conflicts with India’s local sourcing mandate, potentially increasing operational costs and extending lead times.</w:t>
      </w:r>
    </w:p>
    <w:p w14:paraId="73514B48" w14:textId="63A20375"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Strategic recommendation</w:t>
      </w:r>
      <w:r>
        <w:rPr>
          <w:rFonts w:ascii="Arial" w:hAnsi="Arial" w:cs="Arial"/>
          <w:color w:val="000000" w:themeColor="text1"/>
        </w:rPr>
        <w:t xml:space="preserve"> - </w:t>
      </w:r>
      <w:r w:rsidRPr="00BA12D8">
        <w:rPr>
          <w:rFonts w:ascii="Arial" w:hAnsi="Arial" w:cs="Arial"/>
          <w:color w:val="000000" w:themeColor="text1"/>
        </w:rPr>
        <w:t>Adopt a phased investment model:</w:t>
      </w:r>
    </w:p>
    <w:p w14:paraId="7B8F86F7" w14:textId="218FB95B"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Phase 1: Enter via a Joint Venture with a premium retail partner (e.g., Tata CLiQ Luxury).</w:t>
      </w:r>
    </w:p>
    <w:p w14:paraId="58F3B79B" w14:textId="596B7AEA" w:rsidR="00BA12D8" w:rsidRPr="00BA12D8" w:rsidRDefault="00BA12D8" w:rsidP="00BA12D8">
      <w:pPr>
        <w:rPr>
          <w:rFonts w:ascii="Arial" w:hAnsi="Arial" w:cs="Arial"/>
          <w:color w:val="000000" w:themeColor="text1"/>
        </w:rPr>
      </w:pPr>
      <w:r w:rsidRPr="00BA12D8">
        <w:rPr>
          <w:rFonts w:ascii="Arial" w:hAnsi="Arial" w:cs="Arial"/>
          <w:color w:val="000000" w:themeColor="text1"/>
        </w:rPr>
        <w:t>Phase 2: Localise selected products once quality-certifiable MSMEs are identified.</w:t>
      </w:r>
    </w:p>
    <w:p w14:paraId="0A5572D3" w14:textId="18D7A40E" w:rsidR="001B614C" w:rsidRDefault="00BA12D8" w:rsidP="00BA12D8">
      <w:pPr>
        <w:rPr>
          <w:rFonts w:ascii="Arial" w:hAnsi="Arial" w:cs="Arial"/>
          <w:color w:val="000000" w:themeColor="text1"/>
        </w:rPr>
      </w:pPr>
      <w:r w:rsidRPr="00BA12D8">
        <w:rPr>
          <w:rFonts w:ascii="Arial" w:hAnsi="Arial" w:cs="Arial"/>
          <w:color w:val="000000" w:themeColor="text1"/>
        </w:rPr>
        <w:t>Phase 3: Expand to experiential flagship stores after supply chain stability is achieved.</w:t>
      </w:r>
    </w:p>
    <w:p w14:paraId="69529E78" w14:textId="77777777" w:rsidR="00BA12D8" w:rsidRDefault="00BA12D8" w:rsidP="00BA12D8">
      <w:pPr>
        <w:rPr>
          <w:b/>
          <w:bCs/>
        </w:rPr>
      </w:pPr>
    </w:p>
    <w:p w14:paraId="4D561E25" w14:textId="20D5E233" w:rsidR="001B614C" w:rsidRPr="001B614C" w:rsidRDefault="00486D19" w:rsidP="001B614C">
      <w:pPr>
        <w:pStyle w:val="Heading3"/>
        <w:tabs>
          <w:tab w:val="center" w:pos="4680"/>
        </w:tabs>
        <w:rPr>
          <w:rFonts w:ascii="Arial" w:hAnsi="Arial" w:cs="Arial"/>
          <w:color w:val="000000" w:themeColor="text1"/>
          <w:sz w:val="24"/>
          <w:szCs w:val="24"/>
        </w:rPr>
      </w:pPr>
      <w:bookmarkStart w:id="18" w:name="_Toc215314138"/>
      <w:r>
        <w:rPr>
          <w:rFonts w:ascii="Arial" w:hAnsi="Arial" w:cs="Arial"/>
          <w:color w:val="000000" w:themeColor="text1"/>
          <w:sz w:val="24"/>
          <w:szCs w:val="24"/>
        </w:rPr>
        <w:t>4</w:t>
      </w:r>
      <w:r w:rsidR="001B614C" w:rsidRPr="001B614C">
        <w:rPr>
          <w:rFonts w:ascii="Arial" w:hAnsi="Arial" w:cs="Arial"/>
          <w:color w:val="000000" w:themeColor="text1"/>
          <w:sz w:val="24"/>
          <w:szCs w:val="24"/>
        </w:rPr>
        <w:t>.2.5 Summary of VRIO Findings</w:t>
      </w:r>
      <w:bookmarkEnd w:id="18"/>
    </w:p>
    <w:p w14:paraId="70678BB3" w14:textId="2A1F098C" w:rsidR="006C7EA4" w:rsidRDefault="006C7EA4" w:rsidP="006C7EA4">
      <w:pPr>
        <w:rPr>
          <w:b/>
          <w:bCs/>
        </w:rPr>
      </w:pPr>
    </w:p>
    <w:p w14:paraId="5AE00880" w14:textId="48C1094C"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Lululemon possesses multiple VRIO-qualifying resources</w:t>
      </w:r>
      <w:r>
        <w:rPr>
          <w:rFonts w:ascii="Arial" w:hAnsi="Arial" w:cs="Arial"/>
          <w:color w:val="000000" w:themeColor="text1"/>
        </w:rPr>
        <w:t xml:space="preserve">, </w:t>
      </w:r>
      <w:r w:rsidRPr="00BA12D8">
        <w:rPr>
          <w:rFonts w:ascii="Arial" w:hAnsi="Arial" w:cs="Arial"/>
          <w:color w:val="000000" w:themeColor="text1"/>
        </w:rPr>
        <w:t>brand equity, proprietary fabrics, and a community-oriented culture</w:t>
      </w:r>
      <w:r>
        <w:rPr>
          <w:rFonts w:ascii="Arial" w:hAnsi="Arial" w:cs="Arial"/>
          <w:color w:val="000000" w:themeColor="text1"/>
        </w:rPr>
        <w:t xml:space="preserve">, </w:t>
      </w:r>
      <w:r w:rsidRPr="00BA12D8">
        <w:rPr>
          <w:rFonts w:ascii="Arial" w:hAnsi="Arial" w:cs="Arial"/>
          <w:color w:val="000000" w:themeColor="text1"/>
        </w:rPr>
        <w:t xml:space="preserve">but their transferability to India is constrained by cultural distance, </w:t>
      </w:r>
      <w:r w:rsidRPr="00BA12D8">
        <w:rPr>
          <w:rFonts w:ascii="Arial" w:hAnsi="Arial" w:cs="Arial"/>
          <w:color w:val="000000" w:themeColor="text1"/>
        </w:rPr>
        <w:lastRenderedPageBreak/>
        <w:t xml:space="preserve">institutional requirements and price sensitivity. To secure </w:t>
      </w:r>
      <w:r w:rsidR="00FE4F59">
        <w:rPr>
          <w:rFonts w:ascii="Arial" w:hAnsi="Arial" w:cs="Arial"/>
          <w:color w:val="000000" w:themeColor="text1"/>
        </w:rPr>
        <w:t xml:space="preserve">a </w:t>
      </w:r>
      <w:r w:rsidRPr="00BA12D8">
        <w:rPr>
          <w:rFonts w:ascii="Arial" w:hAnsi="Arial" w:cs="Arial"/>
          <w:color w:val="000000" w:themeColor="text1"/>
        </w:rPr>
        <w:t>sustained advantage, Lululemon must adapt rather than replicate its operating model.</w:t>
      </w:r>
    </w:p>
    <w:p w14:paraId="3D42AE4C" w14:textId="381A766F" w:rsidR="00BA12D8" w:rsidRP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 xml:space="preserve">Strategic priorities emerging from VRIO </w:t>
      </w:r>
      <w:r w:rsidR="00601AAF" w:rsidRPr="00BA12D8">
        <w:rPr>
          <w:rFonts w:ascii="Arial" w:hAnsi="Arial" w:cs="Arial"/>
          <w:color w:val="000000" w:themeColor="text1"/>
        </w:rPr>
        <w:t>are</w:t>
      </w:r>
      <w:r w:rsidR="00601AAF">
        <w:rPr>
          <w:rFonts w:ascii="Arial" w:hAnsi="Arial" w:cs="Arial"/>
          <w:color w:val="000000" w:themeColor="text1"/>
        </w:rPr>
        <w:t xml:space="preserve"> </w:t>
      </w:r>
      <w:r w:rsidRPr="00BA12D8">
        <w:rPr>
          <w:rFonts w:ascii="Arial" w:hAnsi="Arial" w:cs="Arial"/>
          <w:color w:val="000000" w:themeColor="text1"/>
        </w:rPr>
        <w:t>Authenticity through cultural localisation</w:t>
      </w:r>
      <w:r w:rsidR="00A66A8C">
        <w:rPr>
          <w:rFonts w:ascii="Arial" w:hAnsi="Arial" w:cs="Arial"/>
          <w:color w:val="000000" w:themeColor="text1"/>
        </w:rPr>
        <w:t>,</w:t>
      </w:r>
      <w:r w:rsidR="00601AAF">
        <w:rPr>
          <w:rFonts w:ascii="Arial" w:hAnsi="Arial" w:cs="Arial"/>
          <w:color w:val="000000" w:themeColor="text1"/>
        </w:rPr>
        <w:t xml:space="preserve"> </w:t>
      </w:r>
      <w:r w:rsidRPr="00BA12D8">
        <w:rPr>
          <w:rFonts w:ascii="Arial" w:hAnsi="Arial" w:cs="Arial"/>
          <w:color w:val="000000" w:themeColor="text1"/>
        </w:rPr>
        <w:t>Selective localisation of production, and</w:t>
      </w:r>
      <w:r w:rsidR="00601AAF">
        <w:rPr>
          <w:rFonts w:ascii="Arial" w:hAnsi="Arial" w:cs="Arial"/>
          <w:color w:val="000000" w:themeColor="text1"/>
        </w:rPr>
        <w:t xml:space="preserve"> </w:t>
      </w:r>
      <w:r w:rsidRPr="00BA12D8">
        <w:rPr>
          <w:rFonts w:ascii="Arial" w:hAnsi="Arial" w:cs="Arial"/>
          <w:color w:val="000000" w:themeColor="text1"/>
        </w:rPr>
        <w:t>Protection of core competencies via a controlled JV structure.</w:t>
      </w:r>
    </w:p>
    <w:p w14:paraId="42256AD5" w14:textId="77777777" w:rsidR="00BA12D8" w:rsidRDefault="00BA12D8" w:rsidP="00BA12D8">
      <w:pPr>
        <w:spacing w:line="360" w:lineRule="auto"/>
        <w:rPr>
          <w:rFonts w:ascii="Arial" w:hAnsi="Arial" w:cs="Arial"/>
          <w:color w:val="000000" w:themeColor="text1"/>
        </w:rPr>
      </w:pPr>
      <w:r w:rsidRPr="00BA12D8">
        <w:rPr>
          <w:rFonts w:ascii="Arial" w:hAnsi="Arial" w:cs="Arial"/>
          <w:color w:val="000000" w:themeColor="text1"/>
        </w:rPr>
        <w:t>Lululemon’s underlying value creation logic is further illustrated through its value chain (Figure D1, Appendix D), which highlights material innovation and experiential retail as core differentiators.</w:t>
      </w:r>
    </w:p>
    <w:p w14:paraId="58762D9F" w14:textId="77777777" w:rsidR="00FE4F59" w:rsidRDefault="00FE4F59" w:rsidP="00BA12D8">
      <w:pPr>
        <w:spacing w:line="360" w:lineRule="auto"/>
        <w:rPr>
          <w:rFonts w:ascii="Arial" w:hAnsi="Arial" w:cs="Arial"/>
          <w:color w:val="000000" w:themeColor="text1"/>
        </w:rPr>
      </w:pPr>
    </w:p>
    <w:p w14:paraId="3D41997E" w14:textId="77777777" w:rsidR="00FE4F59" w:rsidRDefault="00FE4F59" w:rsidP="00FE4F59">
      <w:pPr>
        <w:spacing w:line="360" w:lineRule="auto"/>
        <w:rPr>
          <w:rFonts w:ascii="Arial" w:hAnsi="Arial" w:cs="Arial"/>
          <w:color w:val="000000" w:themeColor="text1"/>
        </w:rPr>
      </w:pPr>
      <w:r w:rsidRPr="00FE4F59">
        <w:rPr>
          <w:rFonts w:ascii="Arial" w:hAnsi="Arial" w:cs="Arial"/>
          <w:color w:val="000000" w:themeColor="text1"/>
        </w:rPr>
        <w:t xml:space="preserve">Critique of the Resource-Based View (RBV) in an International Context </w:t>
      </w:r>
    </w:p>
    <w:p w14:paraId="397C8A48" w14:textId="6AD55472" w:rsidR="00FE4F59" w:rsidRPr="00BA12D8" w:rsidRDefault="007F5E67" w:rsidP="00FE4F59">
      <w:pPr>
        <w:spacing w:line="360" w:lineRule="auto"/>
        <w:rPr>
          <w:rFonts w:ascii="Arial" w:hAnsi="Arial" w:cs="Arial"/>
          <w:color w:val="000000" w:themeColor="text1"/>
        </w:rPr>
      </w:pPr>
      <w:r w:rsidRPr="007F5E67">
        <w:rPr>
          <w:rFonts w:ascii="Arial" w:hAnsi="Arial" w:cs="Arial"/>
          <w:color w:val="000000" w:themeColor="text1"/>
        </w:rPr>
        <w:t>The VRIO analysis confirms Lululemon’s internal strengths, yet the RBV framework has a critical limitation when applied to international expansion: it assumes that resources which are valuable in the home market remain valuable abroad (Priem and Butler, 2001). In the case of India, Lululemon’s core resource</w:t>
      </w:r>
      <w:r>
        <w:rPr>
          <w:rFonts w:ascii="Arial" w:hAnsi="Arial" w:cs="Arial"/>
          <w:color w:val="000000" w:themeColor="text1"/>
        </w:rPr>
        <w:t xml:space="preserve">, </w:t>
      </w:r>
      <w:r w:rsidRPr="007F5E67">
        <w:rPr>
          <w:rFonts w:ascii="Arial" w:hAnsi="Arial" w:cs="Arial"/>
          <w:color w:val="000000" w:themeColor="text1"/>
        </w:rPr>
        <w:t>its Westernised yoga branding</w:t>
      </w:r>
      <w:r>
        <w:rPr>
          <w:rFonts w:ascii="Arial" w:hAnsi="Arial" w:cs="Arial"/>
          <w:color w:val="000000" w:themeColor="text1"/>
        </w:rPr>
        <w:t xml:space="preserve">, </w:t>
      </w:r>
      <w:r w:rsidRPr="007F5E67">
        <w:rPr>
          <w:rFonts w:ascii="Arial" w:hAnsi="Arial" w:cs="Arial"/>
          <w:color w:val="000000" w:themeColor="text1"/>
        </w:rPr>
        <w:t xml:space="preserve">faces the "paradox of transferability." What is a differentiation asset in North America may become a liability in India due to cultural sensitivity and accusations of appropriation. Therefore, a static VRIO analysis is insufficient; it must be augmented by a "Dynamic Capabilities" perspective (Teece, 2014), which emphasises the organisation’s ability to reconfigure and adapt its resources to match the high-velocity environment of the Indian </w:t>
      </w:r>
      <w:r w:rsidRPr="007F5E67">
        <w:rPr>
          <w:rFonts w:ascii="Arial" w:hAnsi="Arial" w:cs="Arial"/>
          <w:color w:val="000000" w:themeColor="text1"/>
        </w:rPr>
        <w:t>market.</w:t>
      </w:r>
    </w:p>
    <w:p w14:paraId="4F673588" w14:textId="77777777" w:rsidR="006C7EA4" w:rsidRPr="002500E8" w:rsidRDefault="006C7EA4" w:rsidP="002500E8">
      <w:pPr>
        <w:spacing w:line="360" w:lineRule="auto"/>
        <w:rPr>
          <w:rFonts w:ascii="Arial" w:hAnsi="Arial" w:cs="Arial"/>
          <w:color w:val="000000" w:themeColor="text1"/>
        </w:rPr>
      </w:pPr>
    </w:p>
    <w:p w14:paraId="62415F45" w14:textId="77777777" w:rsidR="007D0BE6" w:rsidRDefault="007D0BE6" w:rsidP="007F66E2">
      <w:pPr>
        <w:rPr>
          <w:b/>
          <w:bCs/>
        </w:rPr>
      </w:pPr>
    </w:p>
    <w:p w14:paraId="579E1664" w14:textId="77777777" w:rsidR="00C8281C" w:rsidRDefault="00C8281C" w:rsidP="007F66E2">
      <w:pPr>
        <w:rPr>
          <w:b/>
          <w:bCs/>
        </w:rPr>
      </w:pPr>
    </w:p>
    <w:p w14:paraId="0578D772" w14:textId="77777777" w:rsidR="00C8281C" w:rsidRDefault="00C8281C" w:rsidP="007F66E2">
      <w:pPr>
        <w:rPr>
          <w:b/>
          <w:bCs/>
        </w:rPr>
      </w:pPr>
    </w:p>
    <w:p w14:paraId="4DB0E377" w14:textId="77777777" w:rsidR="00C8281C" w:rsidRDefault="00C8281C" w:rsidP="007F66E2">
      <w:pPr>
        <w:rPr>
          <w:b/>
          <w:bCs/>
        </w:rPr>
      </w:pPr>
    </w:p>
    <w:p w14:paraId="75BFA831" w14:textId="77777777" w:rsidR="00C8281C" w:rsidRDefault="00C8281C" w:rsidP="007F66E2">
      <w:pPr>
        <w:rPr>
          <w:b/>
          <w:bCs/>
        </w:rPr>
      </w:pPr>
    </w:p>
    <w:p w14:paraId="4273C78E" w14:textId="77777777" w:rsidR="00C8281C" w:rsidRDefault="00C8281C" w:rsidP="007F66E2">
      <w:pPr>
        <w:rPr>
          <w:b/>
          <w:bCs/>
        </w:rPr>
      </w:pPr>
    </w:p>
    <w:p w14:paraId="754A4ED7" w14:textId="77777777" w:rsidR="00B37E8F" w:rsidRDefault="00B37E8F" w:rsidP="007F66E2">
      <w:pPr>
        <w:rPr>
          <w:b/>
          <w:bCs/>
        </w:rPr>
      </w:pPr>
    </w:p>
    <w:p w14:paraId="38E37D9C" w14:textId="77777777" w:rsidR="00601AAF" w:rsidRDefault="00601AAF" w:rsidP="007F66E2">
      <w:pPr>
        <w:rPr>
          <w:b/>
          <w:bCs/>
        </w:rPr>
      </w:pPr>
    </w:p>
    <w:p w14:paraId="6A0577EE" w14:textId="77777777" w:rsidR="004716C3" w:rsidRPr="004716C3" w:rsidRDefault="004716C3" w:rsidP="004716C3">
      <w:pPr>
        <w:pStyle w:val="Heading1"/>
        <w:shd w:val="clear" w:color="auto" w:fill="FF4747"/>
        <w:rPr>
          <w:rFonts w:ascii="Arial" w:hAnsi="Arial" w:cs="Arial"/>
          <w:color w:val="FFFFFF" w:themeColor="background1"/>
          <w:sz w:val="36"/>
          <w:szCs w:val="36"/>
        </w:rPr>
      </w:pPr>
      <w:bookmarkStart w:id="19" w:name="_Toc215314139"/>
      <w:r w:rsidRPr="004716C3">
        <w:rPr>
          <w:rFonts w:ascii="Arial" w:hAnsi="Arial" w:cs="Arial"/>
          <w:color w:val="FFFFFF" w:themeColor="background1"/>
          <w:sz w:val="36"/>
          <w:szCs w:val="36"/>
        </w:rPr>
        <w:lastRenderedPageBreak/>
        <w:t>5. Strategy Development and Formulation</w:t>
      </w:r>
      <w:bookmarkEnd w:id="19"/>
    </w:p>
    <w:p w14:paraId="371477F5" w14:textId="77777777" w:rsidR="004716C3" w:rsidRDefault="004716C3" w:rsidP="004716C3">
      <w:pPr>
        <w:rPr>
          <w:b/>
          <w:bCs/>
        </w:rPr>
      </w:pPr>
    </w:p>
    <w:p w14:paraId="17CD274E" w14:textId="77777777" w:rsidR="006E6A42" w:rsidRDefault="006E6A42" w:rsidP="006E6A42">
      <w:pPr>
        <w:spacing w:line="360" w:lineRule="auto"/>
        <w:rPr>
          <w:rFonts w:ascii="Arial" w:hAnsi="Arial" w:cs="Arial"/>
        </w:rPr>
      </w:pPr>
      <w:r w:rsidRPr="00F84D22">
        <w:rPr>
          <w:rFonts w:ascii="Arial" w:hAnsi="Arial" w:cs="Arial"/>
        </w:rPr>
        <w:t>Strategy formulation refers to the process of integrating external opportunities and internal capabilities to determine the most appropriate strategic direction for achieving competitive advantage (Hitt, Ireland and Hoskisson, 2024). It involves evaluating strategic options, selecting the optimal market entry mode, and defining how organisational strengths can mitigate contextual risks and drive superior performance.</w:t>
      </w:r>
    </w:p>
    <w:p w14:paraId="34699196" w14:textId="77777777" w:rsidR="006E6A42" w:rsidRDefault="006E6A42" w:rsidP="006E6A42">
      <w:pPr>
        <w:spacing w:line="360" w:lineRule="auto"/>
        <w:rPr>
          <w:rFonts w:ascii="Arial" w:hAnsi="Arial" w:cs="Arial"/>
        </w:rPr>
      </w:pPr>
      <w:r w:rsidRPr="00D6771A">
        <w:rPr>
          <w:rFonts w:ascii="Arial" w:hAnsi="Arial" w:cs="Arial"/>
        </w:rPr>
        <w:t>The strategic configuration is presented visually in Figure D5 (Appendix D).</w:t>
      </w:r>
    </w:p>
    <w:p w14:paraId="7EE0AD84" w14:textId="77777777" w:rsidR="006E6A42" w:rsidRDefault="006E6A42" w:rsidP="004716C3">
      <w:pPr>
        <w:rPr>
          <w:b/>
          <w:bCs/>
        </w:rPr>
      </w:pPr>
    </w:p>
    <w:p w14:paraId="6ED6E506" w14:textId="5E5C1BBA" w:rsidR="004716C3" w:rsidRPr="00F84D22" w:rsidRDefault="004716C3" w:rsidP="00F84D22">
      <w:pPr>
        <w:pStyle w:val="Heading2"/>
        <w:rPr>
          <w:rFonts w:ascii="Arial" w:hAnsi="Arial" w:cs="Arial"/>
          <w:color w:val="000000" w:themeColor="text1"/>
          <w:sz w:val="28"/>
          <w:szCs w:val="28"/>
        </w:rPr>
      </w:pPr>
      <w:bookmarkStart w:id="20" w:name="_Toc215314140"/>
      <w:r w:rsidRPr="00F84D22">
        <w:rPr>
          <w:rFonts w:ascii="Arial" w:hAnsi="Arial" w:cs="Arial"/>
          <w:color w:val="000000" w:themeColor="text1"/>
          <w:sz w:val="28"/>
          <w:szCs w:val="28"/>
        </w:rPr>
        <w:t xml:space="preserve">5.1 </w:t>
      </w:r>
      <w:r w:rsidR="00DC636A" w:rsidRPr="006E6A42">
        <w:rPr>
          <w:rFonts w:ascii="Arial" w:hAnsi="Arial" w:cs="Arial"/>
          <w:color w:val="000000" w:themeColor="text1"/>
          <w:sz w:val="28"/>
          <w:szCs w:val="28"/>
        </w:rPr>
        <w:t>Strategic Alignment (Ansoff’s Matrix)</w:t>
      </w:r>
      <w:bookmarkEnd w:id="20"/>
    </w:p>
    <w:p w14:paraId="451D0D91" w14:textId="77777777" w:rsidR="004716C3" w:rsidRDefault="004716C3" w:rsidP="004716C3">
      <w:pPr>
        <w:rPr>
          <w:b/>
          <w:bCs/>
        </w:rPr>
      </w:pPr>
    </w:p>
    <w:p w14:paraId="16259ECD" w14:textId="22A170AE" w:rsidR="00DC636A" w:rsidRPr="006E6A42" w:rsidRDefault="00DC636A" w:rsidP="006E6A42">
      <w:pPr>
        <w:spacing w:line="360" w:lineRule="auto"/>
        <w:rPr>
          <w:rFonts w:ascii="Arial" w:hAnsi="Arial" w:cs="Arial"/>
        </w:rPr>
      </w:pPr>
      <w:r w:rsidRPr="006E6A42">
        <w:rPr>
          <w:rFonts w:ascii="Arial" w:hAnsi="Arial" w:cs="Arial"/>
        </w:rPr>
        <w:t>The decision to enter the Indian market with Lululemon’s existing core product line (premium technical apparel) aligns directly with the Market Development quadrant of Ansoff’s Matrix (Ansoff, 1957). This strategy leverages the company’s strong existing product platform and brand equity (Lululemon Annual Report, 2024) to target new customer segments in a geographically distinct region. The primary risk of this approach is the lack of familiarity with the new market's specific distribution channels, cultural nuances, and competitive dynamics. This highlights the need for a tailored, rather than uniform, market penetration approach.</w:t>
      </w:r>
    </w:p>
    <w:p w14:paraId="21768704" w14:textId="77777777" w:rsidR="006E6A42" w:rsidRPr="004716C3" w:rsidRDefault="006E6A42" w:rsidP="004716C3">
      <w:pPr>
        <w:rPr>
          <w:b/>
          <w:bCs/>
        </w:rPr>
      </w:pPr>
    </w:p>
    <w:p w14:paraId="132E5141" w14:textId="5E59EB96" w:rsidR="00F84D22" w:rsidRPr="00F84D22" w:rsidRDefault="00F84D22" w:rsidP="00F84D22">
      <w:pPr>
        <w:pStyle w:val="Heading2"/>
        <w:rPr>
          <w:rFonts w:ascii="Arial" w:hAnsi="Arial" w:cs="Arial"/>
          <w:sz w:val="28"/>
          <w:szCs w:val="28"/>
        </w:rPr>
      </w:pPr>
      <w:bookmarkStart w:id="21" w:name="_Toc215314141"/>
      <w:r w:rsidRPr="00F84D22">
        <w:rPr>
          <w:rFonts w:ascii="Arial" w:hAnsi="Arial" w:cs="Arial"/>
          <w:color w:val="000000" w:themeColor="text1"/>
          <w:sz w:val="28"/>
          <w:szCs w:val="28"/>
        </w:rPr>
        <w:t>5.2 Strategic Options for Market Entry</w:t>
      </w:r>
      <w:bookmarkEnd w:id="21"/>
    </w:p>
    <w:p w14:paraId="2E690EFD" w14:textId="77777777" w:rsidR="007D0BE6" w:rsidRDefault="007D0BE6" w:rsidP="007F66E2">
      <w:pPr>
        <w:rPr>
          <w:b/>
          <w:bCs/>
        </w:rPr>
      </w:pPr>
    </w:p>
    <w:p w14:paraId="69CBE72D" w14:textId="77409843" w:rsid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Entering an emerging and institutionally complex market such as India requires careful evaluation of alternative entry modes. Entry mode theory highlights that firms must balance control, resource commitment and risk exposure when internationalising (Root, 1994; Hill, 2022). For Lululemon, three strategic options are available: Wholly Owned Subsidiary (WOS), Franchising, and Joint Venture (JV). Their suitability varies significantly when assessed against India’s regulatory constraints, cultural distance and competitive dynamics.</w:t>
      </w:r>
      <w:r w:rsidR="009C6D98">
        <w:rPr>
          <w:rFonts w:ascii="Arial" w:hAnsi="Arial" w:cs="Arial"/>
          <w:color w:val="000000" w:themeColor="text1"/>
        </w:rPr>
        <w:t xml:space="preserve"> </w:t>
      </w:r>
      <w:r w:rsidR="009C6D98" w:rsidRPr="009C6D98">
        <w:rPr>
          <w:rFonts w:ascii="Arial" w:hAnsi="Arial" w:cs="Arial"/>
          <w:color w:val="000000" w:themeColor="text1"/>
        </w:rPr>
        <w:t>The comparative evaluation of entry options indicates that a Joint Venture offers the highest strategic fit across regulatory, cultural and operational dimensions (see Figure D4, Appendix D).</w:t>
      </w:r>
    </w:p>
    <w:p w14:paraId="5FD6230C" w14:textId="773CD826" w:rsidR="00221AB6" w:rsidRDefault="00221AB6" w:rsidP="00F84D22">
      <w:pPr>
        <w:spacing w:line="360" w:lineRule="auto"/>
        <w:rPr>
          <w:rFonts w:ascii="Arial" w:hAnsi="Arial" w:cs="Arial"/>
          <w:color w:val="000000" w:themeColor="text1"/>
        </w:rPr>
      </w:pPr>
      <w:r w:rsidRPr="00221AB6">
        <w:rPr>
          <w:rFonts w:ascii="Arial" w:hAnsi="Arial" w:cs="Arial"/>
          <w:color w:val="000000" w:themeColor="text1"/>
        </w:rPr>
        <w:lastRenderedPageBreak/>
        <w:t>This alignment is further illustrated through the Strategy–Structure Fit Model, which demonstrates why a JV best supports Lululemon’s differentiation and localisation requirements in India (see Figure D6.5, Appendix D).</w:t>
      </w:r>
    </w:p>
    <w:p w14:paraId="47194C2B" w14:textId="308BF3D3" w:rsidR="00F84D22" w:rsidRPr="00F84D22" w:rsidRDefault="00F84D22" w:rsidP="00F84D22">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1040" behindDoc="0" locked="0" layoutInCell="1" allowOverlap="1" wp14:anchorId="0415B634" wp14:editId="7A075313">
                <wp:simplePos x="0" y="0"/>
                <wp:positionH relativeFrom="column">
                  <wp:posOffset>0</wp:posOffset>
                </wp:positionH>
                <wp:positionV relativeFrom="paragraph">
                  <wp:posOffset>263950</wp:posOffset>
                </wp:positionV>
                <wp:extent cx="3183775" cy="0"/>
                <wp:effectExtent l="0" t="0" r="0" b="0"/>
                <wp:wrapNone/>
                <wp:docPr id="792128787"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E63F16" id="Straight Connector 4" o:spid="_x0000_s1026" style="position:absolute;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8pt" to="250.7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" strokecolor="#ff4747" strokeweight=".5pt">
                <v:stroke joinstyle="miter"/>
              </v:line>
            </w:pict>
          </mc:Fallback>
        </mc:AlternateContent>
      </w:r>
    </w:p>
    <w:p w14:paraId="4EB30B1B" w14:textId="430A6FCE"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Wholly Owned Subsidiary (WOS)</w:t>
      </w:r>
    </w:p>
    <w:p w14:paraId="2401A310" w14:textId="33F52191"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A WOS provides maximum control, brand protection and alignment with Lululemon’s premium experience-led model (Luo, 2007). However, in India</w:t>
      </w:r>
      <w:r>
        <w:rPr>
          <w:rFonts w:ascii="Arial" w:hAnsi="Arial" w:cs="Arial"/>
          <w:color w:val="000000" w:themeColor="text1"/>
        </w:rPr>
        <w:t>,</w:t>
      </w:r>
      <w:r w:rsidRPr="00F84D22">
        <w:rPr>
          <w:rFonts w:ascii="Arial" w:hAnsi="Arial" w:cs="Arial"/>
          <w:color w:val="000000" w:themeColor="text1"/>
        </w:rPr>
        <w:t xml:space="preserve"> it is strategically unsuitable due to two critical barriers:</w:t>
      </w:r>
    </w:p>
    <w:p w14:paraId="44D2F997" w14:textId="261FE9C7" w:rsidR="00F84D22" w:rsidRPr="00F84D22" w:rsidRDefault="00F84D22" w:rsidP="00F84D22">
      <w:pPr>
        <w:pStyle w:val="ListParagraph"/>
        <w:numPr>
          <w:ilvl w:val="0"/>
          <w:numId w:val="9"/>
        </w:numPr>
        <w:spacing w:line="360" w:lineRule="auto"/>
        <w:rPr>
          <w:rFonts w:ascii="Arial" w:hAnsi="Arial" w:cs="Arial"/>
          <w:color w:val="000000" w:themeColor="text1"/>
        </w:rPr>
      </w:pPr>
      <w:r w:rsidRPr="00F84D22">
        <w:rPr>
          <w:rFonts w:ascii="Arial" w:hAnsi="Arial" w:cs="Arial"/>
          <w:color w:val="000000" w:themeColor="text1"/>
        </w:rPr>
        <w:t>The 30% local sourcing mandate for single-brand retailers (DPIIT, 2018) threatens fabric quality and undermines VRIO resources.</w:t>
      </w:r>
    </w:p>
    <w:p w14:paraId="6CBDE9FF" w14:textId="51B9F8FF" w:rsidR="00F84D22" w:rsidRPr="00F84D22" w:rsidRDefault="00F84D22" w:rsidP="00F84D22">
      <w:pPr>
        <w:pStyle w:val="ListParagraph"/>
        <w:numPr>
          <w:ilvl w:val="0"/>
          <w:numId w:val="9"/>
        </w:numPr>
        <w:spacing w:line="360" w:lineRule="auto"/>
        <w:rPr>
          <w:rFonts w:ascii="Arial" w:hAnsi="Arial" w:cs="Arial"/>
          <w:color w:val="000000" w:themeColor="text1"/>
        </w:rPr>
      </w:pPr>
      <w:r w:rsidRPr="00F84D22">
        <w:rPr>
          <w:rFonts w:ascii="Arial" w:hAnsi="Arial" w:cs="Arial"/>
          <w:color w:val="000000" w:themeColor="text1"/>
        </w:rPr>
        <w:t xml:space="preserve">High administrative distance and bureaucratic complexity (Khanna </w:t>
      </w:r>
      <w:r w:rsidR="00D27EA1">
        <w:rPr>
          <w:rFonts w:ascii="Arial" w:hAnsi="Arial" w:cs="Arial"/>
          <w:color w:val="000000" w:themeColor="text1"/>
        </w:rPr>
        <w:t>and</w:t>
      </w:r>
      <w:r w:rsidRPr="00F84D22">
        <w:rPr>
          <w:rFonts w:ascii="Arial" w:hAnsi="Arial" w:cs="Arial"/>
          <w:color w:val="000000" w:themeColor="text1"/>
        </w:rPr>
        <w:t xml:space="preserve"> Palepu, 2010). WOS would therefore increase liability of foreignness, raise operating costs and delay market entry.</w:t>
      </w:r>
    </w:p>
    <w:p w14:paraId="250F6935" w14:textId="3DF0FDEF" w:rsid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Conclusion: Not viable for initial entry.</w:t>
      </w:r>
    </w:p>
    <w:p w14:paraId="48D4E532" w14:textId="3973A861" w:rsidR="00F84D22" w:rsidRPr="00F84D22" w:rsidRDefault="00F84D22" w:rsidP="00F84D22">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6944" behindDoc="0" locked="0" layoutInCell="1" allowOverlap="1" wp14:anchorId="3E286EE7" wp14:editId="7C43951A">
                <wp:simplePos x="0" y="0"/>
                <wp:positionH relativeFrom="column">
                  <wp:posOffset>0</wp:posOffset>
                </wp:positionH>
                <wp:positionV relativeFrom="paragraph">
                  <wp:posOffset>259650</wp:posOffset>
                </wp:positionV>
                <wp:extent cx="3183775" cy="0"/>
                <wp:effectExtent l="0" t="0" r="0" b="0"/>
                <wp:wrapNone/>
                <wp:docPr id="798276392"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D95F4" id="Straight Connector 4" o:spid="_x0000_s1026" style="position:absolute;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45pt" to="250.7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" strokecolor="#ff4747" strokeweight=".5pt">
                <v:stroke joinstyle="miter"/>
              </v:line>
            </w:pict>
          </mc:Fallback>
        </mc:AlternateContent>
      </w:r>
    </w:p>
    <w:p w14:paraId="36E280C2" w14:textId="5B43D32B"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Franchising</w:t>
      </w:r>
    </w:p>
    <w:p w14:paraId="2A725850" w14:textId="5964D89E"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Franchising offers low resource commitment and rapid scaling (Mendelsohn, 2004). Yet it dilutes control over customer experience, talent training and brand authenticity</w:t>
      </w:r>
      <w:r>
        <w:rPr>
          <w:rFonts w:ascii="Arial" w:hAnsi="Arial" w:cs="Arial"/>
          <w:color w:val="000000" w:themeColor="text1"/>
        </w:rPr>
        <w:t xml:space="preserve">, </w:t>
      </w:r>
      <w:r w:rsidRPr="00F84D22">
        <w:rPr>
          <w:rFonts w:ascii="Arial" w:hAnsi="Arial" w:cs="Arial"/>
          <w:color w:val="000000" w:themeColor="text1"/>
        </w:rPr>
        <w:t>all of which are central to Lululemon’s differentiation-based strategy. In culturally sensitive markets, high-end experiential brands commonly avoid franchising due to inconsistent service quality (Beverland, 2005).</w:t>
      </w:r>
    </w:p>
    <w:p w14:paraId="7FB2B3A0" w14:textId="6C4412BF"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Conclusion: Misaligned with Lululemon’s premium model; risk of brand dilution.</w:t>
      </w:r>
    </w:p>
    <w:p w14:paraId="05A1F4AB" w14:textId="0CD70C34" w:rsidR="00F84D22" w:rsidRPr="00F84D22" w:rsidRDefault="00F84D22" w:rsidP="00F84D22">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5136" behindDoc="0" locked="0" layoutInCell="1" allowOverlap="1" wp14:anchorId="30FBE276" wp14:editId="0A6D52FC">
                <wp:simplePos x="0" y="0"/>
                <wp:positionH relativeFrom="column">
                  <wp:posOffset>0</wp:posOffset>
                </wp:positionH>
                <wp:positionV relativeFrom="paragraph">
                  <wp:posOffset>272743</wp:posOffset>
                </wp:positionV>
                <wp:extent cx="3183775" cy="0"/>
                <wp:effectExtent l="0" t="0" r="0" b="0"/>
                <wp:wrapNone/>
                <wp:docPr id="1387338685"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73B310" id="Straight Connector 4" o:spid="_x0000_s1026" style="position:absolute;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1.5pt" to="25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" strokecolor="#ff4747" strokeweight=".5pt">
                <v:stroke joinstyle="miter"/>
              </v:line>
            </w:pict>
          </mc:Fallback>
        </mc:AlternateContent>
      </w:r>
    </w:p>
    <w:p w14:paraId="3238740C" w14:textId="4F612831"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 xml:space="preserve">Joint Venture (JV) </w:t>
      </w:r>
      <w:r>
        <w:rPr>
          <w:rFonts w:ascii="Arial" w:hAnsi="Arial" w:cs="Arial"/>
          <w:color w:val="000000" w:themeColor="text1"/>
        </w:rPr>
        <w:t xml:space="preserve">- </w:t>
      </w:r>
      <w:r w:rsidRPr="00F84D22">
        <w:rPr>
          <w:rFonts w:ascii="Arial" w:hAnsi="Arial" w:cs="Arial"/>
          <w:color w:val="000000" w:themeColor="text1"/>
        </w:rPr>
        <w:t>Most strategically appropriate</w:t>
      </w:r>
    </w:p>
    <w:p w14:paraId="430AA352" w14:textId="07FE2FCE"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 xml:space="preserve">A JV with an established Indian luxury retailer (e.g., Tata CLiQ Luxury) offers shared risk, improved legitimacy and access to embedded market knowledge (Meyer </w:t>
      </w:r>
      <w:r w:rsidR="00A66A8C">
        <w:rPr>
          <w:rFonts w:ascii="Arial" w:hAnsi="Arial" w:cs="Arial"/>
          <w:color w:val="000000" w:themeColor="text1"/>
        </w:rPr>
        <w:t>and</w:t>
      </w:r>
      <w:r w:rsidRPr="00F84D22">
        <w:rPr>
          <w:rFonts w:ascii="Arial" w:hAnsi="Arial" w:cs="Arial"/>
          <w:color w:val="000000" w:themeColor="text1"/>
        </w:rPr>
        <w:t xml:space="preserve"> Peng, 2016; Johanson </w:t>
      </w:r>
      <w:r w:rsidR="00A66A8C">
        <w:rPr>
          <w:rFonts w:ascii="Arial" w:hAnsi="Arial" w:cs="Arial"/>
          <w:color w:val="000000" w:themeColor="text1"/>
        </w:rPr>
        <w:t>and</w:t>
      </w:r>
      <w:r w:rsidRPr="00F84D22">
        <w:rPr>
          <w:rFonts w:ascii="Arial" w:hAnsi="Arial" w:cs="Arial"/>
          <w:color w:val="000000" w:themeColor="text1"/>
        </w:rPr>
        <w:t xml:space="preserve"> Vahlne, 2009). It directly mitigates CAGE distances:</w:t>
      </w:r>
    </w:p>
    <w:p w14:paraId="4A771528" w14:textId="3D7C9AD2" w:rsidR="00F84D22" w:rsidRPr="00A66A8C" w:rsidRDefault="00F84D22" w:rsidP="00A66A8C">
      <w:pPr>
        <w:pStyle w:val="ListParagraph"/>
        <w:numPr>
          <w:ilvl w:val="0"/>
          <w:numId w:val="10"/>
        </w:numPr>
        <w:spacing w:line="360" w:lineRule="auto"/>
        <w:rPr>
          <w:rFonts w:ascii="Arial" w:hAnsi="Arial" w:cs="Arial"/>
          <w:color w:val="000000" w:themeColor="text1"/>
        </w:rPr>
      </w:pPr>
      <w:r w:rsidRPr="00A66A8C">
        <w:rPr>
          <w:rFonts w:ascii="Arial" w:hAnsi="Arial" w:cs="Arial"/>
          <w:color w:val="000000" w:themeColor="text1"/>
        </w:rPr>
        <w:t>Administrative → partner manages compliance, sourcing and state-level regulations.</w:t>
      </w:r>
    </w:p>
    <w:p w14:paraId="4D0C2044" w14:textId="704C51D6" w:rsidR="00F84D22" w:rsidRPr="00A66A8C" w:rsidRDefault="00F84D22" w:rsidP="00A66A8C">
      <w:pPr>
        <w:pStyle w:val="ListParagraph"/>
        <w:numPr>
          <w:ilvl w:val="0"/>
          <w:numId w:val="10"/>
        </w:numPr>
        <w:spacing w:line="360" w:lineRule="auto"/>
        <w:rPr>
          <w:rFonts w:ascii="Arial" w:hAnsi="Arial" w:cs="Arial"/>
          <w:color w:val="000000" w:themeColor="text1"/>
        </w:rPr>
      </w:pPr>
      <w:r w:rsidRPr="00A66A8C">
        <w:rPr>
          <w:rFonts w:ascii="Arial" w:hAnsi="Arial" w:cs="Arial"/>
          <w:color w:val="000000" w:themeColor="text1"/>
        </w:rPr>
        <w:lastRenderedPageBreak/>
        <w:t>Cultural → local partner supports authentic messaging and consumer insight.</w:t>
      </w:r>
    </w:p>
    <w:p w14:paraId="300A6934" w14:textId="3AEC7FFE" w:rsidR="00F84D22" w:rsidRPr="00A66A8C" w:rsidRDefault="00F84D22" w:rsidP="00A66A8C">
      <w:pPr>
        <w:pStyle w:val="ListParagraph"/>
        <w:numPr>
          <w:ilvl w:val="0"/>
          <w:numId w:val="10"/>
        </w:numPr>
        <w:spacing w:line="360" w:lineRule="auto"/>
        <w:rPr>
          <w:rFonts w:ascii="Arial" w:hAnsi="Arial" w:cs="Arial"/>
          <w:color w:val="000000" w:themeColor="text1"/>
        </w:rPr>
      </w:pPr>
      <w:r w:rsidRPr="00A66A8C">
        <w:rPr>
          <w:rFonts w:ascii="Arial" w:hAnsi="Arial" w:cs="Arial"/>
          <w:color w:val="000000" w:themeColor="text1"/>
        </w:rPr>
        <w:t>Geographic → established logistics enable Tier 1 distribution.</w:t>
      </w:r>
    </w:p>
    <w:p w14:paraId="3FD1A6B1" w14:textId="00BAAE8C" w:rsidR="00F84D22" w:rsidRPr="00A66A8C" w:rsidRDefault="00F84D22" w:rsidP="00F84D22">
      <w:pPr>
        <w:pStyle w:val="ListParagraph"/>
        <w:numPr>
          <w:ilvl w:val="0"/>
          <w:numId w:val="10"/>
        </w:numPr>
        <w:spacing w:line="360" w:lineRule="auto"/>
        <w:rPr>
          <w:rFonts w:ascii="Arial" w:hAnsi="Arial" w:cs="Arial"/>
          <w:color w:val="000000" w:themeColor="text1"/>
        </w:rPr>
      </w:pPr>
      <w:r w:rsidRPr="00A66A8C">
        <w:rPr>
          <w:rFonts w:ascii="Arial" w:hAnsi="Arial" w:cs="Arial"/>
          <w:color w:val="000000" w:themeColor="text1"/>
        </w:rPr>
        <w:t>Economic → partner assists segmentation and luxury market positioning.</w:t>
      </w:r>
    </w:p>
    <w:p w14:paraId="68F4BC39" w14:textId="77777777"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A JV further ensures compliance with local sourcing rules and protects Lululemon’s core competencies by allowing partial localisation of low-risk product lines only.</w:t>
      </w:r>
    </w:p>
    <w:p w14:paraId="7F139E95" w14:textId="2E15AA33" w:rsidR="00F84D22" w:rsidRPr="00F84D22" w:rsidRDefault="00F84D22" w:rsidP="00F84D22">
      <w:pPr>
        <w:spacing w:line="360" w:lineRule="auto"/>
        <w:rPr>
          <w:rFonts w:ascii="Arial" w:hAnsi="Arial" w:cs="Arial"/>
          <w:color w:val="000000" w:themeColor="text1"/>
        </w:rPr>
      </w:pPr>
      <w:r w:rsidRPr="00F84D22">
        <w:rPr>
          <w:rFonts w:ascii="Arial" w:hAnsi="Arial" w:cs="Arial"/>
          <w:color w:val="000000" w:themeColor="text1"/>
        </w:rPr>
        <w:t>Final Judgement:</w:t>
      </w:r>
    </w:p>
    <w:p w14:paraId="1ADC3F14" w14:textId="043AFC01" w:rsidR="00A66A8C" w:rsidRDefault="00F84D22" w:rsidP="00F84D22">
      <w:pPr>
        <w:spacing w:line="360" w:lineRule="auto"/>
        <w:rPr>
          <w:rFonts w:ascii="Arial" w:hAnsi="Arial" w:cs="Arial"/>
          <w:color w:val="000000" w:themeColor="text1"/>
        </w:rPr>
      </w:pPr>
      <w:r w:rsidRPr="00F84D22">
        <w:rPr>
          <w:rFonts w:ascii="Arial" w:hAnsi="Arial" w:cs="Arial"/>
          <w:color w:val="000000" w:themeColor="text1"/>
        </w:rPr>
        <w:t>A Joint Venture represents the optimal entry mode because it balances control and flexibility, reduces institutional risk, accelerates market penetration and preserves the brand’s VRIO-based competitive advantages.</w:t>
      </w:r>
    </w:p>
    <w:p w14:paraId="7A29041E" w14:textId="77777777" w:rsidR="00A66A8C" w:rsidRDefault="00A66A8C" w:rsidP="00F84D22">
      <w:pPr>
        <w:spacing w:line="360" w:lineRule="auto"/>
        <w:rPr>
          <w:rFonts w:ascii="Arial" w:hAnsi="Arial" w:cs="Arial"/>
          <w:color w:val="000000" w:themeColor="text1"/>
        </w:rPr>
      </w:pPr>
    </w:p>
    <w:p w14:paraId="6AB03DAE" w14:textId="77777777" w:rsidR="00A66A8C" w:rsidRPr="00A66A8C" w:rsidRDefault="00A66A8C" w:rsidP="00A66A8C">
      <w:pPr>
        <w:pStyle w:val="Heading2"/>
        <w:rPr>
          <w:rFonts w:ascii="Arial" w:hAnsi="Arial" w:cs="Arial"/>
          <w:color w:val="000000" w:themeColor="text1"/>
          <w:sz w:val="28"/>
          <w:szCs w:val="28"/>
        </w:rPr>
      </w:pPr>
      <w:bookmarkStart w:id="22" w:name="_Toc215314142"/>
      <w:r w:rsidRPr="00A66A8C">
        <w:rPr>
          <w:rFonts w:ascii="Arial" w:hAnsi="Arial" w:cs="Arial"/>
          <w:color w:val="000000" w:themeColor="text1"/>
          <w:sz w:val="28"/>
          <w:szCs w:val="28"/>
        </w:rPr>
        <w:t>5.3 Recommended Strategic Positioning (Differentiation-Focus + STP)</w:t>
      </w:r>
      <w:bookmarkEnd w:id="22"/>
    </w:p>
    <w:p w14:paraId="063B3D04" w14:textId="77777777" w:rsidR="00A66A8C" w:rsidRPr="00A66A8C" w:rsidRDefault="00A66A8C" w:rsidP="00A66A8C">
      <w:pPr>
        <w:spacing w:line="360" w:lineRule="auto"/>
        <w:rPr>
          <w:rFonts w:ascii="Arial" w:hAnsi="Arial" w:cs="Arial"/>
          <w:color w:val="000000" w:themeColor="text1"/>
        </w:rPr>
      </w:pPr>
    </w:p>
    <w:p w14:paraId="0D3A8D3B" w14:textId="582043B5" w:rsid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 xml:space="preserve">Successful market entry requires a positioning strategy that leverages Lululemon’s VRIO capabilities while mitigating India’s structural constraints. Porter’s Generic Strategies model indicates that in high-rivalry, high buyer-power industries, firms should avoid price-based competition and instead pursue differentiation grounded in unique value creation (Porter, 1980; Hill, 2022). For Lululemon, a </w:t>
      </w:r>
      <w:r>
        <w:rPr>
          <w:rFonts w:ascii="Arial" w:hAnsi="Arial" w:cs="Arial"/>
          <w:color w:val="000000" w:themeColor="text1"/>
        </w:rPr>
        <w:t>differentiation-focused</w:t>
      </w:r>
      <w:r w:rsidRPr="00A66A8C">
        <w:rPr>
          <w:rFonts w:ascii="Arial" w:hAnsi="Arial" w:cs="Arial"/>
          <w:color w:val="000000" w:themeColor="text1"/>
        </w:rPr>
        <w:t xml:space="preserve"> strategy is the most viable pathway.</w:t>
      </w:r>
    </w:p>
    <w:p w14:paraId="69B7EE60" w14:textId="79E99D51" w:rsidR="003D52F6" w:rsidRDefault="003D52F6" w:rsidP="00A66A8C">
      <w:pPr>
        <w:spacing w:line="360" w:lineRule="auto"/>
        <w:rPr>
          <w:rFonts w:ascii="Arial" w:hAnsi="Arial" w:cs="Arial"/>
          <w:color w:val="000000" w:themeColor="text1"/>
        </w:rPr>
      </w:pPr>
      <w:r w:rsidRPr="003D52F6">
        <w:rPr>
          <w:rFonts w:ascii="Arial" w:hAnsi="Arial" w:cs="Arial"/>
          <w:color w:val="000000" w:themeColor="text1"/>
        </w:rPr>
        <w:t>Price–performance comparisons further confirm the feasibility of a Differentiation-Focus strategy (see Figure D6.1, Appendix D).</w:t>
      </w:r>
    </w:p>
    <w:p w14:paraId="2816773D" w14:textId="0FA83A9F" w:rsidR="00A66A8C" w:rsidRPr="00A66A8C" w:rsidRDefault="00A66A8C" w:rsidP="00A66A8C">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9232" behindDoc="0" locked="0" layoutInCell="1" allowOverlap="1" wp14:anchorId="43DDA9DF" wp14:editId="7D88C7D1">
                <wp:simplePos x="0" y="0"/>
                <wp:positionH relativeFrom="column">
                  <wp:posOffset>0</wp:posOffset>
                </wp:positionH>
                <wp:positionV relativeFrom="paragraph">
                  <wp:posOffset>254524</wp:posOffset>
                </wp:positionV>
                <wp:extent cx="3183775" cy="0"/>
                <wp:effectExtent l="0" t="0" r="0" b="0"/>
                <wp:wrapNone/>
                <wp:docPr id="862547559"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C0CD1D" id="Straight Connector 4" o:spid="_x0000_s1026" style="position:absolute;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05pt" to="250.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" strokecolor="#ff4747" strokeweight=".5pt">
                <v:stroke joinstyle="miter"/>
              </v:line>
            </w:pict>
          </mc:Fallback>
        </mc:AlternateContent>
      </w:r>
    </w:p>
    <w:p w14:paraId="73460230" w14:textId="307A3AC1"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Strategic Rationale for Differentiation-Focus</w:t>
      </w:r>
    </w:p>
    <w:p w14:paraId="5FCED263" w14:textId="4FD084C5"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Lululemon’s core competencies</w:t>
      </w:r>
      <w:r w:rsidR="00B8031C">
        <w:rPr>
          <w:rFonts w:ascii="Arial" w:hAnsi="Arial" w:cs="Arial"/>
          <w:color w:val="000000" w:themeColor="text1"/>
        </w:rPr>
        <w:t xml:space="preserve">, </w:t>
      </w:r>
      <w:r w:rsidRPr="00A66A8C">
        <w:rPr>
          <w:rFonts w:ascii="Arial" w:hAnsi="Arial" w:cs="Arial"/>
          <w:color w:val="000000" w:themeColor="text1"/>
        </w:rPr>
        <w:t>proprietary fabrics, experiential retail, and community-led engagement</w:t>
      </w:r>
      <w:r w:rsidR="00B8031C">
        <w:rPr>
          <w:rFonts w:ascii="Arial" w:hAnsi="Arial" w:cs="Arial"/>
          <w:color w:val="000000" w:themeColor="text1"/>
        </w:rPr>
        <w:t xml:space="preserve"> </w:t>
      </w:r>
      <w:r w:rsidRPr="00A66A8C">
        <w:rPr>
          <w:rFonts w:ascii="Arial" w:hAnsi="Arial" w:cs="Arial"/>
          <w:color w:val="000000" w:themeColor="text1"/>
        </w:rPr>
        <w:t xml:space="preserve">are rare and difficult to imitate (Barney, 1991; Keller, 2013). Competing on price would erode these advantages and place the brand in direct comparison with mass and mid-range competitors such as Decathlon, Puma and Blissclub (Statista, 2024). The premium consumer segment in India, although narrow, exhibits </w:t>
      </w:r>
      <w:r w:rsidR="00B8031C">
        <w:rPr>
          <w:rFonts w:ascii="Arial" w:hAnsi="Arial" w:cs="Arial"/>
          <w:color w:val="000000" w:themeColor="text1"/>
        </w:rPr>
        <w:t xml:space="preserve">a </w:t>
      </w:r>
      <w:r w:rsidRPr="00A66A8C">
        <w:rPr>
          <w:rFonts w:ascii="Arial" w:hAnsi="Arial" w:cs="Arial"/>
          <w:color w:val="000000" w:themeColor="text1"/>
        </w:rPr>
        <w:t>high willingness to pay and views wellness consumption as an identity marker (Euromonitor, 2024).</w:t>
      </w:r>
    </w:p>
    <w:p w14:paraId="1C6A0FFC" w14:textId="4A0430BC" w:rsidR="00A66A8C" w:rsidRPr="00A66A8C" w:rsidRDefault="00A66A8C" w:rsidP="00A66A8C">
      <w:pPr>
        <w:spacing w:line="360" w:lineRule="auto"/>
        <w:rPr>
          <w:rFonts w:ascii="Arial" w:hAnsi="Arial" w:cs="Arial"/>
          <w:color w:val="000000" w:themeColor="text1"/>
        </w:rPr>
      </w:pPr>
    </w:p>
    <w:p w14:paraId="4A933541" w14:textId="1DCE73D1" w:rsidR="00A66A8C" w:rsidRPr="00A66A8C" w:rsidRDefault="00C25EE0" w:rsidP="00A66A8C">
      <w:pPr>
        <w:spacing w:line="360" w:lineRule="auto"/>
        <w:rPr>
          <w:rFonts w:ascii="Arial" w:hAnsi="Arial" w:cs="Arial"/>
          <w:color w:val="000000" w:themeColor="text1"/>
        </w:rPr>
      </w:pPr>
      <w:r>
        <w:rPr>
          <w:rFonts w:ascii="Arial" w:hAnsi="Arial" w:cs="Arial"/>
          <w:noProof/>
          <w:color w:val="000000" w:themeColor="text1"/>
        </w:rPr>
        <w:lastRenderedPageBreak/>
        <mc:AlternateContent>
          <mc:Choice Requires="wps">
            <w:drawing>
              <wp:anchor distT="0" distB="0" distL="114300" distR="114300" simplePos="0" relativeHeight="251684352" behindDoc="0" locked="0" layoutInCell="1" allowOverlap="1" wp14:anchorId="7FA7A6A3" wp14:editId="27EAE66C">
                <wp:simplePos x="0" y="0"/>
                <wp:positionH relativeFrom="column">
                  <wp:posOffset>0</wp:posOffset>
                </wp:positionH>
                <wp:positionV relativeFrom="paragraph">
                  <wp:posOffset>-54610</wp:posOffset>
                </wp:positionV>
                <wp:extent cx="3183775" cy="0"/>
                <wp:effectExtent l="0" t="0" r="0" b="0"/>
                <wp:wrapNone/>
                <wp:docPr id="1720567916"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996A3B" id="Straight Connector 4" o:spid="_x0000_s1026" style="position:absolute;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3pt" to="250.7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" strokecolor="#ff4747" strokeweight=".5pt">
                <v:stroke joinstyle="miter"/>
              </v:line>
            </w:pict>
          </mc:Fallback>
        </mc:AlternateContent>
      </w:r>
      <w:r w:rsidR="00A66A8C" w:rsidRPr="00A66A8C">
        <w:rPr>
          <w:rFonts w:ascii="Arial" w:hAnsi="Arial" w:cs="Arial"/>
          <w:color w:val="000000" w:themeColor="text1"/>
        </w:rPr>
        <w:t>STP Framework: Targeting the Premium Wellness Consumer</w:t>
      </w:r>
    </w:p>
    <w:p w14:paraId="4D27FB15" w14:textId="50041C94"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Segmentation</w:t>
      </w:r>
    </w:p>
    <w:p w14:paraId="2D7E6323" w14:textId="48C93AB9"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India’s athleisure consumers can be segmented by income, lifestyle orientation and wellness behaviour (see Table D2, Appendix D).</w:t>
      </w:r>
    </w:p>
    <w:p w14:paraId="03E83427" w14:textId="6ADEA6B1"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Targeting</w:t>
      </w:r>
    </w:p>
    <w:p w14:paraId="7A955D00" w14:textId="20B859BF"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Lululemon should target urban, wellness-driven women aged 22</w:t>
      </w:r>
      <w:r w:rsidR="00B8031C">
        <w:rPr>
          <w:rFonts w:ascii="Arial" w:hAnsi="Arial" w:cs="Arial"/>
          <w:color w:val="000000" w:themeColor="text1"/>
        </w:rPr>
        <w:t>-</w:t>
      </w:r>
      <w:r w:rsidRPr="00A66A8C">
        <w:rPr>
          <w:rFonts w:ascii="Arial" w:hAnsi="Arial" w:cs="Arial"/>
          <w:color w:val="000000" w:themeColor="text1"/>
        </w:rPr>
        <w:t xml:space="preserve">45 located in Mumbai, Delhi and Bengaluru. </w:t>
      </w:r>
      <w:r w:rsidR="00221AB6" w:rsidRPr="00221AB6">
        <w:rPr>
          <w:rFonts w:ascii="Arial" w:hAnsi="Arial" w:cs="Arial"/>
          <w:color w:val="000000" w:themeColor="text1"/>
        </w:rPr>
        <w:t>Consumer value mapping confirms that this segment exhibits the strongest willingness to pay for premium technical apparel (see Figure D6.3, Appendix D).</w:t>
      </w:r>
      <w:r w:rsidR="00221AB6">
        <w:rPr>
          <w:rFonts w:ascii="Arial" w:hAnsi="Arial" w:cs="Arial"/>
          <w:color w:val="000000" w:themeColor="text1"/>
        </w:rPr>
        <w:t xml:space="preserve"> </w:t>
      </w:r>
      <w:r w:rsidRPr="00A66A8C">
        <w:rPr>
          <w:rFonts w:ascii="Arial" w:hAnsi="Arial" w:cs="Arial"/>
          <w:color w:val="000000" w:themeColor="text1"/>
        </w:rPr>
        <w:t>These consumers value premium experiences and cultural alignment.</w:t>
      </w:r>
    </w:p>
    <w:p w14:paraId="4F1DD231" w14:textId="4DD6438F"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Managerial Recommendation 1:</w:t>
      </w:r>
    </w:p>
    <w:p w14:paraId="44936D74" w14:textId="541C2BFF"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Position Lululemon around “aspirational wellness luxury”, differentiating it from sports brands and embedding it in India’s lifestyle-consumption culture.</w:t>
      </w:r>
    </w:p>
    <w:p w14:paraId="72CAC2A1" w14:textId="564223E8"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Positioning</w:t>
      </w:r>
    </w:p>
    <w:p w14:paraId="357FFCAE" w14:textId="50A4DB49"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A strong positioning statement for India is proposed:</w:t>
      </w:r>
      <w:r w:rsidR="00B8031C">
        <w:rPr>
          <w:rFonts w:ascii="Arial" w:hAnsi="Arial" w:cs="Arial"/>
          <w:color w:val="000000" w:themeColor="text1"/>
        </w:rPr>
        <w:t xml:space="preserve"> </w:t>
      </w:r>
      <w:r w:rsidRPr="00A66A8C">
        <w:rPr>
          <w:rFonts w:ascii="Arial" w:hAnsi="Arial" w:cs="Arial"/>
          <w:color w:val="000000" w:themeColor="text1"/>
        </w:rPr>
        <w:t>“Premium performance meets mindful Indian wellness.”</w:t>
      </w:r>
      <w:r w:rsidR="00B8031C">
        <w:rPr>
          <w:rFonts w:ascii="Arial" w:hAnsi="Arial" w:cs="Arial"/>
          <w:color w:val="000000" w:themeColor="text1"/>
        </w:rPr>
        <w:t xml:space="preserve"> </w:t>
      </w:r>
      <w:r w:rsidRPr="00A66A8C">
        <w:rPr>
          <w:rFonts w:ascii="Arial" w:hAnsi="Arial" w:cs="Arial"/>
          <w:color w:val="000000" w:themeColor="text1"/>
        </w:rPr>
        <w:t>This reinforces both functional superiority and cultural authenticity.</w:t>
      </w:r>
    </w:p>
    <w:p w14:paraId="0A0D821F" w14:textId="77777777"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A competitive positioning map is provided in Figure D3 (Appendix D).</w:t>
      </w:r>
    </w:p>
    <w:p w14:paraId="434589BF" w14:textId="5CEEC850" w:rsidR="00A66A8C" w:rsidRPr="00A66A8C" w:rsidRDefault="00B8031C" w:rsidP="00A66A8C">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88448" behindDoc="0" locked="0" layoutInCell="1" allowOverlap="1" wp14:anchorId="4F8793BB" wp14:editId="41F4ABE2">
                <wp:simplePos x="0" y="0"/>
                <wp:positionH relativeFrom="column">
                  <wp:posOffset>0</wp:posOffset>
                </wp:positionH>
                <wp:positionV relativeFrom="paragraph">
                  <wp:posOffset>263315</wp:posOffset>
                </wp:positionV>
                <wp:extent cx="3183775" cy="0"/>
                <wp:effectExtent l="0" t="0" r="0" b="0"/>
                <wp:wrapNone/>
                <wp:docPr id="1393884994"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5F1BEF" id="Straight Connector 4" o:spid="_x0000_s1026" style="position:absolute;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75pt" to="250.7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" strokecolor="#ff4747" strokeweight=".5pt">
                <v:stroke joinstyle="miter"/>
              </v:line>
            </w:pict>
          </mc:Fallback>
        </mc:AlternateContent>
      </w:r>
    </w:p>
    <w:p w14:paraId="5DC23DD9" w14:textId="77777777"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Three Differentiation Pillars</w:t>
      </w:r>
    </w:p>
    <w:p w14:paraId="060E3D35" w14:textId="324088F5"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Technical Superiority</w:t>
      </w:r>
      <w:r w:rsidR="00B8031C">
        <w:rPr>
          <w:rFonts w:ascii="Arial" w:hAnsi="Arial" w:cs="Arial"/>
          <w:color w:val="000000" w:themeColor="text1"/>
        </w:rPr>
        <w:t xml:space="preserve"> - </w:t>
      </w:r>
      <w:r w:rsidRPr="00A66A8C">
        <w:rPr>
          <w:rFonts w:ascii="Arial" w:hAnsi="Arial" w:cs="Arial"/>
          <w:color w:val="000000" w:themeColor="text1"/>
        </w:rPr>
        <w:t>Emphasise Nulu™, Nulux™ and Everlux™ through performance storytelling.</w:t>
      </w:r>
      <w:r w:rsidR="00B8031C">
        <w:rPr>
          <w:rFonts w:ascii="Arial" w:hAnsi="Arial" w:cs="Arial"/>
          <w:color w:val="000000" w:themeColor="text1"/>
        </w:rPr>
        <w:t xml:space="preserve"> </w:t>
      </w:r>
    </w:p>
    <w:p w14:paraId="780E59E9" w14:textId="30D61D18" w:rsid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Cultural Authenticity</w:t>
      </w:r>
      <w:r w:rsidR="00B8031C">
        <w:rPr>
          <w:rFonts w:ascii="Arial" w:hAnsi="Arial" w:cs="Arial"/>
          <w:color w:val="000000" w:themeColor="text1"/>
        </w:rPr>
        <w:t xml:space="preserve"> - </w:t>
      </w:r>
      <w:r w:rsidRPr="00A66A8C">
        <w:rPr>
          <w:rFonts w:ascii="Arial" w:hAnsi="Arial" w:cs="Arial"/>
          <w:color w:val="000000" w:themeColor="text1"/>
        </w:rPr>
        <w:t>Cultural distance poses a misalignment risk (Ghemawat, 2001).</w:t>
      </w:r>
    </w:p>
    <w:p w14:paraId="68A4216F" w14:textId="6BED1FFA" w:rsidR="00221AB6" w:rsidRPr="00A66A8C" w:rsidRDefault="00221AB6" w:rsidP="00A66A8C">
      <w:pPr>
        <w:spacing w:line="360" w:lineRule="auto"/>
        <w:rPr>
          <w:rFonts w:ascii="Arial" w:hAnsi="Arial" w:cs="Arial"/>
          <w:color w:val="000000" w:themeColor="text1"/>
        </w:rPr>
      </w:pPr>
      <w:r w:rsidRPr="00221AB6">
        <w:rPr>
          <w:rFonts w:ascii="Arial" w:hAnsi="Arial" w:cs="Arial"/>
          <w:color w:val="000000" w:themeColor="text1"/>
        </w:rPr>
        <w:t>Comparative cultural–performance analysis further highlights a noticeable cultural alignment gap between Lululemon and local Indian competitors, reinforcing the need for deep localisation (see Figure D6.2, Appendix D).</w:t>
      </w:r>
    </w:p>
    <w:p w14:paraId="3FD85CCD" w14:textId="6C17BC58"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Managerial Recommendation 2:</w:t>
      </w:r>
      <w:r w:rsidR="00B8031C">
        <w:rPr>
          <w:rFonts w:ascii="Arial" w:hAnsi="Arial" w:cs="Arial"/>
          <w:color w:val="000000" w:themeColor="text1"/>
        </w:rPr>
        <w:t xml:space="preserve"> </w:t>
      </w:r>
      <w:r w:rsidRPr="00A66A8C">
        <w:rPr>
          <w:rFonts w:ascii="Arial" w:hAnsi="Arial" w:cs="Arial"/>
          <w:color w:val="000000" w:themeColor="text1"/>
        </w:rPr>
        <w:t>Localise the Sweatlife model via partnerships with Indian yoga instructors, Ayurveda practitioners and meditation schools.</w:t>
      </w:r>
    </w:p>
    <w:p w14:paraId="2B21A7D9" w14:textId="51D426C4"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lastRenderedPageBreak/>
        <w:t>Experience-Led Retail</w:t>
      </w:r>
      <w:r w:rsidR="00B8031C">
        <w:rPr>
          <w:rFonts w:ascii="Arial" w:hAnsi="Arial" w:cs="Arial"/>
          <w:color w:val="000000" w:themeColor="text1"/>
        </w:rPr>
        <w:t xml:space="preserve"> - </w:t>
      </w:r>
      <w:r w:rsidRPr="00A66A8C">
        <w:rPr>
          <w:rFonts w:ascii="Arial" w:hAnsi="Arial" w:cs="Arial"/>
          <w:color w:val="000000" w:themeColor="text1"/>
        </w:rPr>
        <w:t>Experiential differentiation should include community events, climate-specific product trials, and premium boutique retail formats.</w:t>
      </w:r>
    </w:p>
    <w:p w14:paraId="023380DB" w14:textId="078E30B4" w:rsidR="00A66A8C" w:rsidRPr="00A66A8C" w:rsidRDefault="00B8031C" w:rsidP="00A66A8C">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92544" behindDoc="0" locked="0" layoutInCell="1" allowOverlap="1" wp14:anchorId="74EF2DDF" wp14:editId="3D12323D">
                <wp:simplePos x="0" y="0"/>
                <wp:positionH relativeFrom="column">
                  <wp:posOffset>0</wp:posOffset>
                </wp:positionH>
                <wp:positionV relativeFrom="paragraph">
                  <wp:posOffset>253888</wp:posOffset>
                </wp:positionV>
                <wp:extent cx="3183775" cy="0"/>
                <wp:effectExtent l="0" t="0" r="0" b="0"/>
                <wp:wrapNone/>
                <wp:docPr id="959106586"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D5E4C7" id="Straight Connector 4" o:spid="_x0000_s1026" style="position:absolute;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pt" to="250.7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" strokecolor="#ff4747" strokeweight=".5pt">
                <v:stroke joinstyle="miter"/>
              </v:line>
            </w:pict>
          </mc:Fallback>
        </mc:AlternateContent>
      </w:r>
    </w:p>
    <w:p w14:paraId="7A2E53FF" w14:textId="54BCB29C"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Critical Reflection: Limitations and Strategic Risks</w:t>
      </w:r>
    </w:p>
    <w:p w14:paraId="22F63380" w14:textId="661CF0A6"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Two context-specific risks emerge:</w:t>
      </w:r>
    </w:p>
    <w:p w14:paraId="5A226A66" w14:textId="77777777"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High buyer expectations regarding sustainability and performance.</w:t>
      </w:r>
    </w:p>
    <w:p w14:paraId="66196715" w14:textId="6986BC4B"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Managerial Recommendation 3:</w:t>
      </w:r>
      <w:r w:rsidR="00B8031C">
        <w:rPr>
          <w:rFonts w:ascii="Arial" w:hAnsi="Arial" w:cs="Arial"/>
          <w:color w:val="000000" w:themeColor="text1"/>
        </w:rPr>
        <w:t xml:space="preserve"> </w:t>
      </w:r>
      <w:r w:rsidRPr="00A66A8C">
        <w:rPr>
          <w:rFonts w:ascii="Arial" w:hAnsi="Arial" w:cs="Arial"/>
          <w:color w:val="000000" w:themeColor="text1"/>
        </w:rPr>
        <w:t>Launch a “Lululemon India Climate Capsule Collection” tailored to hot and humid conditions.</w:t>
      </w:r>
    </w:p>
    <w:p w14:paraId="77948C55" w14:textId="77777777" w:rsidR="00A66A8C" w:rsidRPr="00A66A8C" w:rsidRDefault="00A66A8C" w:rsidP="00A66A8C">
      <w:pPr>
        <w:spacing w:line="360" w:lineRule="auto"/>
        <w:rPr>
          <w:rFonts w:ascii="Arial" w:hAnsi="Arial" w:cs="Arial"/>
          <w:color w:val="000000" w:themeColor="text1"/>
        </w:rPr>
      </w:pPr>
    </w:p>
    <w:p w14:paraId="18D894D0" w14:textId="77777777" w:rsidR="00A66A8C" w:rsidRP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Narrow premium segment due to income inequality.</w:t>
      </w:r>
    </w:p>
    <w:p w14:paraId="0AC308DC" w14:textId="728FD1DC" w:rsidR="00A66A8C" w:rsidRDefault="00A66A8C" w:rsidP="00A66A8C">
      <w:pPr>
        <w:spacing w:line="360" w:lineRule="auto"/>
        <w:rPr>
          <w:rFonts w:ascii="Arial" w:hAnsi="Arial" w:cs="Arial"/>
          <w:color w:val="000000" w:themeColor="text1"/>
        </w:rPr>
      </w:pPr>
      <w:r w:rsidRPr="00A66A8C">
        <w:rPr>
          <w:rFonts w:ascii="Arial" w:hAnsi="Arial" w:cs="Arial"/>
          <w:color w:val="000000" w:themeColor="text1"/>
        </w:rPr>
        <w:t>Managerial Recommendation 4:</w:t>
      </w:r>
      <w:r w:rsidR="00A652A3">
        <w:rPr>
          <w:rFonts w:ascii="Arial" w:hAnsi="Arial" w:cs="Arial"/>
          <w:color w:val="000000" w:themeColor="text1"/>
        </w:rPr>
        <w:t xml:space="preserve"> </w:t>
      </w:r>
      <w:r w:rsidRPr="00A66A8C">
        <w:rPr>
          <w:rFonts w:ascii="Arial" w:hAnsi="Arial" w:cs="Arial"/>
          <w:color w:val="000000" w:themeColor="text1"/>
        </w:rPr>
        <w:t>Start with a phased flagship rollout (Mumbai → Delhi → Bengaluru) before scaling to secondary cities.</w:t>
      </w:r>
    </w:p>
    <w:p w14:paraId="4F6A7CF4" w14:textId="77777777" w:rsidR="00221AB6" w:rsidRDefault="00221AB6" w:rsidP="00A66A8C">
      <w:pPr>
        <w:spacing w:line="360" w:lineRule="auto"/>
        <w:rPr>
          <w:rFonts w:ascii="Arial" w:hAnsi="Arial" w:cs="Arial"/>
          <w:color w:val="000000" w:themeColor="text1"/>
        </w:rPr>
      </w:pPr>
    </w:p>
    <w:p w14:paraId="3223F648" w14:textId="2492FEFC" w:rsidR="00221AB6" w:rsidRPr="00221AB6" w:rsidRDefault="00221AB6" w:rsidP="00221AB6">
      <w:pPr>
        <w:pStyle w:val="Heading2"/>
        <w:rPr>
          <w:rFonts w:ascii="Arial" w:hAnsi="Arial" w:cs="Arial"/>
          <w:color w:val="000000" w:themeColor="text1"/>
          <w:sz w:val="28"/>
          <w:szCs w:val="28"/>
        </w:rPr>
      </w:pPr>
      <w:bookmarkStart w:id="23" w:name="_Toc215314143"/>
      <w:r w:rsidRPr="00221AB6">
        <w:rPr>
          <w:rFonts w:ascii="Arial" w:hAnsi="Arial" w:cs="Arial"/>
          <w:color w:val="000000" w:themeColor="text1"/>
          <w:sz w:val="28"/>
          <w:szCs w:val="28"/>
        </w:rPr>
        <w:t>5.4 Strategy Implementation</w:t>
      </w:r>
      <w:bookmarkEnd w:id="23"/>
    </w:p>
    <w:p w14:paraId="28AC0452" w14:textId="77777777" w:rsidR="00221AB6" w:rsidRPr="00221AB6" w:rsidRDefault="00221AB6" w:rsidP="00221AB6">
      <w:pPr>
        <w:spacing w:line="360" w:lineRule="auto"/>
        <w:rPr>
          <w:rFonts w:ascii="Arial" w:hAnsi="Arial" w:cs="Arial"/>
          <w:color w:val="000000" w:themeColor="text1"/>
        </w:rPr>
      </w:pPr>
    </w:p>
    <w:p w14:paraId="152333B4" w14:textId="4F3FE9E5"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Effective strategy implementation requires aligning people, processes and resources to deliver the intended competitive advantage (Noble, 1999; Hitt et al., 2024). For Lululemon, execution in India must balance global capability transfer with local responsiveness.</w:t>
      </w:r>
    </w:p>
    <w:p w14:paraId="028333DF" w14:textId="77777777"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Product Localisation.</w:t>
      </w:r>
    </w:p>
    <w:p w14:paraId="34C52C2F" w14:textId="61FCE4B5"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Lululemon should maintain centralised production for high-performance fabrics while selectively localising low-risk accessories to satisfy India’s 30% FDI sourcing rule (DPIIT, 2018). Climate adaptation is essential: lightweight, heat-resistant and modesty-friendly designs should complement core imported lines. The competitive clustering matrix identifies a clear “premium technical white space” supporting this product strategy (see Figure D6.4, Appendix D).</w:t>
      </w:r>
    </w:p>
    <w:p w14:paraId="0B3CC5F1" w14:textId="77777777"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Retail and Omnichannel Rollout.</w:t>
      </w:r>
    </w:p>
    <w:p w14:paraId="683EFDF6" w14:textId="65E26370"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lastRenderedPageBreak/>
        <w:t>Implementation should begin with flagship stores in Jio World Drive (Mumbai), DLF Emporio (Delhi) and UB City (Bengaluru), paired with e-commerce through Tata CLiQ Luxury. This hybrid model maximises reach while preserving experiential differentiation.</w:t>
      </w:r>
    </w:p>
    <w:p w14:paraId="53A1A72C" w14:textId="5F62012E" w:rsidR="00221AB6" w:rsidRPr="00221AB6" w:rsidRDefault="002F2A25" w:rsidP="00221AB6">
      <w:pPr>
        <w:spacing w:line="360" w:lineRule="auto"/>
        <w:rPr>
          <w:rFonts w:ascii="Arial" w:hAnsi="Arial" w:cs="Arial"/>
          <w:color w:val="000000" w:themeColor="text1"/>
        </w:rPr>
      </w:pPr>
      <w:r>
        <w:rPr>
          <w:rFonts w:ascii="Arial" w:hAnsi="Arial" w:cs="Arial"/>
          <w:color w:val="000000" w:themeColor="text1"/>
        </w:rPr>
        <w:t>H</w:t>
      </w:r>
      <w:r w:rsidR="00221AB6" w:rsidRPr="00221AB6">
        <w:rPr>
          <w:rFonts w:ascii="Arial" w:hAnsi="Arial" w:cs="Arial"/>
          <w:color w:val="000000" w:themeColor="text1"/>
        </w:rPr>
        <w:t>uman Capital and Cultural Integration.</w:t>
      </w:r>
    </w:p>
    <w:p w14:paraId="7321EF51" w14:textId="454B4884"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 xml:space="preserve">Transferring Lululemon’s experiential culture requires targeted training on Indian wellness norms, modesty expectations and festival-based merchandising. The Cultural Integration </w:t>
      </w:r>
      <w:r w:rsidR="003A66CF">
        <w:rPr>
          <w:rFonts w:ascii="Arial" w:hAnsi="Arial" w:cs="Arial"/>
          <w:color w:val="000000" w:themeColor="text1"/>
        </w:rPr>
        <w:t>Toolkit</w:t>
      </w:r>
      <w:r w:rsidRPr="00221AB6">
        <w:rPr>
          <w:rFonts w:ascii="Arial" w:hAnsi="Arial" w:cs="Arial"/>
          <w:color w:val="000000" w:themeColor="text1"/>
        </w:rPr>
        <w:t xml:space="preserve"> (Appendix A2) supports this process and mitigates cultural-distance risks (Ghemawat, 2001).</w:t>
      </w:r>
    </w:p>
    <w:p w14:paraId="77E6E7A4" w14:textId="77777777" w:rsidR="00221AB6" w:rsidRP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Operational Structure.</w:t>
      </w:r>
    </w:p>
    <w:p w14:paraId="4E57D9F5" w14:textId="41D58F12" w:rsidR="00221AB6" w:rsidRDefault="00221AB6" w:rsidP="00221AB6">
      <w:pPr>
        <w:spacing w:line="360" w:lineRule="auto"/>
        <w:rPr>
          <w:rFonts w:ascii="Arial" w:hAnsi="Arial" w:cs="Arial"/>
          <w:color w:val="000000" w:themeColor="text1"/>
        </w:rPr>
      </w:pPr>
      <w:r w:rsidRPr="00221AB6">
        <w:rPr>
          <w:rFonts w:ascii="Arial" w:hAnsi="Arial" w:cs="Arial"/>
          <w:color w:val="000000" w:themeColor="text1"/>
        </w:rPr>
        <w:t>The JV partner should manage compliance, local sourcing and logistics, while Lululemon retains control over brand communication, ambassador programmes and in-store experience design</w:t>
      </w:r>
      <w:r w:rsidR="003A66CF">
        <w:rPr>
          <w:rFonts w:ascii="Arial" w:hAnsi="Arial" w:cs="Arial"/>
          <w:color w:val="000000" w:themeColor="text1"/>
        </w:rPr>
        <w:t xml:space="preserve">, </w:t>
      </w:r>
      <w:r w:rsidRPr="00221AB6">
        <w:rPr>
          <w:rFonts w:ascii="Arial" w:hAnsi="Arial" w:cs="Arial"/>
          <w:color w:val="000000" w:themeColor="text1"/>
        </w:rPr>
        <w:t>protecting VRIO resources while reducing liability of foreignness.</w:t>
      </w:r>
    </w:p>
    <w:p w14:paraId="4D1103A8" w14:textId="77777777" w:rsidR="003A66CF" w:rsidRDefault="003A66CF" w:rsidP="00221AB6">
      <w:pPr>
        <w:spacing w:line="360" w:lineRule="auto"/>
        <w:rPr>
          <w:rFonts w:ascii="Arial" w:hAnsi="Arial" w:cs="Arial"/>
          <w:color w:val="000000" w:themeColor="text1"/>
        </w:rPr>
      </w:pPr>
    </w:p>
    <w:p w14:paraId="5F68086A" w14:textId="77777777" w:rsidR="002F2A25" w:rsidRDefault="002F2A25" w:rsidP="00221AB6">
      <w:pPr>
        <w:spacing w:line="360" w:lineRule="auto"/>
        <w:rPr>
          <w:rFonts w:ascii="Arial" w:hAnsi="Arial" w:cs="Arial"/>
          <w:color w:val="000000" w:themeColor="text1"/>
        </w:rPr>
      </w:pPr>
    </w:p>
    <w:p w14:paraId="6BC8A54C" w14:textId="77777777" w:rsidR="002F2A25" w:rsidRDefault="002F2A25" w:rsidP="00221AB6">
      <w:pPr>
        <w:spacing w:line="360" w:lineRule="auto"/>
        <w:rPr>
          <w:rFonts w:ascii="Arial" w:hAnsi="Arial" w:cs="Arial"/>
          <w:color w:val="000000" w:themeColor="text1"/>
        </w:rPr>
      </w:pPr>
    </w:p>
    <w:p w14:paraId="6C7C7F1B" w14:textId="77777777" w:rsidR="002F2A25" w:rsidRDefault="002F2A25" w:rsidP="00221AB6">
      <w:pPr>
        <w:spacing w:line="360" w:lineRule="auto"/>
        <w:rPr>
          <w:rFonts w:ascii="Arial" w:hAnsi="Arial" w:cs="Arial"/>
          <w:color w:val="000000" w:themeColor="text1"/>
        </w:rPr>
      </w:pPr>
    </w:p>
    <w:p w14:paraId="4F6704F9" w14:textId="77777777" w:rsidR="002F2A25" w:rsidRDefault="002F2A25" w:rsidP="00221AB6">
      <w:pPr>
        <w:spacing w:line="360" w:lineRule="auto"/>
        <w:rPr>
          <w:rFonts w:ascii="Arial" w:hAnsi="Arial" w:cs="Arial"/>
          <w:color w:val="000000" w:themeColor="text1"/>
        </w:rPr>
      </w:pPr>
    </w:p>
    <w:p w14:paraId="518E8DD5" w14:textId="77777777" w:rsidR="002F2A25" w:rsidRDefault="002F2A25" w:rsidP="00221AB6">
      <w:pPr>
        <w:spacing w:line="360" w:lineRule="auto"/>
        <w:rPr>
          <w:rFonts w:ascii="Arial" w:hAnsi="Arial" w:cs="Arial"/>
          <w:color w:val="000000" w:themeColor="text1"/>
        </w:rPr>
      </w:pPr>
    </w:p>
    <w:p w14:paraId="188E482D" w14:textId="77777777" w:rsidR="002F2A25" w:rsidRDefault="002F2A25" w:rsidP="00221AB6">
      <w:pPr>
        <w:spacing w:line="360" w:lineRule="auto"/>
        <w:rPr>
          <w:rFonts w:ascii="Arial" w:hAnsi="Arial" w:cs="Arial"/>
          <w:color w:val="000000" w:themeColor="text1"/>
        </w:rPr>
      </w:pPr>
    </w:p>
    <w:p w14:paraId="5F5F7FA2" w14:textId="77777777" w:rsidR="002F2A25" w:rsidRDefault="002F2A25" w:rsidP="00221AB6">
      <w:pPr>
        <w:spacing w:line="360" w:lineRule="auto"/>
        <w:rPr>
          <w:rFonts w:ascii="Arial" w:hAnsi="Arial" w:cs="Arial"/>
          <w:color w:val="000000" w:themeColor="text1"/>
        </w:rPr>
      </w:pPr>
    </w:p>
    <w:p w14:paraId="1FA2DDA5" w14:textId="77777777" w:rsidR="002F2A25" w:rsidRDefault="002F2A25" w:rsidP="00221AB6">
      <w:pPr>
        <w:spacing w:line="360" w:lineRule="auto"/>
        <w:rPr>
          <w:rFonts w:ascii="Arial" w:hAnsi="Arial" w:cs="Arial"/>
          <w:color w:val="000000" w:themeColor="text1"/>
        </w:rPr>
      </w:pPr>
    </w:p>
    <w:p w14:paraId="0055D13B" w14:textId="77777777" w:rsidR="002F2A25" w:rsidRDefault="002F2A25" w:rsidP="00221AB6">
      <w:pPr>
        <w:spacing w:line="360" w:lineRule="auto"/>
        <w:rPr>
          <w:rFonts w:ascii="Arial" w:hAnsi="Arial" w:cs="Arial"/>
          <w:color w:val="000000" w:themeColor="text1"/>
        </w:rPr>
      </w:pPr>
    </w:p>
    <w:p w14:paraId="3415A155" w14:textId="77777777" w:rsidR="002F2A25" w:rsidRDefault="002F2A25" w:rsidP="00221AB6">
      <w:pPr>
        <w:spacing w:line="360" w:lineRule="auto"/>
        <w:rPr>
          <w:rFonts w:ascii="Arial" w:hAnsi="Arial" w:cs="Arial"/>
          <w:color w:val="000000" w:themeColor="text1"/>
        </w:rPr>
      </w:pPr>
    </w:p>
    <w:p w14:paraId="3C25C4CB" w14:textId="77777777" w:rsidR="002F2A25" w:rsidRDefault="002F2A25" w:rsidP="00221AB6">
      <w:pPr>
        <w:spacing w:line="360" w:lineRule="auto"/>
        <w:rPr>
          <w:rFonts w:ascii="Arial" w:hAnsi="Arial" w:cs="Arial"/>
          <w:color w:val="000000" w:themeColor="text1"/>
        </w:rPr>
      </w:pPr>
    </w:p>
    <w:p w14:paraId="3A04A8BD" w14:textId="77777777" w:rsidR="002F2A25" w:rsidRDefault="002F2A25" w:rsidP="00221AB6">
      <w:pPr>
        <w:spacing w:line="360" w:lineRule="auto"/>
        <w:rPr>
          <w:rFonts w:ascii="Arial" w:hAnsi="Arial" w:cs="Arial"/>
          <w:color w:val="000000" w:themeColor="text1"/>
        </w:rPr>
      </w:pPr>
    </w:p>
    <w:p w14:paraId="5C59BE3D" w14:textId="77777777" w:rsidR="002F2A25" w:rsidRDefault="002F2A25" w:rsidP="00221AB6">
      <w:pPr>
        <w:spacing w:line="360" w:lineRule="auto"/>
        <w:rPr>
          <w:rFonts w:ascii="Arial" w:hAnsi="Arial" w:cs="Arial"/>
          <w:color w:val="000000" w:themeColor="text1"/>
        </w:rPr>
      </w:pPr>
    </w:p>
    <w:p w14:paraId="6C8019A7" w14:textId="6C348DEA" w:rsidR="003A66CF" w:rsidRPr="003A66CF" w:rsidRDefault="003A66CF" w:rsidP="003A66CF">
      <w:pPr>
        <w:pStyle w:val="Heading1"/>
        <w:shd w:val="clear" w:color="auto" w:fill="FF4747"/>
        <w:rPr>
          <w:rFonts w:ascii="Arial" w:hAnsi="Arial" w:cs="Arial"/>
          <w:color w:val="FFFFFF" w:themeColor="background1"/>
          <w:sz w:val="36"/>
          <w:szCs w:val="36"/>
        </w:rPr>
      </w:pPr>
      <w:bookmarkStart w:id="24" w:name="_Toc215314144"/>
      <w:r w:rsidRPr="003A66CF">
        <w:rPr>
          <w:rFonts w:ascii="Arial" w:hAnsi="Arial" w:cs="Arial"/>
          <w:color w:val="FFFFFF" w:themeColor="background1"/>
          <w:sz w:val="36"/>
          <w:szCs w:val="36"/>
        </w:rPr>
        <w:lastRenderedPageBreak/>
        <w:t>6. Strategy Evaluation and Control</w:t>
      </w:r>
      <w:bookmarkEnd w:id="24"/>
    </w:p>
    <w:p w14:paraId="246F1B16" w14:textId="77777777" w:rsidR="003A66CF" w:rsidRDefault="003A66CF" w:rsidP="00221AB6">
      <w:pPr>
        <w:spacing w:line="360" w:lineRule="auto"/>
        <w:rPr>
          <w:rFonts w:ascii="Arial" w:hAnsi="Arial" w:cs="Arial"/>
          <w:color w:val="000000" w:themeColor="text1"/>
        </w:rPr>
      </w:pPr>
    </w:p>
    <w:p w14:paraId="60723676" w14:textId="77777777" w:rsidR="00E35295" w:rsidRPr="00E35295" w:rsidRDefault="00E35295" w:rsidP="00E35295">
      <w:pPr>
        <w:pStyle w:val="Heading2"/>
        <w:rPr>
          <w:rFonts w:ascii="Arial" w:hAnsi="Arial" w:cs="Arial"/>
          <w:color w:val="000000" w:themeColor="text1"/>
          <w:sz w:val="28"/>
          <w:szCs w:val="28"/>
        </w:rPr>
      </w:pPr>
      <w:bookmarkStart w:id="25" w:name="_Toc215314145"/>
      <w:r w:rsidRPr="00E35295">
        <w:rPr>
          <w:rFonts w:ascii="Arial" w:hAnsi="Arial" w:cs="Arial"/>
          <w:color w:val="000000" w:themeColor="text1"/>
          <w:sz w:val="28"/>
          <w:szCs w:val="28"/>
        </w:rPr>
        <w:t>6.1 Performance Evaluation Framework (Balanced Scorecard)</w:t>
      </w:r>
      <w:bookmarkEnd w:id="25"/>
    </w:p>
    <w:p w14:paraId="18A04788" w14:textId="77777777" w:rsidR="00E35295" w:rsidRPr="00E35295" w:rsidRDefault="00E35295" w:rsidP="00E35295">
      <w:pPr>
        <w:spacing w:line="360" w:lineRule="auto"/>
        <w:rPr>
          <w:rFonts w:ascii="Arial" w:hAnsi="Arial" w:cs="Arial"/>
          <w:color w:val="000000" w:themeColor="text1"/>
        </w:rPr>
      </w:pPr>
    </w:p>
    <w:p w14:paraId="72C31BA3" w14:textId="6D4C79B5" w:rsidR="008D2DD1" w:rsidRDefault="009E65FE" w:rsidP="009927C2">
      <w:pPr>
        <w:spacing w:line="360" w:lineRule="auto"/>
        <w:rPr>
          <w:rFonts w:ascii="Arial" w:hAnsi="Arial" w:cs="Arial"/>
          <w:color w:val="000000" w:themeColor="text1"/>
        </w:rPr>
      </w:pPr>
      <w:r w:rsidRPr="009E65FE">
        <w:rPr>
          <w:rFonts w:ascii="Arial" w:hAnsi="Arial" w:cs="Arial"/>
          <w:color w:val="000000" w:themeColor="text1"/>
        </w:rPr>
        <w:t>To ensure the successful implementation of the Differentiation-Focus strategy, the Balanced Scorecard (BSC) is selected as the primary evaluation framework (Kaplan and Norton, 1992). The BSC moves beyond purely financial metrics to align operational activities with long-term strategic goals. This integrated approach is crucial for Lululemon’s entry into India, as success relies equally on non-financial metrics like customer loyalty and cultural alignment. The strategic objectives, measures, and targets are detailed in Table 4.</w:t>
      </w:r>
    </w:p>
    <w:p w14:paraId="29715029" w14:textId="77777777" w:rsidR="009E65FE" w:rsidRDefault="009E65FE" w:rsidP="009927C2">
      <w:pPr>
        <w:spacing w:line="360" w:lineRule="auto"/>
        <w:rPr>
          <w:rFonts w:ascii="Arial" w:hAnsi="Arial" w:cs="Arial"/>
          <w:b/>
          <w:bCs/>
          <w:color w:val="000000" w:themeColor="text1"/>
        </w:rPr>
      </w:pPr>
    </w:p>
    <w:p w14:paraId="4F05DD95" w14:textId="77777777" w:rsidR="008D2DD1" w:rsidRDefault="008D2DD1" w:rsidP="009927C2">
      <w:pPr>
        <w:spacing w:line="360" w:lineRule="auto"/>
        <w:rPr>
          <w:rFonts w:ascii="Arial" w:hAnsi="Arial" w:cs="Arial"/>
          <w:b/>
          <w:bCs/>
          <w:color w:val="000000" w:themeColor="text1"/>
        </w:rPr>
      </w:pPr>
    </w:p>
    <w:p w14:paraId="74846194" w14:textId="77777777" w:rsidR="008D2DD1" w:rsidRDefault="008D2DD1" w:rsidP="009927C2">
      <w:pPr>
        <w:spacing w:line="360" w:lineRule="auto"/>
        <w:rPr>
          <w:rFonts w:ascii="Arial" w:hAnsi="Arial" w:cs="Arial"/>
          <w:b/>
          <w:bCs/>
          <w:color w:val="000000" w:themeColor="text1"/>
        </w:rPr>
      </w:pPr>
    </w:p>
    <w:p w14:paraId="45A1E45C" w14:textId="77777777" w:rsidR="008D2DD1" w:rsidRDefault="008D2DD1" w:rsidP="009927C2">
      <w:pPr>
        <w:spacing w:line="360" w:lineRule="auto"/>
        <w:rPr>
          <w:rFonts w:ascii="Arial" w:hAnsi="Arial" w:cs="Arial"/>
          <w:b/>
          <w:bCs/>
          <w:color w:val="000000" w:themeColor="text1"/>
        </w:rPr>
      </w:pPr>
    </w:p>
    <w:p w14:paraId="3815181B" w14:textId="77777777" w:rsidR="008D2DD1" w:rsidRDefault="008D2DD1" w:rsidP="009927C2">
      <w:pPr>
        <w:spacing w:line="360" w:lineRule="auto"/>
        <w:rPr>
          <w:rFonts w:ascii="Arial" w:hAnsi="Arial" w:cs="Arial"/>
          <w:b/>
          <w:bCs/>
          <w:color w:val="000000" w:themeColor="text1"/>
        </w:rPr>
      </w:pPr>
    </w:p>
    <w:p w14:paraId="71A0A83D" w14:textId="77777777" w:rsidR="008D2DD1" w:rsidRDefault="008D2DD1" w:rsidP="009927C2">
      <w:pPr>
        <w:spacing w:line="360" w:lineRule="auto"/>
        <w:rPr>
          <w:rFonts w:ascii="Arial" w:hAnsi="Arial" w:cs="Arial"/>
          <w:b/>
          <w:bCs/>
          <w:color w:val="000000" w:themeColor="text1"/>
        </w:rPr>
      </w:pPr>
    </w:p>
    <w:p w14:paraId="644858F2" w14:textId="77777777" w:rsidR="008D2DD1" w:rsidRDefault="008D2DD1" w:rsidP="009927C2">
      <w:pPr>
        <w:spacing w:line="360" w:lineRule="auto"/>
        <w:rPr>
          <w:rFonts w:ascii="Arial" w:hAnsi="Arial" w:cs="Arial"/>
          <w:b/>
          <w:bCs/>
          <w:color w:val="000000" w:themeColor="text1"/>
        </w:rPr>
      </w:pPr>
    </w:p>
    <w:p w14:paraId="1980C053" w14:textId="77777777" w:rsidR="008D2DD1" w:rsidRDefault="008D2DD1" w:rsidP="009927C2">
      <w:pPr>
        <w:spacing w:line="360" w:lineRule="auto"/>
        <w:rPr>
          <w:rFonts w:ascii="Arial" w:hAnsi="Arial" w:cs="Arial"/>
          <w:b/>
          <w:bCs/>
          <w:color w:val="000000" w:themeColor="text1"/>
        </w:rPr>
      </w:pPr>
    </w:p>
    <w:p w14:paraId="02E7C24F" w14:textId="77777777" w:rsidR="008D2DD1" w:rsidRDefault="008D2DD1" w:rsidP="009927C2">
      <w:pPr>
        <w:spacing w:line="360" w:lineRule="auto"/>
        <w:rPr>
          <w:rFonts w:ascii="Arial" w:hAnsi="Arial" w:cs="Arial"/>
          <w:b/>
          <w:bCs/>
          <w:color w:val="000000" w:themeColor="text1"/>
        </w:rPr>
      </w:pPr>
    </w:p>
    <w:p w14:paraId="395FF05D" w14:textId="77777777" w:rsidR="008D2DD1" w:rsidRDefault="008D2DD1" w:rsidP="009927C2">
      <w:pPr>
        <w:spacing w:line="360" w:lineRule="auto"/>
        <w:rPr>
          <w:rFonts w:ascii="Arial" w:hAnsi="Arial" w:cs="Arial"/>
          <w:b/>
          <w:bCs/>
          <w:color w:val="000000" w:themeColor="text1"/>
        </w:rPr>
      </w:pPr>
    </w:p>
    <w:p w14:paraId="5FB78F98" w14:textId="77777777" w:rsidR="008D2DD1" w:rsidRDefault="008D2DD1" w:rsidP="009927C2">
      <w:pPr>
        <w:spacing w:line="360" w:lineRule="auto"/>
        <w:rPr>
          <w:rFonts w:ascii="Arial" w:hAnsi="Arial" w:cs="Arial"/>
          <w:b/>
          <w:bCs/>
          <w:color w:val="000000" w:themeColor="text1"/>
        </w:rPr>
      </w:pPr>
    </w:p>
    <w:p w14:paraId="21A0C6B2" w14:textId="77777777" w:rsidR="008D2DD1" w:rsidRDefault="008D2DD1" w:rsidP="009927C2">
      <w:pPr>
        <w:spacing w:line="360" w:lineRule="auto"/>
        <w:rPr>
          <w:rFonts w:ascii="Arial" w:hAnsi="Arial" w:cs="Arial"/>
          <w:b/>
          <w:bCs/>
          <w:color w:val="000000" w:themeColor="text1"/>
        </w:rPr>
      </w:pPr>
    </w:p>
    <w:p w14:paraId="267950B0" w14:textId="77777777" w:rsidR="008D2DD1" w:rsidRDefault="008D2DD1" w:rsidP="009927C2">
      <w:pPr>
        <w:spacing w:line="360" w:lineRule="auto"/>
        <w:rPr>
          <w:rFonts w:ascii="Arial" w:hAnsi="Arial" w:cs="Arial"/>
          <w:b/>
          <w:bCs/>
          <w:color w:val="000000" w:themeColor="text1"/>
        </w:rPr>
      </w:pPr>
    </w:p>
    <w:p w14:paraId="3E55DE4E" w14:textId="77777777" w:rsidR="008D2DD1" w:rsidRDefault="008D2DD1" w:rsidP="009927C2">
      <w:pPr>
        <w:spacing w:line="360" w:lineRule="auto"/>
        <w:rPr>
          <w:rFonts w:ascii="Arial" w:hAnsi="Arial" w:cs="Arial"/>
          <w:b/>
          <w:bCs/>
          <w:color w:val="000000" w:themeColor="text1"/>
        </w:rPr>
      </w:pPr>
    </w:p>
    <w:p w14:paraId="0E247309" w14:textId="77777777" w:rsidR="008D2DD1" w:rsidRDefault="008D2DD1" w:rsidP="009927C2">
      <w:pPr>
        <w:spacing w:line="360" w:lineRule="auto"/>
        <w:rPr>
          <w:rFonts w:ascii="Arial" w:hAnsi="Arial" w:cs="Arial"/>
          <w:b/>
          <w:bCs/>
          <w:color w:val="000000" w:themeColor="text1"/>
        </w:rPr>
      </w:pPr>
    </w:p>
    <w:p w14:paraId="2D6AA7D1" w14:textId="4EB44B49" w:rsidR="008D2DD1" w:rsidRDefault="009927C2" w:rsidP="009927C2">
      <w:pPr>
        <w:spacing w:line="360" w:lineRule="auto"/>
        <w:rPr>
          <w:rFonts w:ascii="Arial" w:hAnsi="Arial" w:cs="Arial"/>
          <w:color w:val="000000" w:themeColor="text1"/>
        </w:rPr>
      </w:pPr>
      <w:r w:rsidRPr="00707488">
        <w:rPr>
          <w:rFonts w:ascii="Arial" w:hAnsi="Arial" w:cs="Arial"/>
          <w:b/>
          <w:bCs/>
          <w:color w:val="000000" w:themeColor="text1"/>
        </w:rPr>
        <w:lastRenderedPageBreak/>
        <w:t xml:space="preserve">Table </w:t>
      </w:r>
      <w:r w:rsidR="00707488">
        <w:rPr>
          <w:rFonts w:ascii="Arial" w:hAnsi="Arial" w:cs="Arial"/>
          <w:b/>
          <w:bCs/>
          <w:color w:val="000000" w:themeColor="text1"/>
        </w:rPr>
        <w:t>4</w:t>
      </w:r>
      <w:r w:rsidRPr="009927C2">
        <w:rPr>
          <w:rFonts w:ascii="Arial" w:hAnsi="Arial" w:cs="Arial"/>
          <w:color w:val="000000" w:themeColor="text1"/>
        </w:rPr>
        <w:t>: Balanced Scorecard (BSC) for Lululemon India Entry (3-Year Plan)</w:t>
      </w:r>
    </w:p>
    <w:p w14:paraId="04BD301E" w14:textId="05BBB0E6" w:rsidR="008D2DD1" w:rsidRDefault="008D2DD1" w:rsidP="009927C2">
      <w:pPr>
        <w:spacing w:line="360" w:lineRule="auto"/>
        <w:rPr>
          <w:rFonts w:ascii="Arial" w:hAnsi="Arial" w:cs="Arial"/>
          <w:color w:val="000000" w:themeColor="text1"/>
        </w:rPr>
      </w:pPr>
      <w:r w:rsidRPr="008D2DD1">
        <w:rPr>
          <w:rFonts w:ascii="Arial" w:hAnsi="Arial" w:cs="Arial"/>
          <w:color w:val="000000" w:themeColor="text1"/>
        </w:rPr>
        <w:drawing>
          <wp:inline distT="0" distB="0" distL="0" distR="0" wp14:anchorId="0C7E1796" wp14:editId="412149C7">
            <wp:extent cx="6001234" cy="6632028"/>
            <wp:effectExtent l="0" t="0" r="0" b="0"/>
            <wp:docPr id="167771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13149" name=""/>
                    <pic:cNvPicPr/>
                  </pic:nvPicPr>
                  <pic:blipFill>
                    <a:blip r:embed="rId14"/>
                    <a:stretch>
                      <a:fillRect/>
                    </a:stretch>
                  </pic:blipFill>
                  <pic:spPr>
                    <a:xfrm>
                      <a:off x="0" y="0"/>
                      <a:ext cx="6013596" cy="6645689"/>
                    </a:xfrm>
                    <a:prstGeom prst="rect">
                      <a:avLst/>
                    </a:prstGeom>
                  </pic:spPr>
                </pic:pic>
              </a:graphicData>
            </a:graphic>
          </wp:inline>
        </w:drawing>
      </w:r>
    </w:p>
    <w:p w14:paraId="69A51E94" w14:textId="52CA4759" w:rsidR="000F6A49" w:rsidRPr="000F6A49" w:rsidRDefault="000F6A49" w:rsidP="000F6A49">
      <w:pPr>
        <w:spacing w:line="360" w:lineRule="auto"/>
        <w:rPr>
          <w:rFonts w:ascii="Arial" w:hAnsi="Arial" w:cs="Arial"/>
          <w:color w:val="000000" w:themeColor="text1"/>
          <w:sz w:val="20"/>
          <w:szCs w:val="20"/>
        </w:rPr>
      </w:pPr>
      <w:r w:rsidRPr="000F6A49">
        <w:rPr>
          <w:rFonts w:ascii="Arial" w:hAnsi="Arial" w:cs="Arial"/>
          <w:color w:val="000000" w:themeColor="text1"/>
          <w:sz w:val="20"/>
          <w:szCs w:val="20"/>
        </w:rPr>
        <w:t>Source: Adapted from Kaplan and Norton (1992), developed by the author based on Lululemon’s internal capabilities.</w:t>
      </w:r>
    </w:p>
    <w:p w14:paraId="6C89EFCA" w14:textId="77777777" w:rsidR="00707488" w:rsidRDefault="00707488" w:rsidP="009927C2">
      <w:pPr>
        <w:spacing w:line="360" w:lineRule="auto"/>
        <w:rPr>
          <w:rFonts w:ascii="Arial" w:hAnsi="Arial" w:cs="Arial"/>
          <w:color w:val="000000" w:themeColor="text1"/>
        </w:rPr>
      </w:pPr>
    </w:p>
    <w:p w14:paraId="3600DDED" w14:textId="106D7C74" w:rsidR="003C545B" w:rsidRPr="003C545B" w:rsidRDefault="003C545B" w:rsidP="003C545B">
      <w:pPr>
        <w:pStyle w:val="Heading2"/>
        <w:rPr>
          <w:rFonts w:ascii="Arial" w:hAnsi="Arial" w:cs="Arial"/>
          <w:color w:val="000000" w:themeColor="text1"/>
          <w:sz w:val="28"/>
          <w:szCs w:val="28"/>
        </w:rPr>
      </w:pPr>
      <w:bookmarkStart w:id="26" w:name="_Toc215314146"/>
      <w:r w:rsidRPr="003C545B">
        <w:rPr>
          <w:rFonts w:ascii="Arial" w:hAnsi="Arial" w:cs="Arial"/>
          <w:color w:val="000000" w:themeColor="text1"/>
          <w:sz w:val="28"/>
          <w:szCs w:val="28"/>
        </w:rPr>
        <w:lastRenderedPageBreak/>
        <w:t>6.2 Risk Analysis and Mitigation</w:t>
      </w:r>
      <w:bookmarkEnd w:id="26"/>
    </w:p>
    <w:p w14:paraId="6EF4CE88" w14:textId="77777777" w:rsidR="002B4148" w:rsidRDefault="002B4148" w:rsidP="00221AB6">
      <w:pPr>
        <w:spacing w:line="360" w:lineRule="auto"/>
        <w:rPr>
          <w:rFonts w:ascii="Arial" w:hAnsi="Arial" w:cs="Arial"/>
          <w:color w:val="000000" w:themeColor="text1"/>
        </w:rPr>
      </w:pPr>
    </w:p>
    <w:p w14:paraId="3F515971" w14:textId="62A75252" w:rsidR="002F2A25" w:rsidRDefault="005D0450" w:rsidP="00221AB6">
      <w:pPr>
        <w:spacing w:line="360" w:lineRule="auto"/>
        <w:rPr>
          <w:rFonts w:ascii="Arial" w:hAnsi="Arial" w:cs="Arial"/>
          <w:color w:val="000000" w:themeColor="text1"/>
        </w:rPr>
      </w:pPr>
      <w:r w:rsidRPr="005D0450">
        <w:rPr>
          <w:rFonts w:ascii="Arial" w:hAnsi="Arial" w:cs="Arial"/>
          <w:color w:val="000000" w:themeColor="text1"/>
        </w:rPr>
        <w:t xml:space="preserve">International expansion is inherently </w:t>
      </w:r>
      <w:r w:rsidRPr="005D0450">
        <w:rPr>
          <w:rFonts w:ascii="Arial" w:hAnsi="Arial" w:cs="Arial"/>
          <w:color w:val="000000" w:themeColor="text1"/>
        </w:rPr>
        <w:t>risk laden</w:t>
      </w:r>
      <w:r w:rsidRPr="005D0450">
        <w:rPr>
          <w:rFonts w:ascii="Arial" w:hAnsi="Arial" w:cs="Arial"/>
          <w:color w:val="000000" w:themeColor="text1"/>
        </w:rPr>
        <w:t>. The strategy's exposure to major threats is assessed using a Likelihood/Impact Risk Matrix (Simons, 1995), focusing on the most critical operational and external risks (Grant, 2019). The BSC provides the control system, while the risk analysis informs the need for the Sensitivity Analysis in the Financial Plan (Section 7).</w:t>
      </w:r>
    </w:p>
    <w:p w14:paraId="5B2556DB" w14:textId="2BC2644C" w:rsidR="005D0450" w:rsidRDefault="005D0450" w:rsidP="00221AB6">
      <w:pPr>
        <w:spacing w:line="360" w:lineRule="auto"/>
        <w:rPr>
          <w:rFonts w:ascii="Arial" w:hAnsi="Arial" w:cs="Arial"/>
          <w:color w:val="000000" w:themeColor="text1"/>
        </w:rPr>
      </w:pPr>
      <w:r w:rsidRPr="005D0450">
        <w:rPr>
          <w:rFonts w:ascii="Arial" w:hAnsi="Arial" w:cs="Arial"/>
          <w:b/>
          <w:bCs/>
          <w:color w:val="000000" w:themeColor="text1"/>
        </w:rPr>
        <w:t>Table 5:</w:t>
      </w:r>
      <w:r w:rsidRPr="005D0450">
        <w:rPr>
          <w:rFonts w:ascii="Arial" w:hAnsi="Arial" w:cs="Arial"/>
          <w:color w:val="000000" w:themeColor="text1"/>
        </w:rPr>
        <w:t xml:space="preserve"> Strategic Risk Matrix for Lululemon India</w:t>
      </w:r>
    </w:p>
    <w:p w14:paraId="6E7186BA" w14:textId="79D55C39" w:rsidR="008437E2" w:rsidRDefault="008437E2" w:rsidP="00221AB6">
      <w:pPr>
        <w:spacing w:line="360" w:lineRule="auto"/>
        <w:rPr>
          <w:rFonts w:ascii="Arial" w:hAnsi="Arial" w:cs="Arial"/>
          <w:color w:val="000000" w:themeColor="text1"/>
        </w:rPr>
      </w:pPr>
      <w:r w:rsidRPr="008437E2">
        <w:rPr>
          <w:rFonts w:ascii="Arial" w:hAnsi="Arial" w:cs="Arial"/>
          <w:color w:val="000000" w:themeColor="text1"/>
        </w:rPr>
        <w:drawing>
          <wp:inline distT="0" distB="0" distL="0" distR="0" wp14:anchorId="094000F4" wp14:editId="21BF44D4">
            <wp:extent cx="5906814" cy="4316519"/>
            <wp:effectExtent l="0" t="0" r="0" b="8255"/>
            <wp:docPr id="513530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30885" name=""/>
                    <pic:cNvPicPr/>
                  </pic:nvPicPr>
                  <pic:blipFill>
                    <a:blip r:embed="rId15"/>
                    <a:stretch>
                      <a:fillRect/>
                    </a:stretch>
                  </pic:blipFill>
                  <pic:spPr>
                    <a:xfrm>
                      <a:off x="0" y="0"/>
                      <a:ext cx="5913477" cy="4321388"/>
                    </a:xfrm>
                    <a:prstGeom prst="rect">
                      <a:avLst/>
                    </a:prstGeom>
                  </pic:spPr>
                </pic:pic>
              </a:graphicData>
            </a:graphic>
          </wp:inline>
        </w:drawing>
      </w:r>
    </w:p>
    <w:p w14:paraId="283704A8" w14:textId="41BA0BF3" w:rsidR="005D0450" w:rsidRDefault="00FE6448" w:rsidP="00221AB6">
      <w:pPr>
        <w:spacing w:line="360" w:lineRule="auto"/>
        <w:rPr>
          <w:rFonts w:ascii="Arial" w:hAnsi="Arial" w:cs="Arial"/>
          <w:color w:val="000000" w:themeColor="text1"/>
        </w:rPr>
      </w:pPr>
      <w:r w:rsidRPr="00FE6448">
        <w:rPr>
          <w:rFonts w:ascii="Arial" w:hAnsi="Arial" w:cs="Arial"/>
          <w:color w:val="000000" w:themeColor="text1"/>
          <w:sz w:val="20"/>
          <w:szCs w:val="20"/>
        </w:rPr>
        <w:t>Source: Developed by the author</w:t>
      </w:r>
      <w:r w:rsidRPr="00FE6448">
        <w:rPr>
          <w:rFonts w:ascii="Arial" w:hAnsi="Arial" w:cs="Arial"/>
          <w:color w:val="000000" w:themeColor="text1"/>
        </w:rPr>
        <w:t>.</w:t>
      </w:r>
    </w:p>
    <w:p w14:paraId="690D6DF5" w14:textId="5AF3438F" w:rsidR="002F2A25" w:rsidRDefault="00A10553" w:rsidP="00221AB6">
      <w:pPr>
        <w:spacing w:line="360" w:lineRule="auto"/>
        <w:rPr>
          <w:rFonts w:ascii="Arial" w:hAnsi="Arial" w:cs="Arial"/>
          <w:color w:val="000000" w:themeColor="text1"/>
        </w:rPr>
      </w:pPr>
      <w:r w:rsidRPr="00A10553">
        <w:rPr>
          <w:rFonts w:ascii="Arial" w:hAnsi="Arial" w:cs="Arial"/>
          <w:color w:val="000000" w:themeColor="text1"/>
        </w:rPr>
        <w:t>Rigorous Risk Analysis informs the metrics within the BSC’s Financial perspective. Furthermore, the strategic viability of the entire expansion is confirmed through the Sensitivity Analysis, which is quantitatively executed in the Financial Plan (Section 7) to assess the impact of these risks on profitability.</w:t>
      </w:r>
    </w:p>
    <w:p w14:paraId="0EA0484B" w14:textId="509C3005" w:rsidR="003A66CF" w:rsidRPr="002B4148" w:rsidRDefault="002B4148" w:rsidP="002B4148">
      <w:pPr>
        <w:pStyle w:val="Heading1"/>
        <w:shd w:val="clear" w:color="auto" w:fill="FF4747"/>
        <w:rPr>
          <w:rFonts w:ascii="Arial" w:hAnsi="Arial" w:cs="Arial"/>
          <w:color w:val="FFFFFF" w:themeColor="background1"/>
          <w:sz w:val="36"/>
          <w:szCs w:val="36"/>
        </w:rPr>
      </w:pPr>
      <w:bookmarkStart w:id="27" w:name="_Toc215314147"/>
      <w:r w:rsidRPr="002B4148">
        <w:rPr>
          <w:rFonts w:ascii="Arial" w:hAnsi="Arial" w:cs="Arial"/>
          <w:color w:val="FFFFFF" w:themeColor="background1"/>
          <w:sz w:val="36"/>
          <w:szCs w:val="36"/>
        </w:rPr>
        <w:lastRenderedPageBreak/>
        <w:t>7. Financial Plan</w:t>
      </w:r>
      <w:bookmarkEnd w:id="27"/>
    </w:p>
    <w:p w14:paraId="7EF44ECF" w14:textId="77777777" w:rsidR="003A66CF" w:rsidRDefault="003A66CF" w:rsidP="00221AB6">
      <w:pPr>
        <w:spacing w:line="360" w:lineRule="auto"/>
        <w:rPr>
          <w:rFonts w:ascii="Arial" w:hAnsi="Arial" w:cs="Arial"/>
          <w:color w:val="000000" w:themeColor="text1"/>
        </w:rPr>
      </w:pPr>
    </w:p>
    <w:p w14:paraId="4CDA4BFB" w14:textId="4509E93B" w:rsidR="007116D6" w:rsidRDefault="00735911" w:rsidP="002B4148">
      <w:pPr>
        <w:spacing w:line="360" w:lineRule="auto"/>
        <w:rPr>
          <w:rFonts w:ascii="Arial" w:hAnsi="Arial" w:cs="Arial"/>
          <w:color w:val="000000" w:themeColor="text1"/>
        </w:rPr>
      </w:pPr>
      <w:r w:rsidRPr="00735911">
        <w:rPr>
          <w:rFonts w:ascii="Arial" w:hAnsi="Arial" w:cs="Arial"/>
          <w:color w:val="000000" w:themeColor="text1"/>
        </w:rPr>
        <w:t>The financial plan evaluates the viability of Lululemon’s proposed entry into India, demonstrating how the high-margin, Differentiation-Focus strategy translates into quantifiable results over the first three years (Kaplan and Norton, 1996). A detailed projection of revenue, costs, and EBIT is provided in the Full Financial Forecast (Table E2, Appendix E). The analysis confirms the strategy’s feasibility by projecting the achievement of Net Profit by Year 2 (₹10 crore), validating the profitability of the Joint Venture (JV) model despite significant initial operational expenditure.</w:t>
      </w:r>
    </w:p>
    <w:p w14:paraId="70F048EB" w14:textId="23C5056C" w:rsidR="007116D6" w:rsidRPr="00F04C25" w:rsidRDefault="007116D6" w:rsidP="00F04C25">
      <w:pPr>
        <w:pStyle w:val="Heading2"/>
        <w:rPr>
          <w:rFonts w:ascii="Arial" w:hAnsi="Arial" w:cs="Arial"/>
          <w:color w:val="000000" w:themeColor="text1"/>
          <w:sz w:val="28"/>
          <w:szCs w:val="28"/>
        </w:rPr>
      </w:pPr>
      <w:bookmarkStart w:id="28" w:name="_Toc215314148"/>
      <w:r w:rsidRPr="007116D6">
        <w:rPr>
          <w:rFonts w:ascii="Arial" w:hAnsi="Arial" w:cs="Arial"/>
          <w:color w:val="000000" w:themeColor="text1"/>
          <w:sz w:val="28"/>
          <w:szCs w:val="28"/>
        </w:rPr>
        <w:t>7.1 Strategic Financial Assumptions (SFAS)</w:t>
      </w:r>
      <w:bookmarkEnd w:id="28"/>
    </w:p>
    <w:p w14:paraId="0731B526" w14:textId="77777777" w:rsidR="00F04C25" w:rsidRDefault="00F04C25" w:rsidP="007116D6">
      <w:pPr>
        <w:spacing w:line="360" w:lineRule="auto"/>
        <w:rPr>
          <w:rFonts w:ascii="Arial" w:hAnsi="Arial" w:cs="Arial"/>
          <w:color w:val="000000" w:themeColor="text1"/>
        </w:rPr>
      </w:pPr>
    </w:p>
    <w:p w14:paraId="3AEDB7CA" w14:textId="586DCBD6" w:rsidR="00532D62" w:rsidRPr="007116D6" w:rsidRDefault="007116D6" w:rsidP="007116D6">
      <w:pPr>
        <w:spacing w:line="360" w:lineRule="auto"/>
        <w:rPr>
          <w:rFonts w:ascii="Arial" w:hAnsi="Arial" w:cs="Arial"/>
          <w:color w:val="000000" w:themeColor="text1"/>
        </w:rPr>
      </w:pPr>
      <w:r w:rsidRPr="007116D6">
        <w:rPr>
          <w:rFonts w:ascii="Arial" w:hAnsi="Arial" w:cs="Arial"/>
          <w:color w:val="000000" w:themeColor="text1"/>
        </w:rPr>
        <w:t>The three-year financial projections are based on the following critical assumptions, benchmarked against industry data for premium retail expansion in emerging Asian markets:</w:t>
      </w:r>
    </w:p>
    <w:p w14:paraId="11B6CF73" w14:textId="77777777" w:rsidR="00F04C25" w:rsidRDefault="00F04C25" w:rsidP="007116D6">
      <w:pPr>
        <w:spacing w:line="360" w:lineRule="auto"/>
        <w:rPr>
          <w:rFonts w:ascii="Arial" w:hAnsi="Arial" w:cs="Arial"/>
          <w:color w:val="000000" w:themeColor="text1"/>
        </w:rPr>
      </w:pPr>
    </w:p>
    <w:p w14:paraId="3739245F" w14:textId="77777777" w:rsidR="00F04C25" w:rsidRDefault="00F04C25" w:rsidP="007116D6">
      <w:pPr>
        <w:spacing w:line="360" w:lineRule="auto"/>
        <w:rPr>
          <w:rFonts w:ascii="Arial" w:hAnsi="Arial" w:cs="Arial"/>
          <w:color w:val="000000" w:themeColor="text1"/>
        </w:rPr>
      </w:pPr>
    </w:p>
    <w:p w14:paraId="601C9693" w14:textId="77777777" w:rsidR="00F04C25" w:rsidRDefault="00F04C25" w:rsidP="007116D6">
      <w:pPr>
        <w:spacing w:line="360" w:lineRule="auto"/>
        <w:rPr>
          <w:rFonts w:ascii="Arial" w:hAnsi="Arial" w:cs="Arial"/>
          <w:color w:val="000000" w:themeColor="text1"/>
        </w:rPr>
      </w:pPr>
    </w:p>
    <w:p w14:paraId="202C55A1" w14:textId="77777777" w:rsidR="00F04C25" w:rsidRDefault="00F04C25" w:rsidP="007116D6">
      <w:pPr>
        <w:spacing w:line="360" w:lineRule="auto"/>
        <w:rPr>
          <w:rFonts w:ascii="Arial" w:hAnsi="Arial" w:cs="Arial"/>
          <w:color w:val="000000" w:themeColor="text1"/>
        </w:rPr>
      </w:pPr>
    </w:p>
    <w:p w14:paraId="57ADB6D1" w14:textId="77777777" w:rsidR="00F04C25" w:rsidRDefault="00F04C25" w:rsidP="007116D6">
      <w:pPr>
        <w:spacing w:line="360" w:lineRule="auto"/>
        <w:rPr>
          <w:rFonts w:ascii="Arial" w:hAnsi="Arial" w:cs="Arial"/>
          <w:color w:val="000000" w:themeColor="text1"/>
        </w:rPr>
      </w:pPr>
    </w:p>
    <w:p w14:paraId="686E007A" w14:textId="77777777" w:rsidR="00F04C25" w:rsidRDefault="00F04C25" w:rsidP="007116D6">
      <w:pPr>
        <w:spacing w:line="360" w:lineRule="auto"/>
        <w:rPr>
          <w:rFonts w:ascii="Arial" w:hAnsi="Arial" w:cs="Arial"/>
          <w:color w:val="000000" w:themeColor="text1"/>
        </w:rPr>
      </w:pPr>
    </w:p>
    <w:p w14:paraId="4D611BCD" w14:textId="77777777" w:rsidR="00F04C25" w:rsidRDefault="00F04C25" w:rsidP="007116D6">
      <w:pPr>
        <w:spacing w:line="360" w:lineRule="auto"/>
        <w:rPr>
          <w:rFonts w:ascii="Arial" w:hAnsi="Arial" w:cs="Arial"/>
          <w:color w:val="000000" w:themeColor="text1"/>
        </w:rPr>
      </w:pPr>
    </w:p>
    <w:p w14:paraId="09B1C122" w14:textId="77777777" w:rsidR="00F04C25" w:rsidRDefault="00F04C25" w:rsidP="007116D6">
      <w:pPr>
        <w:spacing w:line="360" w:lineRule="auto"/>
        <w:rPr>
          <w:rFonts w:ascii="Arial" w:hAnsi="Arial" w:cs="Arial"/>
          <w:color w:val="000000" w:themeColor="text1"/>
        </w:rPr>
      </w:pPr>
    </w:p>
    <w:p w14:paraId="6CDB52C9" w14:textId="77777777" w:rsidR="00F04C25" w:rsidRDefault="00F04C25" w:rsidP="007116D6">
      <w:pPr>
        <w:spacing w:line="360" w:lineRule="auto"/>
        <w:rPr>
          <w:rFonts w:ascii="Arial" w:hAnsi="Arial" w:cs="Arial"/>
          <w:color w:val="000000" w:themeColor="text1"/>
        </w:rPr>
      </w:pPr>
    </w:p>
    <w:p w14:paraId="72B25165" w14:textId="77777777" w:rsidR="00F04C25" w:rsidRDefault="00F04C25" w:rsidP="007116D6">
      <w:pPr>
        <w:spacing w:line="360" w:lineRule="auto"/>
        <w:rPr>
          <w:rFonts w:ascii="Arial" w:hAnsi="Arial" w:cs="Arial"/>
          <w:color w:val="000000" w:themeColor="text1"/>
        </w:rPr>
      </w:pPr>
    </w:p>
    <w:p w14:paraId="43FA393F" w14:textId="77777777" w:rsidR="00F04C25" w:rsidRDefault="00F04C25" w:rsidP="007116D6">
      <w:pPr>
        <w:spacing w:line="360" w:lineRule="auto"/>
        <w:rPr>
          <w:rFonts w:ascii="Arial" w:hAnsi="Arial" w:cs="Arial"/>
          <w:color w:val="000000" w:themeColor="text1"/>
        </w:rPr>
      </w:pPr>
    </w:p>
    <w:p w14:paraId="63FFF1C8" w14:textId="77777777" w:rsidR="00F04C25" w:rsidRDefault="00F04C25" w:rsidP="007116D6">
      <w:pPr>
        <w:spacing w:line="360" w:lineRule="auto"/>
        <w:rPr>
          <w:rFonts w:ascii="Arial" w:hAnsi="Arial" w:cs="Arial"/>
          <w:color w:val="000000" w:themeColor="text1"/>
        </w:rPr>
      </w:pPr>
    </w:p>
    <w:p w14:paraId="22305DF5" w14:textId="77777777" w:rsidR="00F04C25" w:rsidRDefault="00F04C25" w:rsidP="007116D6">
      <w:pPr>
        <w:spacing w:line="360" w:lineRule="auto"/>
        <w:rPr>
          <w:rFonts w:ascii="Arial" w:hAnsi="Arial" w:cs="Arial"/>
          <w:color w:val="000000" w:themeColor="text1"/>
        </w:rPr>
      </w:pPr>
    </w:p>
    <w:p w14:paraId="150E78A0" w14:textId="6CEB83E8" w:rsidR="006821EE" w:rsidRDefault="007116D6" w:rsidP="007116D6">
      <w:pPr>
        <w:spacing w:line="360" w:lineRule="auto"/>
        <w:rPr>
          <w:rFonts w:ascii="Arial" w:hAnsi="Arial" w:cs="Arial"/>
          <w:color w:val="000000" w:themeColor="text1"/>
        </w:rPr>
      </w:pPr>
      <w:r w:rsidRPr="007116D6">
        <w:rPr>
          <w:rFonts w:ascii="Arial" w:hAnsi="Arial" w:cs="Arial"/>
          <w:color w:val="000000" w:themeColor="text1"/>
        </w:rPr>
        <w:lastRenderedPageBreak/>
        <w:t xml:space="preserve">Table </w:t>
      </w:r>
      <w:r w:rsidR="0036022F">
        <w:rPr>
          <w:rFonts w:ascii="Arial" w:hAnsi="Arial" w:cs="Arial"/>
          <w:color w:val="000000" w:themeColor="text1"/>
        </w:rPr>
        <w:t>6</w:t>
      </w:r>
      <w:r w:rsidRPr="007116D6">
        <w:rPr>
          <w:rFonts w:ascii="Arial" w:hAnsi="Arial" w:cs="Arial"/>
          <w:color w:val="000000" w:themeColor="text1"/>
        </w:rPr>
        <w:t>: Key Financial Assumptions (SFAS) Driving Projections</w:t>
      </w:r>
    </w:p>
    <w:p w14:paraId="5F7F8B09" w14:textId="0D023443" w:rsidR="00376FAB" w:rsidRDefault="00376FAB" w:rsidP="007116D6">
      <w:pPr>
        <w:spacing w:line="360" w:lineRule="auto"/>
        <w:rPr>
          <w:rFonts w:ascii="Arial" w:hAnsi="Arial" w:cs="Arial"/>
          <w:color w:val="000000" w:themeColor="text1"/>
        </w:rPr>
      </w:pPr>
      <w:r w:rsidRPr="00376FAB">
        <w:rPr>
          <w:rFonts w:ascii="Arial" w:hAnsi="Arial" w:cs="Arial"/>
          <w:color w:val="000000" w:themeColor="text1"/>
        </w:rPr>
        <w:drawing>
          <wp:inline distT="0" distB="0" distL="0" distR="0" wp14:anchorId="289BB320" wp14:editId="7C334BA4">
            <wp:extent cx="5987052" cy="4580792"/>
            <wp:effectExtent l="0" t="0" r="0" b="0"/>
            <wp:docPr id="322827726" name="Picture 1" descr="A white and red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27726" name="Picture 1" descr="A white and red text on a white background&#10;&#10;AI-generated content may be incorrect."/>
                    <pic:cNvPicPr/>
                  </pic:nvPicPr>
                  <pic:blipFill>
                    <a:blip r:embed="rId16"/>
                    <a:stretch>
                      <a:fillRect/>
                    </a:stretch>
                  </pic:blipFill>
                  <pic:spPr>
                    <a:xfrm>
                      <a:off x="0" y="0"/>
                      <a:ext cx="5998295" cy="4589394"/>
                    </a:xfrm>
                    <a:prstGeom prst="rect">
                      <a:avLst/>
                    </a:prstGeom>
                  </pic:spPr>
                </pic:pic>
              </a:graphicData>
            </a:graphic>
          </wp:inline>
        </w:drawing>
      </w:r>
    </w:p>
    <w:p w14:paraId="0581BED3" w14:textId="2958234B" w:rsidR="00532D62" w:rsidRPr="00AD1112" w:rsidRDefault="00AD1112" w:rsidP="007116D6">
      <w:pPr>
        <w:spacing w:line="360" w:lineRule="auto"/>
        <w:rPr>
          <w:rFonts w:ascii="Arial" w:hAnsi="Arial" w:cs="Arial"/>
          <w:color w:val="000000" w:themeColor="text1"/>
          <w:sz w:val="20"/>
          <w:szCs w:val="20"/>
        </w:rPr>
      </w:pPr>
      <w:r w:rsidRPr="00AD1112">
        <w:rPr>
          <w:rFonts w:ascii="Arial" w:hAnsi="Arial" w:cs="Arial"/>
          <w:color w:val="000000" w:themeColor="text1"/>
          <w:sz w:val="20"/>
          <w:szCs w:val="20"/>
        </w:rPr>
        <w:t>Source: Developed by the author based on Lululemon Annual Report (2024) and Euromonitor (2023).</w:t>
      </w:r>
    </w:p>
    <w:p w14:paraId="6AC9AF30" w14:textId="110BFA1F" w:rsidR="00532D62" w:rsidRDefault="00532D62" w:rsidP="007116D6">
      <w:pPr>
        <w:spacing w:line="360" w:lineRule="auto"/>
        <w:rPr>
          <w:rFonts w:ascii="Arial" w:hAnsi="Arial" w:cs="Arial"/>
          <w:color w:val="000000" w:themeColor="text1"/>
        </w:rPr>
      </w:pPr>
    </w:p>
    <w:p w14:paraId="0FE548E3" w14:textId="77777777" w:rsidR="0004362E" w:rsidRPr="0004362E" w:rsidRDefault="0004362E" w:rsidP="0004362E">
      <w:pPr>
        <w:pStyle w:val="Heading2"/>
        <w:rPr>
          <w:rFonts w:ascii="Arial" w:hAnsi="Arial" w:cs="Arial"/>
          <w:color w:val="000000" w:themeColor="text1"/>
          <w:sz w:val="28"/>
          <w:szCs w:val="28"/>
        </w:rPr>
      </w:pPr>
      <w:bookmarkStart w:id="29" w:name="_Toc215314149"/>
      <w:r w:rsidRPr="0004362E">
        <w:rPr>
          <w:rFonts w:ascii="Arial" w:hAnsi="Arial" w:cs="Arial"/>
          <w:color w:val="000000" w:themeColor="text1"/>
          <w:sz w:val="28"/>
          <w:szCs w:val="28"/>
        </w:rPr>
        <w:t>7.2 Financial Highlights and Strategic Impact</w:t>
      </w:r>
      <w:bookmarkEnd w:id="29"/>
    </w:p>
    <w:p w14:paraId="61B51B42" w14:textId="77777777" w:rsidR="0004362E" w:rsidRDefault="0004362E" w:rsidP="0004362E">
      <w:pPr>
        <w:spacing w:line="360" w:lineRule="auto"/>
        <w:rPr>
          <w:rFonts w:ascii="Arial" w:hAnsi="Arial" w:cs="Arial"/>
          <w:color w:val="000000" w:themeColor="text1"/>
        </w:rPr>
      </w:pPr>
    </w:p>
    <w:p w14:paraId="6A29DE71" w14:textId="446B414E" w:rsidR="0004362E" w:rsidRPr="0004362E" w:rsidRDefault="0004362E" w:rsidP="0004362E">
      <w:pPr>
        <w:spacing w:line="360" w:lineRule="auto"/>
        <w:rPr>
          <w:rFonts w:ascii="Arial" w:hAnsi="Arial" w:cs="Arial"/>
          <w:color w:val="000000" w:themeColor="text1"/>
        </w:rPr>
      </w:pPr>
      <w:r w:rsidRPr="0004362E">
        <w:rPr>
          <w:rFonts w:ascii="Arial" w:hAnsi="Arial" w:cs="Arial"/>
          <w:color w:val="000000" w:themeColor="text1"/>
        </w:rPr>
        <w:t>The strategic importance of the financial statements lies in their role as control mechanisms (Simons, 1995). Table 8 summarises how core financial metrics link directly to strategic success:</w:t>
      </w:r>
    </w:p>
    <w:p w14:paraId="316EB37D" w14:textId="77777777" w:rsidR="0004362E" w:rsidRDefault="0004362E" w:rsidP="0004362E">
      <w:pPr>
        <w:spacing w:line="360" w:lineRule="auto"/>
        <w:rPr>
          <w:rFonts w:ascii="Arial" w:hAnsi="Arial" w:cs="Arial"/>
          <w:color w:val="000000" w:themeColor="text1"/>
        </w:rPr>
      </w:pPr>
    </w:p>
    <w:p w14:paraId="17B3E1B4" w14:textId="77777777" w:rsidR="0004362E" w:rsidRPr="0004362E" w:rsidRDefault="0004362E" w:rsidP="0004362E">
      <w:pPr>
        <w:spacing w:line="360" w:lineRule="auto"/>
        <w:rPr>
          <w:rFonts w:ascii="Arial" w:hAnsi="Arial" w:cs="Arial"/>
          <w:color w:val="000000" w:themeColor="text1"/>
        </w:rPr>
      </w:pPr>
    </w:p>
    <w:p w14:paraId="768012DB" w14:textId="618495C7" w:rsidR="00620ACA" w:rsidRDefault="0004362E" w:rsidP="0004362E">
      <w:pPr>
        <w:spacing w:line="360" w:lineRule="auto"/>
        <w:rPr>
          <w:rFonts w:ascii="Arial" w:hAnsi="Arial" w:cs="Arial"/>
          <w:color w:val="000000" w:themeColor="text1"/>
        </w:rPr>
      </w:pPr>
      <w:r w:rsidRPr="0004362E">
        <w:rPr>
          <w:rFonts w:ascii="Arial" w:hAnsi="Arial" w:cs="Arial"/>
          <w:b/>
          <w:bCs/>
          <w:color w:val="000000" w:themeColor="text1"/>
        </w:rPr>
        <w:lastRenderedPageBreak/>
        <w:t xml:space="preserve">Table </w:t>
      </w:r>
      <w:r w:rsidRPr="0004362E">
        <w:rPr>
          <w:rFonts w:ascii="Arial" w:hAnsi="Arial" w:cs="Arial"/>
          <w:b/>
          <w:bCs/>
          <w:color w:val="000000" w:themeColor="text1"/>
        </w:rPr>
        <w:t>7</w:t>
      </w:r>
      <w:r w:rsidRPr="0004362E">
        <w:rPr>
          <w:rFonts w:ascii="Arial" w:hAnsi="Arial" w:cs="Arial"/>
          <w:color w:val="000000" w:themeColor="text1"/>
        </w:rPr>
        <w:t>: Core Financial Metrics and Strategic Linkages</w:t>
      </w:r>
    </w:p>
    <w:p w14:paraId="4CEF621F" w14:textId="21466984" w:rsidR="00620ACA" w:rsidRDefault="00620ACA" w:rsidP="0004362E">
      <w:pPr>
        <w:spacing w:line="360" w:lineRule="auto"/>
        <w:rPr>
          <w:rFonts w:ascii="Arial" w:hAnsi="Arial" w:cs="Arial"/>
          <w:color w:val="000000" w:themeColor="text1"/>
        </w:rPr>
      </w:pPr>
      <w:r w:rsidRPr="00620ACA">
        <w:rPr>
          <w:rFonts w:ascii="Arial" w:hAnsi="Arial" w:cs="Arial"/>
          <w:color w:val="000000" w:themeColor="text1"/>
        </w:rPr>
        <w:drawing>
          <wp:inline distT="0" distB="0" distL="0" distR="0" wp14:anchorId="254AB842" wp14:editId="190E5F17">
            <wp:extent cx="5943600" cy="3346450"/>
            <wp:effectExtent l="0" t="0" r="0" b="6350"/>
            <wp:docPr id="35379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9012" name=""/>
                    <pic:cNvPicPr/>
                  </pic:nvPicPr>
                  <pic:blipFill>
                    <a:blip r:embed="rId17"/>
                    <a:stretch>
                      <a:fillRect/>
                    </a:stretch>
                  </pic:blipFill>
                  <pic:spPr>
                    <a:xfrm>
                      <a:off x="0" y="0"/>
                      <a:ext cx="5943600" cy="3346450"/>
                    </a:xfrm>
                    <a:prstGeom prst="rect">
                      <a:avLst/>
                    </a:prstGeom>
                  </pic:spPr>
                </pic:pic>
              </a:graphicData>
            </a:graphic>
          </wp:inline>
        </w:drawing>
      </w:r>
    </w:p>
    <w:p w14:paraId="17692478" w14:textId="169274AC" w:rsidR="00532D62" w:rsidRPr="00AA7035" w:rsidRDefault="00AA7035" w:rsidP="007116D6">
      <w:pPr>
        <w:spacing w:line="360" w:lineRule="auto"/>
        <w:rPr>
          <w:rFonts w:ascii="Arial" w:hAnsi="Arial" w:cs="Arial"/>
          <w:color w:val="000000" w:themeColor="text1"/>
          <w:sz w:val="20"/>
          <w:szCs w:val="20"/>
        </w:rPr>
      </w:pPr>
      <w:r w:rsidRPr="00AA7035">
        <w:rPr>
          <w:rFonts w:ascii="Arial" w:hAnsi="Arial" w:cs="Arial"/>
          <w:color w:val="000000" w:themeColor="text1"/>
          <w:sz w:val="20"/>
          <w:szCs w:val="20"/>
        </w:rPr>
        <w:t>Source: Developed by the author based on Kaplan and Norton (1992).</w:t>
      </w:r>
    </w:p>
    <w:p w14:paraId="5F564676" w14:textId="77777777" w:rsidR="00532D62" w:rsidRDefault="00532D62" w:rsidP="007116D6">
      <w:pPr>
        <w:spacing w:line="360" w:lineRule="auto"/>
        <w:rPr>
          <w:rFonts w:ascii="Arial" w:hAnsi="Arial" w:cs="Arial"/>
          <w:color w:val="000000" w:themeColor="text1"/>
        </w:rPr>
      </w:pPr>
    </w:p>
    <w:p w14:paraId="5BF4F921" w14:textId="77777777" w:rsidR="00AA7035" w:rsidRPr="00AA7035" w:rsidRDefault="00AA7035" w:rsidP="00AA7035">
      <w:pPr>
        <w:pStyle w:val="Heading2"/>
        <w:rPr>
          <w:rFonts w:ascii="Arial" w:hAnsi="Arial" w:cs="Arial"/>
          <w:color w:val="000000" w:themeColor="text1"/>
          <w:sz w:val="28"/>
          <w:szCs w:val="28"/>
        </w:rPr>
      </w:pPr>
      <w:bookmarkStart w:id="30" w:name="_Toc215314150"/>
      <w:r w:rsidRPr="00AA7035">
        <w:rPr>
          <w:rFonts w:ascii="Arial" w:hAnsi="Arial" w:cs="Arial"/>
          <w:color w:val="000000" w:themeColor="text1"/>
          <w:sz w:val="28"/>
          <w:szCs w:val="28"/>
        </w:rPr>
        <w:t>7.3 Sensitivity Analysis: Testing Strategic Resilience</w:t>
      </w:r>
      <w:bookmarkEnd w:id="30"/>
    </w:p>
    <w:p w14:paraId="13DD5BB0" w14:textId="77777777" w:rsidR="00AA7035" w:rsidRDefault="00AA7035" w:rsidP="00AA7035">
      <w:pPr>
        <w:spacing w:line="360" w:lineRule="auto"/>
        <w:rPr>
          <w:rFonts w:ascii="Arial" w:hAnsi="Arial" w:cs="Arial"/>
          <w:color w:val="000000" w:themeColor="text1"/>
        </w:rPr>
      </w:pPr>
    </w:p>
    <w:p w14:paraId="60064492" w14:textId="2FCAD86B" w:rsidR="00AA7035" w:rsidRPr="00AA7035" w:rsidRDefault="00AA7035" w:rsidP="00AA7035">
      <w:pPr>
        <w:spacing w:line="360" w:lineRule="auto"/>
        <w:rPr>
          <w:rFonts w:ascii="Arial" w:hAnsi="Arial" w:cs="Arial"/>
          <w:color w:val="000000" w:themeColor="text1"/>
        </w:rPr>
      </w:pPr>
      <w:r w:rsidRPr="00AA7035">
        <w:rPr>
          <w:rFonts w:ascii="Arial" w:hAnsi="Arial" w:cs="Arial"/>
          <w:color w:val="000000" w:themeColor="text1"/>
        </w:rPr>
        <w:t>As highlighted in the Risk Analysis (Section 6), the strategy's robustness is tested for resilience. The Sensitivity Analysis assesses the quantitative impact of the highest-impact risks on the projected Net Profit in Year 2, which is the critical break-even year.</w:t>
      </w:r>
    </w:p>
    <w:p w14:paraId="6B819038" w14:textId="77777777" w:rsidR="00AA7035" w:rsidRDefault="00AA7035" w:rsidP="00AA7035">
      <w:pPr>
        <w:spacing w:line="360" w:lineRule="auto"/>
        <w:rPr>
          <w:rFonts w:ascii="Arial" w:hAnsi="Arial" w:cs="Arial"/>
          <w:color w:val="000000" w:themeColor="text1"/>
        </w:rPr>
      </w:pPr>
    </w:p>
    <w:p w14:paraId="3C3A0920" w14:textId="77777777" w:rsidR="00057DF0" w:rsidRDefault="00057DF0" w:rsidP="00AA7035">
      <w:pPr>
        <w:spacing w:line="360" w:lineRule="auto"/>
        <w:rPr>
          <w:rFonts w:ascii="Arial" w:hAnsi="Arial" w:cs="Arial"/>
          <w:color w:val="000000" w:themeColor="text1"/>
        </w:rPr>
      </w:pPr>
    </w:p>
    <w:p w14:paraId="64B231A3" w14:textId="77777777" w:rsidR="00057DF0" w:rsidRDefault="00057DF0" w:rsidP="00AA7035">
      <w:pPr>
        <w:spacing w:line="360" w:lineRule="auto"/>
        <w:rPr>
          <w:rFonts w:ascii="Arial" w:hAnsi="Arial" w:cs="Arial"/>
          <w:color w:val="000000" w:themeColor="text1"/>
        </w:rPr>
      </w:pPr>
    </w:p>
    <w:p w14:paraId="31F9180E" w14:textId="77777777" w:rsidR="00057DF0" w:rsidRDefault="00057DF0" w:rsidP="00AA7035">
      <w:pPr>
        <w:spacing w:line="360" w:lineRule="auto"/>
        <w:rPr>
          <w:rFonts w:ascii="Arial" w:hAnsi="Arial" w:cs="Arial"/>
          <w:color w:val="000000" w:themeColor="text1"/>
        </w:rPr>
      </w:pPr>
    </w:p>
    <w:p w14:paraId="303E15A5" w14:textId="77777777" w:rsidR="00057DF0" w:rsidRDefault="00057DF0" w:rsidP="00AA7035">
      <w:pPr>
        <w:spacing w:line="360" w:lineRule="auto"/>
        <w:rPr>
          <w:rFonts w:ascii="Arial" w:hAnsi="Arial" w:cs="Arial"/>
          <w:color w:val="000000" w:themeColor="text1"/>
        </w:rPr>
      </w:pPr>
    </w:p>
    <w:p w14:paraId="6BC05B63" w14:textId="77777777" w:rsidR="00057DF0" w:rsidRPr="00AA7035" w:rsidRDefault="00057DF0" w:rsidP="00AA7035">
      <w:pPr>
        <w:spacing w:line="360" w:lineRule="auto"/>
        <w:rPr>
          <w:rFonts w:ascii="Arial" w:hAnsi="Arial" w:cs="Arial"/>
          <w:color w:val="000000" w:themeColor="text1"/>
        </w:rPr>
      </w:pPr>
    </w:p>
    <w:p w14:paraId="45C5D950" w14:textId="2FF6845A" w:rsidR="00532D62" w:rsidRDefault="00AA7035" w:rsidP="00AA7035">
      <w:pPr>
        <w:spacing w:line="360" w:lineRule="auto"/>
        <w:rPr>
          <w:rFonts w:ascii="Arial" w:hAnsi="Arial" w:cs="Arial"/>
          <w:color w:val="000000" w:themeColor="text1"/>
        </w:rPr>
      </w:pPr>
      <w:r w:rsidRPr="00AA7035">
        <w:rPr>
          <w:rFonts w:ascii="Arial" w:hAnsi="Arial" w:cs="Arial"/>
          <w:b/>
          <w:bCs/>
          <w:color w:val="000000" w:themeColor="text1"/>
        </w:rPr>
        <w:lastRenderedPageBreak/>
        <w:t xml:space="preserve">Table </w:t>
      </w:r>
      <w:r w:rsidRPr="00AA7035">
        <w:rPr>
          <w:rFonts w:ascii="Arial" w:hAnsi="Arial" w:cs="Arial"/>
          <w:b/>
          <w:bCs/>
          <w:color w:val="000000" w:themeColor="text1"/>
        </w:rPr>
        <w:t>8</w:t>
      </w:r>
      <w:r w:rsidRPr="00AA7035">
        <w:rPr>
          <w:rFonts w:ascii="Arial" w:hAnsi="Arial" w:cs="Arial"/>
          <w:b/>
          <w:bCs/>
          <w:color w:val="000000" w:themeColor="text1"/>
        </w:rPr>
        <w:t>:</w:t>
      </w:r>
      <w:r w:rsidRPr="00AA7035">
        <w:rPr>
          <w:rFonts w:ascii="Arial" w:hAnsi="Arial" w:cs="Arial"/>
          <w:color w:val="000000" w:themeColor="text1"/>
        </w:rPr>
        <w:t xml:space="preserve"> Sensitivity Analysis on Net Profit (Year 2)</w:t>
      </w:r>
    </w:p>
    <w:p w14:paraId="649BC5A4" w14:textId="636C9472" w:rsidR="00E75B0E" w:rsidRDefault="00E75B0E" w:rsidP="00AA7035">
      <w:pPr>
        <w:spacing w:line="360" w:lineRule="auto"/>
        <w:rPr>
          <w:rFonts w:ascii="Arial" w:hAnsi="Arial" w:cs="Arial"/>
          <w:color w:val="000000" w:themeColor="text1"/>
        </w:rPr>
      </w:pPr>
      <w:r w:rsidRPr="00E75B0E">
        <w:rPr>
          <w:rFonts w:ascii="Arial" w:hAnsi="Arial" w:cs="Arial"/>
          <w:color w:val="000000" w:themeColor="text1"/>
        </w:rPr>
        <w:drawing>
          <wp:inline distT="0" distB="0" distL="0" distR="0" wp14:anchorId="5787CC34" wp14:editId="11D3AC07">
            <wp:extent cx="5943600" cy="2605405"/>
            <wp:effectExtent l="0" t="0" r="0" b="4445"/>
            <wp:docPr id="1793141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41187" name=""/>
                    <pic:cNvPicPr/>
                  </pic:nvPicPr>
                  <pic:blipFill>
                    <a:blip r:embed="rId18"/>
                    <a:stretch>
                      <a:fillRect/>
                    </a:stretch>
                  </pic:blipFill>
                  <pic:spPr>
                    <a:xfrm>
                      <a:off x="0" y="0"/>
                      <a:ext cx="5943600" cy="2605405"/>
                    </a:xfrm>
                    <a:prstGeom prst="rect">
                      <a:avLst/>
                    </a:prstGeom>
                  </pic:spPr>
                </pic:pic>
              </a:graphicData>
            </a:graphic>
          </wp:inline>
        </w:drawing>
      </w:r>
    </w:p>
    <w:p w14:paraId="2183B47A" w14:textId="77777777" w:rsidR="004C7DA4" w:rsidRPr="004C7DA4" w:rsidRDefault="004C7DA4" w:rsidP="004C7DA4">
      <w:pPr>
        <w:spacing w:line="360" w:lineRule="auto"/>
        <w:rPr>
          <w:rFonts w:ascii="Arial" w:hAnsi="Arial" w:cs="Arial"/>
          <w:color w:val="000000" w:themeColor="text1"/>
          <w:sz w:val="20"/>
          <w:szCs w:val="20"/>
        </w:rPr>
      </w:pPr>
      <w:r w:rsidRPr="004C7DA4">
        <w:rPr>
          <w:rFonts w:ascii="Arial" w:hAnsi="Arial" w:cs="Arial"/>
          <w:color w:val="000000" w:themeColor="text1"/>
          <w:sz w:val="20"/>
          <w:szCs w:val="20"/>
        </w:rPr>
        <w:t>Source: Developed by the author based on projected data.</w:t>
      </w:r>
    </w:p>
    <w:p w14:paraId="2A3E448F" w14:textId="77777777" w:rsidR="004C7DA4" w:rsidRDefault="004C7DA4" w:rsidP="004C7DA4">
      <w:pPr>
        <w:spacing w:line="360" w:lineRule="auto"/>
        <w:rPr>
          <w:rFonts w:ascii="Arial" w:hAnsi="Arial" w:cs="Arial"/>
          <w:color w:val="000000" w:themeColor="text1"/>
        </w:rPr>
      </w:pPr>
    </w:p>
    <w:p w14:paraId="615507CF" w14:textId="0DBD1794" w:rsidR="00532D62" w:rsidRDefault="004C7DA4" w:rsidP="004C7DA4">
      <w:pPr>
        <w:spacing w:line="360" w:lineRule="auto"/>
        <w:rPr>
          <w:rFonts w:ascii="Arial" w:hAnsi="Arial" w:cs="Arial"/>
          <w:color w:val="000000" w:themeColor="text1"/>
        </w:rPr>
      </w:pPr>
      <w:r w:rsidRPr="004C7DA4">
        <w:rPr>
          <w:rFonts w:ascii="Arial" w:hAnsi="Arial" w:cs="Arial"/>
          <w:color w:val="000000" w:themeColor="text1"/>
        </w:rPr>
        <w:t>The analysis reveals the strategy is highly sensitive to both sales volume (RPSF) and operational costs. This mandates rigorous monitoring using the Balanced Scorecard (Section 6) to ensure rapid corrective action is taken if sales targets are missed.</w:t>
      </w:r>
    </w:p>
    <w:p w14:paraId="67A6F792" w14:textId="77777777" w:rsidR="00532D62" w:rsidRDefault="00532D62" w:rsidP="007116D6">
      <w:pPr>
        <w:spacing w:line="360" w:lineRule="auto"/>
        <w:rPr>
          <w:rFonts w:ascii="Arial" w:hAnsi="Arial" w:cs="Arial"/>
          <w:color w:val="000000" w:themeColor="text1"/>
        </w:rPr>
      </w:pPr>
    </w:p>
    <w:p w14:paraId="10EBC71B" w14:textId="77777777" w:rsidR="00532D62" w:rsidRDefault="00532D62" w:rsidP="007116D6">
      <w:pPr>
        <w:spacing w:line="360" w:lineRule="auto"/>
        <w:rPr>
          <w:rFonts w:ascii="Arial" w:hAnsi="Arial" w:cs="Arial"/>
          <w:color w:val="000000" w:themeColor="text1"/>
        </w:rPr>
      </w:pPr>
    </w:p>
    <w:p w14:paraId="49635421" w14:textId="77777777" w:rsidR="0036022F" w:rsidRDefault="0036022F" w:rsidP="007116D6">
      <w:pPr>
        <w:spacing w:line="360" w:lineRule="auto"/>
        <w:rPr>
          <w:rFonts w:ascii="Arial" w:hAnsi="Arial" w:cs="Arial"/>
          <w:color w:val="000000" w:themeColor="text1"/>
        </w:rPr>
      </w:pPr>
    </w:p>
    <w:p w14:paraId="349E25FF" w14:textId="77777777" w:rsidR="000703ED" w:rsidRDefault="000703ED" w:rsidP="007116D6">
      <w:pPr>
        <w:spacing w:line="360" w:lineRule="auto"/>
        <w:rPr>
          <w:rFonts w:ascii="Arial" w:hAnsi="Arial" w:cs="Arial"/>
          <w:color w:val="000000" w:themeColor="text1"/>
        </w:rPr>
      </w:pPr>
    </w:p>
    <w:p w14:paraId="3C76E347" w14:textId="77777777" w:rsidR="000703ED" w:rsidRDefault="000703ED" w:rsidP="007116D6">
      <w:pPr>
        <w:spacing w:line="360" w:lineRule="auto"/>
        <w:rPr>
          <w:rFonts w:ascii="Arial" w:hAnsi="Arial" w:cs="Arial"/>
          <w:color w:val="000000" w:themeColor="text1"/>
        </w:rPr>
      </w:pPr>
    </w:p>
    <w:p w14:paraId="0C474FB9" w14:textId="77777777" w:rsidR="000703ED" w:rsidRDefault="000703ED" w:rsidP="007116D6">
      <w:pPr>
        <w:spacing w:line="360" w:lineRule="auto"/>
        <w:rPr>
          <w:rFonts w:ascii="Arial" w:hAnsi="Arial" w:cs="Arial"/>
          <w:color w:val="000000" w:themeColor="text1"/>
        </w:rPr>
      </w:pPr>
    </w:p>
    <w:p w14:paraId="353696D7" w14:textId="77777777" w:rsidR="000703ED" w:rsidRDefault="000703ED" w:rsidP="007116D6">
      <w:pPr>
        <w:spacing w:line="360" w:lineRule="auto"/>
        <w:rPr>
          <w:rFonts w:ascii="Arial" w:hAnsi="Arial" w:cs="Arial"/>
          <w:color w:val="000000" w:themeColor="text1"/>
        </w:rPr>
      </w:pPr>
    </w:p>
    <w:p w14:paraId="271246B8" w14:textId="77777777" w:rsidR="000703ED" w:rsidRDefault="000703ED" w:rsidP="007116D6">
      <w:pPr>
        <w:spacing w:line="360" w:lineRule="auto"/>
        <w:rPr>
          <w:rFonts w:ascii="Arial" w:hAnsi="Arial" w:cs="Arial"/>
          <w:color w:val="000000" w:themeColor="text1"/>
        </w:rPr>
      </w:pPr>
    </w:p>
    <w:p w14:paraId="295AE822" w14:textId="77777777" w:rsidR="006821EE" w:rsidRDefault="006821EE" w:rsidP="002B4148">
      <w:pPr>
        <w:spacing w:line="360" w:lineRule="auto"/>
        <w:rPr>
          <w:rFonts w:ascii="Arial" w:hAnsi="Arial" w:cs="Arial"/>
          <w:color w:val="000000" w:themeColor="text1"/>
        </w:rPr>
      </w:pPr>
    </w:p>
    <w:p w14:paraId="60DDC673" w14:textId="6539184B" w:rsidR="002F2A25" w:rsidRPr="002F2A25" w:rsidRDefault="002F2A25" w:rsidP="002F2A25">
      <w:pPr>
        <w:pStyle w:val="Heading1"/>
        <w:shd w:val="clear" w:color="auto" w:fill="FF4747"/>
        <w:rPr>
          <w:rFonts w:ascii="Arial" w:hAnsi="Arial" w:cs="Arial"/>
          <w:color w:val="FFFFFF" w:themeColor="background1"/>
          <w:sz w:val="36"/>
          <w:szCs w:val="36"/>
        </w:rPr>
      </w:pPr>
      <w:bookmarkStart w:id="31" w:name="_Toc215314151"/>
      <w:r w:rsidRPr="002F2A25">
        <w:rPr>
          <w:rFonts w:ascii="Arial" w:hAnsi="Arial" w:cs="Arial"/>
          <w:color w:val="FFFFFF" w:themeColor="background1"/>
          <w:sz w:val="36"/>
          <w:szCs w:val="36"/>
        </w:rPr>
        <w:lastRenderedPageBreak/>
        <w:t>8. Recommendation and Conclusion</w:t>
      </w:r>
      <w:bookmarkEnd w:id="31"/>
      <w:r w:rsidRPr="002F2A25">
        <w:rPr>
          <w:rFonts w:ascii="Arial" w:hAnsi="Arial" w:cs="Arial"/>
          <w:color w:val="FFFFFF" w:themeColor="background1"/>
          <w:sz w:val="36"/>
          <w:szCs w:val="36"/>
        </w:rPr>
        <w:t xml:space="preserve"> </w:t>
      </w:r>
    </w:p>
    <w:p w14:paraId="37130F62" w14:textId="77777777" w:rsidR="002F2A25" w:rsidRPr="002F2A25" w:rsidRDefault="002F2A25" w:rsidP="002F2A25">
      <w:pPr>
        <w:spacing w:line="360" w:lineRule="auto"/>
        <w:rPr>
          <w:rFonts w:ascii="Arial" w:hAnsi="Arial" w:cs="Arial"/>
          <w:color w:val="000000" w:themeColor="text1"/>
        </w:rPr>
      </w:pPr>
    </w:p>
    <w:p w14:paraId="0010E30F" w14:textId="34737E0C" w:rsid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This report has critically assessed Lululemon’s potential entry into India, confirming that the market presents a unique opportunity for premium athleisure, contingent on mitigating significant institutional and competitive complexity.</w:t>
      </w:r>
    </w:p>
    <w:p w14:paraId="53145601" w14:textId="77777777" w:rsidR="00A935F7" w:rsidRPr="00A935F7" w:rsidRDefault="00A935F7" w:rsidP="00A935F7">
      <w:pPr>
        <w:spacing w:line="360" w:lineRule="auto"/>
        <w:rPr>
          <w:rFonts w:ascii="Arial" w:hAnsi="Arial" w:cs="Arial"/>
          <w:color w:val="000000" w:themeColor="text1"/>
        </w:rPr>
      </w:pPr>
    </w:p>
    <w:p w14:paraId="09A877AC" w14:textId="280E1D70" w:rsidR="00A935F7" w:rsidRP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Recommended Strategy:</w:t>
      </w:r>
    </w:p>
    <w:p w14:paraId="6AE9228E" w14:textId="19AB4B63" w:rsidR="00A935F7" w:rsidRP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The recommended strategy is a Joint Venture (JV) with a reputable Indian partner, providing the optimal balance between strategic control and necessary local institutional responsiveness. This model directly addresses the 30% local sourcing mandate (T1) and provides the cultural legitimacy required to overcome high buyer expectations.</w:t>
      </w:r>
    </w:p>
    <w:p w14:paraId="799C5C25" w14:textId="434CA636" w:rsid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Lululemon should adopt a Differentiation-Focus positioning, leveraging its VRIO-derived capabilities (proprietary fabrics, experiential retail, and community model) to secure a defensible and scalable presence. Implementation must follow a conservative, phased rollout in Tier 1 cities, supported by an integrated digital and community-building effort.</w:t>
      </w:r>
    </w:p>
    <w:p w14:paraId="48CF79B2" w14:textId="77777777" w:rsidR="00A935F7" w:rsidRPr="00A935F7" w:rsidRDefault="00A935F7" w:rsidP="00A935F7">
      <w:pPr>
        <w:spacing w:line="360" w:lineRule="auto"/>
        <w:rPr>
          <w:rFonts w:ascii="Arial" w:hAnsi="Arial" w:cs="Arial"/>
          <w:color w:val="000000" w:themeColor="text1"/>
        </w:rPr>
      </w:pPr>
    </w:p>
    <w:p w14:paraId="403A31DD" w14:textId="6D0BDBC0" w:rsidR="00A935F7" w:rsidRP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Critical Managerial Insight (Synthesis of Risk and Control):</w:t>
      </w:r>
    </w:p>
    <w:p w14:paraId="4260980E" w14:textId="670E1135" w:rsid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Strategic viability is highly sensitive to two key factors identified through the Sensitivity Analysis (Section 7) and Risk Matrix (Section 6): (1) Cultural misalignment or misinterpretation of yoga heritage, and (2) potential dilution of proprietary fabric quality due to local sourcing pressures. The Balanced Scorecard provides the necessary framework to track these non-financial risks alongside profitability.</w:t>
      </w:r>
    </w:p>
    <w:p w14:paraId="05526BA2" w14:textId="77777777" w:rsidR="00A935F7" w:rsidRPr="00A935F7" w:rsidRDefault="00A935F7" w:rsidP="00A935F7">
      <w:pPr>
        <w:spacing w:line="360" w:lineRule="auto"/>
        <w:rPr>
          <w:rFonts w:ascii="Arial" w:hAnsi="Arial" w:cs="Arial"/>
          <w:color w:val="000000" w:themeColor="text1"/>
        </w:rPr>
      </w:pPr>
    </w:p>
    <w:p w14:paraId="7ACAF819" w14:textId="221A933D" w:rsidR="00A935F7" w:rsidRP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Final Recommendation:</w:t>
      </w:r>
    </w:p>
    <w:p w14:paraId="3615E79D" w14:textId="08423237" w:rsid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 xml:space="preserve">Lululemon must establish a dedicated India Localisation and Innovation Board within the JV structure. This cross-functional governance mechanism is essential for overseeing cultural adaptation, product localisation decisions, and supplier capability audits. This control system </w:t>
      </w:r>
      <w:r w:rsidRPr="00A935F7">
        <w:rPr>
          <w:rFonts w:ascii="Arial" w:hAnsi="Arial" w:cs="Arial"/>
          <w:color w:val="000000" w:themeColor="text1"/>
        </w:rPr>
        <w:lastRenderedPageBreak/>
        <w:t>ensures that Lululemon's core Differentiation is preserved while meeting local regulatory and consumer expectations.</w:t>
      </w:r>
    </w:p>
    <w:p w14:paraId="38D8ACDB" w14:textId="77777777" w:rsidR="00DA0ACB" w:rsidRPr="00A935F7" w:rsidRDefault="00DA0ACB" w:rsidP="00A935F7">
      <w:pPr>
        <w:spacing w:line="360" w:lineRule="auto"/>
        <w:rPr>
          <w:rFonts w:ascii="Arial" w:hAnsi="Arial" w:cs="Arial"/>
          <w:color w:val="000000" w:themeColor="text1"/>
        </w:rPr>
      </w:pPr>
    </w:p>
    <w:p w14:paraId="5806D1B2" w14:textId="1348D1EB" w:rsidR="00A935F7" w:rsidRPr="00A935F7" w:rsidRDefault="00A935F7" w:rsidP="00A935F7">
      <w:pPr>
        <w:spacing w:line="360" w:lineRule="auto"/>
        <w:rPr>
          <w:rFonts w:ascii="Arial" w:hAnsi="Arial" w:cs="Arial"/>
          <w:color w:val="000000" w:themeColor="text1"/>
        </w:rPr>
      </w:pPr>
      <w:r w:rsidRPr="00A935F7">
        <w:rPr>
          <w:rFonts w:ascii="Arial" w:hAnsi="Arial" w:cs="Arial"/>
          <w:color w:val="000000" w:themeColor="text1"/>
        </w:rPr>
        <w:t>Conclusion:</w:t>
      </w:r>
    </w:p>
    <w:p w14:paraId="2843B028" w14:textId="18A772FC" w:rsidR="003A66CF" w:rsidRDefault="00A935F7" w:rsidP="00A935F7">
      <w:pPr>
        <w:spacing w:line="360" w:lineRule="auto"/>
        <w:rPr>
          <w:rFonts w:ascii="Arial" w:hAnsi="Arial" w:cs="Arial"/>
          <w:color w:val="000000" w:themeColor="text1"/>
        </w:rPr>
      </w:pPr>
      <w:r w:rsidRPr="00A935F7">
        <w:rPr>
          <w:rFonts w:ascii="Arial" w:hAnsi="Arial" w:cs="Arial"/>
          <w:color w:val="000000" w:themeColor="text1"/>
        </w:rPr>
        <w:t>If Lululemon enters India through this culturally sensitive JV, protects its innovation-based capabilities, and executes its phased, premium positioning, it is well positioned to build a defensible and scalable presence in one of the world’s most dynamic wellness markets.</w:t>
      </w:r>
    </w:p>
    <w:p w14:paraId="327E927F" w14:textId="77777777" w:rsidR="003A66CF" w:rsidRDefault="003A66CF" w:rsidP="00221AB6">
      <w:pPr>
        <w:spacing w:line="360" w:lineRule="auto"/>
        <w:rPr>
          <w:rFonts w:ascii="Arial" w:hAnsi="Arial" w:cs="Arial"/>
          <w:color w:val="000000" w:themeColor="text1"/>
        </w:rPr>
      </w:pPr>
    </w:p>
    <w:p w14:paraId="5BB5BA9B" w14:textId="77777777" w:rsidR="003A66CF" w:rsidRDefault="003A66CF" w:rsidP="00221AB6">
      <w:pPr>
        <w:spacing w:line="360" w:lineRule="auto"/>
        <w:rPr>
          <w:rFonts w:ascii="Arial" w:hAnsi="Arial" w:cs="Arial"/>
          <w:color w:val="000000" w:themeColor="text1"/>
        </w:rPr>
      </w:pPr>
    </w:p>
    <w:p w14:paraId="69430F4C" w14:textId="77777777" w:rsidR="003A66CF" w:rsidRDefault="003A66CF" w:rsidP="00221AB6">
      <w:pPr>
        <w:spacing w:line="360" w:lineRule="auto"/>
        <w:rPr>
          <w:rFonts w:ascii="Arial" w:hAnsi="Arial" w:cs="Arial"/>
          <w:color w:val="000000" w:themeColor="text1"/>
        </w:rPr>
      </w:pPr>
    </w:p>
    <w:p w14:paraId="0CCFE64F" w14:textId="77777777" w:rsidR="003A66CF" w:rsidRDefault="003A66CF" w:rsidP="00221AB6">
      <w:pPr>
        <w:spacing w:line="360" w:lineRule="auto"/>
        <w:rPr>
          <w:rFonts w:ascii="Arial" w:hAnsi="Arial" w:cs="Arial"/>
          <w:color w:val="000000" w:themeColor="text1"/>
        </w:rPr>
      </w:pPr>
    </w:p>
    <w:p w14:paraId="483A9BB5" w14:textId="77777777" w:rsidR="003A66CF" w:rsidRDefault="003A66CF" w:rsidP="00221AB6">
      <w:pPr>
        <w:spacing w:line="360" w:lineRule="auto"/>
        <w:rPr>
          <w:rFonts w:ascii="Arial" w:hAnsi="Arial" w:cs="Arial"/>
          <w:color w:val="000000" w:themeColor="text1"/>
        </w:rPr>
      </w:pPr>
    </w:p>
    <w:p w14:paraId="35F1027F" w14:textId="77777777" w:rsidR="003A66CF" w:rsidRDefault="003A66CF" w:rsidP="00221AB6">
      <w:pPr>
        <w:spacing w:line="360" w:lineRule="auto"/>
        <w:rPr>
          <w:rFonts w:ascii="Arial" w:hAnsi="Arial" w:cs="Arial"/>
          <w:color w:val="000000" w:themeColor="text1"/>
        </w:rPr>
      </w:pPr>
    </w:p>
    <w:p w14:paraId="63183E8C" w14:textId="77777777" w:rsidR="003A66CF" w:rsidRDefault="003A66CF" w:rsidP="00221AB6">
      <w:pPr>
        <w:spacing w:line="360" w:lineRule="auto"/>
        <w:rPr>
          <w:rFonts w:ascii="Arial" w:hAnsi="Arial" w:cs="Arial"/>
          <w:color w:val="000000" w:themeColor="text1"/>
        </w:rPr>
      </w:pPr>
    </w:p>
    <w:p w14:paraId="26E17973" w14:textId="77777777" w:rsidR="00AC0EC8" w:rsidRDefault="00AC0EC8" w:rsidP="00221AB6">
      <w:pPr>
        <w:spacing w:line="360" w:lineRule="auto"/>
        <w:rPr>
          <w:rFonts w:ascii="Arial" w:hAnsi="Arial" w:cs="Arial"/>
          <w:color w:val="000000" w:themeColor="text1"/>
        </w:rPr>
      </w:pPr>
    </w:p>
    <w:p w14:paraId="3107FD21" w14:textId="77777777" w:rsidR="00AC0EC8" w:rsidRDefault="00AC0EC8" w:rsidP="00221AB6">
      <w:pPr>
        <w:spacing w:line="360" w:lineRule="auto"/>
        <w:rPr>
          <w:rFonts w:ascii="Arial" w:hAnsi="Arial" w:cs="Arial"/>
          <w:color w:val="000000" w:themeColor="text1"/>
        </w:rPr>
      </w:pPr>
    </w:p>
    <w:p w14:paraId="3DC56FD3" w14:textId="77777777" w:rsidR="00AC0EC8" w:rsidRDefault="00AC0EC8" w:rsidP="00221AB6">
      <w:pPr>
        <w:spacing w:line="360" w:lineRule="auto"/>
        <w:rPr>
          <w:rFonts w:ascii="Arial" w:hAnsi="Arial" w:cs="Arial"/>
          <w:color w:val="000000" w:themeColor="text1"/>
        </w:rPr>
      </w:pPr>
    </w:p>
    <w:p w14:paraId="27DAB4C6" w14:textId="77777777" w:rsidR="00AC0EC8" w:rsidRDefault="00AC0EC8" w:rsidP="00221AB6">
      <w:pPr>
        <w:spacing w:line="360" w:lineRule="auto"/>
        <w:rPr>
          <w:rFonts w:ascii="Arial" w:hAnsi="Arial" w:cs="Arial"/>
          <w:color w:val="000000" w:themeColor="text1"/>
        </w:rPr>
      </w:pPr>
    </w:p>
    <w:p w14:paraId="56830169" w14:textId="77777777" w:rsidR="00AC0EC8" w:rsidRDefault="00AC0EC8" w:rsidP="00221AB6">
      <w:pPr>
        <w:spacing w:line="360" w:lineRule="auto"/>
        <w:rPr>
          <w:rFonts w:ascii="Arial" w:hAnsi="Arial" w:cs="Arial"/>
          <w:color w:val="000000" w:themeColor="text1"/>
        </w:rPr>
      </w:pPr>
    </w:p>
    <w:p w14:paraId="17EF2C57" w14:textId="77777777" w:rsidR="00AC0EC8" w:rsidRDefault="00AC0EC8" w:rsidP="00221AB6">
      <w:pPr>
        <w:spacing w:line="360" w:lineRule="auto"/>
        <w:rPr>
          <w:rFonts w:ascii="Arial" w:hAnsi="Arial" w:cs="Arial"/>
          <w:color w:val="000000" w:themeColor="text1"/>
        </w:rPr>
      </w:pPr>
    </w:p>
    <w:p w14:paraId="797D981F" w14:textId="77777777" w:rsidR="00AC0EC8" w:rsidRDefault="00AC0EC8" w:rsidP="00221AB6">
      <w:pPr>
        <w:spacing w:line="360" w:lineRule="auto"/>
        <w:rPr>
          <w:rFonts w:ascii="Arial" w:hAnsi="Arial" w:cs="Arial"/>
          <w:color w:val="000000" w:themeColor="text1"/>
        </w:rPr>
      </w:pPr>
    </w:p>
    <w:p w14:paraId="152D20B8" w14:textId="77777777" w:rsidR="00AC0EC8" w:rsidRDefault="00AC0EC8" w:rsidP="00221AB6">
      <w:pPr>
        <w:spacing w:line="360" w:lineRule="auto"/>
        <w:rPr>
          <w:rFonts w:ascii="Arial" w:hAnsi="Arial" w:cs="Arial"/>
          <w:color w:val="000000" w:themeColor="text1"/>
        </w:rPr>
      </w:pPr>
    </w:p>
    <w:p w14:paraId="3A61D318" w14:textId="77777777" w:rsidR="003A66CF" w:rsidRPr="00F84D22" w:rsidRDefault="003A66CF" w:rsidP="00221AB6">
      <w:pPr>
        <w:spacing w:line="360" w:lineRule="auto"/>
        <w:rPr>
          <w:rFonts w:ascii="Arial" w:hAnsi="Arial" w:cs="Arial"/>
          <w:color w:val="000000" w:themeColor="text1"/>
        </w:rPr>
      </w:pPr>
    </w:p>
    <w:p w14:paraId="73D7E087" w14:textId="59BE0C73" w:rsidR="007D0BE6" w:rsidRPr="00570708" w:rsidRDefault="00AC0EC8" w:rsidP="00570708">
      <w:pPr>
        <w:pStyle w:val="Heading1"/>
        <w:shd w:val="clear" w:color="auto" w:fill="FF4747"/>
        <w:rPr>
          <w:rFonts w:ascii="Arial" w:hAnsi="Arial" w:cs="Arial"/>
          <w:color w:val="FFFFFF" w:themeColor="background1"/>
          <w:sz w:val="36"/>
          <w:szCs w:val="36"/>
        </w:rPr>
      </w:pPr>
      <w:bookmarkStart w:id="32" w:name="_Toc215314152"/>
      <w:r>
        <w:rPr>
          <w:rFonts w:ascii="Arial" w:hAnsi="Arial" w:cs="Arial"/>
          <w:color w:val="FFFFFF" w:themeColor="background1"/>
          <w:sz w:val="36"/>
          <w:szCs w:val="36"/>
        </w:rPr>
        <w:lastRenderedPageBreak/>
        <w:t xml:space="preserve">9. </w:t>
      </w:r>
      <w:r w:rsidR="007D0BE6" w:rsidRPr="00570708">
        <w:rPr>
          <w:rFonts w:ascii="Arial" w:hAnsi="Arial" w:cs="Arial"/>
          <w:color w:val="FFFFFF" w:themeColor="background1"/>
          <w:sz w:val="36"/>
          <w:szCs w:val="36"/>
        </w:rPr>
        <w:t>List of References</w:t>
      </w:r>
      <w:bookmarkEnd w:id="32"/>
    </w:p>
    <w:p w14:paraId="381A590B" w14:textId="77777777" w:rsidR="007D0BE6" w:rsidRDefault="007D0BE6" w:rsidP="007F66E2">
      <w:pPr>
        <w:rPr>
          <w:b/>
          <w:bCs/>
        </w:rPr>
      </w:pPr>
    </w:p>
    <w:p w14:paraId="52512867" w14:textId="6BA8CF63" w:rsidR="0014073C" w:rsidRDefault="0014073C" w:rsidP="0014073C">
      <w:pPr>
        <w:rPr>
          <w:rFonts w:ascii="Arial" w:hAnsi="Arial" w:cs="Arial"/>
          <w:color w:val="000000" w:themeColor="text1"/>
        </w:rPr>
      </w:pPr>
      <w:r w:rsidRPr="0014073C">
        <w:rPr>
          <w:rFonts w:ascii="Arial" w:hAnsi="Arial" w:cs="Arial"/>
          <w:color w:val="000000" w:themeColor="text1"/>
        </w:rPr>
        <w:t>Aaker, D.A. (1996) Building Strong Brands. New York: Free Press.</w:t>
      </w:r>
    </w:p>
    <w:p w14:paraId="6C0E67BC" w14:textId="263AEF13" w:rsidR="00773BF2" w:rsidRPr="0014073C" w:rsidRDefault="00773BF2" w:rsidP="0014073C">
      <w:pPr>
        <w:rPr>
          <w:rFonts w:ascii="Arial" w:hAnsi="Arial" w:cs="Arial"/>
          <w:color w:val="000000" w:themeColor="text1"/>
        </w:rPr>
      </w:pPr>
      <w:r w:rsidRPr="00773BF2">
        <w:rPr>
          <w:rFonts w:ascii="Arial" w:hAnsi="Arial" w:cs="Arial"/>
          <w:color w:val="000000" w:themeColor="text1"/>
        </w:rPr>
        <w:t>Ansoff, H.I. (1957) 'Strategies for diversification', Harvard Business Review, 35(5), pp. 113</w:t>
      </w:r>
      <w:r w:rsidR="00C55D18">
        <w:rPr>
          <w:rFonts w:ascii="Arial" w:hAnsi="Arial" w:cs="Arial"/>
          <w:color w:val="000000" w:themeColor="text1"/>
        </w:rPr>
        <w:t>-</w:t>
      </w:r>
      <w:r w:rsidRPr="00773BF2">
        <w:rPr>
          <w:rFonts w:ascii="Arial" w:hAnsi="Arial" w:cs="Arial"/>
          <w:color w:val="000000" w:themeColor="text1"/>
        </w:rPr>
        <w:t>124.</w:t>
      </w:r>
    </w:p>
    <w:p w14:paraId="5CCD543F" w14:textId="1B13066F"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Barney, J. (1991) ‘Firm resources and sustained competitive advantage’, Journal of Management, 17(1), pp. 99</w:t>
      </w:r>
      <w:r w:rsidR="00C55D18">
        <w:rPr>
          <w:rFonts w:ascii="Arial" w:hAnsi="Arial" w:cs="Arial"/>
          <w:color w:val="000000" w:themeColor="text1"/>
        </w:rPr>
        <w:t>-</w:t>
      </w:r>
      <w:r w:rsidRPr="00721754">
        <w:rPr>
          <w:rFonts w:ascii="Arial" w:hAnsi="Arial" w:cs="Arial"/>
          <w:color w:val="000000" w:themeColor="text1"/>
        </w:rPr>
        <w:t>120.</w:t>
      </w:r>
    </w:p>
    <w:p w14:paraId="4382FA5F" w14:textId="1980D869" w:rsidR="0014073C" w:rsidRDefault="0014073C" w:rsidP="0014073C">
      <w:pPr>
        <w:rPr>
          <w:rFonts w:ascii="Arial" w:hAnsi="Arial" w:cs="Arial"/>
          <w:color w:val="000000" w:themeColor="text1"/>
        </w:rPr>
      </w:pPr>
      <w:r w:rsidRPr="0014073C">
        <w:rPr>
          <w:rFonts w:ascii="Arial" w:hAnsi="Arial" w:cs="Arial"/>
          <w:color w:val="000000" w:themeColor="text1"/>
        </w:rPr>
        <w:t>Beverland, M. (2005) ‘Crafting brand authenticity: the case of luxury wines’, Journal of Management Studies, 42(5), pp. 1003</w:t>
      </w:r>
      <w:r w:rsidR="00967819">
        <w:rPr>
          <w:rFonts w:ascii="Arial" w:hAnsi="Arial" w:cs="Arial"/>
          <w:color w:val="000000" w:themeColor="text1"/>
        </w:rPr>
        <w:t>-</w:t>
      </w:r>
      <w:r w:rsidRPr="0014073C">
        <w:rPr>
          <w:rFonts w:ascii="Arial" w:hAnsi="Arial" w:cs="Arial"/>
          <w:color w:val="000000" w:themeColor="text1"/>
        </w:rPr>
        <w:t>1029.</w:t>
      </w:r>
    </w:p>
    <w:p w14:paraId="0A9CF147" w14:textId="77777777" w:rsidR="000B315C" w:rsidRDefault="000B315C" w:rsidP="00721754">
      <w:pPr>
        <w:spacing w:line="360" w:lineRule="auto"/>
        <w:rPr>
          <w:rFonts w:ascii="Arial" w:hAnsi="Arial" w:cs="Arial"/>
          <w:color w:val="000000" w:themeColor="text1"/>
        </w:rPr>
      </w:pPr>
      <w:r w:rsidRPr="000B315C">
        <w:rPr>
          <w:rFonts w:ascii="Arial" w:hAnsi="Arial" w:cs="Arial"/>
          <w:color w:val="000000" w:themeColor="text1"/>
        </w:rPr>
        <w:t xml:space="preserve">Damodaran, A. (2012) Investment Valuation: Tools and Techniques for Determining the Value of Any Asset. 3rd edn. </w:t>
      </w:r>
    </w:p>
    <w:p w14:paraId="26F5BCE2" w14:textId="79714CD1" w:rsidR="00CD6205" w:rsidRPr="00721754" w:rsidRDefault="00721754" w:rsidP="00721754">
      <w:pPr>
        <w:spacing w:line="360" w:lineRule="auto"/>
        <w:rPr>
          <w:rFonts w:ascii="Arial" w:hAnsi="Arial" w:cs="Arial"/>
          <w:color w:val="000000" w:themeColor="text1"/>
        </w:rPr>
      </w:pPr>
      <w:r w:rsidRPr="00721754">
        <w:rPr>
          <w:rFonts w:ascii="Arial" w:hAnsi="Arial" w:cs="Arial"/>
          <w:color w:val="000000" w:themeColor="text1"/>
        </w:rPr>
        <w:t>DPIIT (2018) Consolidated FDI Policy Circular on Single Brand Retail Trading (SBRT). Department for Promotion of Industry and Internal Trade, Government of India.</w:t>
      </w:r>
    </w:p>
    <w:p w14:paraId="477B7A76" w14:textId="51DF22C1" w:rsidR="00590F98" w:rsidRDefault="00590F98" w:rsidP="00721754">
      <w:pPr>
        <w:spacing w:line="360" w:lineRule="auto"/>
        <w:rPr>
          <w:rFonts w:ascii="Arial" w:hAnsi="Arial" w:cs="Arial"/>
          <w:color w:val="000000" w:themeColor="text1"/>
        </w:rPr>
      </w:pPr>
      <w:r w:rsidRPr="00590F98">
        <w:rPr>
          <w:rFonts w:ascii="Arial" w:hAnsi="Arial" w:cs="Arial"/>
          <w:color w:val="000000" w:themeColor="text1"/>
        </w:rPr>
        <w:t xml:space="preserve">ET Retail (2023) Indian consumers increasingly demand sustainability transparency in apparel. Available at: </w:t>
      </w:r>
      <w:hyperlink r:id="rId19" w:history="1">
        <w:r w:rsidRPr="00590F98">
          <w:rPr>
            <w:rStyle w:val="Hyperlink"/>
            <w:rFonts w:ascii="Arial" w:hAnsi="Arial" w:cs="Arial"/>
          </w:rPr>
          <w:t>https://retail.economictimes.indiatimes.com</w:t>
        </w:r>
      </w:hyperlink>
    </w:p>
    <w:p w14:paraId="0DDAAD9D" w14:textId="54843EA1" w:rsidR="00590F98" w:rsidRDefault="00590F98" w:rsidP="00721754">
      <w:pPr>
        <w:spacing w:line="360" w:lineRule="auto"/>
        <w:rPr>
          <w:rFonts w:ascii="Arial" w:hAnsi="Arial" w:cs="Arial"/>
          <w:color w:val="000000" w:themeColor="text1"/>
        </w:rPr>
      </w:pPr>
      <w:r w:rsidRPr="00590F98">
        <w:rPr>
          <w:rFonts w:ascii="Arial" w:hAnsi="Arial" w:cs="Arial"/>
          <w:color w:val="000000" w:themeColor="text1"/>
        </w:rPr>
        <w:t>Euromonitor (2024) Premium Athleisure in India: Market Forecasts and Consumer Trends 2024</w:t>
      </w:r>
      <w:r>
        <w:rPr>
          <w:rFonts w:ascii="Arial" w:hAnsi="Arial" w:cs="Arial"/>
          <w:color w:val="000000" w:themeColor="text1"/>
        </w:rPr>
        <w:t>-</w:t>
      </w:r>
      <w:r w:rsidRPr="00590F98">
        <w:rPr>
          <w:rFonts w:ascii="Arial" w:hAnsi="Arial" w:cs="Arial"/>
          <w:color w:val="000000" w:themeColor="text1"/>
        </w:rPr>
        <w:t>2030. London: Euromonitor International</w:t>
      </w:r>
      <w:r w:rsidR="0090236D">
        <w:rPr>
          <w:rFonts w:ascii="Arial" w:hAnsi="Arial" w:cs="Arial"/>
          <w:color w:val="000000" w:themeColor="text1"/>
        </w:rPr>
        <w:t xml:space="preserve">. </w:t>
      </w:r>
      <w:r w:rsidR="0090236D" w:rsidRPr="0090236D">
        <w:rPr>
          <w:rFonts w:ascii="Arial" w:hAnsi="Arial" w:cs="Arial"/>
          <w:color w:val="000000" w:themeColor="text1"/>
        </w:rPr>
        <w:t xml:space="preserve">Available at: </w:t>
      </w:r>
      <w:hyperlink r:id="rId20" w:tgtFrame="_new" w:history="1">
        <w:r w:rsidR="0090236D" w:rsidRPr="0090236D">
          <w:rPr>
            <w:rStyle w:val="Hyperlink"/>
            <w:rFonts w:ascii="Arial" w:hAnsi="Arial" w:cs="Arial"/>
          </w:rPr>
          <w:t>https://www.euromonitor.com/</w:t>
        </w:r>
      </w:hyperlink>
    </w:p>
    <w:p w14:paraId="4AA7D5A1" w14:textId="580C58F4"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Ghemawat, P. (2001) ‘Distance Still Matters: The Hard Reality of Global Expansion’, Harvard Business Review, 79(8), pp. 137</w:t>
      </w:r>
      <w:r w:rsidR="00CC6DC1">
        <w:rPr>
          <w:rFonts w:ascii="Arial" w:hAnsi="Arial" w:cs="Arial"/>
          <w:color w:val="000000" w:themeColor="text1"/>
        </w:rPr>
        <w:t>-</w:t>
      </w:r>
      <w:r w:rsidRPr="00721754">
        <w:rPr>
          <w:rFonts w:ascii="Arial" w:hAnsi="Arial" w:cs="Arial"/>
          <w:color w:val="000000" w:themeColor="text1"/>
        </w:rPr>
        <w:t>147.</w:t>
      </w:r>
    </w:p>
    <w:p w14:paraId="4F9FA949" w14:textId="3B047C1B" w:rsidR="0014073C" w:rsidRPr="00721754" w:rsidRDefault="0014073C" w:rsidP="00721754">
      <w:pPr>
        <w:spacing w:line="360" w:lineRule="auto"/>
        <w:rPr>
          <w:rFonts w:ascii="Arial" w:hAnsi="Arial" w:cs="Arial"/>
          <w:color w:val="000000" w:themeColor="text1"/>
        </w:rPr>
      </w:pPr>
      <w:r w:rsidRPr="0014073C">
        <w:rPr>
          <w:rFonts w:ascii="Arial" w:hAnsi="Arial" w:cs="Arial"/>
          <w:color w:val="000000" w:themeColor="text1"/>
        </w:rPr>
        <w:t>Grant, R.M. (2019) Contemporary Strategy Analysis. 10th edn. Hoboken: Wiley.</w:t>
      </w:r>
    </w:p>
    <w:p w14:paraId="66608F0A" w14:textId="76336E3B" w:rsidR="00CD6205" w:rsidRPr="00721754" w:rsidRDefault="00CD6205" w:rsidP="00721754">
      <w:pPr>
        <w:spacing w:line="360" w:lineRule="auto"/>
        <w:rPr>
          <w:rFonts w:ascii="Arial" w:hAnsi="Arial" w:cs="Arial"/>
          <w:color w:val="000000" w:themeColor="text1"/>
        </w:rPr>
      </w:pPr>
      <w:r w:rsidRPr="00721754">
        <w:rPr>
          <w:rFonts w:ascii="Arial" w:hAnsi="Arial" w:cs="Arial"/>
          <w:color w:val="000000" w:themeColor="text1"/>
        </w:rPr>
        <w:t>Hitt, M.A., Ireland, R.D. and Hoskisson, R.E. (2024) Strategic Management: Concepts and Cases. 14th edn. Boston: Cengage Learning.</w:t>
      </w:r>
    </w:p>
    <w:p w14:paraId="6E336103" w14:textId="63A5F08F"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 xml:space="preserve">Hofstede Insights (2023) Country Comparison: India. Available at: </w:t>
      </w:r>
      <w:hyperlink r:id="rId21" w:history="1">
        <w:r w:rsidR="0014073C" w:rsidRPr="007C7299">
          <w:rPr>
            <w:rStyle w:val="Hyperlink"/>
            <w:rFonts w:ascii="Arial" w:hAnsi="Arial" w:cs="Arial"/>
          </w:rPr>
          <w:t>https://www.hofstede-insights.com</w:t>
        </w:r>
      </w:hyperlink>
    </w:p>
    <w:p w14:paraId="7D7E8091" w14:textId="33330EAF" w:rsidR="0014073C" w:rsidRPr="00721754" w:rsidRDefault="0014073C" w:rsidP="00721754">
      <w:pPr>
        <w:spacing w:line="360" w:lineRule="auto"/>
        <w:rPr>
          <w:rFonts w:ascii="Arial" w:hAnsi="Arial" w:cs="Arial"/>
          <w:color w:val="000000" w:themeColor="text1"/>
        </w:rPr>
      </w:pPr>
      <w:r w:rsidRPr="0014073C">
        <w:rPr>
          <w:rFonts w:ascii="Arial" w:hAnsi="Arial" w:cs="Arial"/>
          <w:color w:val="000000" w:themeColor="text1"/>
        </w:rPr>
        <w:t>Holt, D.B. (2004) How Brands Become Icons: The Principles of Cultural Branding. Boston: Harvard Business School Press.</w:t>
      </w:r>
    </w:p>
    <w:p w14:paraId="5BFD6523" w14:textId="0D9E4669" w:rsidR="00595D5B" w:rsidRPr="00721754" w:rsidRDefault="00CD6205" w:rsidP="00721754">
      <w:pPr>
        <w:spacing w:line="360" w:lineRule="auto"/>
        <w:rPr>
          <w:rFonts w:ascii="Arial" w:hAnsi="Arial" w:cs="Arial"/>
          <w:color w:val="000000" w:themeColor="text1"/>
        </w:rPr>
      </w:pPr>
      <w:r w:rsidRPr="00721754">
        <w:rPr>
          <w:rFonts w:ascii="Arial" w:hAnsi="Arial" w:cs="Arial"/>
          <w:color w:val="000000" w:themeColor="text1"/>
        </w:rPr>
        <w:t>IMF (2025) World Economic Outlook Update: Global Prospects and Policies. International Monetary Fund.</w:t>
      </w:r>
    </w:p>
    <w:p w14:paraId="0CE5F93D" w14:textId="318D8C7B"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lastRenderedPageBreak/>
        <w:t>Johnson, G., Whittington, R. and Scholes, K. (2020) Exploring Strategy: Text and Cases. 12th edn. Harlow: Pearson Education.</w:t>
      </w:r>
    </w:p>
    <w:p w14:paraId="761704DC" w14:textId="7CC79928" w:rsidR="009E659D" w:rsidRPr="00721754" w:rsidRDefault="009E659D" w:rsidP="00721754">
      <w:pPr>
        <w:spacing w:line="360" w:lineRule="auto"/>
        <w:rPr>
          <w:rFonts w:ascii="Arial" w:hAnsi="Arial" w:cs="Arial"/>
          <w:color w:val="000000" w:themeColor="text1"/>
        </w:rPr>
      </w:pPr>
      <w:r w:rsidRPr="009E659D">
        <w:rPr>
          <w:rFonts w:ascii="Arial" w:hAnsi="Arial" w:cs="Arial"/>
          <w:color w:val="000000" w:themeColor="text1"/>
        </w:rPr>
        <w:t>Kaplan, R.S. and Norton, D.P. (1996) The Balanced Scorecard: Translating Strategy into Action. Boston: Harvard Business School Press.</w:t>
      </w:r>
    </w:p>
    <w:p w14:paraId="4C0D2FA6" w14:textId="24C6F2C7" w:rsidR="0014073C" w:rsidRPr="00721754" w:rsidRDefault="0014073C" w:rsidP="00721754">
      <w:pPr>
        <w:spacing w:line="360" w:lineRule="auto"/>
        <w:rPr>
          <w:rFonts w:ascii="Arial" w:hAnsi="Arial" w:cs="Arial"/>
          <w:color w:val="000000" w:themeColor="text1"/>
        </w:rPr>
      </w:pPr>
      <w:r w:rsidRPr="0014073C">
        <w:rPr>
          <w:rFonts w:ascii="Arial" w:hAnsi="Arial" w:cs="Arial"/>
          <w:color w:val="000000" w:themeColor="text1"/>
        </w:rPr>
        <w:t>Keller, K.L. (2013) Strategic Brand Management: Building, Measuring and Managing Brand Equity. 4th edn. Harlow: Pearson.</w:t>
      </w:r>
    </w:p>
    <w:p w14:paraId="24BC25A9" w14:textId="60EB7D0D"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Khanna, S. and Sengupta, A. (2020) ‘Yoga, Identity and Consumer Culture in India’, Journal of Consumer Research, 47(5), pp. 778</w:t>
      </w:r>
      <w:r w:rsidR="00C41360">
        <w:rPr>
          <w:rFonts w:ascii="Arial" w:hAnsi="Arial" w:cs="Arial"/>
          <w:color w:val="000000" w:themeColor="text1"/>
        </w:rPr>
        <w:t>-</w:t>
      </w:r>
      <w:r w:rsidRPr="00721754">
        <w:rPr>
          <w:rFonts w:ascii="Arial" w:hAnsi="Arial" w:cs="Arial"/>
          <w:color w:val="000000" w:themeColor="text1"/>
        </w:rPr>
        <w:t>799.</w:t>
      </w:r>
    </w:p>
    <w:p w14:paraId="7466F197" w14:textId="59185106" w:rsidR="00756567" w:rsidRDefault="00756567" w:rsidP="00721754">
      <w:pPr>
        <w:spacing w:line="360" w:lineRule="auto"/>
        <w:rPr>
          <w:rFonts w:ascii="Arial" w:hAnsi="Arial" w:cs="Arial"/>
          <w:color w:val="000000" w:themeColor="text1"/>
        </w:rPr>
      </w:pPr>
      <w:r w:rsidRPr="00756567">
        <w:rPr>
          <w:rFonts w:ascii="Arial" w:hAnsi="Arial" w:cs="Arial"/>
          <w:color w:val="000000" w:themeColor="text1"/>
        </w:rPr>
        <w:t>Kim, W.C. and Mauborgne, R. (2005) 'Blue Ocean Strategy: From Theory to Practice', California Management Review, 47(3), pp. 105</w:t>
      </w:r>
      <w:r w:rsidR="00C41360">
        <w:rPr>
          <w:rFonts w:ascii="Arial" w:hAnsi="Arial" w:cs="Arial"/>
          <w:color w:val="000000" w:themeColor="text1"/>
        </w:rPr>
        <w:t>-</w:t>
      </w:r>
      <w:r w:rsidRPr="00756567">
        <w:rPr>
          <w:rFonts w:ascii="Arial" w:hAnsi="Arial" w:cs="Arial"/>
          <w:color w:val="000000" w:themeColor="text1"/>
        </w:rPr>
        <w:t>121.</w:t>
      </w:r>
    </w:p>
    <w:p w14:paraId="7E0E4617" w14:textId="0E847161" w:rsidR="004D547E" w:rsidRDefault="004D547E" w:rsidP="00721754">
      <w:pPr>
        <w:spacing w:line="360" w:lineRule="auto"/>
        <w:rPr>
          <w:rFonts w:ascii="Arial" w:hAnsi="Arial" w:cs="Arial"/>
          <w:color w:val="000000" w:themeColor="text1"/>
        </w:rPr>
      </w:pPr>
      <w:r w:rsidRPr="004D547E">
        <w:rPr>
          <w:rFonts w:ascii="Arial" w:hAnsi="Arial" w:cs="Arial"/>
          <w:color w:val="000000" w:themeColor="text1"/>
        </w:rPr>
        <w:t>Kotler, P. and Keller, K. (2022) Marketing Management. 16th edn. Pearson</w:t>
      </w:r>
    </w:p>
    <w:p w14:paraId="307672D4" w14:textId="53E082EA" w:rsidR="0014073C" w:rsidRDefault="0014073C" w:rsidP="00721754">
      <w:pPr>
        <w:spacing w:line="360" w:lineRule="auto"/>
        <w:rPr>
          <w:rFonts w:ascii="Arial" w:hAnsi="Arial" w:cs="Arial"/>
          <w:color w:val="000000" w:themeColor="text1"/>
        </w:rPr>
      </w:pPr>
      <w:r w:rsidRPr="0014073C">
        <w:rPr>
          <w:rFonts w:ascii="Arial" w:hAnsi="Arial" w:cs="Arial"/>
          <w:color w:val="000000" w:themeColor="text1"/>
        </w:rPr>
        <w:t>Kozinets, R.V., Sherry, J.F., DeBerry-Spence, B., Duhachek, A., Nuttavuthisit, K. and Storm, D. (2010) ‘Networked narratives: understanding word-of-mouth marketing in online communities’, Journal of Consumer Research, 37(5), pp. 848</w:t>
      </w:r>
      <w:r w:rsidR="00C41360">
        <w:rPr>
          <w:rFonts w:ascii="Arial" w:hAnsi="Arial" w:cs="Arial"/>
          <w:color w:val="000000" w:themeColor="text1"/>
        </w:rPr>
        <w:t>-</w:t>
      </w:r>
      <w:r w:rsidRPr="0014073C">
        <w:rPr>
          <w:rFonts w:ascii="Arial" w:hAnsi="Arial" w:cs="Arial"/>
          <w:color w:val="000000" w:themeColor="text1"/>
        </w:rPr>
        <w:t>867.</w:t>
      </w:r>
    </w:p>
    <w:p w14:paraId="42AB84DA" w14:textId="247ED322" w:rsidR="0014073C" w:rsidRDefault="0014073C" w:rsidP="00721754">
      <w:pPr>
        <w:spacing w:line="360" w:lineRule="auto"/>
        <w:rPr>
          <w:rFonts w:ascii="Arial" w:hAnsi="Arial" w:cs="Arial"/>
          <w:color w:val="000000" w:themeColor="text1"/>
        </w:rPr>
      </w:pPr>
      <w:r w:rsidRPr="00721754">
        <w:rPr>
          <w:rFonts w:ascii="Arial" w:hAnsi="Arial" w:cs="Arial"/>
          <w:color w:val="000000" w:themeColor="text1"/>
        </w:rPr>
        <w:t>KPMG (2023) India Retail and Consumer Report 2023. KPMG India.</w:t>
      </w:r>
    </w:p>
    <w:p w14:paraId="4829A031" w14:textId="323DE2BF" w:rsidR="001356B8" w:rsidRDefault="001356B8" w:rsidP="00721754">
      <w:pPr>
        <w:spacing w:line="360" w:lineRule="auto"/>
        <w:rPr>
          <w:rFonts w:ascii="Arial" w:hAnsi="Arial" w:cs="Arial"/>
          <w:color w:val="000000" w:themeColor="text1"/>
        </w:rPr>
      </w:pPr>
      <w:r w:rsidRPr="001356B8">
        <w:rPr>
          <w:rFonts w:ascii="Arial" w:hAnsi="Arial" w:cs="Arial"/>
          <w:color w:val="000000" w:themeColor="text1"/>
        </w:rPr>
        <w:t>Kumar, V. (2018) ‘Segmentation, Targeting, and Positioning (STP): A Framework for Competitive Advantage’, Journal of Marketing Strategy, 10(2), pp. 45</w:t>
      </w:r>
      <w:r w:rsidR="00C41360">
        <w:rPr>
          <w:rFonts w:ascii="Arial" w:hAnsi="Arial" w:cs="Arial"/>
          <w:color w:val="000000" w:themeColor="text1"/>
        </w:rPr>
        <w:t>-</w:t>
      </w:r>
      <w:r w:rsidRPr="001356B8">
        <w:rPr>
          <w:rFonts w:ascii="Arial" w:hAnsi="Arial" w:cs="Arial"/>
          <w:color w:val="000000" w:themeColor="text1"/>
        </w:rPr>
        <w:t>60.</w:t>
      </w:r>
    </w:p>
    <w:p w14:paraId="2E2E6FCE" w14:textId="3B7791B1" w:rsidR="00826405" w:rsidRDefault="00826405" w:rsidP="00721754">
      <w:pPr>
        <w:spacing w:line="360" w:lineRule="auto"/>
        <w:rPr>
          <w:rFonts w:ascii="Arial" w:hAnsi="Arial" w:cs="Arial"/>
          <w:color w:val="000000" w:themeColor="text1"/>
        </w:rPr>
      </w:pPr>
      <w:r w:rsidRPr="00826405">
        <w:rPr>
          <w:rFonts w:ascii="Arial" w:hAnsi="Arial" w:cs="Arial"/>
          <w:color w:val="000000" w:themeColor="text1"/>
        </w:rPr>
        <w:t xml:space="preserve">Lululemon Athletica Inc. (2024) </w:t>
      </w:r>
      <w:r w:rsidRPr="00826405">
        <w:rPr>
          <w:rFonts w:ascii="Arial" w:hAnsi="Arial" w:cs="Arial"/>
          <w:i/>
          <w:iCs/>
          <w:color w:val="000000" w:themeColor="text1"/>
        </w:rPr>
        <w:t>Annual Report 2024</w:t>
      </w:r>
      <w:r w:rsidRPr="00826405">
        <w:rPr>
          <w:rFonts w:ascii="Arial" w:hAnsi="Arial" w:cs="Arial"/>
          <w:color w:val="000000" w:themeColor="text1"/>
        </w:rPr>
        <w:t>. Vancouver: Lululemon Athletica Inc.</w:t>
      </w:r>
      <w:r w:rsidR="00661257">
        <w:rPr>
          <w:rFonts w:ascii="Arial" w:hAnsi="Arial" w:cs="Arial"/>
          <w:color w:val="000000" w:themeColor="text1"/>
        </w:rPr>
        <w:t xml:space="preserve"> Available at:</w:t>
      </w:r>
      <w:r w:rsidR="00C753C4">
        <w:rPr>
          <w:rFonts w:ascii="Arial" w:hAnsi="Arial" w:cs="Arial"/>
          <w:color w:val="000000" w:themeColor="text1"/>
        </w:rPr>
        <w:t xml:space="preserve"> </w:t>
      </w:r>
      <w:hyperlink r:id="rId22" w:history="1">
        <w:r w:rsidR="00C753C4" w:rsidRPr="00C753C4">
          <w:rPr>
            <w:rStyle w:val="Hyperlink"/>
            <w:rFonts w:ascii="Arial" w:hAnsi="Arial" w:cs="Arial"/>
          </w:rPr>
          <w:t>https://corporate.lululemon.com/~/media/Files/L/Lululemon/investors/annual-reports/lululemon-2024-annual-report.pdf</w:t>
        </w:r>
      </w:hyperlink>
    </w:p>
    <w:p w14:paraId="7AAC8C7C" w14:textId="7F850C1B" w:rsidR="00CD6205" w:rsidRPr="00721754" w:rsidRDefault="00CD6205" w:rsidP="00721754">
      <w:pPr>
        <w:spacing w:line="360" w:lineRule="auto"/>
        <w:rPr>
          <w:rFonts w:ascii="Arial" w:hAnsi="Arial" w:cs="Arial"/>
          <w:color w:val="000000" w:themeColor="text1"/>
        </w:rPr>
      </w:pPr>
      <w:r w:rsidRPr="00721754">
        <w:rPr>
          <w:rFonts w:ascii="Arial" w:hAnsi="Arial" w:cs="Arial"/>
          <w:color w:val="000000" w:themeColor="text1"/>
        </w:rPr>
        <w:t xml:space="preserve">MarketLine (2023) India Sportswear </w:t>
      </w:r>
      <w:r w:rsidR="0014073C">
        <w:rPr>
          <w:rFonts w:ascii="Arial" w:hAnsi="Arial" w:cs="Arial"/>
          <w:color w:val="000000" w:themeColor="text1"/>
        </w:rPr>
        <w:t>and</w:t>
      </w:r>
      <w:r w:rsidRPr="00721754">
        <w:rPr>
          <w:rFonts w:ascii="Arial" w:hAnsi="Arial" w:cs="Arial"/>
          <w:color w:val="000000" w:themeColor="text1"/>
        </w:rPr>
        <w:t xml:space="preserve"> Athleisure Market Report. MarketLine Industry Profiles.</w:t>
      </w:r>
    </w:p>
    <w:p w14:paraId="4F246EC1" w14:textId="2E7CE172" w:rsidR="00CD6205" w:rsidRPr="00721754" w:rsidRDefault="00CD6205" w:rsidP="00721754">
      <w:pPr>
        <w:spacing w:line="360" w:lineRule="auto"/>
        <w:rPr>
          <w:rFonts w:ascii="Arial" w:hAnsi="Arial" w:cs="Arial"/>
          <w:color w:val="000000" w:themeColor="text1"/>
        </w:rPr>
      </w:pPr>
      <w:r w:rsidRPr="00721754">
        <w:rPr>
          <w:rFonts w:ascii="Arial" w:hAnsi="Arial" w:cs="Arial"/>
          <w:color w:val="000000" w:themeColor="text1"/>
        </w:rPr>
        <w:t>MoEFCC (2022) Extended Producer Responsibility (EPR) Guidelines for Plastic and Textile Waste. Ministry of Environment, Forest and Climate Change, Government of India.</w:t>
      </w:r>
    </w:p>
    <w:p w14:paraId="484F6718" w14:textId="78427D10"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NITI Aayog (2023) State of Inequality in India Report. Government of India.</w:t>
      </w:r>
    </w:p>
    <w:p w14:paraId="0F0773A0" w14:textId="77777777" w:rsidR="00590F98" w:rsidRDefault="00590F98" w:rsidP="00721754">
      <w:pPr>
        <w:spacing w:line="360" w:lineRule="auto"/>
        <w:rPr>
          <w:rFonts w:ascii="Arial" w:hAnsi="Arial" w:cs="Arial"/>
          <w:color w:val="000000" w:themeColor="text1"/>
        </w:rPr>
      </w:pPr>
      <w:r w:rsidRPr="00590F98">
        <w:rPr>
          <w:rFonts w:ascii="Arial" w:hAnsi="Arial" w:cs="Arial"/>
          <w:color w:val="000000" w:themeColor="text1"/>
        </w:rPr>
        <w:t>Panagariya, A. (2022) India’s Trade and Regulatory Environment. New Delhi: Oxford University Press.</w:t>
      </w:r>
    </w:p>
    <w:p w14:paraId="224D4763" w14:textId="49E72F55" w:rsidR="00CD6205" w:rsidRPr="00721754" w:rsidRDefault="00CD6205" w:rsidP="00721754">
      <w:pPr>
        <w:spacing w:line="360" w:lineRule="auto"/>
        <w:rPr>
          <w:rFonts w:ascii="Arial" w:hAnsi="Arial" w:cs="Arial"/>
          <w:color w:val="000000" w:themeColor="text1"/>
        </w:rPr>
      </w:pPr>
      <w:r w:rsidRPr="00721754">
        <w:rPr>
          <w:rFonts w:ascii="Arial" w:hAnsi="Arial" w:cs="Arial"/>
          <w:color w:val="000000" w:themeColor="text1"/>
        </w:rPr>
        <w:lastRenderedPageBreak/>
        <w:t xml:space="preserve">Porter, M.E. (1980) Competitive Strategy: Techniques for </w:t>
      </w:r>
      <w:r w:rsidR="008B24EC">
        <w:rPr>
          <w:rFonts w:ascii="Arial" w:hAnsi="Arial" w:cs="Arial"/>
          <w:color w:val="000000" w:themeColor="text1"/>
        </w:rPr>
        <w:t>Analysing</w:t>
      </w:r>
      <w:r w:rsidRPr="00721754">
        <w:rPr>
          <w:rFonts w:ascii="Arial" w:hAnsi="Arial" w:cs="Arial"/>
          <w:color w:val="000000" w:themeColor="text1"/>
        </w:rPr>
        <w:t xml:space="preserve"> Industries and Competitors. New York: Free Press.</w:t>
      </w:r>
    </w:p>
    <w:p w14:paraId="01BCCB82" w14:textId="50E952BA"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Porter, M.E. (2008) ‘The Five Competitive Forces That Shape Strategy’, Harvard Business Review, 86(1), pp. 78</w:t>
      </w:r>
      <w:r w:rsidR="00826405">
        <w:rPr>
          <w:rFonts w:ascii="Arial" w:hAnsi="Arial" w:cs="Arial"/>
          <w:color w:val="000000" w:themeColor="text1"/>
        </w:rPr>
        <w:t>-</w:t>
      </w:r>
      <w:r w:rsidRPr="00721754">
        <w:rPr>
          <w:rFonts w:ascii="Arial" w:hAnsi="Arial" w:cs="Arial"/>
          <w:color w:val="000000" w:themeColor="text1"/>
        </w:rPr>
        <w:t>93.</w:t>
      </w:r>
    </w:p>
    <w:p w14:paraId="76EDC63D" w14:textId="7E943CB9" w:rsidR="008B24EC" w:rsidRDefault="008B24EC" w:rsidP="00721754">
      <w:pPr>
        <w:spacing w:line="360" w:lineRule="auto"/>
        <w:rPr>
          <w:rFonts w:ascii="Arial" w:hAnsi="Arial" w:cs="Arial"/>
          <w:color w:val="000000" w:themeColor="text1"/>
        </w:rPr>
      </w:pPr>
      <w:r w:rsidRPr="008B24EC">
        <w:rPr>
          <w:rFonts w:ascii="Arial" w:hAnsi="Arial" w:cs="Arial"/>
          <w:color w:val="000000" w:themeColor="text1"/>
        </w:rPr>
        <w:t>Prahalad, C. K. and Hamel, G. (1990). The Core Competence of the Corporation. Harvard Business Review, 68(3), pp. 79</w:t>
      </w:r>
      <w:r w:rsidR="00826405">
        <w:rPr>
          <w:rFonts w:ascii="Arial" w:hAnsi="Arial" w:cs="Arial"/>
          <w:color w:val="000000" w:themeColor="text1"/>
        </w:rPr>
        <w:t>-</w:t>
      </w:r>
      <w:r w:rsidRPr="008B24EC">
        <w:rPr>
          <w:rFonts w:ascii="Arial" w:hAnsi="Arial" w:cs="Arial"/>
          <w:color w:val="000000" w:themeColor="text1"/>
        </w:rPr>
        <w:t>91.</w:t>
      </w:r>
    </w:p>
    <w:p w14:paraId="2DA523C4" w14:textId="1940F396" w:rsidR="00AF3175" w:rsidRPr="00721754" w:rsidRDefault="00AF3175" w:rsidP="00721754">
      <w:pPr>
        <w:spacing w:line="360" w:lineRule="auto"/>
        <w:rPr>
          <w:rFonts w:ascii="Arial" w:hAnsi="Arial" w:cs="Arial"/>
          <w:color w:val="000000" w:themeColor="text1"/>
        </w:rPr>
      </w:pPr>
      <w:r w:rsidRPr="00AF3175">
        <w:rPr>
          <w:rFonts w:ascii="Arial" w:hAnsi="Arial" w:cs="Arial"/>
          <w:color w:val="000000" w:themeColor="text1"/>
        </w:rPr>
        <w:t>Priem, R.L. and Butler, J.E. (2001) 'Is the Resource-Based "View" a Useful Perspective for Strategic Management Research?', Academy of Management Review, 26(1), pp. 22</w:t>
      </w:r>
      <w:r w:rsidR="00826405">
        <w:rPr>
          <w:rFonts w:ascii="Arial" w:hAnsi="Arial" w:cs="Arial"/>
          <w:color w:val="000000" w:themeColor="text1"/>
        </w:rPr>
        <w:t>-</w:t>
      </w:r>
      <w:r w:rsidRPr="00AF3175">
        <w:rPr>
          <w:rFonts w:ascii="Arial" w:hAnsi="Arial" w:cs="Arial"/>
          <w:color w:val="000000" w:themeColor="text1"/>
        </w:rPr>
        <w:t>40.</w:t>
      </w:r>
    </w:p>
    <w:p w14:paraId="328BC6FB" w14:textId="77777777" w:rsidR="00590F98" w:rsidRDefault="00590F98" w:rsidP="00721754">
      <w:pPr>
        <w:spacing w:line="360" w:lineRule="auto"/>
        <w:rPr>
          <w:rFonts w:ascii="Arial" w:hAnsi="Arial" w:cs="Arial"/>
          <w:color w:val="000000" w:themeColor="text1"/>
        </w:rPr>
      </w:pPr>
      <w:r w:rsidRPr="00590F98">
        <w:rPr>
          <w:rFonts w:ascii="Arial" w:hAnsi="Arial" w:cs="Arial"/>
          <w:color w:val="000000" w:themeColor="text1"/>
        </w:rPr>
        <w:t>Redseer (2023) India Activewear Market Report 2023. Bangalore: Redseer Strategy Consultants.</w:t>
      </w:r>
    </w:p>
    <w:p w14:paraId="3410EA42" w14:textId="1E569FD6" w:rsidR="0090236D" w:rsidRDefault="0090236D" w:rsidP="0090236D">
      <w:pPr>
        <w:spacing w:line="360" w:lineRule="auto"/>
        <w:rPr>
          <w:rFonts w:ascii="Arial" w:hAnsi="Arial" w:cs="Arial"/>
          <w:color w:val="000000" w:themeColor="text1"/>
        </w:rPr>
      </w:pPr>
      <w:r w:rsidRPr="0090236D">
        <w:rPr>
          <w:rFonts w:ascii="Arial" w:hAnsi="Arial" w:cs="Arial"/>
          <w:color w:val="000000" w:themeColor="text1"/>
        </w:rPr>
        <w:t>Simons, R. (1995)</w:t>
      </w:r>
      <w:r>
        <w:rPr>
          <w:rFonts w:ascii="Arial" w:hAnsi="Arial" w:cs="Arial"/>
          <w:color w:val="000000" w:themeColor="text1"/>
        </w:rPr>
        <w:t xml:space="preserve"> </w:t>
      </w:r>
      <w:r w:rsidRPr="0090236D">
        <w:rPr>
          <w:rFonts w:ascii="Arial" w:hAnsi="Arial" w:cs="Arial"/>
          <w:color w:val="000000" w:themeColor="text1"/>
        </w:rPr>
        <w:t>Levers of Control: How Managers Use Innovative Control Systems to Drive Strategic Renewal. Boston: Harvard Business School Press.</w:t>
      </w:r>
    </w:p>
    <w:p w14:paraId="7A2A8CBE" w14:textId="461B2819" w:rsidR="00CD6205" w:rsidRDefault="00CD6205" w:rsidP="00721754">
      <w:pPr>
        <w:spacing w:line="360" w:lineRule="auto"/>
        <w:rPr>
          <w:rFonts w:ascii="Arial" w:hAnsi="Arial" w:cs="Arial"/>
          <w:color w:val="000000" w:themeColor="text1"/>
        </w:rPr>
      </w:pPr>
      <w:r w:rsidRPr="00721754">
        <w:rPr>
          <w:rFonts w:ascii="Arial" w:hAnsi="Arial" w:cs="Arial"/>
          <w:color w:val="000000" w:themeColor="text1"/>
        </w:rPr>
        <w:t xml:space="preserve">Statista (2024) Activewear Market in India </w:t>
      </w:r>
      <w:r w:rsidR="00826405">
        <w:rPr>
          <w:rFonts w:ascii="Arial" w:hAnsi="Arial" w:cs="Arial"/>
          <w:color w:val="000000" w:themeColor="text1"/>
        </w:rPr>
        <w:t>-</w:t>
      </w:r>
      <w:r w:rsidRPr="00721754">
        <w:rPr>
          <w:rFonts w:ascii="Arial" w:hAnsi="Arial" w:cs="Arial"/>
          <w:color w:val="000000" w:themeColor="text1"/>
        </w:rPr>
        <w:t xml:space="preserve"> Revenue and Forecast Data. Statista Research Department.</w:t>
      </w:r>
    </w:p>
    <w:p w14:paraId="3F0B1FA8" w14:textId="588A796B" w:rsidR="004752DC" w:rsidRDefault="004752DC" w:rsidP="00721754">
      <w:pPr>
        <w:spacing w:line="360" w:lineRule="auto"/>
        <w:rPr>
          <w:rFonts w:ascii="Arial" w:hAnsi="Arial" w:cs="Arial"/>
          <w:color w:val="000000" w:themeColor="text1"/>
        </w:rPr>
      </w:pPr>
      <w:r w:rsidRPr="004752DC">
        <w:rPr>
          <w:rFonts w:ascii="Arial" w:hAnsi="Arial" w:cs="Arial"/>
          <w:color w:val="000000" w:themeColor="text1"/>
        </w:rPr>
        <w:t>Teece, D.J. (2014) 'The Foundations of Enterprise Performance: Dynamic and Ordinary Capabilities in an (Economic) Theory of Firms', Academy of Management Perspectives, 28(4), pp. 328</w:t>
      </w:r>
      <w:r w:rsidR="00826405">
        <w:rPr>
          <w:rFonts w:ascii="Arial" w:hAnsi="Arial" w:cs="Arial"/>
          <w:color w:val="000000" w:themeColor="text1"/>
        </w:rPr>
        <w:t>-</w:t>
      </w:r>
      <w:r w:rsidRPr="004752DC">
        <w:rPr>
          <w:rFonts w:ascii="Arial" w:hAnsi="Arial" w:cs="Arial"/>
          <w:color w:val="000000" w:themeColor="text1"/>
        </w:rPr>
        <w:t>352.</w:t>
      </w:r>
    </w:p>
    <w:p w14:paraId="43028A8E" w14:textId="496D82AE" w:rsidR="007D17C5" w:rsidRPr="00721754" w:rsidRDefault="007D17C5" w:rsidP="00721754">
      <w:pPr>
        <w:spacing w:line="360" w:lineRule="auto"/>
        <w:rPr>
          <w:rFonts w:ascii="Arial" w:hAnsi="Arial" w:cs="Arial"/>
          <w:color w:val="000000" w:themeColor="text1"/>
        </w:rPr>
      </w:pPr>
      <w:r w:rsidRPr="007D17C5">
        <w:rPr>
          <w:rFonts w:ascii="Arial" w:hAnsi="Arial" w:cs="Arial"/>
          <w:color w:val="000000" w:themeColor="text1"/>
        </w:rPr>
        <w:t>Weihrich, H. (1982) 'The TOWS Matrix</w:t>
      </w:r>
      <w:r w:rsidR="005C6BF6">
        <w:rPr>
          <w:rFonts w:ascii="Arial" w:hAnsi="Arial" w:cs="Arial"/>
          <w:color w:val="000000" w:themeColor="text1"/>
        </w:rPr>
        <w:t>-</w:t>
      </w:r>
      <w:r w:rsidRPr="007D17C5">
        <w:rPr>
          <w:rFonts w:ascii="Arial" w:hAnsi="Arial" w:cs="Arial"/>
          <w:color w:val="000000" w:themeColor="text1"/>
        </w:rPr>
        <w:t>A Tool for Situational Analysis', Long Range Planning, 15(2), pp. 54</w:t>
      </w:r>
      <w:r w:rsidR="00826405">
        <w:rPr>
          <w:rFonts w:ascii="Arial" w:hAnsi="Arial" w:cs="Arial"/>
          <w:color w:val="000000" w:themeColor="text1"/>
        </w:rPr>
        <w:t>-</w:t>
      </w:r>
      <w:r w:rsidRPr="007D17C5">
        <w:rPr>
          <w:rFonts w:ascii="Arial" w:hAnsi="Arial" w:cs="Arial"/>
          <w:color w:val="000000" w:themeColor="text1"/>
        </w:rPr>
        <w:t>66.</w:t>
      </w:r>
    </w:p>
    <w:p w14:paraId="7E29B5F1" w14:textId="2B3269B8" w:rsidR="007D0BE6" w:rsidRPr="00721754" w:rsidRDefault="00CD6205" w:rsidP="00721754">
      <w:pPr>
        <w:spacing w:line="360" w:lineRule="auto"/>
        <w:rPr>
          <w:rFonts w:ascii="Arial" w:hAnsi="Arial" w:cs="Arial"/>
          <w:color w:val="000000" w:themeColor="text1"/>
        </w:rPr>
      </w:pPr>
      <w:r w:rsidRPr="00721754">
        <w:rPr>
          <w:rFonts w:ascii="Arial" w:hAnsi="Arial" w:cs="Arial"/>
          <w:color w:val="000000" w:themeColor="text1"/>
        </w:rPr>
        <w:t xml:space="preserve">World Bank (2023) Doing Business Indicators </w:t>
      </w:r>
      <w:r w:rsidR="00237647">
        <w:rPr>
          <w:rFonts w:ascii="Arial" w:hAnsi="Arial" w:cs="Arial"/>
          <w:color w:val="000000" w:themeColor="text1"/>
        </w:rPr>
        <w:t>-</w:t>
      </w:r>
      <w:r w:rsidRPr="00721754">
        <w:rPr>
          <w:rFonts w:ascii="Arial" w:hAnsi="Arial" w:cs="Arial"/>
          <w:color w:val="000000" w:themeColor="text1"/>
        </w:rPr>
        <w:t xml:space="preserve"> India Regulatory Environment. World Bank Group.</w:t>
      </w:r>
    </w:p>
    <w:p w14:paraId="279327C3" w14:textId="77777777" w:rsidR="007D0BE6" w:rsidRDefault="007D0BE6" w:rsidP="007F66E2">
      <w:pPr>
        <w:rPr>
          <w:b/>
          <w:bCs/>
        </w:rPr>
      </w:pPr>
    </w:p>
    <w:p w14:paraId="2909DA7D" w14:textId="77777777" w:rsidR="0014073C" w:rsidRPr="0014073C" w:rsidRDefault="0014073C" w:rsidP="0014073C">
      <w:pPr>
        <w:rPr>
          <w:b/>
          <w:bCs/>
        </w:rPr>
      </w:pPr>
    </w:p>
    <w:p w14:paraId="4A9A3356" w14:textId="77777777" w:rsidR="007D0BE6" w:rsidRDefault="007D0BE6" w:rsidP="007F66E2">
      <w:pPr>
        <w:rPr>
          <w:b/>
          <w:bCs/>
        </w:rPr>
      </w:pPr>
    </w:p>
    <w:p w14:paraId="3E3EDF25" w14:textId="77777777" w:rsidR="007D0BE6" w:rsidRDefault="007D0BE6" w:rsidP="007F66E2">
      <w:pPr>
        <w:rPr>
          <w:b/>
          <w:bCs/>
        </w:rPr>
      </w:pPr>
    </w:p>
    <w:p w14:paraId="56236B12" w14:textId="77777777" w:rsidR="007D0BE6" w:rsidRDefault="007D0BE6" w:rsidP="007F66E2">
      <w:pPr>
        <w:rPr>
          <w:b/>
          <w:bCs/>
        </w:rPr>
      </w:pPr>
    </w:p>
    <w:p w14:paraId="1ECF9632" w14:textId="77777777" w:rsidR="00AC0EC8" w:rsidRDefault="00AC0EC8" w:rsidP="007F66E2">
      <w:pPr>
        <w:rPr>
          <w:b/>
          <w:bCs/>
        </w:rPr>
      </w:pPr>
    </w:p>
    <w:p w14:paraId="4BB486AA" w14:textId="77777777" w:rsidR="007D0BE6" w:rsidRDefault="007D0BE6" w:rsidP="007F66E2">
      <w:pPr>
        <w:rPr>
          <w:b/>
          <w:bCs/>
        </w:rPr>
      </w:pPr>
    </w:p>
    <w:p w14:paraId="23C09483" w14:textId="56A1EE5F" w:rsidR="007D0BE6" w:rsidRPr="00570708" w:rsidRDefault="00AC0EC8" w:rsidP="00570708">
      <w:pPr>
        <w:pStyle w:val="Heading1"/>
        <w:shd w:val="clear" w:color="auto" w:fill="FF4747"/>
        <w:rPr>
          <w:rFonts w:ascii="Arial" w:hAnsi="Arial" w:cs="Arial"/>
          <w:color w:val="FFFFFF" w:themeColor="background1"/>
          <w:sz w:val="36"/>
          <w:szCs w:val="36"/>
        </w:rPr>
      </w:pPr>
      <w:bookmarkStart w:id="33" w:name="_Toc215314153"/>
      <w:r>
        <w:rPr>
          <w:rFonts w:ascii="Arial" w:hAnsi="Arial" w:cs="Arial"/>
          <w:color w:val="FFFFFF" w:themeColor="background1"/>
          <w:sz w:val="36"/>
          <w:szCs w:val="36"/>
        </w:rPr>
        <w:lastRenderedPageBreak/>
        <w:t xml:space="preserve">10. </w:t>
      </w:r>
      <w:r w:rsidR="007D0BE6" w:rsidRPr="00570708">
        <w:rPr>
          <w:rFonts w:ascii="Arial" w:hAnsi="Arial" w:cs="Arial"/>
          <w:color w:val="FFFFFF" w:themeColor="background1"/>
          <w:sz w:val="36"/>
          <w:szCs w:val="36"/>
        </w:rPr>
        <w:t>Appendices</w:t>
      </w:r>
      <w:bookmarkEnd w:id="33"/>
    </w:p>
    <w:p w14:paraId="5E8172CA" w14:textId="77777777" w:rsidR="002500E8" w:rsidRDefault="002500E8" w:rsidP="007F66E2">
      <w:pPr>
        <w:rPr>
          <w:b/>
          <w:bCs/>
        </w:rPr>
      </w:pPr>
    </w:p>
    <w:p w14:paraId="570CAB10" w14:textId="0FD7A2B8" w:rsidR="007D0BE6" w:rsidRPr="00D15280" w:rsidRDefault="00D15280" w:rsidP="007F66E2">
      <w:pPr>
        <w:rPr>
          <w:rFonts w:ascii="Arial" w:hAnsi="Arial" w:cs="Arial"/>
          <w:sz w:val="24"/>
          <w:szCs w:val="24"/>
        </w:rPr>
      </w:pPr>
      <w:r>
        <w:rPr>
          <w:rFonts w:ascii="Arial" w:hAnsi="Arial" w:cs="Arial"/>
          <w:noProof/>
          <w:color w:val="000000" w:themeColor="text1"/>
        </w:rPr>
        <mc:AlternateContent>
          <mc:Choice Requires="wps">
            <w:drawing>
              <wp:anchor distT="0" distB="0" distL="114300" distR="114300" simplePos="0" relativeHeight="251697152" behindDoc="0" locked="0" layoutInCell="1" allowOverlap="1" wp14:anchorId="16028393" wp14:editId="59EFF30D">
                <wp:simplePos x="0" y="0"/>
                <wp:positionH relativeFrom="column">
                  <wp:posOffset>0</wp:posOffset>
                </wp:positionH>
                <wp:positionV relativeFrom="paragraph">
                  <wp:posOffset>240588</wp:posOffset>
                </wp:positionV>
                <wp:extent cx="3183775" cy="0"/>
                <wp:effectExtent l="0" t="0" r="0" b="0"/>
                <wp:wrapNone/>
                <wp:docPr id="1371655309"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EA10D" id="Straight Connector 4"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8.95pt" to="250.7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" strokecolor="#ff4747" strokeweight=".5pt">
                <v:stroke joinstyle="miter"/>
              </v:line>
            </w:pict>
          </mc:Fallback>
        </mc:AlternateContent>
      </w:r>
      <w:r w:rsidRPr="00D15280">
        <w:rPr>
          <w:rFonts w:ascii="Arial" w:hAnsi="Arial" w:cs="Arial"/>
          <w:sz w:val="24"/>
          <w:szCs w:val="24"/>
        </w:rPr>
        <w:t xml:space="preserve">Appendix A: </w:t>
      </w:r>
      <w:r w:rsidR="00984F6D" w:rsidRPr="00984F6D">
        <w:rPr>
          <w:rFonts w:ascii="Arial" w:hAnsi="Arial" w:cs="Arial"/>
          <w:sz w:val="24"/>
          <w:szCs w:val="24"/>
        </w:rPr>
        <w:t>Internal Analysis Support</w:t>
      </w:r>
    </w:p>
    <w:p w14:paraId="34AB2293" w14:textId="77777777" w:rsidR="00637FDB" w:rsidRDefault="00637FDB" w:rsidP="007F66E2">
      <w:pPr>
        <w:rPr>
          <w:b/>
          <w:bCs/>
        </w:rPr>
      </w:pPr>
    </w:p>
    <w:p w14:paraId="610BC6C2" w14:textId="6F3B6C6B" w:rsidR="00637FDB" w:rsidRPr="00EF5AD7" w:rsidRDefault="00984F6D" w:rsidP="007F66E2">
      <w:pPr>
        <w:rPr>
          <w:rFonts w:ascii="Arial" w:hAnsi="Arial" w:cs="Arial"/>
        </w:rPr>
      </w:pPr>
      <w:r>
        <w:rPr>
          <w:rFonts w:ascii="Arial" w:hAnsi="Arial" w:cs="Arial"/>
          <w:color w:val="000000" w:themeColor="text1"/>
        </w:rPr>
        <w:t xml:space="preserve">Table </w:t>
      </w:r>
      <w:r w:rsidRPr="00984F6D">
        <w:rPr>
          <w:rFonts w:ascii="Arial" w:hAnsi="Arial" w:cs="Arial"/>
          <w:color w:val="000000" w:themeColor="text1"/>
        </w:rPr>
        <w:t xml:space="preserve">A1. </w:t>
      </w:r>
      <w:r w:rsidR="00D15280" w:rsidRPr="00D15280">
        <w:rPr>
          <w:rFonts w:ascii="Arial" w:hAnsi="Arial" w:cs="Arial"/>
          <w:color w:val="000000" w:themeColor="text1"/>
        </w:rPr>
        <w:t>VRIO Evaluation of Lululemon’s Key Resources and Capabilities</w:t>
      </w:r>
    </w:p>
    <w:tbl>
      <w:tblPr>
        <w:tblW w:w="0" w:type="auto"/>
        <w:tblCellSpacing w:w="15" w:type="dxa"/>
        <w:tblBorders>
          <w:bottom w:val="single" w:sz="8" w:space="0" w:color="EE0000"/>
          <w:insideH w:val="single" w:sz="8" w:space="0" w:color="EE0000"/>
          <w:insideV w:val="single" w:sz="8" w:space="0" w:color="EE0000"/>
        </w:tblBorders>
        <w:shd w:val="clear" w:color="auto" w:fill="E8E8E8" w:themeFill="background2"/>
        <w:tblCellMar>
          <w:top w:w="15" w:type="dxa"/>
          <w:left w:w="15" w:type="dxa"/>
          <w:bottom w:w="15" w:type="dxa"/>
          <w:right w:w="15" w:type="dxa"/>
        </w:tblCellMar>
        <w:tblLook w:val="04A0" w:firstRow="1" w:lastRow="0" w:firstColumn="1" w:lastColumn="0" w:noHBand="0" w:noVBand="1"/>
      </w:tblPr>
      <w:tblGrid>
        <w:gridCol w:w="2587"/>
        <w:gridCol w:w="1058"/>
        <w:gridCol w:w="699"/>
        <w:gridCol w:w="1131"/>
        <w:gridCol w:w="1242"/>
        <w:gridCol w:w="2643"/>
      </w:tblGrid>
      <w:tr w:rsidR="00D15280" w:rsidRPr="00D15280" w14:paraId="381572B3" w14:textId="77777777" w:rsidTr="00D15280">
        <w:trPr>
          <w:tblHeader/>
          <w:tblCellSpacing w:w="15" w:type="dxa"/>
        </w:trPr>
        <w:tc>
          <w:tcPr>
            <w:tcW w:w="0" w:type="auto"/>
            <w:shd w:val="clear" w:color="auto" w:fill="E8E8E8" w:themeFill="background2"/>
            <w:vAlign w:val="center"/>
            <w:hideMark/>
          </w:tcPr>
          <w:p w14:paraId="3E11B9CE" w14:textId="77777777" w:rsidR="00D15280" w:rsidRPr="00D15280" w:rsidRDefault="00D15280" w:rsidP="00D15280">
            <w:pPr>
              <w:rPr>
                <w:rFonts w:ascii="Arial" w:hAnsi="Arial" w:cs="Arial"/>
              </w:rPr>
            </w:pPr>
            <w:r w:rsidRPr="00D15280">
              <w:rPr>
                <w:rFonts w:ascii="Arial" w:hAnsi="Arial" w:cs="Arial"/>
              </w:rPr>
              <w:t>Resource / Capability</w:t>
            </w:r>
          </w:p>
        </w:tc>
        <w:tc>
          <w:tcPr>
            <w:tcW w:w="0" w:type="auto"/>
            <w:shd w:val="clear" w:color="auto" w:fill="E8E8E8" w:themeFill="background2"/>
            <w:vAlign w:val="center"/>
            <w:hideMark/>
          </w:tcPr>
          <w:p w14:paraId="4911EF8C" w14:textId="77777777" w:rsidR="00D15280" w:rsidRPr="00D15280" w:rsidRDefault="00D15280" w:rsidP="00D15280">
            <w:pPr>
              <w:rPr>
                <w:rFonts w:ascii="Arial" w:hAnsi="Arial" w:cs="Arial"/>
              </w:rPr>
            </w:pPr>
            <w:r w:rsidRPr="00D15280">
              <w:rPr>
                <w:rFonts w:ascii="Arial" w:hAnsi="Arial" w:cs="Arial"/>
              </w:rPr>
              <w:t>Valuable (V)</w:t>
            </w:r>
          </w:p>
        </w:tc>
        <w:tc>
          <w:tcPr>
            <w:tcW w:w="0" w:type="auto"/>
            <w:shd w:val="clear" w:color="auto" w:fill="E8E8E8" w:themeFill="background2"/>
            <w:vAlign w:val="center"/>
            <w:hideMark/>
          </w:tcPr>
          <w:p w14:paraId="501FB449" w14:textId="77777777" w:rsidR="00D15280" w:rsidRPr="00D15280" w:rsidRDefault="00D15280" w:rsidP="00D15280">
            <w:pPr>
              <w:rPr>
                <w:rFonts w:ascii="Arial" w:hAnsi="Arial" w:cs="Arial"/>
              </w:rPr>
            </w:pPr>
            <w:r w:rsidRPr="00D15280">
              <w:rPr>
                <w:rFonts w:ascii="Arial" w:hAnsi="Arial" w:cs="Arial"/>
              </w:rPr>
              <w:t>Rare (R)</w:t>
            </w:r>
          </w:p>
        </w:tc>
        <w:tc>
          <w:tcPr>
            <w:tcW w:w="0" w:type="auto"/>
            <w:shd w:val="clear" w:color="auto" w:fill="E8E8E8" w:themeFill="background2"/>
            <w:vAlign w:val="center"/>
            <w:hideMark/>
          </w:tcPr>
          <w:p w14:paraId="6B5439F8" w14:textId="77777777" w:rsidR="00D15280" w:rsidRPr="00D15280" w:rsidRDefault="00D15280" w:rsidP="00D15280">
            <w:pPr>
              <w:rPr>
                <w:rFonts w:ascii="Arial" w:hAnsi="Arial" w:cs="Arial"/>
              </w:rPr>
            </w:pPr>
            <w:r w:rsidRPr="00D15280">
              <w:rPr>
                <w:rFonts w:ascii="Arial" w:hAnsi="Arial" w:cs="Arial"/>
              </w:rPr>
              <w:t>Inimitable (I)</w:t>
            </w:r>
          </w:p>
        </w:tc>
        <w:tc>
          <w:tcPr>
            <w:tcW w:w="0" w:type="auto"/>
            <w:shd w:val="clear" w:color="auto" w:fill="E8E8E8" w:themeFill="background2"/>
            <w:vAlign w:val="center"/>
            <w:hideMark/>
          </w:tcPr>
          <w:p w14:paraId="1940DD0D" w14:textId="77777777" w:rsidR="00D15280" w:rsidRPr="00D15280" w:rsidRDefault="00D15280" w:rsidP="00D15280">
            <w:pPr>
              <w:rPr>
                <w:rFonts w:ascii="Arial" w:hAnsi="Arial" w:cs="Arial"/>
              </w:rPr>
            </w:pPr>
            <w:r w:rsidRPr="00D15280">
              <w:rPr>
                <w:rFonts w:ascii="Arial" w:hAnsi="Arial" w:cs="Arial"/>
              </w:rPr>
              <w:t>Organised (O)</w:t>
            </w:r>
          </w:p>
        </w:tc>
        <w:tc>
          <w:tcPr>
            <w:tcW w:w="0" w:type="auto"/>
            <w:shd w:val="clear" w:color="auto" w:fill="E8E8E8" w:themeFill="background2"/>
            <w:vAlign w:val="center"/>
            <w:hideMark/>
          </w:tcPr>
          <w:p w14:paraId="686CFC3C" w14:textId="77777777" w:rsidR="00D15280" w:rsidRPr="00D15280" w:rsidRDefault="00D15280" w:rsidP="00D15280">
            <w:pPr>
              <w:rPr>
                <w:rFonts w:ascii="Arial" w:hAnsi="Arial" w:cs="Arial"/>
              </w:rPr>
            </w:pPr>
            <w:r w:rsidRPr="00D15280">
              <w:rPr>
                <w:rFonts w:ascii="Arial" w:hAnsi="Arial" w:cs="Arial"/>
              </w:rPr>
              <w:t>Competitive Implication</w:t>
            </w:r>
          </w:p>
        </w:tc>
      </w:tr>
      <w:tr w:rsidR="00D15280" w:rsidRPr="00D15280" w14:paraId="693F6C78" w14:textId="77777777" w:rsidTr="00D15280">
        <w:trPr>
          <w:tblCellSpacing w:w="15" w:type="dxa"/>
        </w:trPr>
        <w:tc>
          <w:tcPr>
            <w:tcW w:w="0" w:type="auto"/>
            <w:shd w:val="clear" w:color="auto" w:fill="E8E8E8" w:themeFill="background2"/>
            <w:vAlign w:val="center"/>
            <w:hideMark/>
          </w:tcPr>
          <w:p w14:paraId="29DDFBE5" w14:textId="2EC53DE0" w:rsidR="00D15280" w:rsidRPr="00D15280" w:rsidRDefault="00D15280" w:rsidP="00D15280">
            <w:pPr>
              <w:rPr>
                <w:rFonts w:ascii="Arial" w:hAnsi="Arial" w:cs="Arial"/>
              </w:rPr>
            </w:pPr>
            <w:r w:rsidRPr="00D15280">
              <w:rPr>
                <w:rFonts w:ascii="Arial" w:hAnsi="Arial" w:cs="Arial"/>
              </w:rPr>
              <w:t xml:space="preserve">Brand equity </w:t>
            </w:r>
            <w:r>
              <w:rPr>
                <w:rFonts w:ascii="Arial" w:hAnsi="Arial" w:cs="Arial"/>
              </w:rPr>
              <w:t>and</w:t>
            </w:r>
            <w:r w:rsidRPr="00D15280">
              <w:rPr>
                <w:rFonts w:ascii="Arial" w:hAnsi="Arial" w:cs="Arial"/>
              </w:rPr>
              <w:t xml:space="preserve"> “Sweatlife” community</w:t>
            </w:r>
          </w:p>
        </w:tc>
        <w:tc>
          <w:tcPr>
            <w:tcW w:w="0" w:type="auto"/>
            <w:shd w:val="clear" w:color="auto" w:fill="E8E8E8" w:themeFill="background2"/>
            <w:vAlign w:val="center"/>
            <w:hideMark/>
          </w:tcPr>
          <w:p w14:paraId="441542E1"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7EB37E89"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470A54F1"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72696F19"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51D81235" w14:textId="77777777" w:rsidR="00D15280" w:rsidRPr="00D15280" w:rsidRDefault="00D15280" w:rsidP="00D15280">
            <w:pPr>
              <w:rPr>
                <w:rFonts w:ascii="Arial" w:hAnsi="Arial" w:cs="Arial"/>
              </w:rPr>
            </w:pPr>
            <w:r w:rsidRPr="00D15280">
              <w:rPr>
                <w:rFonts w:ascii="Arial" w:hAnsi="Arial" w:cs="Arial"/>
              </w:rPr>
              <w:t>Sustained competitive advantage</w:t>
            </w:r>
          </w:p>
        </w:tc>
      </w:tr>
      <w:tr w:rsidR="00D15280" w:rsidRPr="00D15280" w14:paraId="667F5075" w14:textId="77777777" w:rsidTr="00D15280">
        <w:trPr>
          <w:tblCellSpacing w:w="15" w:type="dxa"/>
        </w:trPr>
        <w:tc>
          <w:tcPr>
            <w:tcW w:w="0" w:type="auto"/>
            <w:shd w:val="clear" w:color="auto" w:fill="E8E8E8" w:themeFill="background2"/>
            <w:vAlign w:val="center"/>
            <w:hideMark/>
          </w:tcPr>
          <w:p w14:paraId="4131230B" w14:textId="77777777" w:rsidR="00D15280" w:rsidRPr="00D15280" w:rsidRDefault="00D15280" w:rsidP="00D15280">
            <w:pPr>
              <w:rPr>
                <w:rFonts w:ascii="Arial" w:hAnsi="Arial" w:cs="Arial"/>
              </w:rPr>
            </w:pPr>
            <w:r w:rsidRPr="00D15280">
              <w:rPr>
                <w:rFonts w:ascii="Arial" w:hAnsi="Arial" w:cs="Arial"/>
              </w:rPr>
              <w:t>Proprietary fabrics (Nulu™, Nulux™, Everlux™)</w:t>
            </w:r>
          </w:p>
        </w:tc>
        <w:tc>
          <w:tcPr>
            <w:tcW w:w="0" w:type="auto"/>
            <w:shd w:val="clear" w:color="auto" w:fill="E8E8E8" w:themeFill="background2"/>
            <w:vAlign w:val="center"/>
            <w:hideMark/>
          </w:tcPr>
          <w:p w14:paraId="151A229C"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26AE6455"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0B4BEA6C"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7A6CE708"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3EE807C8" w14:textId="77777777" w:rsidR="00D15280" w:rsidRPr="00D15280" w:rsidRDefault="00D15280" w:rsidP="00D15280">
            <w:pPr>
              <w:rPr>
                <w:rFonts w:ascii="Arial" w:hAnsi="Arial" w:cs="Arial"/>
              </w:rPr>
            </w:pPr>
            <w:r w:rsidRPr="00D15280">
              <w:rPr>
                <w:rFonts w:ascii="Arial" w:hAnsi="Arial" w:cs="Arial"/>
              </w:rPr>
              <w:t>Sustained competitive advantage</w:t>
            </w:r>
          </w:p>
        </w:tc>
      </w:tr>
      <w:tr w:rsidR="00D15280" w:rsidRPr="00D15280" w14:paraId="22158135" w14:textId="77777777" w:rsidTr="00D15280">
        <w:trPr>
          <w:tblCellSpacing w:w="15" w:type="dxa"/>
        </w:trPr>
        <w:tc>
          <w:tcPr>
            <w:tcW w:w="0" w:type="auto"/>
            <w:shd w:val="clear" w:color="auto" w:fill="E8E8E8" w:themeFill="background2"/>
            <w:vAlign w:val="center"/>
            <w:hideMark/>
          </w:tcPr>
          <w:p w14:paraId="3D3E7950" w14:textId="63068AE7" w:rsidR="00D15280" w:rsidRPr="00D15280" w:rsidRDefault="00D15280" w:rsidP="00D15280">
            <w:pPr>
              <w:rPr>
                <w:rFonts w:ascii="Arial" w:hAnsi="Arial" w:cs="Arial"/>
              </w:rPr>
            </w:pPr>
            <w:r w:rsidRPr="00D15280">
              <w:rPr>
                <w:rFonts w:ascii="Arial" w:hAnsi="Arial" w:cs="Arial"/>
              </w:rPr>
              <w:t xml:space="preserve">Organisational culture </w:t>
            </w:r>
            <w:r>
              <w:rPr>
                <w:rFonts w:ascii="Arial" w:hAnsi="Arial" w:cs="Arial"/>
              </w:rPr>
              <w:t>and</w:t>
            </w:r>
            <w:r w:rsidRPr="00D15280">
              <w:rPr>
                <w:rFonts w:ascii="Arial" w:hAnsi="Arial" w:cs="Arial"/>
              </w:rPr>
              <w:t xml:space="preserve"> human capital</w:t>
            </w:r>
          </w:p>
        </w:tc>
        <w:tc>
          <w:tcPr>
            <w:tcW w:w="0" w:type="auto"/>
            <w:shd w:val="clear" w:color="auto" w:fill="E8E8E8" w:themeFill="background2"/>
            <w:vAlign w:val="center"/>
            <w:hideMark/>
          </w:tcPr>
          <w:p w14:paraId="20C0BF9E"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1D83C3CD"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62FB5A2D" w14:textId="77777777" w:rsidR="00D15280" w:rsidRPr="00D15280" w:rsidRDefault="00D15280" w:rsidP="00D15280">
            <w:pPr>
              <w:rPr>
                <w:rFonts w:ascii="Arial" w:hAnsi="Arial" w:cs="Arial"/>
              </w:rPr>
            </w:pPr>
            <w:r w:rsidRPr="00D15280">
              <w:rPr>
                <w:rFonts w:ascii="Arial" w:hAnsi="Arial" w:cs="Arial"/>
              </w:rPr>
              <w:t>Partially</w:t>
            </w:r>
          </w:p>
        </w:tc>
        <w:tc>
          <w:tcPr>
            <w:tcW w:w="0" w:type="auto"/>
            <w:shd w:val="clear" w:color="auto" w:fill="E8E8E8" w:themeFill="background2"/>
            <w:vAlign w:val="center"/>
            <w:hideMark/>
          </w:tcPr>
          <w:p w14:paraId="5FBF4DDB"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491ABEC6" w14:textId="77777777" w:rsidR="00D15280" w:rsidRPr="00D15280" w:rsidRDefault="00D15280" w:rsidP="00D15280">
            <w:pPr>
              <w:rPr>
                <w:rFonts w:ascii="Arial" w:hAnsi="Arial" w:cs="Arial"/>
              </w:rPr>
            </w:pPr>
            <w:r w:rsidRPr="00D15280">
              <w:rPr>
                <w:rFonts w:ascii="Arial" w:hAnsi="Arial" w:cs="Arial"/>
              </w:rPr>
              <w:t>Strong but potentially imitable advantage</w:t>
            </w:r>
          </w:p>
        </w:tc>
      </w:tr>
      <w:tr w:rsidR="00D15280" w:rsidRPr="00D15280" w14:paraId="40410531" w14:textId="77777777" w:rsidTr="00D15280">
        <w:trPr>
          <w:tblCellSpacing w:w="15" w:type="dxa"/>
        </w:trPr>
        <w:tc>
          <w:tcPr>
            <w:tcW w:w="0" w:type="auto"/>
            <w:shd w:val="clear" w:color="auto" w:fill="E8E8E8" w:themeFill="background2"/>
            <w:vAlign w:val="center"/>
            <w:hideMark/>
          </w:tcPr>
          <w:p w14:paraId="2E0A887A" w14:textId="714D24C2" w:rsidR="00D15280" w:rsidRPr="00D15280" w:rsidRDefault="00D15280" w:rsidP="00D15280">
            <w:pPr>
              <w:rPr>
                <w:rFonts w:ascii="Arial" w:hAnsi="Arial" w:cs="Arial"/>
              </w:rPr>
            </w:pPr>
            <w:r w:rsidRPr="00D15280">
              <w:rPr>
                <w:rFonts w:ascii="Arial" w:hAnsi="Arial" w:cs="Arial"/>
              </w:rPr>
              <w:t xml:space="preserve">Global supply chain </w:t>
            </w:r>
            <w:r>
              <w:rPr>
                <w:rFonts w:ascii="Arial" w:hAnsi="Arial" w:cs="Arial"/>
              </w:rPr>
              <w:t xml:space="preserve">and </w:t>
            </w:r>
            <w:r w:rsidRPr="00D15280">
              <w:rPr>
                <w:rFonts w:ascii="Arial" w:hAnsi="Arial" w:cs="Arial"/>
              </w:rPr>
              <w:t>partner network</w:t>
            </w:r>
          </w:p>
        </w:tc>
        <w:tc>
          <w:tcPr>
            <w:tcW w:w="0" w:type="auto"/>
            <w:shd w:val="clear" w:color="auto" w:fill="E8E8E8" w:themeFill="background2"/>
            <w:vAlign w:val="center"/>
            <w:hideMark/>
          </w:tcPr>
          <w:p w14:paraId="652268F7"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7421B1DB" w14:textId="77777777" w:rsidR="00D15280" w:rsidRPr="00D15280" w:rsidRDefault="00D15280" w:rsidP="00D15280">
            <w:pPr>
              <w:rPr>
                <w:rFonts w:ascii="Arial" w:hAnsi="Arial" w:cs="Arial"/>
              </w:rPr>
            </w:pPr>
            <w:r w:rsidRPr="00D15280">
              <w:rPr>
                <w:rFonts w:ascii="Arial" w:hAnsi="Arial" w:cs="Arial"/>
              </w:rPr>
              <w:t>No</w:t>
            </w:r>
          </w:p>
        </w:tc>
        <w:tc>
          <w:tcPr>
            <w:tcW w:w="0" w:type="auto"/>
            <w:shd w:val="clear" w:color="auto" w:fill="E8E8E8" w:themeFill="background2"/>
            <w:vAlign w:val="center"/>
            <w:hideMark/>
          </w:tcPr>
          <w:p w14:paraId="4BB10E80" w14:textId="77777777" w:rsidR="00D15280" w:rsidRPr="00D15280" w:rsidRDefault="00D15280" w:rsidP="00D15280">
            <w:pPr>
              <w:rPr>
                <w:rFonts w:ascii="Arial" w:hAnsi="Arial" w:cs="Arial"/>
              </w:rPr>
            </w:pPr>
            <w:r w:rsidRPr="00D15280">
              <w:rPr>
                <w:rFonts w:ascii="Arial" w:hAnsi="Arial" w:cs="Arial"/>
              </w:rPr>
              <w:t>Partially</w:t>
            </w:r>
          </w:p>
        </w:tc>
        <w:tc>
          <w:tcPr>
            <w:tcW w:w="0" w:type="auto"/>
            <w:shd w:val="clear" w:color="auto" w:fill="E8E8E8" w:themeFill="background2"/>
            <w:vAlign w:val="center"/>
            <w:hideMark/>
          </w:tcPr>
          <w:p w14:paraId="62862CB9"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506EA872" w14:textId="51BE0AEF" w:rsidR="00D15280" w:rsidRPr="00D15280" w:rsidRDefault="00D15280" w:rsidP="00D15280">
            <w:pPr>
              <w:rPr>
                <w:rFonts w:ascii="Arial" w:hAnsi="Arial" w:cs="Arial"/>
              </w:rPr>
            </w:pPr>
            <w:r w:rsidRPr="00D15280">
              <w:rPr>
                <w:rFonts w:ascii="Arial" w:hAnsi="Arial" w:cs="Arial"/>
              </w:rPr>
              <w:t xml:space="preserve">Temporary competitive </w:t>
            </w:r>
            <w:r>
              <w:rPr>
                <w:rFonts w:ascii="Arial" w:hAnsi="Arial" w:cs="Arial"/>
              </w:rPr>
              <w:t>advantage/parity</w:t>
            </w:r>
          </w:p>
        </w:tc>
      </w:tr>
      <w:tr w:rsidR="00D15280" w:rsidRPr="00D15280" w14:paraId="3E75286F" w14:textId="77777777" w:rsidTr="00D15280">
        <w:trPr>
          <w:tblCellSpacing w:w="15" w:type="dxa"/>
        </w:trPr>
        <w:tc>
          <w:tcPr>
            <w:tcW w:w="0" w:type="auto"/>
            <w:shd w:val="clear" w:color="auto" w:fill="E8E8E8" w:themeFill="background2"/>
            <w:vAlign w:val="center"/>
            <w:hideMark/>
          </w:tcPr>
          <w:p w14:paraId="1970F23C" w14:textId="77777777" w:rsidR="00D15280" w:rsidRPr="00D15280" w:rsidRDefault="00D15280" w:rsidP="00D15280">
            <w:pPr>
              <w:rPr>
                <w:rFonts w:ascii="Arial" w:hAnsi="Arial" w:cs="Arial"/>
              </w:rPr>
            </w:pPr>
            <w:r w:rsidRPr="00D15280">
              <w:rPr>
                <w:rFonts w:ascii="Arial" w:hAnsi="Arial" w:cs="Arial"/>
              </w:rPr>
              <w:t>Financial strength (cash reserves, profitability)</w:t>
            </w:r>
          </w:p>
        </w:tc>
        <w:tc>
          <w:tcPr>
            <w:tcW w:w="0" w:type="auto"/>
            <w:shd w:val="clear" w:color="auto" w:fill="E8E8E8" w:themeFill="background2"/>
            <w:vAlign w:val="center"/>
            <w:hideMark/>
          </w:tcPr>
          <w:p w14:paraId="1D099B93"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14A21D96" w14:textId="77777777" w:rsidR="00D15280" w:rsidRPr="00D15280" w:rsidRDefault="00D15280" w:rsidP="00D15280">
            <w:pPr>
              <w:rPr>
                <w:rFonts w:ascii="Arial" w:hAnsi="Arial" w:cs="Arial"/>
              </w:rPr>
            </w:pPr>
            <w:r w:rsidRPr="00D15280">
              <w:rPr>
                <w:rFonts w:ascii="Arial" w:hAnsi="Arial" w:cs="Arial"/>
              </w:rPr>
              <w:t>No</w:t>
            </w:r>
          </w:p>
        </w:tc>
        <w:tc>
          <w:tcPr>
            <w:tcW w:w="0" w:type="auto"/>
            <w:shd w:val="clear" w:color="auto" w:fill="E8E8E8" w:themeFill="background2"/>
            <w:vAlign w:val="center"/>
            <w:hideMark/>
          </w:tcPr>
          <w:p w14:paraId="2A55CC66" w14:textId="77777777" w:rsidR="00D15280" w:rsidRPr="00D15280" w:rsidRDefault="00D15280" w:rsidP="00D15280">
            <w:pPr>
              <w:rPr>
                <w:rFonts w:ascii="Arial" w:hAnsi="Arial" w:cs="Arial"/>
              </w:rPr>
            </w:pPr>
            <w:r w:rsidRPr="00D15280">
              <w:rPr>
                <w:rFonts w:ascii="Arial" w:hAnsi="Arial" w:cs="Arial"/>
              </w:rPr>
              <w:t>No</w:t>
            </w:r>
          </w:p>
        </w:tc>
        <w:tc>
          <w:tcPr>
            <w:tcW w:w="0" w:type="auto"/>
            <w:shd w:val="clear" w:color="auto" w:fill="E8E8E8" w:themeFill="background2"/>
            <w:vAlign w:val="center"/>
            <w:hideMark/>
          </w:tcPr>
          <w:p w14:paraId="388F34C7" w14:textId="77777777" w:rsidR="00D15280" w:rsidRPr="00D15280" w:rsidRDefault="00D15280" w:rsidP="00D15280">
            <w:pPr>
              <w:rPr>
                <w:rFonts w:ascii="Arial" w:hAnsi="Arial" w:cs="Arial"/>
              </w:rPr>
            </w:pPr>
            <w:r w:rsidRPr="00D15280">
              <w:rPr>
                <w:rFonts w:ascii="Arial" w:hAnsi="Arial" w:cs="Arial"/>
              </w:rPr>
              <w:t>Yes</w:t>
            </w:r>
          </w:p>
        </w:tc>
        <w:tc>
          <w:tcPr>
            <w:tcW w:w="0" w:type="auto"/>
            <w:shd w:val="clear" w:color="auto" w:fill="E8E8E8" w:themeFill="background2"/>
            <w:vAlign w:val="center"/>
            <w:hideMark/>
          </w:tcPr>
          <w:p w14:paraId="68E89A52" w14:textId="77777777" w:rsidR="00D15280" w:rsidRPr="00D15280" w:rsidRDefault="00D15280" w:rsidP="00D15280">
            <w:pPr>
              <w:rPr>
                <w:rFonts w:ascii="Arial" w:hAnsi="Arial" w:cs="Arial"/>
              </w:rPr>
            </w:pPr>
            <w:r w:rsidRPr="00D15280">
              <w:rPr>
                <w:rFonts w:ascii="Arial" w:hAnsi="Arial" w:cs="Arial"/>
              </w:rPr>
              <w:t>Necessary but not sufficient for differentiation</w:t>
            </w:r>
          </w:p>
        </w:tc>
      </w:tr>
    </w:tbl>
    <w:p w14:paraId="52BF04F4" w14:textId="27C1CBFC" w:rsidR="00637FDB" w:rsidRDefault="00D15280" w:rsidP="007F66E2">
      <w:pPr>
        <w:rPr>
          <w:rFonts w:ascii="Arial" w:hAnsi="Arial" w:cs="Arial"/>
          <w:sz w:val="20"/>
          <w:szCs w:val="20"/>
        </w:rPr>
      </w:pPr>
      <w:r w:rsidRPr="00D15280">
        <w:rPr>
          <w:rFonts w:ascii="Arial" w:hAnsi="Arial" w:cs="Arial"/>
          <w:sz w:val="20"/>
          <w:szCs w:val="20"/>
        </w:rPr>
        <w:t>Source: Adapted from Barney (1991), Hitt et al. (2024) and Grant (2019).</w:t>
      </w:r>
    </w:p>
    <w:p w14:paraId="725BBBDC" w14:textId="77777777" w:rsidR="00570708" w:rsidRDefault="00570708" w:rsidP="007F66E2">
      <w:pPr>
        <w:rPr>
          <w:rFonts w:ascii="Arial" w:hAnsi="Arial" w:cs="Arial"/>
          <w:sz w:val="20"/>
          <w:szCs w:val="20"/>
        </w:rPr>
      </w:pPr>
    </w:p>
    <w:p w14:paraId="3FA46C4E" w14:textId="77777777" w:rsidR="00BF29F3" w:rsidRDefault="00BF29F3" w:rsidP="007F66E2">
      <w:pPr>
        <w:rPr>
          <w:rFonts w:ascii="Arial" w:hAnsi="Arial" w:cs="Arial"/>
          <w:sz w:val="20"/>
          <w:szCs w:val="20"/>
        </w:rPr>
      </w:pPr>
    </w:p>
    <w:p w14:paraId="08DB2C2D" w14:textId="77777777" w:rsidR="00BF29F3" w:rsidRDefault="00BF29F3" w:rsidP="007F66E2">
      <w:pPr>
        <w:rPr>
          <w:rFonts w:ascii="Arial" w:hAnsi="Arial" w:cs="Arial"/>
          <w:sz w:val="20"/>
          <w:szCs w:val="20"/>
        </w:rPr>
      </w:pPr>
    </w:p>
    <w:p w14:paraId="6C857E75" w14:textId="77777777" w:rsidR="00BF29F3" w:rsidRDefault="00BF29F3" w:rsidP="007F66E2">
      <w:pPr>
        <w:rPr>
          <w:rFonts w:ascii="Arial" w:hAnsi="Arial" w:cs="Arial"/>
          <w:sz w:val="20"/>
          <w:szCs w:val="20"/>
        </w:rPr>
      </w:pPr>
    </w:p>
    <w:p w14:paraId="421189D4" w14:textId="77777777" w:rsidR="00BF29F3" w:rsidRDefault="00BF29F3" w:rsidP="007F66E2">
      <w:pPr>
        <w:rPr>
          <w:rFonts w:ascii="Arial" w:hAnsi="Arial" w:cs="Arial"/>
          <w:sz w:val="20"/>
          <w:szCs w:val="20"/>
        </w:rPr>
      </w:pPr>
    </w:p>
    <w:p w14:paraId="2358F361" w14:textId="77777777" w:rsidR="00BF29F3" w:rsidRDefault="00BF29F3" w:rsidP="007F66E2">
      <w:pPr>
        <w:rPr>
          <w:rFonts w:ascii="Arial" w:hAnsi="Arial" w:cs="Arial"/>
          <w:sz w:val="20"/>
          <w:szCs w:val="20"/>
        </w:rPr>
      </w:pPr>
    </w:p>
    <w:p w14:paraId="39E4E1A0" w14:textId="77777777" w:rsidR="00BF29F3" w:rsidRDefault="00BF29F3" w:rsidP="007F66E2">
      <w:pPr>
        <w:rPr>
          <w:rFonts w:ascii="Arial" w:hAnsi="Arial" w:cs="Arial"/>
          <w:sz w:val="20"/>
          <w:szCs w:val="20"/>
        </w:rPr>
      </w:pPr>
    </w:p>
    <w:p w14:paraId="3B6014CB" w14:textId="77777777" w:rsidR="00BF29F3" w:rsidRDefault="00BF29F3" w:rsidP="007F66E2">
      <w:pPr>
        <w:rPr>
          <w:rFonts w:ascii="Arial" w:hAnsi="Arial" w:cs="Arial"/>
          <w:sz w:val="20"/>
          <w:szCs w:val="20"/>
        </w:rPr>
      </w:pPr>
    </w:p>
    <w:p w14:paraId="5DFCC04B" w14:textId="77777777" w:rsidR="00BF29F3" w:rsidRDefault="00BF29F3" w:rsidP="007F66E2">
      <w:pPr>
        <w:rPr>
          <w:rFonts w:ascii="Arial" w:hAnsi="Arial" w:cs="Arial"/>
          <w:sz w:val="20"/>
          <w:szCs w:val="20"/>
        </w:rPr>
      </w:pPr>
    </w:p>
    <w:p w14:paraId="2EA353AE" w14:textId="77777777" w:rsidR="00BF29F3" w:rsidRDefault="00BF29F3" w:rsidP="007F66E2">
      <w:pPr>
        <w:rPr>
          <w:rFonts w:ascii="Arial" w:hAnsi="Arial" w:cs="Arial"/>
          <w:sz w:val="20"/>
          <w:szCs w:val="20"/>
        </w:rPr>
      </w:pPr>
    </w:p>
    <w:p w14:paraId="5AAB3905" w14:textId="77777777" w:rsidR="00BF29F3" w:rsidRDefault="00BF29F3" w:rsidP="007F66E2">
      <w:pPr>
        <w:rPr>
          <w:b/>
          <w:bCs/>
        </w:rPr>
      </w:pPr>
    </w:p>
    <w:p w14:paraId="13BDF690" w14:textId="70894A32" w:rsidR="00EF5AD7" w:rsidRPr="00EF5AD7" w:rsidRDefault="00EF5AD7" w:rsidP="00EF5AD7">
      <w:pPr>
        <w:rPr>
          <w:rFonts w:ascii="Arial" w:hAnsi="Arial" w:cs="Arial"/>
          <w:color w:val="000000" w:themeColor="text1"/>
        </w:rPr>
      </w:pPr>
      <w:r w:rsidRPr="00EF5AD7">
        <w:rPr>
          <w:rFonts w:ascii="Arial" w:hAnsi="Arial" w:cs="Arial"/>
          <w:color w:val="000000" w:themeColor="text1"/>
        </w:rPr>
        <w:lastRenderedPageBreak/>
        <w:t>Table A2. Cultural Integration Playbook – India</w:t>
      </w:r>
    </w:p>
    <w:tbl>
      <w:tblPr>
        <w:tblW w:w="0" w:type="auto"/>
        <w:tblCellSpacing w:w="15" w:type="dxa"/>
        <w:tblBorders>
          <w:insideH w:val="single" w:sz="8" w:space="0" w:color="EE0000"/>
          <w:insideV w:val="single" w:sz="8" w:space="0" w:color="EE0000"/>
        </w:tblBorders>
        <w:tblCellMar>
          <w:top w:w="15" w:type="dxa"/>
          <w:left w:w="15" w:type="dxa"/>
          <w:bottom w:w="15" w:type="dxa"/>
          <w:right w:w="15" w:type="dxa"/>
        </w:tblCellMar>
        <w:tblLook w:val="04A0" w:firstRow="1" w:lastRow="0" w:firstColumn="1" w:lastColumn="0" w:noHBand="0" w:noVBand="1"/>
      </w:tblPr>
      <w:tblGrid>
        <w:gridCol w:w="1866"/>
        <w:gridCol w:w="3442"/>
        <w:gridCol w:w="4052"/>
      </w:tblGrid>
      <w:tr w:rsidR="00EF5AD7" w:rsidRPr="00D17F9C" w14:paraId="6C4DBF76" w14:textId="77777777" w:rsidTr="006D348C">
        <w:trPr>
          <w:tblHeader/>
          <w:tblCellSpacing w:w="15" w:type="dxa"/>
        </w:trPr>
        <w:tc>
          <w:tcPr>
            <w:tcW w:w="0" w:type="auto"/>
            <w:shd w:val="clear" w:color="auto" w:fill="E8E8E8" w:themeFill="background2"/>
            <w:vAlign w:val="center"/>
            <w:hideMark/>
          </w:tcPr>
          <w:p w14:paraId="19228C4D"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Component</w:t>
            </w:r>
          </w:p>
        </w:tc>
        <w:tc>
          <w:tcPr>
            <w:tcW w:w="0" w:type="auto"/>
            <w:shd w:val="clear" w:color="auto" w:fill="E8E8E8" w:themeFill="background2"/>
            <w:vAlign w:val="center"/>
            <w:hideMark/>
          </w:tcPr>
          <w:p w14:paraId="5D6D17E0"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India-Specific Requirements</w:t>
            </w:r>
          </w:p>
        </w:tc>
        <w:tc>
          <w:tcPr>
            <w:tcW w:w="0" w:type="auto"/>
            <w:shd w:val="clear" w:color="auto" w:fill="E8E8E8" w:themeFill="background2"/>
            <w:vAlign w:val="center"/>
            <w:hideMark/>
          </w:tcPr>
          <w:p w14:paraId="3D39C52A"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Managerial Notes</w:t>
            </w:r>
          </w:p>
        </w:tc>
      </w:tr>
      <w:tr w:rsidR="00EF5AD7" w:rsidRPr="00D17F9C" w14:paraId="227C7B12" w14:textId="77777777" w:rsidTr="006D348C">
        <w:trPr>
          <w:tblCellSpacing w:w="15" w:type="dxa"/>
        </w:trPr>
        <w:tc>
          <w:tcPr>
            <w:tcW w:w="0" w:type="auto"/>
            <w:shd w:val="clear" w:color="auto" w:fill="E8E8E8" w:themeFill="background2"/>
            <w:vAlign w:val="center"/>
            <w:hideMark/>
          </w:tcPr>
          <w:p w14:paraId="7DB6FE96"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Brand storytelling</w:t>
            </w:r>
          </w:p>
        </w:tc>
        <w:tc>
          <w:tcPr>
            <w:tcW w:w="0" w:type="auto"/>
            <w:shd w:val="clear" w:color="auto" w:fill="E8E8E8" w:themeFill="background2"/>
            <w:vAlign w:val="center"/>
            <w:hideMark/>
          </w:tcPr>
          <w:p w14:paraId="7051AFE8"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Respect for yoga’s spiritual heritage</w:t>
            </w:r>
          </w:p>
        </w:tc>
        <w:tc>
          <w:tcPr>
            <w:tcW w:w="0" w:type="auto"/>
            <w:shd w:val="clear" w:color="auto" w:fill="E8E8E8" w:themeFill="background2"/>
            <w:vAlign w:val="center"/>
            <w:hideMark/>
          </w:tcPr>
          <w:p w14:paraId="08D65B62"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Co-create content with Indian yoga experts</w:t>
            </w:r>
          </w:p>
        </w:tc>
      </w:tr>
      <w:tr w:rsidR="00EF5AD7" w:rsidRPr="00D17F9C" w14:paraId="21B8714F" w14:textId="77777777" w:rsidTr="006D348C">
        <w:trPr>
          <w:tblCellSpacing w:w="15" w:type="dxa"/>
        </w:trPr>
        <w:tc>
          <w:tcPr>
            <w:tcW w:w="0" w:type="auto"/>
            <w:shd w:val="clear" w:color="auto" w:fill="E8E8E8" w:themeFill="background2"/>
            <w:vAlign w:val="center"/>
            <w:hideMark/>
          </w:tcPr>
          <w:p w14:paraId="1C8A2B6C"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Community events</w:t>
            </w:r>
          </w:p>
        </w:tc>
        <w:tc>
          <w:tcPr>
            <w:tcW w:w="0" w:type="auto"/>
            <w:shd w:val="clear" w:color="auto" w:fill="E8E8E8" w:themeFill="background2"/>
            <w:vAlign w:val="center"/>
            <w:hideMark/>
          </w:tcPr>
          <w:p w14:paraId="7BB08574"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Yoga festivals, Ayurveda workshops</w:t>
            </w:r>
          </w:p>
        </w:tc>
        <w:tc>
          <w:tcPr>
            <w:tcW w:w="0" w:type="auto"/>
            <w:shd w:val="clear" w:color="auto" w:fill="E8E8E8" w:themeFill="background2"/>
            <w:vAlign w:val="center"/>
            <w:hideMark/>
          </w:tcPr>
          <w:p w14:paraId="3DFCAE53"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Partner with Art of Living / Isha Foundation</w:t>
            </w:r>
          </w:p>
        </w:tc>
      </w:tr>
      <w:tr w:rsidR="00EF5AD7" w:rsidRPr="00D17F9C" w14:paraId="1F0F1ABF" w14:textId="77777777" w:rsidTr="006D348C">
        <w:trPr>
          <w:tblCellSpacing w:w="15" w:type="dxa"/>
        </w:trPr>
        <w:tc>
          <w:tcPr>
            <w:tcW w:w="0" w:type="auto"/>
            <w:shd w:val="clear" w:color="auto" w:fill="E8E8E8" w:themeFill="background2"/>
            <w:vAlign w:val="center"/>
            <w:hideMark/>
          </w:tcPr>
          <w:p w14:paraId="3BDF9E4B"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Staff training</w:t>
            </w:r>
          </w:p>
        </w:tc>
        <w:tc>
          <w:tcPr>
            <w:tcW w:w="0" w:type="auto"/>
            <w:shd w:val="clear" w:color="auto" w:fill="E8E8E8" w:themeFill="background2"/>
            <w:vAlign w:val="center"/>
            <w:hideMark/>
          </w:tcPr>
          <w:p w14:paraId="0CC87EBD"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Cultural sensitivity, Sanskrit basics</w:t>
            </w:r>
          </w:p>
        </w:tc>
        <w:tc>
          <w:tcPr>
            <w:tcW w:w="0" w:type="auto"/>
            <w:shd w:val="clear" w:color="auto" w:fill="E8E8E8" w:themeFill="background2"/>
            <w:vAlign w:val="center"/>
            <w:hideMark/>
          </w:tcPr>
          <w:p w14:paraId="02B2C3D3"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Train via accredited Indian yoga schools</w:t>
            </w:r>
          </w:p>
        </w:tc>
      </w:tr>
      <w:tr w:rsidR="00EF5AD7" w:rsidRPr="00D17F9C" w14:paraId="27B09F3A" w14:textId="77777777" w:rsidTr="006D348C">
        <w:trPr>
          <w:tblCellSpacing w:w="15" w:type="dxa"/>
        </w:trPr>
        <w:tc>
          <w:tcPr>
            <w:tcW w:w="0" w:type="auto"/>
            <w:shd w:val="clear" w:color="auto" w:fill="E8E8E8" w:themeFill="background2"/>
            <w:vAlign w:val="center"/>
            <w:hideMark/>
          </w:tcPr>
          <w:p w14:paraId="2181C17F"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Store rituals</w:t>
            </w:r>
          </w:p>
        </w:tc>
        <w:tc>
          <w:tcPr>
            <w:tcW w:w="0" w:type="auto"/>
            <w:shd w:val="clear" w:color="auto" w:fill="E8E8E8" w:themeFill="background2"/>
            <w:vAlign w:val="center"/>
            <w:hideMark/>
          </w:tcPr>
          <w:p w14:paraId="09E8E0C9"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Diwali, Holi, International Yoga Day</w:t>
            </w:r>
          </w:p>
        </w:tc>
        <w:tc>
          <w:tcPr>
            <w:tcW w:w="0" w:type="auto"/>
            <w:shd w:val="clear" w:color="auto" w:fill="E8E8E8" w:themeFill="background2"/>
            <w:vAlign w:val="center"/>
            <w:hideMark/>
          </w:tcPr>
          <w:p w14:paraId="4604229C" w14:textId="77777777" w:rsidR="00EF5AD7" w:rsidRPr="00D17F9C" w:rsidRDefault="00EF5AD7" w:rsidP="006D348C">
            <w:pPr>
              <w:rPr>
                <w:rFonts w:ascii="Arial" w:hAnsi="Arial" w:cs="Arial"/>
                <w:color w:val="000000" w:themeColor="text1"/>
              </w:rPr>
            </w:pPr>
            <w:r w:rsidRPr="00D17F9C">
              <w:rPr>
                <w:rFonts w:ascii="Arial" w:hAnsi="Arial" w:cs="Arial"/>
                <w:color w:val="000000" w:themeColor="text1"/>
              </w:rPr>
              <w:t>Localised community calendar</w:t>
            </w:r>
          </w:p>
        </w:tc>
      </w:tr>
    </w:tbl>
    <w:p w14:paraId="511D5CD3" w14:textId="1A81EC55" w:rsidR="00570708" w:rsidRDefault="00EF5AD7" w:rsidP="00EF5AD7">
      <w:pPr>
        <w:rPr>
          <w:rFonts w:ascii="Arial" w:hAnsi="Arial" w:cs="Arial"/>
          <w:sz w:val="20"/>
          <w:szCs w:val="20"/>
        </w:rPr>
      </w:pPr>
      <w:r w:rsidRPr="00EF5AD7">
        <w:rPr>
          <w:rFonts w:ascii="Arial" w:hAnsi="Arial" w:cs="Arial"/>
          <w:sz w:val="20"/>
          <w:szCs w:val="20"/>
        </w:rPr>
        <w:t>Source: Author’s own work based on Holt (2004), Khanna and Sengupta (2020).</w:t>
      </w:r>
    </w:p>
    <w:p w14:paraId="4271EA39" w14:textId="77777777" w:rsidR="0018775D" w:rsidRDefault="0018775D" w:rsidP="00EF5AD7">
      <w:pPr>
        <w:rPr>
          <w:rFonts w:ascii="Arial" w:hAnsi="Arial" w:cs="Arial"/>
          <w:sz w:val="20"/>
          <w:szCs w:val="20"/>
        </w:rPr>
      </w:pPr>
    </w:p>
    <w:p w14:paraId="79006564" w14:textId="77777777" w:rsidR="0018775D" w:rsidRDefault="0018775D" w:rsidP="00EF5AD7">
      <w:pPr>
        <w:rPr>
          <w:b/>
          <w:bCs/>
        </w:rPr>
      </w:pPr>
    </w:p>
    <w:p w14:paraId="143EB0E4" w14:textId="77777777" w:rsidR="00570708" w:rsidRDefault="00570708" w:rsidP="007F66E2">
      <w:pPr>
        <w:rPr>
          <w:b/>
          <w:bCs/>
        </w:rPr>
      </w:pPr>
    </w:p>
    <w:p w14:paraId="712747CD" w14:textId="1FD5B838" w:rsidR="00BF29F3" w:rsidRPr="00BF29F3" w:rsidRDefault="00BF29F3" w:rsidP="00BF29F3">
      <w:pPr>
        <w:rPr>
          <w:rFonts w:ascii="Arial" w:hAnsi="Arial" w:cs="Arial"/>
        </w:rPr>
      </w:pPr>
      <w:r>
        <w:rPr>
          <w:rFonts w:ascii="Arial" w:hAnsi="Arial" w:cs="Arial"/>
        </w:rPr>
        <w:t>Table</w:t>
      </w:r>
      <w:r w:rsidRPr="001B614C">
        <w:rPr>
          <w:rFonts w:ascii="Arial" w:hAnsi="Arial" w:cs="Arial"/>
        </w:rPr>
        <w:t xml:space="preserve"> </w:t>
      </w:r>
      <w:r>
        <w:rPr>
          <w:rFonts w:ascii="Arial" w:hAnsi="Arial" w:cs="Arial"/>
        </w:rPr>
        <w:t>A3.</w:t>
      </w:r>
      <w:r w:rsidRPr="001B614C">
        <w:rPr>
          <w:rFonts w:ascii="Arial" w:hAnsi="Arial" w:cs="Arial"/>
        </w:rPr>
        <w:t xml:space="preserve"> Phased Financial Entry Model </w:t>
      </w:r>
      <w:r>
        <w:rPr>
          <w:rFonts w:ascii="Arial" w:hAnsi="Arial" w:cs="Arial"/>
        </w:rPr>
        <w:t>-</w:t>
      </w:r>
      <w:r w:rsidRPr="001B614C">
        <w:rPr>
          <w:rFonts w:ascii="Arial" w:hAnsi="Arial" w:cs="Arial"/>
        </w:rPr>
        <w:t xml:space="preserve"> Cost Implications</w:t>
      </w:r>
    </w:p>
    <w:tbl>
      <w:tblPr>
        <w:tblW w:w="0" w:type="auto"/>
        <w:tblCellSpacing w:w="15" w:type="dxa"/>
        <w:tblBorders>
          <w:top w:val="single" w:sz="8" w:space="0" w:color="EE0000"/>
          <w:left w:val="single" w:sz="8" w:space="0" w:color="EE0000"/>
          <w:bottom w:val="single" w:sz="8" w:space="0" w:color="EE0000"/>
          <w:right w:val="single" w:sz="8" w:space="0" w:color="EE0000"/>
          <w:insideH w:val="single" w:sz="8" w:space="0" w:color="EE0000"/>
          <w:insideV w:val="single" w:sz="8" w:space="0" w:color="EE0000"/>
        </w:tblBorders>
        <w:tblCellMar>
          <w:top w:w="15" w:type="dxa"/>
          <w:left w:w="15" w:type="dxa"/>
          <w:bottom w:w="15" w:type="dxa"/>
          <w:right w:w="15" w:type="dxa"/>
        </w:tblCellMar>
        <w:tblLook w:val="04A0" w:firstRow="1" w:lastRow="0" w:firstColumn="1" w:lastColumn="0" w:noHBand="0" w:noVBand="1"/>
      </w:tblPr>
      <w:tblGrid>
        <w:gridCol w:w="832"/>
        <w:gridCol w:w="2292"/>
        <w:gridCol w:w="1630"/>
        <w:gridCol w:w="1211"/>
        <w:gridCol w:w="3375"/>
      </w:tblGrid>
      <w:tr w:rsidR="00BF29F3" w:rsidRPr="001B614C" w14:paraId="6802D0F8" w14:textId="77777777" w:rsidTr="006D348C">
        <w:trPr>
          <w:tblHeader/>
          <w:tblCellSpacing w:w="15" w:type="dxa"/>
        </w:trPr>
        <w:tc>
          <w:tcPr>
            <w:tcW w:w="0" w:type="auto"/>
            <w:shd w:val="clear" w:color="auto" w:fill="E8E8E8" w:themeFill="background2"/>
            <w:vAlign w:val="center"/>
            <w:hideMark/>
          </w:tcPr>
          <w:p w14:paraId="2027416E"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Phase</w:t>
            </w:r>
          </w:p>
        </w:tc>
        <w:tc>
          <w:tcPr>
            <w:tcW w:w="0" w:type="auto"/>
            <w:shd w:val="clear" w:color="auto" w:fill="E8E8E8" w:themeFill="background2"/>
            <w:vAlign w:val="center"/>
            <w:hideMark/>
          </w:tcPr>
          <w:p w14:paraId="1D05D967"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Strategic Focus</w:t>
            </w:r>
          </w:p>
        </w:tc>
        <w:tc>
          <w:tcPr>
            <w:tcW w:w="0" w:type="auto"/>
            <w:shd w:val="clear" w:color="auto" w:fill="E8E8E8" w:themeFill="background2"/>
            <w:vAlign w:val="center"/>
            <w:hideMark/>
          </w:tcPr>
          <w:p w14:paraId="0471FFFD"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CapEx / OpEx Impact</w:t>
            </w:r>
          </w:p>
        </w:tc>
        <w:tc>
          <w:tcPr>
            <w:tcW w:w="0" w:type="auto"/>
            <w:shd w:val="clear" w:color="auto" w:fill="E8E8E8" w:themeFill="background2"/>
            <w:vAlign w:val="center"/>
            <w:hideMark/>
          </w:tcPr>
          <w:p w14:paraId="24764FE6"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Risk Level</w:t>
            </w:r>
          </w:p>
        </w:tc>
        <w:tc>
          <w:tcPr>
            <w:tcW w:w="0" w:type="auto"/>
            <w:shd w:val="clear" w:color="auto" w:fill="E8E8E8" w:themeFill="background2"/>
            <w:vAlign w:val="center"/>
            <w:hideMark/>
          </w:tcPr>
          <w:p w14:paraId="69E3ECDD"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Notes</w:t>
            </w:r>
          </w:p>
        </w:tc>
      </w:tr>
      <w:tr w:rsidR="00BF29F3" w:rsidRPr="001B614C" w14:paraId="35459AD6" w14:textId="77777777" w:rsidTr="006D348C">
        <w:trPr>
          <w:tblCellSpacing w:w="15" w:type="dxa"/>
        </w:trPr>
        <w:tc>
          <w:tcPr>
            <w:tcW w:w="0" w:type="auto"/>
            <w:shd w:val="clear" w:color="auto" w:fill="E8E8E8" w:themeFill="background2"/>
            <w:vAlign w:val="center"/>
            <w:hideMark/>
          </w:tcPr>
          <w:p w14:paraId="4F17AF81"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Phase 1</w:t>
            </w:r>
          </w:p>
        </w:tc>
        <w:tc>
          <w:tcPr>
            <w:tcW w:w="0" w:type="auto"/>
            <w:shd w:val="clear" w:color="auto" w:fill="E8E8E8" w:themeFill="background2"/>
            <w:vAlign w:val="center"/>
            <w:hideMark/>
          </w:tcPr>
          <w:p w14:paraId="5AB4D9E7"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JV with Tata CLiQ Luxury</w:t>
            </w:r>
          </w:p>
        </w:tc>
        <w:tc>
          <w:tcPr>
            <w:tcW w:w="0" w:type="auto"/>
            <w:shd w:val="clear" w:color="auto" w:fill="E8E8E8" w:themeFill="background2"/>
            <w:vAlign w:val="center"/>
            <w:hideMark/>
          </w:tcPr>
          <w:p w14:paraId="67185E4A"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Low</w:t>
            </w:r>
            <w:r>
              <w:rPr>
                <w:rFonts w:ascii="Arial" w:hAnsi="Arial" w:cs="Arial"/>
                <w:color w:val="000000" w:themeColor="text1"/>
              </w:rPr>
              <w:t xml:space="preserve"> - </w:t>
            </w:r>
            <w:r w:rsidRPr="001B614C">
              <w:rPr>
                <w:rFonts w:ascii="Arial" w:hAnsi="Arial" w:cs="Arial"/>
                <w:color w:val="000000" w:themeColor="text1"/>
              </w:rPr>
              <w:t>moderate</w:t>
            </w:r>
          </w:p>
        </w:tc>
        <w:tc>
          <w:tcPr>
            <w:tcW w:w="0" w:type="auto"/>
            <w:shd w:val="clear" w:color="auto" w:fill="E8E8E8" w:themeFill="background2"/>
            <w:vAlign w:val="center"/>
            <w:hideMark/>
          </w:tcPr>
          <w:p w14:paraId="2CE621E3"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Low</w:t>
            </w:r>
          </w:p>
        </w:tc>
        <w:tc>
          <w:tcPr>
            <w:tcW w:w="0" w:type="auto"/>
            <w:shd w:val="clear" w:color="auto" w:fill="E8E8E8" w:themeFill="background2"/>
            <w:vAlign w:val="center"/>
            <w:hideMark/>
          </w:tcPr>
          <w:p w14:paraId="13AED59D"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 xml:space="preserve">Circumvents </w:t>
            </w:r>
            <w:r>
              <w:rPr>
                <w:rFonts w:ascii="Arial" w:hAnsi="Arial" w:cs="Arial"/>
                <w:color w:val="000000" w:themeColor="text1"/>
              </w:rPr>
              <w:t xml:space="preserve">the </w:t>
            </w:r>
            <w:r w:rsidRPr="001B614C">
              <w:rPr>
                <w:rFonts w:ascii="Arial" w:hAnsi="Arial" w:cs="Arial"/>
                <w:color w:val="000000" w:themeColor="text1"/>
              </w:rPr>
              <w:t>immediate 30% sourcing rule</w:t>
            </w:r>
          </w:p>
        </w:tc>
      </w:tr>
      <w:tr w:rsidR="00BF29F3" w:rsidRPr="001B614C" w14:paraId="4953A664" w14:textId="77777777" w:rsidTr="006D348C">
        <w:trPr>
          <w:tblCellSpacing w:w="15" w:type="dxa"/>
        </w:trPr>
        <w:tc>
          <w:tcPr>
            <w:tcW w:w="0" w:type="auto"/>
            <w:shd w:val="clear" w:color="auto" w:fill="E8E8E8" w:themeFill="background2"/>
            <w:vAlign w:val="center"/>
            <w:hideMark/>
          </w:tcPr>
          <w:p w14:paraId="4A51E36D"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Phase 2</w:t>
            </w:r>
          </w:p>
        </w:tc>
        <w:tc>
          <w:tcPr>
            <w:tcW w:w="0" w:type="auto"/>
            <w:shd w:val="clear" w:color="auto" w:fill="E8E8E8" w:themeFill="background2"/>
            <w:vAlign w:val="center"/>
            <w:hideMark/>
          </w:tcPr>
          <w:p w14:paraId="428EA4B7"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Localisation of selected SKUs</w:t>
            </w:r>
          </w:p>
        </w:tc>
        <w:tc>
          <w:tcPr>
            <w:tcW w:w="0" w:type="auto"/>
            <w:shd w:val="clear" w:color="auto" w:fill="E8E8E8" w:themeFill="background2"/>
            <w:vAlign w:val="center"/>
            <w:hideMark/>
          </w:tcPr>
          <w:p w14:paraId="7551CB55"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Moderate</w:t>
            </w:r>
          </w:p>
        </w:tc>
        <w:tc>
          <w:tcPr>
            <w:tcW w:w="0" w:type="auto"/>
            <w:shd w:val="clear" w:color="auto" w:fill="E8E8E8" w:themeFill="background2"/>
            <w:vAlign w:val="center"/>
            <w:hideMark/>
          </w:tcPr>
          <w:p w14:paraId="5DF26753"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Medium</w:t>
            </w:r>
          </w:p>
        </w:tc>
        <w:tc>
          <w:tcPr>
            <w:tcW w:w="0" w:type="auto"/>
            <w:shd w:val="clear" w:color="auto" w:fill="E8E8E8" w:themeFill="background2"/>
            <w:vAlign w:val="center"/>
            <w:hideMark/>
          </w:tcPr>
          <w:p w14:paraId="3772C746"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Only accessories + basics (not performance leggings)</w:t>
            </w:r>
          </w:p>
        </w:tc>
      </w:tr>
      <w:tr w:rsidR="00BF29F3" w:rsidRPr="001B614C" w14:paraId="0424398F" w14:textId="77777777" w:rsidTr="006D348C">
        <w:trPr>
          <w:tblCellSpacing w:w="15" w:type="dxa"/>
        </w:trPr>
        <w:tc>
          <w:tcPr>
            <w:tcW w:w="0" w:type="auto"/>
            <w:vAlign w:val="center"/>
            <w:hideMark/>
          </w:tcPr>
          <w:p w14:paraId="29231BA1"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Phase 3</w:t>
            </w:r>
          </w:p>
        </w:tc>
        <w:tc>
          <w:tcPr>
            <w:tcW w:w="0" w:type="auto"/>
            <w:vAlign w:val="center"/>
            <w:hideMark/>
          </w:tcPr>
          <w:p w14:paraId="42E7A609"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Flagship store in Mumbai/Delhi</w:t>
            </w:r>
          </w:p>
        </w:tc>
        <w:tc>
          <w:tcPr>
            <w:tcW w:w="0" w:type="auto"/>
            <w:vAlign w:val="center"/>
            <w:hideMark/>
          </w:tcPr>
          <w:p w14:paraId="4BD98A19"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High</w:t>
            </w:r>
          </w:p>
        </w:tc>
        <w:tc>
          <w:tcPr>
            <w:tcW w:w="0" w:type="auto"/>
            <w:vAlign w:val="center"/>
            <w:hideMark/>
          </w:tcPr>
          <w:p w14:paraId="7393D152"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Medium</w:t>
            </w:r>
            <w:r>
              <w:rPr>
                <w:rFonts w:ascii="Arial" w:hAnsi="Arial" w:cs="Arial"/>
                <w:color w:val="000000" w:themeColor="text1"/>
              </w:rPr>
              <w:t xml:space="preserve"> - </w:t>
            </w:r>
            <w:r w:rsidRPr="001B614C">
              <w:rPr>
                <w:rFonts w:ascii="Arial" w:hAnsi="Arial" w:cs="Arial"/>
                <w:color w:val="000000" w:themeColor="text1"/>
              </w:rPr>
              <w:t>High</w:t>
            </w:r>
          </w:p>
        </w:tc>
        <w:tc>
          <w:tcPr>
            <w:tcW w:w="0" w:type="auto"/>
            <w:vAlign w:val="center"/>
            <w:hideMark/>
          </w:tcPr>
          <w:p w14:paraId="08D23ABE" w14:textId="77777777" w:rsidR="00BF29F3" w:rsidRPr="001B614C" w:rsidRDefault="00BF29F3" w:rsidP="006D348C">
            <w:pPr>
              <w:rPr>
                <w:rFonts w:ascii="Arial" w:hAnsi="Arial" w:cs="Arial"/>
                <w:color w:val="000000" w:themeColor="text1"/>
              </w:rPr>
            </w:pPr>
            <w:r w:rsidRPr="001B614C">
              <w:rPr>
                <w:rFonts w:ascii="Arial" w:hAnsi="Arial" w:cs="Arial"/>
                <w:color w:val="000000" w:themeColor="text1"/>
              </w:rPr>
              <w:t>After brand validation</w:t>
            </w:r>
          </w:p>
        </w:tc>
      </w:tr>
    </w:tbl>
    <w:p w14:paraId="58F014D4" w14:textId="427CDE13" w:rsidR="00BF29F3" w:rsidRPr="00BF29F3" w:rsidRDefault="00BF29F3" w:rsidP="00BF29F3">
      <w:pPr>
        <w:rPr>
          <w:rFonts w:ascii="Arial" w:hAnsi="Arial" w:cs="Arial"/>
          <w:sz w:val="20"/>
          <w:szCs w:val="20"/>
        </w:rPr>
      </w:pPr>
      <w:r w:rsidRPr="00BF29F3">
        <w:rPr>
          <w:rFonts w:ascii="Arial" w:hAnsi="Arial" w:cs="Arial"/>
          <w:sz w:val="20"/>
          <w:szCs w:val="20"/>
        </w:rPr>
        <w:t>Source: Adapted from IMF (2025), DPIIT (2018), and Lululemon Annual Report (2024).</w:t>
      </w:r>
    </w:p>
    <w:p w14:paraId="43627888" w14:textId="40E5F868" w:rsidR="00EC05AE" w:rsidRPr="00EC05AE" w:rsidRDefault="00EC05AE" w:rsidP="00EC05AE">
      <w:pPr>
        <w:rPr>
          <w:b/>
          <w:bCs/>
        </w:rPr>
      </w:pPr>
    </w:p>
    <w:p w14:paraId="205E22FF" w14:textId="77777777" w:rsidR="00BF29F3" w:rsidRDefault="00BF29F3" w:rsidP="007F66E2">
      <w:pPr>
        <w:rPr>
          <w:b/>
          <w:bCs/>
        </w:rPr>
      </w:pPr>
    </w:p>
    <w:p w14:paraId="52D03863" w14:textId="77777777" w:rsidR="00BF29F3" w:rsidRDefault="00BF29F3" w:rsidP="007F66E2">
      <w:pPr>
        <w:rPr>
          <w:b/>
          <w:bCs/>
        </w:rPr>
      </w:pPr>
    </w:p>
    <w:p w14:paraId="17EB514B" w14:textId="77777777" w:rsidR="00BF29F3" w:rsidRDefault="00BF29F3" w:rsidP="007F66E2">
      <w:pPr>
        <w:rPr>
          <w:b/>
          <w:bCs/>
        </w:rPr>
      </w:pPr>
    </w:p>
    <w:p w14:paraId="54592B4A" w14:textId="77777777" w:rsidR="00C76DE7" w:rsidRDefault="00C76DE7" w:rsidP="007F66E2">
      <w:pPr>
        <w:rPr>
          <w:b/>
          <w:bCs/>
        </w:rPr>
      </w:pPr>
    </w:p>
    <w:p w14:paraId="20619E48" w14:textId="77777777" w:rsidR="00570708" w:rsidRDefault="00570708" w:rsidP="007F66E2">
      <w:pPr>
        <w:rPr>
          <w:b/>
          <w:bCs/>
        </w:rPr>
      </w:pPr>
    </w:p>
    <w:p w14:paraId="53B3DF6A" w14:textId="34CEB648" w:rsidR="00570708" w:rsidRPr="004B47E3" w:rsidRDefault="00EC05AE" w:rsidP="007F66E2">
      <w:pPr>
        <w:rPr>
          <w:rFonts w:ascii="Arial" w:hAnsi="Arial" w:cs="Arial"/>
          <w:color w:val="000000" w:themeColor="text1"/>
          <w:sz w:val="24"/>
          <w:szCs w:val="24"/>
        </w:rPr>
      </w:pPr>
      <w:r w:rsidRPr="004B47E3">
        <w:rPr>
          <w:rFonts w:ascii="Arial" w:hAnsi="Arial" w:cs="Arial"/>
          <w:noProof/>
          <w:color w:val="000000" w:themeColor="text1"/>
          <w:sz w:val="24"/>
          <w:szCs w:val="24"/>
        </w:rPr>
        <w:lastRenderedPageBreak/>
        <mc:AlternateContent>
          <mc:Choice Requires="wps">
            <w:drawing>
              <wp:anchor distT="0" distB="0" distL="114300" distR="114300" simplePos="0" relativeHeight="251699200" behindDoc="0" locked="0" layoutInCell="1" allowOverlap="1" wp14:anchorId="0215543C" wp14:editId="6A9748E5">
                <wp:simplePos x="0" y="0"/>
                <wp:positionH relativeFrom="column">
                  <wp:posOffset>8890</wp:posOffset>
                </wp:positionH>
                <wp:positionV relativeFrom="paragraph">
                  <wp:posOffset>264265</wp:posOffset>
                </wp:positionV>
                <wp:extent cx="3183255" cy="0"/>
                <wp:effectExtent l="0" t="0" r="0" b="0"/>
                <wp:wrapNone/>
                <wp:docPr id="168734482" name="Straight Connector 4"/>
                <wp:cNvGraphicFramePr/>
                <a:graphic xmlns:a="http://schemas.openxmlformats.org/drawingml/2006/main">
                  <a:graphicData uri="http://schemas.microsoft.com/office/word/2010/wordprocessingShape">
                    <wps:wsp>
                      <wps:cNvCnPr/>
                      <wps:spPr>
                        <a:xfrm flipV="1">
                          <a:off x="0" y="0"/>
                          <a:ext cx="318325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B3441" id="Straight Connector 4"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20.8pt" to="251.3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" strokecolor="#ff4747" strokeweight=".5pt">
                <v:stroke joinstyle="miter"/>
              </v:line>
            </w:pict>
          </mc:Fallback>
        </mc:AlternateContent>
      </w:r>
      <w:r w:rsidR="004B47E3" w:rsidRPr="004B47E3">
        <w:rPr>
          <w:rFonts w:ascii="Arial" w:hAnsi="Arial" w:cs="Arial"/>
          <w:color w:val="000000" w:themeColor="text1"/>
          <w:sz w:val="24"/>
          <w:szCs w:val="24"/>
        </w:rPr>
        <w:t>Appendix B:</w:t>
      </w:r>
      <w:r>
        <w:rPr>
          <w:rFonts w:ascii="Arial" w:hAnsi="Arial" w:cs="Arial"/>
          <w:color w:val="000000" w:themeColor="text1"/>
          <w:sz w:val="24"/>
          <w:szCs w:val="24"/>
        </w:rPr>
        <w:t xml:space="preserve"> </w:t>
      </w:r>
      <w:r w:rsidR="004B47E3" w:rsidRPr="004B47E3">
        <w:rPr>
          <w:rFonts w:ascii="Arial" w:hAnsi="Arial" w:cs="Arial"/>
          <w:color w:val="000000" w:themeColor="text1"/>
          <w:sz w:val="24"/>
          <w:szCs w:val="24"/>
        </w:rPr>
        <w:t>Semi-Structured Interview Guide - Indian Premium Athleisure Consumers</w:t>
      </w:r>
    </w:p>
    <w:p w14:paraId="2189E2D7" w14:textId="250E6894" w:rsidR="004B47E3" w:rsidRPr="004B47E3" w:rsidRDefault="004B47E3" w:rsidP="004B47E3">
      <w:pPr>
        <w:rPr>
          <w:b/>
          <w:bCs/>
        </w:rPr>
      </w:pPr>
    </w:p>
    <w:p w14:paraId="7CFBE32C" w14:textId="41D00CB3" w:rsidR="00570708" w:rsidRPr="004B47E3" w:rsidRDefault="004B47E3" w:rsidP="004B47E3">
      <w:pPr>
        <w:rPr>
          <w:rFonts w:ascii="Arial" w:hAnsi="Arial" w:cs="Arial"/>
          <w:color w:val="000000" w:themeColor="text1"/>
        </w:rPr>
      </w:pPr>
      <w:r w:rsidRPr="004B47E3">
        <w:rPr>
          <w:rFonts w:ascii="Arial" w:hAnsi="Arial" w:cs="Arial"/>
          <w:color w:val="000000" w:themeColor="text1"/>
        </w:rPr>
        <w:t>Table B1. Interview Guide for Exploring Consumer Perceptions of Premium Athleisure in India</w:t>
      </w:r>
    </w:p>
    <w:tbl>
      <w:tblPr>
        <w:tblW w:w="0" w:type="auto"/>
        <w:tblCellSpacing w:w="15" w:type="dxa"/>
        <w:tblBorders>
          <w:insideH w:val="single" w:sz="8" w:space="0" w:color="EE0000"/>
          <w:insideV w:val="single" w:sz="8" w:space="0" w:color="EE0000"/>
        </w:tblBorders>
        <w:tblCellMar>
          <w:top w:w="15" w:type="dxa"/>
          <w:left w:w="15" w:type="dxa"/>
          <w:bottom w:w="15" w:type="dxa"/>
          <w:right w:w="15" w:type="dxa"/>
        </w:tblCellMar>
        <w:tblLook w:val="04A0" w:firstRow="1" w:lastRow="0" w:firstColumn="1" w:lastColumn="0" w:noHBand="0" w:noVBand="1"/>
      </w:tblPr>
      <w:tblGrid>
        <w:gridCol w:w="1146"/>
        <w:gridCol w:w="5144"/>
        <w:gridCol w:w="3070"/>
      </w:tblGrid>
      <w:tr w:rsidR="004B47E3" w:rsidRPr="004B47E3" w14:paraId="578FAEF5" w14:textId="77777777" w:rsidTr="004B47E3">
        <w:trPr>
          <w:tblHeader/>
          <w:tblCellSpacing w:w="15" w:type="dxa"/>
        </w:trPr>
        <w:tc>
          <w:tcPr>
            <w:tcW w:w="0" w:type="auto"/>
            <w:shd w:val="clear" w:color="auto" w:fill="E8E8E8" w:themeFill="background2"/>
            <w:vAlign w:val="center"/>
            <w:hideMark/>
          </w:tcPr>
          <w:p w14:paraId="39AEB277"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Question No.</w:t>
            </w:r>
          </w:p>
        </w:tc>
        <w:tc>
          <w:tcPr>
            <w:tcW w:w="0" w:type="auto"/>
            <w:shd w:val="clear" w:color="auto" w:fill="E8E8E8" w:themeFill="background2"/>
            <w:vAlign w:val="center"/>
            <w:hideMark/>
          </w:tcPr>
          <w:p w14:paraId="7E014296"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Interview Question</w:t>
            </w:r>
          </w:p>
        </w:tc>
        <w:tc>
          <w:tcPr>
            <w:tcW w:w="0" w:type="auto"/>
            <w:shd w:val="clear" w:color="auto" w:fill="E8E8E8" w:themeFill="background2"/>
            <w:vAlign w:val="center"/>
            <w:hideMark/>
          </w:tcPr>
          <w:p w14:paraId="11648003"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Purpose of the Question</w:t>
            </w:r>
          </w:p>
        </w:tc>
      </w:tr>
      <w:tr w:rsidR="004B47E3" w:rsidRPr="004B47E3" w14:paraId="019DDB69" w14:textId="77777777" w:rsidTr="004B47E3">
        <w:trPr>
          <w:tblCellSpacing w:w="15" w:type="dxa"/>
        </w:trPr>
        <w:tc>
          <w:tcPr>
            <w:tcW w:w="0" w:type="auto"/>
            <w:shd w:val="clear" w:color="auto" w:fill="E8E8E8" w:themeFill="background2"/>
            <w:vAlign w:val="center"/>
            <w:hideMark/>
          </w:tcPr>
          <w:p w14:paraId="3E37CBDD"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Q1</w:t>
            </w:r>
          </w:p>
        </w:tc>
        <w:tc>
          <w:tcPr>
            <w:tcW w:w="0" w:type="auto"/>
            <w:shd w:val="clear" w:color="auto" w:fill="E8E8E8" w:themeFill="background2"/>
            <w:vAlign w:val="center"/>
            <w:hideMark/>
          </w:tcPr>
          <w:p w14:paraId="7D94B579"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How would you describe your current approach to fitness, yoga and wellness in your daily life?</w:t>
            </w:r>
          </w:p>
        </w:tc>
        <w:tc>
          <w:tcPr>
            <w:tcW w:w="0" w:type="auto"/>
            <w:shd w:val="clear" w:color="auto" w:fill="E8E8E8" w:themeFill="background2"/>
            <w:vAlign w:val="center"/>
            <w:hideMark/>
          </w:tcPr>
          <w:p w14:paraId="4D02DB24"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Understand lifestyle context and wellness habits</w:t>
            </w:r>
          </w:p>
        </w:tc>
      </w:tr>
      <w:tr w:rsidR="004B47E3" w:rsidRPr="004B47E3" w14:paraId="55B3A315" w14:textId="77777777" w:rsidTr="004B47E3">
        <w:trPr>
          <w:tblCellSpacing w:w="15" w:type="dxa"/>
        </w:trPr>
        <w:tc>
          <w:tcPr>
            <w:tcW w:w="0" w:type="auto"/>
            <w:shd w:val="clear" w:color="auto" w:fill="E8E8E8" w:themeFill="background2"/>
            <w:vAlign w:val="center"/>
            <w:hideMark/>
          </w:tcPr>
          <w:p w14:paraId="1FF6EAC4"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Q2</w:t>
            </w:r>
          </w:p>
        </w:tc>
        <w:tc>
          <w:tcPr>
            <w:tcW w:w="0" w:type="auto"/>
            <w:shd w:val="clear" w:color="auto" w:fill="E8E8E8" w:themeFill="background2"/>
            <w:vAlign w:val="center"/>
            <w:hideMark/>
          </w:tcPr>
          <w:p w14:paraId="5E992DB4"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What brands do you currently associate with premium activewear or athleisure, and why?</w:t>
            </w:r>
          </w:p>
        </w:tc>
        <w:tc>
          <w:tcPr>
            <w:tcW w:w="0" w:type="auto"/>
            <w:shd w:val="clear" w:color="auto" w:fill="E8E8E8" w:themeFill="background2"/>
            <w:vAlign w:val="center"/>
            <w:hideMark/>
          </w:tcPr>
          <w:p w14:paraId="357B4931"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Identify perceived competitors and brand associations</w:t>
            </w:r>
          </w:p>
        </w:tc>
      </w:tr>
      <w:tr w:rsidR="004B47E3" w:rsidRPr="004B47E3" w14:paraId="2B0CD348" w14:textId="77777777" w:rsidTr="004B47E3">
        <w:trPr>
          <w:tblCellSpacing w:w="15" w:type="dxa"/>
        </w:trPr>
        <w:tc>
          <w:tcPr>
            <w:tcW w:w="0" w:type="auto"/>
            <w:shd w:val="clear" w:color="auto" w:fill="E8E8E8" w:themeFill="background2"/>
            <w:vAlign w:val="center"/>
            <w:hideMark/>
          </w:tcPr>
          <w:p w14:paraId="67844500"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Q3</w:t>
            </w:r>
          </w:p>
        </w:tc>
        <w:tc>
          <w:tcPr>
            <w:tcW w:w="0" w:type="auto"/>
            <w:shd w:val="clear" w:color="auto" w:fill="E8E8E8" w:themeFill="background2"/>
            <w:vAlign w:val="center"/>
            <w:hideMark/>
          </w:tcPr>
          <w:p w14:paraId="5858122D"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How important are factors such as fabric quality, comfort and performance when you choose sportswear?</w:t>
            </w:r>
          </w:p>
        </w:tc>
        <w:tc>
          <w:tcPr>
            <w:tcW w:w="0" w:type="auto"/>
            <w:shd w:val="clear" w:color="auto" w:fill="E8E8E8" w:themeFill="background2"/>
            <w:vAlign w:val="center"/>
            <w:hideMark/>
          </w:tcPr>
          <w:p w14:paraId="45BE27E2"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Assess value drivers and product expectations</w:t>
            </w:r>
          </w:p>
        </w:tc>
      </w:tr>
      <w:tr w:rsidR="004B47E3" w:rsidRPr="004B47E3" w14:paraId="7A78B854" w14:textId="77777777" w:rsidTr="004B47E3">
        <w:trPr>
          <w:tblCellSpacing w:w="15" w:type="dxa"/>
        </w:trPr>
        <w:tc>
          <w:tcPr>
            <w:tcW w:w="0" w:type="auto"/>
            <w:shd w:val="clear" w:color="auto" w:fill="E8E8E8" w:themeFill="background2"/>
            <w:vAlign w:val="center"/>
            <w:hideMark/>
          </w:tcPr>
          <w:p w14:paraId="26124441"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Q4</w:t>
            </w:r>
          </w:p>
        </w:tc>
        <w:tc>
          <w:tcPr>
            <w:tcW w:w="0" w:type="auto"/>
            <w:shd w:val="clear" w:color="auto" w:fill="E8E8E8" w:themeFill="background2"/>
            <w:vAlign w:val="center"/>
            <w:hideMark/>
          </w:tcPr>
          <w:p w14:paraId="25D135F3"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How do you feel about international brands entering India in categories connected to yoga and wellness?</w:t>
            </w:r>
          </w:p>
        </w:tc>
        <w:tc>
          <w:tcPr>
            <w:tcW w:w="0" w:type="auto"/>
            <w:shd w:val="clear" w:color="auto" w:fill="E8E8E8" w:themeFill="background2"/>
            <w:vAlign w:val="center"/>
            <w:hideMark/>
          </w:tcPr>
          <w:p w14:paraId="660F77ED"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Explore cultural perceptions and potential dissonance</w:t>
            </w:r>
          </w:p>
        </w:tc>
      </w:tr>
      <w:tr w:rsidR="004B47E3" w:rsidRPr="004B47E3" w14:paraId="7FD8A422" w14:textId="77777777" w:rsidTr="004B47E3">
        <w:trPr>
          <w:tblCellSpacing w:w="15" w:type="dxa"/>
        </w:trPr>
        <w:tc>
          <w:tcPr>
            <w:tcW w:w="0" w:type="auto"/>
            <w:shd w:val="clear" w:color="auto" w:fill="E8E8E8" w:themeFill="background2"/>
            <w:vAlign w:val="center"/>
            <w:hideMark/>
          </w:tcPr>
          <w:p w14:paraId="04446AAD"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Q5</w:t>
            </w:r>
          </w:p>
        </w:tc>
        <w:tc>
          <w:tcPr>
            <w:tcW w:w="0" w:type="auto"/>
            <w:shd w:val="clear" w:color="auto" w:fill="E8E8E8" w:themeFill="background2"/>
            <w:vAlign w:val="center"/>
            <w:hideMark/>
          </w:tcPr>
          <w:p w14:paraId="4FBD2193"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To what extent do sustainability and ethical sourcing influence your purchase decisions?</w:t>
            </w:r>
          </w:p>
        </w:tc>
        <w:tc>
          <w:tcPr>
            <w:tcW w:w="0" w:type="auto"/>
            <w:shd w:val="clear" w:color="auto" w:fill="E8E8E8" w:themeFill="background2"/>
            <w:vAlign w:val="center"/>
            <w:hideMark/>
          </w:tcPr>
          <w:p w14:paraId="25BDDD1F"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Gauge ethical and ESG sensitivity</w:t>
            </w:r>
          </w:p>
        </w:tc>
      </w:tr>
      <w:tr w:rsidR="004B47E3" w:rsidRPr="004B47E3" w14:paraId="280B2497" w14:textId="77777777" w:rsidTr="004B47E3">
        <w:trPr>
          <w:tblCellSpacing w:w="15" w:type="dxa"/>
        </w:trPr>
        <w:tc>
          <w:tcPr>
            <w:tcW w:w="0" w:type="auto"/>
            <w:shd w:val="clear" w:color="auto" w:fill="E8E8E8" w:themeFill="background2"/>
            <w:vAlign w:val="center"/>
            <w:hideMark/>
          </w:tcPr>
          <w:p w14:paraId="351D9D32"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Q6</w:t>
            </w:r>
          </w:p>
        </w:tc>
        <w:tc>
          <w:tcPr>
            <w:tcW w:w="0" w:type="auto"/>
            <w:shd w:val="clear" w:color="auto" w:fill="E8E8E8" w:themeFill="background2"/>
            <w:vAlign w:val="center"/>
            <w:hideMark/>
          </w:tcPr>
          <w:p w14:paraId="4C244FEB"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What would a brand need to offer for you to justify paying a premium price for activewear?</w:t>
            </w:r>
          </w:p>
        </w:tc>
        <w:tc>
          <w:tcPr>
            <w:tcW w:w="0" w:type="auto"/>
            <w:shd w:val="clear" w:color="auto" w:fill="E8E8E8" w:themeFill="background2"/>
            <w:vAlign w:val="center"/>
            <w:hideMark/>
          </w:tcPr>
          <w:p w14:paraId="281AD286" w14:textId="77777777" w:rsidR="004B47E3" w:rsidRPr="004B47E3" w:rsidRDefault="004B47E3" w:rsidP="004B47E3">
            <w:pPr>
              <w:rPr>
                <w:rFonts w:ascii="Arial" w:hAnsi="Arial" w:cs="Arial"/>
                <w:color w:val="000000" w:themeColor="text1"/>
              </w:rPr>
            </w:pPr>
            <w:r w:rsidRPr="004B47E3">
              <w:rPr>
                <w:rFonts w:ascii="Arial" w:hAnsi="Arial" w:cs="Arial"/>
                <w:color w:val="000000" w:themeColor="text1"/>
              </w:rPr>
              <w:t>Identify willingness to pay and differentiation levers</w:t>
            </w:r>
          </w:p>
        </w:tc>
      </w:tr>
    </w:tbl>
    <w:p w14:paraId="511E1F2A" w14:textId="48ED5B31" w:rsidR="00570708" w:rsidRPr="004B47E3" w:rsidRDefault="004B47E3" w:rsidP="007F66E2">
      <w:pPr>
        <w:rPr>
          <w:rFonts w:ascii="Arial" w:hAnsi="Arial" w:cs="Arial"/>
          <w:sz w:val="20"/>
          <w:szCs w:val="20"/>
        </w:rPr>
      </w:pPr>
      <w:r w:rsidRPr="004B47E3">
        <w:rPr>
          <w:rFonts w:ascii="Arial" w:hAnsi="Arial" w:cs="Arial"/>
          <w:sz w:val="20"/>
          <w:szCs w:val="20"/>
        </w:rPr>
        <w:t xml:space="preserve">Source: </w:t>
      </w:r>
      <w:r w:rsidR="00EC05AE" w:rsidRPr="00EC05AE">
        <w:rPr>
          <w:rFonts w:ascii="Arial" w:hAnsi="Arial" w:cs="Arial"/>
          <w:sz w:val="20"/>
          <w:szCs w:val="20"/>
        </w:rPr>
        <w:t>Author’s own work</w:t>
      </w:r>
      <w:r w:rsidR="00EC05AE">
        <w:rPr>
          <w:rFonts w:ascii="Arial" w:hAnsi="Arial" w:cs="Arial"/>
          <w:sz w:val="20"/>
          <w:szCs w:val="20"/>
        </w:rPr>
        <w:t>.</w:t>
      </w:r>
    </w:p>
    <w:p w14:paraId="57543585" w14:textId="77777777" w:rsidR="00570708" w:rsidRDefault="00570708" w:rsidP="007F66E2">
      <w:pPr>
        <w:rPr>
          <w:b/>
          <w:bCs/>
        </w:rPr>
      </w:pPr>
    </w:p>
    <w:p w14:paraId="1CA7A129" w14:textId="77777777" w:rsidR="00570708" w:rsidRDefault="00570708" w:rsidP="007F66E2">
      <w:pPr>
        <w:rPr>
          <w:b/>
          <w:bCs/>
        </w:rPr>
      </w:pPr>
    </w:p>
    <w:p w14:paraId="1F6F38D0" w14:textId="77777777" w:rsidR="00570708" w:rsidRDefault="00570708" w:rsidP="007F66E2">
      <w:pPr>
        <w:rPr>
          <w:b/>
          <w:bCs/>
        </w:rPr>
      </w:pPr>
    </w:p>
    <w:p w14:paraId="1216518A" w14:textId="77777777" w:rsidR="00570708" w:rsidRDefault="00570708" w:rsidP="007F66E2">
      <w:pPr>
        <w:rPr>
          <w:b/>
          <w:bCs/>
        </w:rPr>
      </w:pPr>
    </w:p>
    <w:p w14:paraId="058FF8C6" w14:textId="77777777" w:rsidR="00570708" w:rsidRDefault="00570708" w:rsidP="007F66E2">
      <w:pPr>
        <w:rPr>
          <w:b/>
          <w:bCs/>
        </w:rPr>
      </w:pPr>
    </w:p>
    <w:p w14:paraId="71A03AC3" w14:textId="77777777" w:rsidR="00570708" w:rsidRDefault="00570708" w:rsidP="007F66E2">
      <w:pPr>
        <w:rPr>
          <w:b/>
          <w:bCs/>
        </w:rPr>
      </w:pPr>
    </w:p>
    <w:p w14:paraId="068EAA55" w14:textId="77777777" w:rsidR="00570708" w:rsidRDefault="00570708" w:rsidP="007F66E2">
      <w:pPr>
        <w:rPr>
          <w:b/>
          <w:bCs/>
        </w:rPr>
      </w:pPr>
    </w:p>
    <w:p w14:paraId="08ABC82D" w14:textId="77777777" w:rsidR="00570708" w:rsidRDefault="00570708" w:rsidP="007F66E2">
      <w:pPr>
        <w:rPr>
          <w:b/>
          <w:bCs/>
        </w:rPr>
      </w:pPr>
    </w:p>
    <w:p w14:paraId="43EED75E" w14:textId="77777777" w:rsidR="00DC67F6" w:rsidRDefault="00DC67F6" w:rsidP="007F66E2">
      <w:pPr>
        <w:rPr>
          <w:b/>
          <w:bCs/>
        </w:rPr>
      </w:pPr>
    </w:p>
    <w:p w14:paraId="590442F6" w14:textId="77777777" w:rsidR="00B3560E" w:rsidRDefault="00B3560E" w:rsidP="007F66E2">
      <w:pPr>
        <w:rPr>
          <w:b/>
          <w:bCs/>
        </w:rPr>
      </w:pPr>
    </w:p>
    <w:p w14:paraId="7A5FAD8E" w14:textId="731E303C" w:rsidR="00B3560E" w:rsidRDefault="00B3560E" w:rsidP="00B3560E">
      <w:pPr>
        <w:rPr>
          <w:rFonts w:ascii="Arial" w:hAnsi="Arial" w:cs="Arial"/>
          <w:color w:val="000000" w:themeColor="text1"/>
          <w:sz w:val="24"/>
          <w:szCs w:val="24"/>
        </w:rPr>
      </w:pPr>
      <w:r w:rsidRPr="004B47E3">
        <w:rPr>
          <w:rFonts w:ascii="Arial" w:hAnsi="Arial" w:cs="Arial"/>
          <w:noProof/>
          <w:color w:val="000000" w:themeColor="text1"/>
          <w:sz w:val="24"/>
          <w:szCs w:val="24"/>
        </w:rPr>
        <w:lastRenderedPageBreak/>
        <mc:AlternateContent>
          <mc:Choice Requires="wps">
            <w:drawing>
              <wp:anchor distT="0" distB="0" distL="114300" distR="114300" simplePos="0" relativeHeight="251701248" behindDoc="0" locked="0" layoutInCell="1" allowOverlap="1" wp14:anchorId="62A30B06" wp14:editId="4E87AB1F">
                <wp:simplePos x="0" y="0"/>
                <wp:positionH relativeFrom="column">
                  <wp:posOffset>0</wp:posOffset>
                </wp:positionH>
                <wp:positionV relativeFrom="paragraph">
                  <wp:posOffset>229905</wp:posOffset>
                </wp:positionV>
                <wp:extent cx="3183255" cy="0"/>
                <wp:effectExtent l="0" t="0" r="0" b="0"/>
                <wp:wrapNone/>
                <wp:docPr id="1640678475" name="Straight Connector 4"/>
                <wp:cNvGraphicFramePr/>
                <a:graphic xmlns:a="http://schemas.openxmlformats.org/drawingml/2006/main">
                  <a:graphicData uri="http://schemas.microsoft.com/office/word/2010/wordprocessingShape">
                    <wps:wsp>
                      <wps:cNvCnPr/>
                      <wps:spPr>
                        <a:xfrm flipV="1">
                          <a:off x="0" y="0"/>
                          <a:ext cx="318325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1EBA08" id="Straight Connector 4"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8.1pt" to="250.6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" strokecolor="#ff4747" strokeweight=".5pt">
                <v:stroke joinstyle="miter"/>
              </v:line>
            </w:pict>
          </mc:Fallback>
        </mc:AlternateContent>
      </w:r>
      <w:r w:rsidRPr="00B3560E">
        <w:rPr>
          <w:rFonts w:ascii="Arial" w:hAnsi="Arial" w:cs="Arial"/>
          <w:color w:val="000000" w:themeColor="text1"/>
          <w:sz w:val="24"/>
          <w:szCs w:val="24"/>
        </w:rPr>
        <w:t>Appendix C</w:t>
      </w:r>
      <w:r>
        <w:rPr>
          <w:rFonts w:ascii="Arial" w:hAnsi="Arial" w:cs="Arial"/>
          <w:color w:val="000000" w:themeColor="text1"/>
          <w:sz w:val="24"/>
          <w:szCs w:val="24"/>
        </w:rPr>
        <w:t xml:space="preserve">: </w:t>
      </w:r>
      <w:r w:rsidRPr="00B3560E">
        <w:rPr>
          <w:rFonts w:ascii="Arial" w:hAnsi="Arial" w:cs="Arial"/>
          <w:color w:val="000000" w:themeColor="text1"/>
          <w:sz w:val="24"/>
          <w:szCs w:val="24"/>
        </w:rPr>
        <w:t xml:space="preserve">Graphs </w:t>
      </w:r>
      <w:r>
        <w:rPr>
          <w:rFonts w:ascii="Arial" w:hAnsi="Arial" w:cs="Arial"/>
          <w:color w:val="000000" w:themeColor="text1"/>
          <w:sz w:val="24"/>
          <w:szCs w:val="24"/>
        </w:rPr>
        <w:t>and</w:t>
      </w:r>
      <w:r w:rsidRPr="00B3560E">
        <w:rPr>
          <w:rFonts w:ascii="Arial" w:hAnsi="Arial" w:cs="Arial"/>
          <w:color w:val="000000" w:themeColor="text1"/>
          <w:sz w:val="24"/>
          <w:szCs w:val="24"/>
        </w:rPr>
        <w:t xml:space="preserve"> Secondary Data</w:t>
      </w:r>
    </w:p>
    <w:p w14:paraId="6F4170A8" w14:textId="286CDB1A" w:rsidR="00B3560E" w:rsidRPr="00B3560E" w:rsidRDefault="00B3560E" w:rsidP="00B3560E">
      <w:pPr>
        <w:rPr>
          <w:rFonts w:ascii="Arial" w:hAnsi="Arial" w:cs="Arial"/>
          <w:color w:val="000000" w:themeColor="text1"/>
          <w:sz w:val="24"/>
          <w:szCs w:val="24"/>
        </w:rPr>
      </w:pPr>
    </w:p>
    <w:p w14:paraId="4838DC7C" w14:textId="6E45BD67" w:rsidR="00DC67F6" w:rsidRPr="00B3560E" w:rsidRDefault="00B3560E" w:rsidP="007F66E2">
      <w:pPr>
        <w:rPr>
          <w:rFonts w:ascii="Arial" w:hAnsi="Arial" w:cs="Arial"/>
        </w:rPr>
      </w:pPr>
      <w:r w:rsidRPr="00B3560E">
        <w:rPr>
          <w:rFonts w:ascii="Arial" w:hAnsi="Arial" w:cs="Arial"/>
        </w:rPr>
        <w:t>Figure C1: India GDP Growth Forecast (2023–2030)</w:t>
      </w:r>
    </w:p>
    <w:bookmarkStart w:id="34" w:name="_MON_1825878029"/>
    <w:bookmarkEnd w:id="34"/>
    <w:p w14:paraId="734F0483" w14:textId="5132AAFB" w:rsidR="00DC67F6" w:rsidRDefault="0041158E" w:rsidP="007F66E2">
      <w:pPr>
        <w:rPr>
          <w:b/>
          <w:bCs/>
        </w:rPr>
      </w:pPr>
      <w:r>
        <w:rPr>
          <w:b/>
          <w:bCs/>
        </w:rPr>
        <w:object w:dxaOrig="10056" w:dyaOrig="6716" w14:anchorId="66B3AD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95pt;height:335.55pt" o:ole="">
            <v:imagedata r:id="rId23" o:title=""/>
          </v:shape>
          <o:OLEObject Type="Embed" ProgID="Excel.Sheet.12" ShapeID="_x0000_i1025" DrawAspect="Content" ObjectID="_1825928265" r:id="rId24"/>
        </w:object>
      </w:r>
    </w:p>
    <w:p w14:paraId="2D7DDC92" w14:textId="4C2DBD85" w:rsidR="0067179E" w:rsidRPr="001E46FE" w:rsidRDefault="001E46FE" w:rsidP="007F66E2">
      <w:pPr>
        <w:rPr>
          <w:rFonts w:ascii="Arial" w:hAnsi="Arial" w:cs="Arial"/>
          <w:sz w:val="20"/>
          <w:szCs w:val="20"/>
        </w:rPr>
      </w:pPr>
      <w:r w:rsidRPr="001E46FE">
        <w:rPr>
          <w:rFonts w:ascii="Arial" w:hAnsi="Arial" w:cs="Arial"/>
          <w:sz w:val="20"/>
          <w:szCs w:val="20"/>
        </w:rPr>
        <w:t>Source: Adapted from IMF (2025).</w:t>
      </w:r>
    </w:p>
    <w:p w14:paraId="62F3F672" w14:textId="77777777" w:rsidR="0067179E" w:rsidRDefault="0067179E" w:rsidP="007F66E2">
      <w:pPr>
        <w:rPr>
          <w:b/>
          <w:bCs/>
        </w:rPr>
      </w:pPr>
    </w:p>
    <w:p w14:paraId="43071555" w14:textId="77777777" w:rsidR="0067179E" w:rsidRDefault="0067179E" w:rsidP="007F66E2">
      <w:pPr>
        <w:rPr>
          <w:b/>
          <w:bCs/>
        </w:rPr>
      </w:pPr>
    </w:p>
    <w:p w14:paraId="43D9F5C2" w14:textId="77777777" w:rsidR="0067179E" w:rsidRDefault="0067179E" w:rsidP="007F66E2">
      <w:pPr>
        <w:rPr>
          <w:b/>
          <w:bCs/>
        </w:rPr>
      </w:pPr>
    </w:p>
    <w:p w14:paraId="300A4653" w14:textId="77777777" w:rsidR="0067179E" w:rsidRDefault="0067179E" w:rsidP="007F66E2">
      <w:pPr>
        <w:rPr>
          <w:b/>
          <w:bCs/>
        </w:rPr>
      </w:pPr>
    </w:p>
    <w:p w14:paraId="3748B2E0" w14:textId="77777777" w:rsidR="0067179E" w:rsidRDefault="0067179E" w:rsidP="007F66E2">
      <w:pPr>
        <w:rPr>
          <w:b/>
          <w:bCs/>
        </w:rPr>
      </w:pPr>
    </w:p>
    <w:p w14:paraId="3F129F02" w14:textId="77777777" w:rsidR="0067179E" w:rsidRDefault="0067179E" w:rsidP="007F66E2">
      <w:pPr>
        <w:rPr>
          <w:b/>
          <w:bCs/>
        </w:rPr>
      </w:pPr>
    </w:p>
    <w:p w14:paraId="4810B70A" w14:textId="77777777" w:rsidR="0067179E" w:rsidRDefault="0067179E" w:rsidP="007F66E2">
      <w:pPr>
        <w:rPr>
          <w:b/>
          <w:bCs/>
        </w:rPr>
      </w:pPr>
    </w:p>
    <w:p w14:paraId="04224A84" w14:textId="77777777" w:rsidR="0067179E" w:rsidRDefault="0067179E" w:rsidP="007F66E2">
      <w:pPr>
        <w:rPr>
          <w:b/>
          <w:bCs/>
        </w:rPr>
      </w:pPr>
    </w:p>
    <w:p w14:paraId="6E684E58" w14:textId="17F10A4F" w:rsidR="0067179E" w:rsidRPr="00A54C24" w:rsidRDefault="00B3560E" w:rsidP="007F66E2">
      <w:pPr>
        <w:rPr>
          <w:b/>
          <w:bCs/>
        </w:rPr>
      </w:pPr>
      <w:r w:rsidRPr="00B3560E">
        <w:rPr>
          <w:rFonts w:ascii="Arial" w:hAnsi="Arial" w:cs="Arial"/>
        </w:rPr>
        <w:lastRenderedPageBreak/>
        <w:t>Figure C2</w:t>
      </w:r>
      <w:r w:rsidRPr="00A54C24">
        <w:rPr>
          <w:rFonts w:ascii="Arial" w:hAnsi="Arial" w:cs="Arial"/>
        </w:rPr>
        <w:t>:</w:t>
      </w:r>
      <w:r w:rsidRPr="00B3560E">
        <w:rPr>
          <w:rFonts w:ascii="Arial" w:hAnsi="Arial" w:cs="Arial"/>
        </w:rPr>
        <w:t xml:space="preserve"> Indian Athleisure Market Size Forecast (2023–2030)</w:t>
      </w:r>
      <w:r w:rsidRPr="00B3560E">
        <w:rPr>
          <w:b/>
          <w:bCs/>
          <w:lang w:val="bg-BG"/>
        </w:rPr>
        <w:br/>
      </w:r>
    </w:p>
    <w:bookmarkStart w:id="35" w:name="_MON_1825879756"/>
    <w:bookmarkEnd w:id="35"/>
    <w:p w14:paraId="3A8E1398" w14:textId="78A0806E" w:rsidR="0067179E" w:rsidRDefault="0041158E" w:rsidP="007F66E2">
      <w:pPr>
        <w:rPr>
          <w:b/>
          <w:bCs/>
        </w:rPr>
      </w:pPr>
      <w:r>
        <w:rPr>
          <w:b/>
          <w:bCs/>
        </w:rPr>
        <w:object w:dxaOrig="10056" w:dyaOrig="4890" w14:anchorId="726A43CD">
          <v:shape id="_x0000_i1026" type="#_x0000_t75" style="width:501.95pt;height:244.55pt" o:ole="">
            <v:imagedata r:id="rId25" o:title=""/>
          </v:shape>
          <o:OLEObject Type="Embed" ProgID="Excel.Sheet.12" ShapeID="_x0000_i1026" DrawAspect="Content" ObjectID="_1825928266" r:id="rId26"/>
        </w:object>
      </w:r>
    </w:p>
    <w:p w14:paraId="49F0AAD7" w14:textId="55267BC4" w:rsidR="0067179E" w:rsidRPr="0041158E" w:rsidRDefault="0041158E" w:rsidP="007F66E2">
      <w:pPr>
        <w:rPr>
          <w:rFonts w:ascii="Arial" w:hAnsi="Arial" w:cs="Arial"/>
          <w:sz w:val="20"/>
          <w:szCs w:val="20"/>
        </w:rPr>
      </w:pPr>
      <w:r w:rsidRPr="0041158E">
        <w:rPr>
          <w:rFonts w:ascii="Arial" w:hAnsi="Arial" w:cs="Arial"/>
          <w:sz w:val="20"/>
          <w:szCs w:val="20"/>
        </w:rPr>
        <w:t>Source: Adapted from MarketLine (2023); Statista (2024).</w:t>
      </w:r>
    </w:p>
    <w:p w14:paraId="3ADE8FFC" w14:textId="77777777" w:rsidR="0067179E" w:rsidRDefault="0067179E" w:rsidP="007F66E2">
      <w:pPr>
        <w:rPr>
          <w:b/>
          <w:bCs/>
        </w:rPr>
      </w:pPr>
    </w:p>
    <w:p w14:paraId="39B370EA" w14:textId="77777777" w:rsidR="0067179E" w:rsidRDefault="0067179E" w:rsidP="007F66E2">
      <w:pPr>
        <w:rPr>
          <w:b/>
          <w:bCs/>
        </w:rPr>
      </w:pPr>
    </w:p>
    <w:p w14:paraId="4A0BF271" w14:textId="77777777" w:rsidR="00A54C24" w:rsidRDefault="00A54C24" w:rsidP="007F66E2">
      <w:pPr>
        <w:rPr>
          <w:b/>
          <w:bCs/>
        </w:rPr>
      </w:pPr>
    </w:p>
    <w:p w14:paraId="625176CB" w14:textId="77777777" w:rsidR="00A54C24" w:rsidRDefault="00A54C24" w:rsidP="007F66E2">
      <w:pPr>
        <w:rPr>
          <w:b/>
          <w:bCs/>
        </w:rPr>
      </w:pPr>
    </w:p>
    <w:p w14:paraId="39961659" w14:textId="77777777" w:rsidR="00A54C24" w:rsidRDefault="00A54C24" w:rsidP="007F66E2">
      <w:pPr>
        <w:rPr>
          <w:b/>
          <w:bCs/>
        </w:rPr>
      </w:pPr>
    </w:p>
    <w:p w14:paraId="41DB2D0D" w14:textId="77777777" w:rsidR="00A54C24" w:rsidRDefault="00A54C24" w:rsidP="007F66E2">
      <w:pPr>
        <w:rPr>
          <w:b/>
          <w:bCs/>
        </w:rPr>
      </w:pPr>
    </w:p>
    <w:p w14:paraId="38568B4A" w14:textId="77777777" w:rsidR="00A54C24" w:rsidRDefault="00A54C24" w:rsidP="007F66E2">
      <w:pPr>
        <w:rPr>
          <w:b/>
          <w:bCs/>
        </w:rPr>
      </w:pPr>
    </w:p>
    <w:p w14:paraId="55354794" w14:textId="77777777" w:rsidR="00A54C24" w:rsidRDefault="00A54C24" w:rsidP="007F66E2">
      <w:pPr>
        <w:rPr>
          <w:b/>
          <w:bCs/>
        </w:rPr>
      </w:pPr>
    </w:p>
    <w:p w14:paraId="5F6C52E0" w14:textId="77777777" w:rsidR="00A54C24" w:rsidRDefault="00A54C24" w:rsidP="007F66E2">
      <w:pPr>
        <w:rPr>
          <w:b/>
          <w:bCs/>
        </w:rPr>
      </w:pPr>
    </w:p>
    <w:p w14:paraId="73CBB53B" w14:textId="77777777" w:rsidR="00A54C24" w:rsidRDefault="00A54C24" w:rsidP="007F66E2">
      <w:pPr>
        <w:rPr>
          <w:b/>
          <w:bCs/>
        </w:rPr>
      </w:pPr>
    </w:p>
    <w:p w14:paraId="6C408EFB" w14:textId="77777777" w:rsidR="00A54C24" w:rsidRDefault="00A54C24" w:rsidP="007F66E2">
      <w:pPr>
        <w:rPr>
          <w:b/>
          <w:bCs/>
        </w:rPr>
      </w:pPr>
    </w:p>
    <w:p w14:paraId="172FB1DF" w14:textId="77777777" w:rsidR="00A54C24" w:rsidRDefault="00A54C24" w:rsidP="007F66E2">
      <w:pPr>
        <w:rPr>
          <w:b/>
          <w:bCs/>
        </w:rPr>
      </w:pPr>
    </w:p>
    <w:p w14:paraId="0F0E3F08" w14:textId="77777777" w:rsidR="00665ECA" w:rsidRDefault="00665ECA" w:rsidP="007F66E2">
      <w:pPr>
        <w:rPr>
          <w:b/>
          <w:bCs/>
        </w:rPr>
      </w:pPr>
    </w:p>
    <w:p w14:paraId="58C1D1F8" w14:textId="77777777" w:rsidR="00665ECA" w:rsidRDefault="00665ECA" w:rsidP="007F66E2">
      <w:pPr>
        <w:rPr>
          <w:b/>
          <w:bCs/>
        </w:rPr>
      </w:pPr>
    </w:p>
    <w:p w14:paraId="7460F04A" w14:textId="0C95F617" w:rsidR="00C76DE7" w:rsidRPr="0049646F" w:rsidRDefault="00A54C24" w:rsidP="007F66E2">
      <w:pPr>
        <w:rPr>
          <w:rFonts w:ascii="Arial" w:hAnsi="Arial" w:cs="Arial"/>
        </w:rPr>
      </w:pPr>
      <w:r w:rsidRPr="00A54C24">
        <w:rPr>
          <w:rFonts w:ascii="Arial" w:hAnsi="Arial" w:cs="Arial"/>
        </w:rPr>
        <w:lastRenderedPageBreak/>
        <w:t xml:space="preserve">Table C1. Summary of Key Market and Regulatory Indicators </w:t>
      </w:r>
      <w:r>
        <w:rPr>
          <w:rFonts w:ascii="Arial" w:hAnsi="Arial" w:cs="Arial"/>
        </w:rPr>
        <w:t>-</w:t>
      </w:r>
      <w:r w:rsidRPr="00A54C24">
        <w:rPr>
          <w:rFonts w:ascii="Arial" w:hAnsi="Arial" w:cs="Arial"/>
        </w:rPr>
        <w:t xml:space="preserve"> India</w:t>
      </w:r>
    </w:p>
    <w:tbl>
      <w:tblPr>
        <w:tblW w:w="0" w:type="auto"/>
        <w:tblCellSpacing w:w="15" w:type="dxa"/>
        <w:tblBorders>
          <w:top w:val="single" w:sz="8" w:space="0" w:color="EE0000"/>
          <w:bottom w:val="single" w:sz="8" w:space="0" w:color="EE0000"/>
          <w:insideH w:val="single" w:sz="8" w:space="0" w:color="EE0000"/>
          <w:insideV w:val="single" w:sz="8" w:space="0" w:color="EE0000"/>
        </w:tblBorders>
        <w:shd w:val="clear" w:color="auto" w:fill="E8E8E8" w:themeFill="background2"/>
        <w:tblCellMar>
          <w:top w:w="15" w:type="dxa"/>
          <w:left w:w="15" w:type="dxa"/>
          <w:bottom w:w="15" w:type="dxa"/>
          <w:right w:w="15" w:type="dxa"/>
        </w:tblCellMar>
        <w:tblLook w:val="04A0" w:firstRow="1" w:lastRow="0" w:firstColumn="1" w:lastColumn="0" w:noHBand="0" w:noVBand="1"/>
      </w:tblPr>
      <w:tblGrid>
        <w:gridCol w:w="1810"/>
        <w:gridCol w:w="3270"/>
        <w:gridCol w:w="2757"/>
        <w:gridCol w:w="1523"/>
      </w:tblGrid>
      <w:tr w:rsidR="00C76DE7" w:rsidRPr="00C76DE7" w14:paraId="2A5F453F" w14:textId="77777777" w:rsidTr="00C76DE7">
        <w:trPr>
          <w:tblHeader/>
          <w:tblCellSpacing w:w="15" w:type="dxa"/>
        </w:trPr>
        <w:tc>
          <w:tcPr>
            <w:tcW w:w="0" w:type="auto"/>
            <w:shd w:val="clear" w:color="auto" w:fill="E8E8E8" w:themeFill="background2"/>
            <w:vAlign w:val="center"/>
            <w:hideMark/>
          </w:tcPr>
          <w:p w14:paraId="2648F8B1"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Category</w:t>
            </w:r>
          </w:p>
        </w:tc>
        <w:tc>
          <w:tcPr>
            <w:tcW w:w="0" w:type="auto"/>
            <w:shd w:val="clear" w:color="auto" w:fill="E8E8E8" w:themeFill="background2"/>
            <w:vAlign w:val="center"/>
            <w:hideMark/>
          </w:tcPr>
          <w:p w14:paraId="587960D6"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Indicator / Data Point</w:t>
            </w:r>
          </w:p>
        </w:tc>
        <w:tc>
          <w:tcPr>
            <w:tcW w:w="0" w:type="auto"/>
            <w:shd w:val="clear" w:color="auto" w:fill="E8E8E8" w:themeFill="background2"/>
            <w:vAlign w:val="center"/>
            <w:hideMark/>
          </w:tcPr>
          <w:p w14:paraId="4384D6F8"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Value / Description</w:t>
            </w:r>
          </w:p>
        </w:tc>
        <w:tc>
          <w:tcPr>
            <w:tcW w:w="0" w:type="auto"/>
            <w:shd w:val="clear" w:color="auto" w:fill="E8E8E8" w:themeFill="background2"/>
            <w:vAlign w:val="center"/>
            <w:hideMark/>
          </w:tcPr>
          <w:p w14:paraId="5A37D124"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Source</w:t>
            </w:r>
          </w:p>
        </w:tc>
      </w:tr>
      <w:tr w:rsidR="00C76DE7" w:rsidRPr="00C76DE7" w14:paraId="177687F1" w14:textId="77777777" w:rsidTr="00C76DE7">
        <w:trPr>
          <w:tblCellSpacing w:w="15" w:type="dxa"/>
        </w:trPr>
        <w:tc>
          <w:tcPr>
            <w:tcW w:w="0" w:type="auto"/>
            <w:shd w:val="clear" w:color="auto" w:fill="E8E8E8" w:themeFill="background2"/>
            <w:vAlign w:val="center"/>
            <w:hideMark/>
          </w:tcPr>
          <w:p w14:paraId="23F03C55"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Economic Growth</w:t>
            </w:r>
          </w:p>
        </w:tc>
        <w:tc>
          <w:tcPr>
            <w:tcW w:w="0" w:type="auto"/>
            <w:shd w:val="clear" w:color="auto" w:fill="E8E8E8" w:themeFill="background2"/>
            <w:vAlign w:val="center"/>
            <w:hideMark/>
          </w:tcPr>
          <w:p w14:paraId="5247566E"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GDP Growth Forecast (2025)</w:t>
            </w:r>
          </w:p>
        </w:tc>
        <w:tc>
          <w:tcPr>
            <w:tcW w:w="0" w:type="auto"/>
            <w:shd w:val="clear" w:color="auto" w:fill="E8E8E8" w:themeFill="background2"/>
            <w:vAlign w:val="center"/>
            <w:hideMark/>
          </w:tcPr>
          <w:p w14:paraId="15CB93BA"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6.6%</w:t>
            </w:r>
          </w:p>
        </w:tc>
        <w:tc>
          <w:tcPr>
            <w:tcW w:w="0" w:type="auto"/>
            <w:shd w:val="clear" w:color="auto" w:fill="E8E8E8" w:themeFill="background2"/>
            <w:vAlign w:val="center"/>
            <w:hideMark/>
          </w:tcPr>
          <w:p w14:paraId="3DEF1146"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IMF (2025)</w:t>
            </w:r>
          </w:p>
        </w:tc>
      </w:tr>
      <w:tr w:rsidR="00C76DE7" w:rsidRPr="00C76DE7" w14:paraId="66AFE34C" w14:textId="77777777" w:rsidTr="00C76DE7">
        <w:trPr>
          <w:tblCellSpacing w:w="15" w:type="dxa"/>
        </w:trPr>
        <w:tc>
          <w:tcPr>
            <w:tcW w:w="0" w:type="auto"/>
            <w:shd w:val="clear" w:color="auto" w:fill="E8E8E8" w:themeFill="background2"/>
            <w:vAlign w:val="center"/>
            <w:hideMark/>
          </w:tcPr>
          <w:p w14:paraId="3949F667"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Market Size</w:t>
            </w:r>
          </w:p>
        </w:tc>
        <w:tc>
          <w:tcPr>
            <w:tcW w:w="0" w:type="auto"/>
            <w:shd w:val="clear" w:color="auto" w:fill="E8E8E8" w:themeFill="background2"/>
            <w:vAlign w:val="center"/>
            <w:hideMark/>
          </w:tcPr>
          <w:p w14:paraId="657E9CB1"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Athleisure Market (2030)</w:t>
            </w:r>
          </w:p>
        </w:tc>
        <w:tc>
          <w:tcPr>
            <w:tcW w:w="0" w:type="auto"/>
            <w:shd w:val="clear" w:color="auto" w:fill="E8E8E8" w:themeFill="background2"/>
            <w:vAlign w:val="center"/>
            <w:hideMark/>
          </w:tcPr>
          <w:p w14:paraId="454E12E2"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$29.9 billion</w:t>
            </w:r>
          </w:p>
        </w:tc>
        <w:tc>
          <w:tcPr>
            <w:tcW w:w="0" w:type="auto"/>
            <w:shd w:val="clear" w:color="auto" w:fill="E8E8E8" w:themeFill="background2"/>
            <w:vAlign w:val="center"/>
            <w:hideMark/>
          </w:tcPr>
          <w:p w14:paraId="5F37471C"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MarketLine (2023)</w:t>
            </w:r>
          </w:p>
        </w:tc>
      </w:tr>
      <w:tr w:rsidR="00C76DE7" w:rsidRPr="00C76DE7" w14:paraId="58991370" w14:textId="77777777" w:rsidTr="00C76DE7">
        <w:trPr>
          <w:tblCellSpacing w:w="15" w:type="dxa"/>
        </w:trPr>
        <w:tc>
          <w:tcPr>
            <w:tcW w:w="0" w:type="auto"/>
            <w:shd w:val="clear" w:color="auto" w:fill="E8E8E8" w:themeFill="background2"/>
            <w:vAlign w:val="center"/>
            <w:hideMark/>
          </w:tcPr>
          <w:p w14:paraId="04AFCA8E"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Market Growth</w:t>
            </w:r>
          </w:p>
        </w:tc>
        <w:tc>
          <w:tcPr>
            <w:tcW w:w="0" w:type="auto"/>
            <w:shd w:val="clear" w:color="auto" w:fill="E8E8E8" w:themeFill="background2"/>
            <w:vAlign w:val="center"/>
            <w:hideMark/>
          </w:tcPr>
          <w:p w14:paraId="66FA6B4C" w14:textId="28BF3D38" w:rsidR="00C76DE7" w:rsidRPr="00C76DE7" w:rsidRDefault="00C76DE7" w:rsidP="00C76DE7">
            <w:pPr>
              <w:rPr>
                <w:rFonts w:ascii="Arial" w:hAnsi="Arial" w:cs="Arial"/>
                <w:color w:val="000000" w:themeColor="text1"/>
              </w:rPr>
            </w:pPr>
            <w:r>
              <w:rPr>
                <w:rFonts w:ascii="Arial" w:hAnsi="Arial" w:cs="Arial"/>
                <w:color w:val="000000" w:themeColor="text1"/>
              </w:rPr>
              <w:t>Aggregate</w:t>
            </w:r>
            <w:r w:rsidRPr="00C76DE7">
              <w:rPr>
                <w:rFonts w:ascii="Arial" w:hAnsi="Arial" w:cs="Arial"/>
                <w:color w:val="000000" w:themeColor="text1"/>
              </w:rPr>
              <w:t xml:space="preserve"> CAGR (2023</w:t>
            </w:r>
            <w:r>
              <w:rPr>
                <w:rFonts w:ascii="Arial" w:hAnsi="Arial" w:cs="Arial"/>
                <w:color w:val="000000" w:themeColor="text1"/>
              </w:rPr>
              <w:t>-</w:t>
            </w:r>
            <w:r w:rsidRPr="00C76DE7">
              <w:rPr>
                <w:rFonts w:ascii="Arial" w:hAnsi="Arial" w:cs="Arial"/>
                <w:color w:val="000000" w:themeColor="text1"/>
              </w:rPr>
              <w:t>2030)</w:t>
            </w:r>
          </w:p>
        </w:tc>
        <w:tc>
          <w:tcPr>
            <w:tcW w:w="0" w:type="auto"/>
            <w:shd w:val="clear" w:color="auto" w:fill="E8E8E8" w:themeFill="background2"/>
            <w:vAlign w:val="center"/>
            <w:hideMark/>
          </w:tcPr>
          <w:p w14:paraId="2FF327EA"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12.5%</w:t>
            </w:r>
          </w:p>
        </w:tc>
        <w:tc>
          <w:tcPr>
            <w:tcW w:w="0" w:type="auto"/>
            <w:shd w:val="clear" w:color="auto" w:fill="E8E8E8" w:themeFill="background2"/>
            <w:vAlign w:val="center"/>
            <w:hideMark/>
          </w:tcPr>
          <w:p w14:paraId="1E4F05AA"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Statista (2024)</w:t>
            </w:r>
          </w:p>
        </w:tc>
      </w:tr>
      <w:tr w:rsidR="00C76DE7" w:rsidRPr="00C76DE7" w14:paraId="4F875913" w14:textId="77777777" w:rsidTr="00C76DE7">
        <w:trPr>
          <w:tblCellSpacing w:w="15" w:type="dxa"/>
        </w:trPr>
        <w:tc>
          <w:tcPr>
            <w:tcW w:w="0" w:type="auto"/>
            <w:shd w:val="clear" w:color="auto" w:fill="E8E8E8" w:themeFill="background2"/>
            <w:vAlign w:val="center"/>
            <w:hideMark/>
          </w:tcPr>
          <w:p w14:paraId="038B90E0"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Demographics</w:t>
            </w:r>
          </w:p>
        </w:tc>
        <w:tc>
          <w:tcPr>
            <w:tcW w:w="0" w:type="auto"/>
            <w:shd w:val="clear" w:color="auto" w:fill="E8E8E8" w:themeFill="background2"/>
            <w:vAlign w:val="center"/>
            <w:hideMark/>
          </w:tcPr>
          <w:p w14:paraId="1C41850B" w14:textId="6A259C13" w:rsidR="00C76DE7" w:rsidRPr="00C76DE7" w:rsidRDefault="00C76DE7" w:rsidP="00C76DE7">
            <w:pPr>
              <w:rPr>
                <w:rFonts w:ascii="Arial" w:hAnsi="Arial" w:cs="Arial"/>
                <w:color w:val="000000" w:themeColor="text1"/>
              </w:rPr>
            </w:pPr>
            <w:r w:rsidRPr="00C76DE7">
              <w:rPr>
                <w:rFonts w:ascii="Arial" w:hAnsi="Arial" w:cs="Arial"/>
                <w:color w:val="000000" w:themeColor="text1"/>
              </w:rPr>
              <w:t>Share of population underage 35</w:t>
            </w:r>
          </w:p>
        </w:tc>
        <w:tc>
          <w:tcPr>
            <w:tcW w:w="0" w:type="auto"/>
            <w:shd w:val="clear" w:color="auto" w:fill="E8E8E8" w:themeFill="background2"/>
            <w:vAlign w:val="center"/>
            <w:hideMark/>
          </w:tcPr>
          <w:p w14:paraId="1899BC28"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65%</w:t>
            </w:r>
          </w:p>
        </w:tc>
        <w:tc>
          <w:tcPr>
            <w:tcW w:w="0" w:type="auto"/>
            <w:shd w:val="clear" w:color="auto" w:fill="E8E8E8" w:themeFill="background2"/>
            <w:vAlign w:val="center"/>
            <w:hideMark/>
          </w:tcPr>
          <w:p w14:paraId="5CD4171B"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NITI Aayog (2023)</w:t>
            </w:r>
          </w:p>
        </w:tc>
      </w:tr>
      <w:tr w:rsidR="00C76DE7" w:rsidRPr="00C76DE7" w14:paraId="1A19EA30" w14:textId="77777777" w:rsidTr="00C76DE7">
        <w:trPr>
          <w:tblCellSpacing w:w="15" w:type="dxa"/>
        </w:trPr>
        <w:tc>
          <w:tcPr>
            <w:tcW w:w="0" w:type="auto"/>
            <w:shd w:val="clear" w:color="auto" w:fill="E8E8E8" w:themeFill="background2"/>
            <w:vAlign w:val="center"/>
            <w:hideMark/>
          </w:tcPr>
          <w:p w14:paraId="167107D2"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Urbanisation</w:t>
            </w:r>
          </w:p>
        </w:tc>
        <w:tc>
          <w:tcPr>
            <w:tcW w:w="0" w:type="auto"/>
            <w:shd w:val="clear" w:color="auto" w:fill="E8E8E8" w:themeFill="background2"/>
            <w:vAlign w:val="center"/>
            <w:hideMark/>
          </w:tcPr>
          <w:p w14:paraId="0945B592"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Urban population (2024)</w:t>
            </w:r>
          </w:p>
        </w:tc>
        <w:tc>
          <w:tcPr>
            <w:tcW w:w="0" w:type="auto"/>
            <w:shd w:val="clear" w:color="auto" w:fill="E8E8E8" w:themeFill="background2"/>
            <w:vAlign w:val="center"/>
            <w:hideMark/>
          </w:tcPr>
          <w:p w14:paraId="525350F2"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36% but rising</w:t>
            </w:r>
          </w:p>
        </w:tc>
        <w:tc>
          <w:tcPr>
            <w:tcW w:w="0" w:type="auto"/>
            <w:shd w:val="clear" w:color="auto" w:fill="E8E8E8" w:themeFill="background2"/>
            <w:vAlign w:val="center"/>
            <w:hideMark/>
          </w:tcPr>
          <w:p w14:paraId="61552283"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World Bank (2023)</w:t>
            </w:r>
          </w:p>
        </w:tc>
      </w:tr>
      <w:tr w:rsidR="00C76DE7" w:rsidRPr="00C76DE7" w14:paraId="31FA8CB5" w14:textId="77777777" w:rsidTr="00C76DE7">
        <w:trPr>
          <w:tblCellSpacing w:w="15" w:type="dxa"/>
        </w:trPr>
        <w:tc>
          <w:tcPr>
            <w:tcW w:w="0" w:type="auto"/>
            <w:shd w:val="clear" w:color="auto" w:fill="E8E8E8" w:themeFill="background2"/>
            <w:vAlign w:val="center"/>
            <w:hideMark/>
          </w:tcPr>
          <w:p w14:paraId="6F39EACF"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Digital Penetration</w:t>
            </w:r>
          </w:p>
        </w:tc>
        <w:tc>
          <w:tcPr>
            <w:tcW w:w="0" w:type="auto"/>
            <w:shd w:val="clear" w:color="auto" w:fill="E8E8E8" w:themeFill="background2"/>
            <w:vAlign w:val="center"/>
            <w:hideMark/>
          </w:tcPr>
          <w:p w14:paraId="1BF1E9F5"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Active internet users</w:t>
            </w:r>
          </w:p>
        </w:tc>
        <w:tc>
          <w:tcPr>
            <w:tcW w:w="0" w:type="auto"/>
            <w:shd w:val="clear" w:color="auto" w:fill="E8E8E8" w:themeFill="background2"/>
            <w:vAlign w:val="center"/>
            <w:hideMark/>
          </w:tcPr>
          <w:p w14:paraId="2AA91F11"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&gt;800 million</w:t>
            </w:r>
          </w:p>
        </w:tc>
        <w:tc>
          <w:tcPr>
            <w:tcW w:w="0" w:type="auto"/>
            <w:shd w:val="clear" w:color="auto" w:fill="E8E8E8" w:themeFill="background2"/>
            <w:vAlign w:val="center"/>
            <w:hideMark/>
          </w:tcPr>
          <w:p w14:paraId="35199875"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KPMG (2023)</w:t>
            </w:r>
          </w:p>
        </w:tc>
      </w:tr>
      <w:tr w:rsidR="00C76DE7" w:rsidRPr="00C76DE7" w14:paraId="61185164" w14:textId="77777777" w:rsidTr="00C76DE7">
        <w:trPr>
          <w:tblCellSpacing w:w="15" w:type="dxa"/>
        </w:trPr>
        <w:tc>
          <w:tcPr>
            <w:tcW w:w="0" w:type="auto"/>
            <w:shd w:val="clear" w:color="auto" w:fill="E8E8E8" w:themeFill="background2"/>
            <w:vAlign w:val="center"/>
            <w:hideMark/>
          </w:tcPr>
          <w:p w14:paraId="73F4CB2D"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FDI Policy</w:t>
            </w:r>
          </w:p>
        </w:tc>
        <w:tc>
          <w:tcPr>
            <w:tcW w:w="0" w:type="auto"/>
            <w:shd w:val="clear" w:color="auto" w:fill="E8E8E8" w:themeFill="background2"/>
            <w:vAlign w:val="center"/>
            <w:hideMark/>
          </w:tcPr>
          <w:p w14:paraId="11236BDF"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Local sourcing requirement (single-brand retail)</w:t>
            </w:r>
          </w:p>
        </w:tc>
        <w:tc>
          <w:tcPr>
            <w:tcW w:w="0" w:type="auto"/>
            <w:shd w:val="clear" w:color="auto" w:fill="E8E8E8" w:themeFill="background2"/>
            <w:vAlign w:val="center"/>
            <w:hideMark/>
          </w:tcPr>
          <w:p w14:paraId="16EDFA7E"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30% from domestic MSMEs</w:t>
            </w:r>
          </w:p>
        </w:tc>
        <w:tc>
          <w:tcPr>
            <w:tcW w:w="0" w:type="auto"/>
            <w:shd w:val="clear" w:color="auto" w:fill="E8E8E8" w:themeFill="background2"/>
            <w:vAlign w:val="center"/>
            <w:hideMark/>
          </w:tcPr>
          <w:p w14:paraId="42AF7B41"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DPIIT (2018)</w:t>
            </w:r>
          </w:p>
        </w:tc>
      </w:tr>
      <w:tr w:rsidR="00C76DE7" w:rsidRPr="00C76DE7" w14:paraId="2402F0A1" w14:textId="77777777" w:rsidTr="00C76DE7">
        <w:trPr>
          <w:tblCellSpacing w:w="15" w:type="dxa"/>
        </w:trPr>
        <w:tc>
          <w:tcPr>
            <w:tcW w:w="0" w:type="auto"/>
            <w:shd w:val="clear" w:color="auto" w:fill="E8E8E8" w:themeFill="background2"/>
            <w:vAlign w:val="center"/>
            <w:hideMark/>
          </w:tcPr>
          <w:p w14:paraId="7CF74EED"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ESG Regulation</w:t>
            </w:r>
          </w:p>
        </w:tc>
        <w:tc>
          <w:tcPr>
            <w:tcW w:w="0" w:type="auto"/>
            <w:shd w:val="clear" w:color="auto" w:fill="E8E8E8" w:themeFill="background2"/>
            <w:vAlign w:val="center"/>
            <w:hideMark/>
          </w:tcPr>
          <w:p w14:paraId="369BE5FD" w14:textId="366F0275" w:rsidR="00C76DE7" w:rsidRPr="00C76DE7" w:rsidRDefault="00C76DE7" w:rsidP="00C76DE7">
            <w:pPr>
              <w:rPr>
                <w:rFonts w:ascii="Arial" w:hAnsi="Arial" w:cs="Arial"/>
                <w:color w:val="000000" w:themeColor="text1"/>
              </w:rPr>
            </w:pPr>
            <w:r w:rsidRPr="00C76DE7">
              <w:rPr>
                <w:rFonts w:ascii="Arial" w:hAnsi="Arial" w:cs="Arial"/>
                <w:color w:val="000000" w:themeColor="text1"/>
              </w:rPr>
              <w:t xml:space="preserve">EPR textile </w:t>
            </w:r>
            <w:r>
              <w:rPr>
                <w:rFonts w:ascii="Arial" w:hAnsi="Arial" w:cs="Arial"/>
                <w:color w:val="000000" w:themeColor="text1"/>
              </w:rPr>
              <w:t>and</w:t>
            </w:r>
            <w:r w:rsidRPr="00C76DE7">
              <w:rPr>
                <w:rFonts w:ascii="Arial" w:hAnsi="Arial" w:cs="Arial"/>
                <w:color w:val="000000" w:themeColor="text1"/>
              </w:rPr>
              <w:t xml:space="preserve"> packaging waste compliance</w:t>
            </w:r>
          </w:p>
        </w:tc>
        <w:tc>
          <w:tcPr>
            <w:tcW w:w="0" w:type="auto"/>
            <w:shd w:val="clear" w:color="auto" w:fill="E8E8E8" w:themeFill="background2"/>
            <w:vAlign w:val="center"/>
            <w:hideMark/>
          </w:tcPr>
          <w:p w14:paraId="15D2F98C"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Mandatory</w:t>
            </w:r>
          </w:p>
        </w:tc>
        <w:tc>
          <w:tcPr>
            <w:tcW w:w="0" w:type="auto"/>
            <w:shd w:val="clear" w:color="auto" w:fill="E8E8E8" w:themeFill="background2"/>
            <w:vAlign w:val="center"/>
            <w:hideMark/>
          </w:tcPr>
          <w:p w14:paraId="59BC3325"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MoEFCC (2022)</w:t>
            </w:r>
          </w:p>
        </w:tc>
      </w:tr>
      <w:tr w:rsidR="00C76DE7" w:rsidRPr="00C76DE7" w14:paraId="21B67BFA" w14:textId="77777777" w:rsidTr="00C76DE7">
        <w:trPr>
          <w:tblCellSpacing w:w="15" w:type="dxa"/>
        </w:trPr>
        <w:tc>
          <w:tcPr>
            <w:tcW w:w="0" w:type="auto"/>
            <w:shd w:val="clear" w:color="auto" w:fill="E8E8E8" w:themeFill="background2"/>
            <w:vAlign w:val="center"/>
            <w:hideMark/>
          </w:tcPr>
          <w:p w14:paraId="1FD61054"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Consumer Sentiment</w:t>
            </w:r>
          </w:p>
        </w:tc>
        <w:tc>
          <w:tcPr>
            <w:tcW w:w="0" w:type="auto"/>
            <w:shd w:val="clear" w:color="auto" w:fill="E8E8E8" w:themeFill="background2"/>
            <w:vAlign w:val="center"/>
            <w:hideMark/>
          </w:tcPr>
          <w:p w14:paraId="723D3710"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 consumers preferring sustainable premium activewear</w:t>
            </w:r>
          </w:p>
        </w:tc>
        <w:tc>
          <w:tcPr>
            <w:tcW w:w="0" w:type="auto"/>
            <w:shd w:val="clear" w:color="auto" w:fill="E8E8E8" w:themeFill="background2"/>
            <w:vAlign w:val="center"/>
            <w:hideMark/>
          </w:tcPr>
          <w:p w14:paraId="317644C5"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41%</w:t>
            </w:r>
          </w:p>
        </w:tc>
        <w:tc>
          <w:tcPr>
            <w:tcW w:w="0" w:type="auto"/>
            <w:shd w:val="clear" w:color="auto" w:fill="E8E8E8" w:themeFill="background2"/>
            <w:vAlign w:val="center"/>
            <w:hideMark/>
          </w:tcPr>
          <w:p w14:paraId="2138F908"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ET Retail (2023)</w:t>
            </w:r>
          </w:p>
        </w:tc>
      </w:tr>
      <w:tr w:rsidR="00C76DE7" w:rsidRPr="00C76DE7" w14:paraId="02AA3730" w14:textId="77777777" w:rsidTr="00C76DE7">
        <w:trPr>
          <w:tblCellSpacing w:w="15" w:type="dxa"/>
        </w:trPr>
        <w:tc>
          <w:tcPr>
            <w:tcW w:w="0" w:type="auto"/>
            <w:shd w:val="clear" w:color="auto" w:fill="E8E8E8" w:themeFill="background2"/>
            <w:vAlign w:val="center"/>
            <w:hideMark/>
          </w:tcPr>
          <w:p w14:paraId="70BEF804"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Competition</w:t>
            </w:r>
          </w:p>
        </w:tc>
        <w:tc>
          <w:tcPr>
            <w:tcW w:w="0" w:type="auto"/>
            <w:shd w:val="clear" w:color="auto" w:fill="E8E8E8" w:themeFill="background2"/>
            <w:vAlign w:val="center"/>
            <w:hideMark/>
          </w:tcPr>
          <w:p w14:paraId="693D9541" w14:textId="47BF655F" w:rsidR="00C76DE7" w:rsidRPr="00C76DE7" w:rsidRDefault="00C76DE7" w:rsidP="00C76DE7">
            <w:pPr>
              <w:rPr>
                <w:rFonts w:ascii="Arial" w:hAnsi="Arial" w:cs="Arial"/>
                <w:color w:val="000000" w:themeColor="text1"/>
              </w:rPr>
            </w:pPr>
            <w:r>
              <w:rPr>
                <w:rFonts w:ascii="Arial" w:hAnsi="Arial" w:cs="Arial"/>
                <w:color w:val="000000" w:themeColor="text1"/>
              </w:rPr>
              <w:t>Nike's</w:t>
            </w:r>
            <w:r w:rsidRPr="00C76DE7">
              <w:rPr>
                <w:rFonts w:ascii="Arial" w:hAnsi="Arial" w:cs="Arial"/>
                <w:color w:val="000000" w:themeColor="text1"/>
              </w:rPr>
              <w:t xml:space="preserve"> market share in India</w:t>
            </w:r>
          </w:p>
        </w:tc>
        <w:tc>
          <w:tcPr>
            <w:tcW w:w="0" w:type="auto"/>
            <w:shd w:val="clear" w:color="auto" w:fill="E8E8E8" w:themeFill="background2"/>
            <w:vAlign w:val="center"/>
            <w:hideMark/>
          </w:tcPr>
          <w:p w14:paraId="7A93DCB7"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~27%</w:t>
            </w:r>
          </w:p>
        </w:tc>
        <w:tc>
          <w:tcPr>
            <w:tcW w:w="0" w:type="auto"/>
            <w:shd w:val="clear" w:color="auto" w:fill="E8E8E8" w:themeFill="background2"/>
            <w:vAlign w:val="center"/>
            <w:hideMark/>
          </w:tcPr>
          <w:p w14:paraId="15874D39"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Redseer (2023)</w:t>
            </w:r>
          </w:p>
        </w:tc>
      </w:tr>
      <w:tr w:rsidR="00C76DE7" w:rsidRPr="00C76DE7" w14:paraId="04DA8BF4" w14:textId="77777777" w:rsidTr="00C76DE7">
        <w:trPr>
          <w:tblCellSpacing w:w="15" w:type="dxa"/>
        </w:trPr>
        <w:tc>
          <w:tcPr>
            <w:tcW w:w="0" w:type="auto"/>
            <w:shd w:val="clear" w:color="auto" w:fill="E8E8E8" w:themeFill="background2"/>
            <w:vAlign w:val="center"/>
            <w:hideMark/>
          </w:tcPr>
          <w:p w14:paraId="5713D7BF"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Price Sensitivity</w:t>
            </w:r>
          </w:p>
        </w:tc>
        <w:tc>
          <w:tcPr>
            <w:tcW w:w="0" w:type="auto"/>
            <w:shd w:val="clear" w:color="auto" w:fill="E8E8E8" w:themeFill="background2"/>
            <w:vAlign w:val="center"/>
            <w:hideMark/>
          </w:tcPr>
          <w:p w14:paraId="2F4893C8"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Median disposable income (urban Tier 1)</w:t>
            </w:r>
          </w:p>
        </w:tc>
        <w:tc>
          <w:tcPr>
            <w:tcW w:w="0" w:type="auto"/>
            <w:shd w:val="clear" w:color="auto" w:fill="E8E8E8" w:themeFill="background2"/>
            <w:vAlign w:val="center"/>
            <w:hideMark/>
          </w:tcPr>
          <w:p w14:paraId="0E5A1E86"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Growing ~12% YoY but still highly price elastic</w:t>
            </w:r>
          </w:p>
        </w:tc>
        <w:tc>
          <w:tcPr>
            <w:tcW w:w="0" w:type="auto"/>
            <w:shd w:val="clear" w:color="auto" w:fill="E8E8E8" w:themeFill="background2"/>
            <w:vAlign w:val="center"/>
            <w:hideMark/>
          </w:tcPr>
          <w:p w14:paraId="3251BD5E" w14:textId="77777777" w:rsidR="00C76DE7" w:rsidRPr="00C76DE7" w:rsidRDefault="00C76DE7" w:rsidP="00C76DE7">
            <w:pPr>
              <w:rPr>
                <w:rFonts w:ascii="Arial" w:hAnsi="Arial" w:cs="Arial"/>
                <w:color w:val="000000" w:themeColor="text1"/>
              </w:rPr>
            </w:pPr>
            <w:r w:rsidRPr="00C76DE7">
              <w:rPr>
                <w:rFonts w:ascii="Arial" w:hAnsi="Arial" w:cs="Arial"/>
                <w:color w:val="000000" w:themeColor="text1"/>
              </w:rPr>
              <w:t>Statista (2024)</w:t>
            </w:r>
          </w:p>
        </w:tc>
      </w:tr>
    </w:tbl>
    <w:p w14:paraId="4B5F787F" w14:textId="77777777" w:rsidR="00A54C24" w:rsidRPr="00A54C24" w:rsidRDefault="00A54C24" w:rsidP="00A54C24">
      <w:pPr>
        <w:rPr>
          <w:rFonts w:ascii="Arial" w:hAnsi="Arial" w:cs="Arial"/>
          <w:sz w:val="20"/>
          <w:szCs w:val="20"/>
        </w:rPr>
      </w:pPr>
      <w:r w:rsidRPr="00A54C24">
        <w:rPr>
          <w:rFonts w:ascii="Arial" w:hAnsi="Arial" w:cs="Arial"/>
          <w:sz w:val="20"/>
          <w:szCs w:val="20"/>
        </w:rPr>
        <w:t>Source: IMF 2025; MarketLine 2023; NITI Aayog 2023; DPIIT 2018; MoEFCC 2022; KPMG 2023.</w:t>
      </w:r>
    </w:p>
    <w:p w14:paraId="079B07EA" w14:textId="77777777" w:rsidR="00C76DE7" w:rsidRDefault="00C76DE7" w:rsidP="007F66E2">
      <w:pPr>
        <w:rPr>
          <w:b/>
          <w:bCs/>
        </w:rPr>
      </w:pPr>
    </w:p>
    <w:p w14:paraId="733E1C6B" w14:textId="77777777" w:rsidR="0067179E" w:rsidRDefault="0067179E" w:rsidP="007F66E2">
      <w:pPr>
        <w:rPr>
          <w:b/>
          <w:bCs/>
        </w:rPr>
      </w:pPr>
    </w:p>
    <w:p w14:paraId="7A14FD1A" w14:textId="77777777" w:rsidR="0067179E" w:rsidRDefault="0067179E" w:rsidP="007F66E2">
      <w:pPr>
        <w:rPr>
          <w:b/>
          <w:bCs/>
        </w:rPr>
      </w:pPr>
    </w:p>
    <w:p w14:paraId="3F323F5B" w14:textId="77777777" w:rsidR="00110309" w:rsidRDefault="00110309" w:rsidP="007F66E2">
      <w:pPr>
        <w:rPr>
          <w:b/>
          <w:bCs/>
        </w:rPr>
      </w:pPr>
    </w:p>
    <w:p w14:paraId="1901D9AE" w14:textId="77777777" w:rsidR="00110309" w:rsidRDefault="00110309" w:rsidP="007F66E2">
      <w:pPr>
        <w:rPr>
          <w:b/>
          <w:bCs/>
        </w:rPr>
      </w:pPr>
    </w:p>
    <w:p w14:paraId="64C1E220" w14:textId="57264A0C" w:rsidR="004D18AE" w:rsidRDefault="004D18AE" w:rsidP="004D18AE">
      <w:pPr>
        <w:rPr>
          <w:rFonts w:ascii="Arial" w:hAnsi="Arial" w:cs="Arial"/>
          <w:color w:val="000000" w:themeColor="text1"/>
          <w:sz w:val="24"/>
          <w:szCs w:val="24"/>
        </w:rPr>
      </w:pPr>
      <w:r w:rsidRPr="004B47E3">
        <w:rPr>
          <w:rFonts w:ascii="Arial" w:hAnsi="Arial" w:cs="Arial"/>
          <w:noProof/>
          <w:color w:val="000000" w:themeColor="text1"/>
          <w:sz w:val="24"/>
          <w:szCs w:val="24"/>
        </w:rPr>
        <w:lastRenderedPageBreak/>
        <mc:AlternateContent>
          <mc:Choice Requires="wps">
            <w:drawing>
              <wp:anchor distT="0" distB="0" distL="114300" distR="114300" simplePos="0" relativeHeight="251703296" behindDoc="0" locked="0" layoutInCell="1" allowOverlap="1" wp14:anchorId="2C587062" wp14:editId="0FCB213D">
                <wp:simplePos x="0" y="0"/>
                <wp:positionH relativeFrom="column">
                  <wp:posOffset>0</wp:posOffset>
                </wp:positionH>
                <wp:positionV relativeFrom="paragraph">
                  <wp:posOffset>239953</wp:posOffset>
                </wp:positionV>
                <wp:extent cx="3183255" cy="0"/>
                <wp:effectExtent l="0" t="0" r="0" b="0"/>
                <wp:wrapNone/>
                <wp:docPr id="1544322125" name="Straight Connector 4"/>
                <wp:cNvGraphicFramePr/>
                <a:graphic xmlns:a="http://schemas.openxmlformats.org/drawingml/2006/main">
                  <a:graphicData uri="http://schemas.microsoft.com/office/word/2010/wordprocessingShape">
                    <wps:wsp>
                      <wps:cNvCnPr/>
                      <wps:spPr>
                        <a:xfrm flipV="1">
                          <a:off x="0" y="0"/>
                          <a:ext cx="318325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D34CFF" id="Straight Connector 4"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8.9pt" to="250.6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" strokecolor="#ff4747" strokeweight=".5pt">
                <v:stroke joinstyle="miter"/>
              </v:line>
            </w:pict>
          </mc:Fallback>
        </mc:AlternateContent>
      </w:r>
      <w:r w:rsidRPr="004D18AE">
        <w:rPr>
          <w:rFonts w:ascii="Arial" w:hAnsi="Arial" w:cs="Arial"/>
          <w:color w:val="000000" w:themeColor="text1"/>
          <w:sz w:val="24"/>
          <w:szCs w:val="24"/>
        </w:rPr>
        <w:t xml:space="preserve">Appendix D </w:t>
      </w:r>
      <w:r>
        <w:rPr>
          <w:rFonts w:ascii="Arial" w:hAnsi="Arial" w:cs="Arial"/>
          <w:color w:val="000000" w:themeColor="text1"/>
          <w:sz w:val="24"/>
          <w:szCs w:val="24"/>
        </w:rPr>
        <w:t>-</w:t>
      </w:r>
      <w:r w:rsidRPr="004D18AE">
        <w:rPr>
          <w:rFonts w:ascii="Arial" w:hAnsi="Arial" w:cs="Arial"/>
          <w:color w:val="000000" w:themeColor="text1"/>
          <w:sz w:val="24"/>
          <w:szCs w:val="24"/>
        </w:rPr>
        <w:t xml:space="preserve"> Other Frameworks / Models</w:t>
      </w:r>
    </w:p>
    <w:p w14:paraId="2BEE701A" w14:textId="0F4B4F1A" w:rsidR="004D18AE" w:rsidRPr="004D18AE" w:rsidRDefault="004D18AE" w:rsidP="004D18AE">
      <w:pPr>
        <w:rPr>
          <w:rFonts w:ascii="Arial" w:hAnsi="Arial" w:cs="Arial"/>
          <w:color w:val="000000" w:themeColor="text1"/>
          <w:sz w:val="24"/>
          <w:szCs w:val="24"/>
        </w:rPr>
      </w:pPr>
    </w:p>
    <w:p w14:paraId="65A90B94" w14:textId="46D3127E" w:rsidR="004D18AE" w:rsidRPr="004D18AE" w:rsidRDefault="004D18AE" w:rsidP="004D18AE">
      <w:pPr>
        <w:rPr>
          <w:rFonts w:ascii="Arial" w:hAnsi="Arial" w:cs="Arial"/>
        </w:rPr>
      </w:pPr>
      <w:r w:rsidRPr="004D18AE">
        <w:rPr>
          <w:rFonts w:ascii="Arial" w:hAnsi="Arial" w:cs="Arial"/>
        </w:rPr>
        <w:t>Figure D1. Lululemon Value Chain (adapted from Porter, 1985)</w:t>
      </w:r>
    </w:p>
    <w:tbl>
      <w:tblPr>
        <w:tblW w:w="0" w:type="auto"/>
        <w:tblCellSpacing w:w="15" w:type="dxa"/>
        <w:tblBorders>
          <w:top w:val="single" w:sz="8" w:space="0" w:color="EE0000"/>
          <w:bottom w:val="single" w:sz="8" w:space="0" w:color="EE0000"/>
          <w:insideH w:val="single" w:sz="8" w:space="0" w:color="EE0000"/>
          <w:insideV w:val="single" w:sz="8" w:space="0" w:color="EE0000"/>
        </w:tblBorders>
        <w:shd w:val="clear" w:color="auto" w:fill="E8E8E8" w:themeFill="background2"/>
        <w:tblCellMar>
          <w:top w:w="15" w:type="dxa"/>
          <w:left w:w="15" w:type="dxa"/>
          <w:bottom w:w="15" w:type="dxa"/>
          <w:right w:w="15" w:type="dxa"/>
        </w:tblCellMar>
        <w:tblLook w:val="04A0" w:firstRow="1" w:lastRow="0" w:firstColumn="1" w:lastColumn="0" w:noHBand="0" w:noVBand="1"/>
      </w:tblPr>
      <w:tblGrid>
        <w:gridCol w:w="1367"/>
        <w:gridCol w:w="3868"/>
        <w:gridCol w:w="4125"/>
      </w:tblGrid>
      <w:tr w:rsidR="004D18AE" w:rsidRPr="004D18AE" w14:paraId="15D26EE5" w14:textId="77777777" w:rsidTr="004D18AE">
        <w:trPr>
          <w:tblHeader/>
          <w:tblCellSpacing w:w="15" w:type="dxa"/>
        </w:trPr>
        <w:tc>
          <w:tcPr>
            <w:tcW w:w="0" w:type="auto"/>
            <w:shd w:val="clear" w:color="auto" w:fill="E8E8E8" w:themeFill="background2"/>
            <w:vAlign w:val="center"/>
            <w:hideMark/>
          </w:tcPr>
          <w:p w14:paraId="04CE18C4"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Primary Activities</w:t>
            </w:r>
          </w:p>
        </w:tc>
        <w:tc>
          <w:tcPr>
            <w:tcW w:w="0" w:type="auto"/>
            <w:shd w:val="clear" w:color="auto" w:fill="E8E8E8" w:themeFill="background2"/>
            <w:vAlign w:val="center"/>
            <w:hideMark/>
          </w:tcPr>
          <w:p w14:paraId="7198C5A8"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Lululemon-Specific Capabilities</w:t>
            </w:r>
          </w:p>
        </w:tc>
        <w:tc>
          <w:tcPr>
            <w:tcW w:w="0" w:type="auto"/>
            <w:shd w:val="clear" w:color="auto" w:fill="E8E8E8" w:themeFill="background2"/>
            <w:vAlign w:val="center"/>
            <w:hideMark/>
          </w:tcPr>
          <w:p w14:paraId="0CE3AF8D"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Strategic Implications for India Entry</w:t>
            </w:r>
          </w:p>
        </w:tc>
      </w:tr>
      <w:tr w:rsidR="004D18AE" w:rsidRPr="004D18AE" w14:paraId="2D04C042" w14:textId="77777777" w:rsidTr="004D18AE">
        <w:trPr>
          <w:tblCellSpacing w:w="15" w:type="dxa"/>
        </w:trPr>
        <w:tc>
          <w:tcPr>
            <w:tcW w:w="0" w:type="auto"/>
            <w:shd w:val="clear" w:color="auto" w:fill="E8E8E8" w:themeFill="background2"/>
            <w:vAlign w:val="center"/>
            <w:hideMark/>
          </w:tcPr>
          <w:p w14:paraId="44F50349"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Inbound Logistics</w:t>
            </w:r>
          </w:p>
        </w:tc>
        <w:tc>
          <w:tcPr>
            <w:tcW w:w="0" w:type="auto"/>
            <w:shd w:val="clear" w:color="auto" w:fill="E8E8E8" w:themeFill="background2"/>
            <w:vAlign w:val="center"/>
            <w:hideMark/>
          </w:tcPr>
          <w:p w14:paraId="068BD4ED"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Highly controlled supply chain; partnerships with specialised textile mills; strict material quality standards (Nulu™, Everlux™).</w:t>
            </w:r>
          </w:p>
        </w:tc>
        <w:tc>
          <w:tcPr>
            <w:tcW w:w="0" w:type="auto"/>
            <w:shd w:val="clear" w:color="auto" w:fill="E8E8E8" w:themeFill="background2"/>
            <w:vAlign w:val="center"/>
            <w:hideMark/>
          </w:tcPr>
          <w:p w14:paraId="3D742D90"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India’s 30% local sourcing rule may conflict with existing quality control processes → requires JV-supported supplier vetting.</w:t>
            </w:r>
          </w:p>
        </w:tc>
      </w:tr>
      <w:tr w:rsidR="004D18AE" w:rsidRPr="004D18AE" w14:paraId="0BEE3098" w14:textId="77777777" w:rsidTr="004D18AE">
        <w:trPr>
          <w:tblCellSpacing w:w="15" w:type="dxa"/>
        </w:trPr>
        <w:tc>
          <w:tcPr>
            <w:tcW w:w="0" w:type="auto"/>
            <w:shd w:val="clear" w:color="auto" w:fill="E8E8E8" w:themeFill="background2"/>
            <w:vAlign w:val="center"/>
            <w:hideMark/>
          </w:tcPr>
          <w:p w14:paraId="2A5080BD"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Operations</w:t>
            </w:r>
          </w:p>
        </w:tc>
        <w:tc>
          <w:tcPr>
            <w:tcW w:w="0" w:type="auto"/>
            <w:shd w:val="clear" w:color="auto" w:fill="E8E8E8" w:themeFill="background2"/>
            <w:vAlign w:val="center"/>
            <w:hideMark/>
          </w:tcPr>
          <w:p w14:paraId="6D67A78D" w14:textId="73801407" w:rsidR="004D18AE" w:rsidRPr="004D18AE" w:rsidRDefault="004D18AE" w:rsidP="004D18AE">
            <w:pPr>
              <w:rPr>
                <w:rFonts w:ascii="Arial" w:hAnsi="Arial" w:cs="Arial"/>
                <w:color w:val="000000" w:themeColor="text1"/>
              </w:rPr>
            </w:pPr>
            <w:r w:rsidRPr="004D18AE">
              <w:rPr>
                <w:rFonts w:ascii="Arial" w:hAnsi="Arial" w:cs="Arial"/>
                <w:color w:val="000000" w:themeColor="text1"/>
              </w:rPr>
              <w:t>Advanced fabric R&amp;D; limited, premium production runs; vertically integrated design</w:t>
            </w:r>
            <w:r>
              <w:rPr>
                <w:rFonts w:ascii="Arial" w:hAnsi="Arial" w:cs="Arial"/>
                <w:color w:val="000000" w:themeColor="text1"/>
              </w:rPr>
              <w:t>-</w:t>
            </w:r>
            <w:r w:rsidRPr="004D18AE">
              <w:rPr>
                <w:rFonts w:ascii="Arial" w:hAnsi="Arial" w:cs="Arial"/>
                <w:color w:val="000000" w:themeColor="text1"/>
              </w:rPr>
              <w:t>development cycle.</w:t>
            </w:r>
          </w:p>
        </w:tc>
        <w:tc>
          <w:tcPr>
            <w:tcW w:w="0" w:type="auto"/>
            <w:shd w:val="clear" w:color="auto" w:fill="E8E8E8" w:themeFill="background2"/>
            <w:vAlign w:val="center"/>
            <w:hideMark/>
          </w:tcPr>
          <w:p w14:paraId="3C93C4B5"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Hard to localise operations in India without compromising material performance → localisation should initially focus on accessories, not leggings.</w:t>
            </w:r>
          </w:p>
        </w:tc>
      </w:tr>
      <w:tr w:rsidR="004D18AE" w:rsidRPr="004D18AE" w14:paraId="7A41568C" w14:textId="77777777" w:rsidTr="004D18AE">
        <w:trPr>
          <w:tblCellSpacing w:w="15" w:type="dxa"/>
        </w:trPr>
        <w:tc>
          <w:tcPr>
            <w:tcW w:w="0" w:type="auto"/>
            <w:shd w:val="clear" w:color="auto" w:fill="E8E8E8" w:themeFill="background2"/>
            <w:vAlign w:val="center"/>
            <w:hideMark/>
          </w:tcPr>
          <w:p w14:paraId="4BCAECB8"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Outbound Logistics</w:t>
            </w:r>
          </w:p>
        </w:tc>
        <w:tc>
          <w:tcPr>
            <w:tcW w:w="0" w:type="auto"/>
            <w:shd w:val="clear" w:color="auto" w:fill="E8E8E8" w:themeFill="background2"/>
            <w:vAlign w:val="center"/>
            <w:hideMark/>
          </w:tcPr>
          <w:p w14:paraId="42E81CD8"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Efficient global distribution through regional hubs; strong inventory forecasting systems.</w:t>
            </w:r>
          </w:p>
        </w:tc>
        <w:tc>
          <w:tcPr>
            <w:tcW w:w="0" w:type="auto"/>
            <w:shd w:val="clear" w:color="auto" w:fill="E8E8E8" w:themeFill="background2"/>
            <w:vAlign w:val="center"/>
            <w:hideMark/>
          </w:tcPr>
          <w:p w14:paraId="5DA767AE"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Logistics complexity in India beyond Tier 1 cities → hybrid online + premium-flagship distribution required.</w:t>
            </w:r>
          </w:p>
        </w:tc>
      </w:tr>
      <w:tr w:rsidR="004D18AE" w:rsidRPr="004D18AE" w14:paraId="52366CB6" w14:textId="77777777" w:rsidTr="004D18AE">
        <w:trPr>
          <w:tblCellSpacing w:w="15" w:type="dxa"/>
        </w:trPr>
        <w:tc>
          <w:tcPr>
            <w:tcW w:w="0" w:type="auto"/>
            <w:shd w:val="clear" w:color="auto" w:fill="E8E8E8" w:themeFill="background2"/>
            <w:vAlign w:val="center"/>
            <w:hideMark/>
          </w:tcPr>
          <w:p w14:paraId="37A23EFB" w14:textId="5102F83C" w:rsidR="004D18AE" w:rsidRPr="004D18AE" w:rsidRDefault="004D18AE" w:rsidP="004D18AE">
            <w:pPr>
              <w:rPr>
                <w:rFonts w:ascii="Arial" w:hAnsi="Arial" w:cs="Arial"/>
                <w:color w:val="000000" w:themeColor="text1"/>
              </w:rPr>
            </w:pPr>
            <w:r w:rsidRPr="004D18AE">
              <w:rPr>
                <w:rFonts w:ascii="Arial" w:hAnsi="Arial" w:cs="Arial"/>
                <w:color w:val="000000" w:themeColor="text1"/>
              </w:rPr>
              <w:t>Marketing and Sales</w:t>
            </w:r>
          </w:p>
        </w:tc>
        <w:tc>
          <w:tcPr>
            <w:tcW w:w="0" w:type="auto"/>
            <w:shd w:val="clear" w:color="auto" w:fill="E8E8E8" w:themeFill="background2"/>
            <w:vAlign w:val="center"/>
            <w:hideMark/>
          </w:tcPr>
          <w:p w14:paraId="6657026A"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Community-based experiential marketing (“Sweatlife”); premium pricing; strong digital presence.</w:t>
            </w:r>
          </w:p>
        </w:tc>
        <w:tc>
          <w:tcPr>
            <w:tcW w:w="0" w:type="auto"/>
            <w:shd w:val="clear" w:color="auto" w:fill="E8E8E8" w:themeFill="background2"/>
            <w:vAlign w:val="center"/>
            <w:hideMark/>
          </w:tcPr>
          <w:p w14:paraId="3304978B"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Requires cultural adaptation to avoid Westernised framing of yoga; leverage Indian ambassadors for authenticity.</w:t>
            </w:r>
          </w:p>
        </w:tc>
      </w:tr>
      <w:tr w:rsidR="004D18AE" w:rsidRPr="004D18AE" w14:paraId="31DAA8F4" w14:textId="77777777" w:rsidTr="004D18AE">
        <w:trPr>
          <w:tblCellSpacing w:w="15" w:type="dxa"/>
        </w:trPr>
        <w:tc>
          <w:tcPr>
            <w:tcW w:w="0" w:type="auto"/>
            <w:shd w:val="clear" w:color="auto" w:fill="E8E8E8" w:themeFill="background2"/>
            <w:vAlign w:val="center"/>
            <w:hideMark/>
          </w:tcPr>
          <w:p w14:paraId="0CF56B52"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Service</w:t>
            </w:r>
          </w:p>
        </w:tc>
        <w:tc>
          <w:tcPr>
            <w:tcW w:w="0" w:type="auto"/>
            <w:shd w:val="clear" w:color="auto" w:fill="E8E8E8" w:themeFill="background2"/>
            <w:vAlign w:val="center"/>
            <w:hideMark/>
          </w:tcPr>
          <w:p w14:paraId="3E22DD2A" w14:textId="77777777" w:rsidR="004D18AE" w:rsidRPr="004D18AE" w:rsidRDefault="004D18AE" w:rsidP="004D18AE">
            <w:pPr>
              <w:rPr>
                <w:rFonts w:ascii="Arial" w:hAnsi="Arial" w:cs="Arial"/>
                <w:color w:val="000000" w:themeColor="text1"/>
              </w:rPr>
            </w:pPr>
            <w:r w:rsidRPr="004D18AE">
              <w:rPr>
                <w:rFonts w:ascii="Arial" w:hAnsi="Arial" w:cs="Arial"/>
                <w:color w:val="000000" w:themeColor="text1"/>
              </w:rPr>
              <w:t>In-store personalisation; membership-style community events; high service interaction.</w:t>
            </w:r>
          </w:p>
        </w:tc>
        <w:tc>
          <w:tcPr>
            <w:tcW w:w="0" w:type="auto"/>
            <w:shd w:val="clear" w:color="auto" w:fill="E8E8E8" w:themeFill="background2"/>
            <w:vAlign w:val="center"/>
            <w:hideMark/>
          </w:tcPr>
          <w:p w14:paraId="5A8B6CD2" w14:textId="70F90642" w:rsidR="004D18AE" w:rsidRPr="004D18AE" w:rsidRDefault="004D18AE" w:rsidP="004D18AE">
            <w:pPr>
              <w:rPr>
                <w:rFonts w:ascii="Arial" w:hAnsi="Arial" w:cs="Arial"/>
                <w:color w:val="000000" w:themeColor="text1"/>
              </w:rPr>
            </w:pPr>
            <w:r w:rsidRPr="004D18AE">
              <w:rPr>
                <w:rFonts w:ascii="Arial" w:hAnsi="Arial" w:cs="Arial"/>
                <w:color w:val="000000" w:themeColor="text1"/>
              </w:rPr>
              <w:t>Indian premium consumers value personal recognition → Delhi/Mumbai flagships must replicate “</w:t>
            </w:r>
            <w:r w:rsidR="00110309" w:rsidRPr="004D18AE">
              <w:rPr>
                <w:rFonts w:ascii="Arial" w:hAnsi="Arial" w:cs="Arial"/>
                <w:color w:val="000000" w:themeColor="text1"/>
              </w:rPr>
              <w:t>high touch</w:t>
            </w:r>
            <w:r w:rsidRPr="004D18AE">
              <w:rPr>
                <w:rFonts w:ascii="Arial" w:hAnsi="Arial" w:cs="Arial"/>
                <w:color w:val="000000" w:themeColor="text1"/>
              </w:rPr>
              <w:t>” retail experience.</w:t>
            </w:r>
          </w:p>
        </w:tc>
      </w:tr>
    </w:tbl>
    <w:p w14:paraId="486D95E7" w14:textId="77777777" w:rsidR="004D18AE" w:rsidRDefault="004D18AE" w:rsidP="004D18AE">
      <w:pPr>
        <w:rPr>
          <w:b/>
          <w:bCs/>
        </w:rPr>
      </w:pPr>
    </w:p>
    <w:tbl>
      <w:tblPr>
        <w:tblW w:w="0" w:type="auto"/>
        <w:tblCellSpacing w:w="15" w:type="dxa"/>
        <w:tblBorders>
          <w:top w:val="single" w:sz="8" w:space="0" w:color="EE0000"/>
          <w:bottom w:val="single" w:sz="8" w:space="0" w:color="EE0000"/>
          <w:insideH w:val="single" w:sz="8" w:space="0" w:color="EE0000"/>
          <w:insideV w:val="single" w:sz="8" w:space="0" w:color="EE0000"/>
        </w:tblBorders>
        <w:tblCellMar>
          <w:top w:w="15" w:type="dxa"/>
          <w:left w:w="15" w:type="dxa"/>
          <w:bottom w:w="15" w:type="dxa"/>
          <w:right w:w="15" w:type="dxa"/>
        </w:tblCellMar>
        <w:tblLook w:val="04A0" w:firstRow="1" w:lastRow="0" w:firstColumn="1" w:lastColumn="0" w:noHBand="0" w:noVBand="1"/>
      </w:tblPr>
      <w:tblGrid>
        <w:gridCol w:w="1871"/>
        <w:gridCol w:w="3461"/>
        <w:gridCol w:w="4028"/>
      </w:tblGrid>
      <w:tr w:rsidR="00110309" w:rsidRPr="00110309" w14:paraId="346F9705" w14:textId="77777777" w:rsidTr="00110309">
        <w:trPr>
          <w:tblHeader/>
          <w:tblCellSpacing w:w="15" w:type="dxa"/>
        </w:trPr>
        <w:tc>
          <w:tcPr>
            <w:tcW w:w="0" w:type="auto"/>
            <w:shd w:val="clear" w:color="auto" w:fill="E8E8E8" w:themeFill="background2"/>
            <w:vAlign w:val="center"/>
            <w:hideMark/>
          </w:tcPr>
          <w:p w14:paraId="760BF22A"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Support Activities</w:t>
            </w:r>
          </w:p>
        </w:tc>
        <w:tc>
          <w:tcPr>
            <w:tcW w:w="0" w:type="auto"/>
            <w:shd w:val="clear" w:color="auto" w:fill="E8E8E8" w:themeFill="background2"/>
            <w:vAlign w:val="center"/>
            <w:hideMark/>
          </w:tcPr>
          <w:p w14:paraId="435633A9"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Lululemon-Specific Capabilities</w:t>
            </w:r>
          </w:p>
        </w:tc>
        <w:tc>
          <w:tcPr>
            <w:tcW w:w="0" w:type="auto"/>
            <w:shd w:val="clear" w:color="auto" w:fill="E8E8E8" w:themeFill="background2"/>
            <w:vAlign w:val="center"/>
            <w:hideMark/>
          </w:tcPr>
          <w:p w14:paraId="5D08C4B7"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Strategic Implications</w:t>
            </w:r>
          </w:p>
        </w:tc>
      </w:tr>
      <w:tr w:rsidR="00110309" w:rsidRPr="00110309" w14:paraId="57705FF8" w14:textId="77777777" w:rsidTr="00110309">
        <w:trPr>
          <w:tblCellSpacing w:w="15" w:type="dxa"/>
        </w:trPr>
        <w:tc>
          <w:tcPr>
            <w:tcW w:w="0" w:type="auto"/>
            <w:shd w:val="clear" w:color="auto" w:fill="E8E8E8" w:themeFill="background2"/>
            <w:vAlign w:val="center"/>
            <w:hideMark/>
          </w:tcPr>
          <w:p w14:paraId="38015BEE"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Firm Infrastructure</w:t>
            </w:r>
          </w:p>
        </w:tc>
        <w:tc>
          <w:tcPr>
            <w:tcW w:w="0" w:type="auto"/>
            <w:shd w:val="clear" w:color="auto" w:fill="E8E8E8" w:themeFill="background2"/>
            <w:vAlign w:val="center"/>
            <w:hideMark/>
          </w:tcPr>
          <w:p w14:paraId="27308D62"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Decentralised, agile structure; strong corporate governance; sustainability commitments.</w:t>
            </w:r>
          </w:p>
        </w:tc>
        <w:tc>
          <w:tcPr>
            <w:tcW w:w="0" w:type="auto"/>
            <w:shd w:val="clear" w:color="auto" w:fill="E8E8E8" w:themeFill="background2"/>
            <w:vAlign w:val="center"/>
            <w:hideMark/>
          </w:tcPr>
          <w:p w14:paraId="0CACACDD"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Supports flexible localisation; aligns with India’s ESG-conscious premium segment.</w:t>
            </w:r>
          </w:p>
        </w:tc>
      </w:tr>
      <w:tr w:rsidR="00110309" w:rsidRPr="00110309" w14:paraId="5ED9AE90" w14:textId="77777777" w:rsidTr="00110309">
        <w:trPr>
          <w:tblCellSpacing w:w="15" w:type="dxa"/>
        </w:trPr>
        <w:tc>
          <w:tcPr>
            <w:tcW w:w="0" w:type="auto"/>
            <w:shd w:val="clear" w:color="auto" w:fill="E8E8E8" w:themeFill="background2"/>
            <w:vAlign w:val="center"/>
            <w:hideMark/>
          </w:tcPr>
          <w:p w14:paraId="0D1E8417"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Human Resource Management</w:t>
            </w:r>
          </w:p>
        </w:tc>
        <w:tc>
          <w:tcPr>
            <w:tcW w:w="0" w:type="auto"/>
            <w:shd w:val="clear" w:color="auto" w:fill="E8E8E8" w:themeFill="background2"/>
            <w:vAlign w:val="center"/>
            <w:hideMark/>
          </w:tcPr>
          <w:p w14:paraId="66BE1569" w14:textId="21134AE6" w:rsidR="00110309" w:rsidRPr="00110309" w:rsidRDefault="00110309" w:rsidP="00110309">
            <w:pPr>
              <w:rPr>
                <w:rFonts w:ascii="Arial" w:hAnsi="Arial" w:cs="Arial"/>
                <w:color w:val="000000" w:themeColor="text1"/>
              </w:rPr>
            </w:pPr>
            <w:r w:rsidRPr="00110309">
              <w:rPr>
                <w:rFonts w:ascii="Arial" w:hAnsi="Arial" w:cs="Arial"/>
                <w:color w:val="000000" w:themeColor="text1"/>
              </w:rPr>
              <w:t xml:space="preserve">Strong culture, goal-setting practices, leadership development, </w:t>
            </w:r>
            <w:r>
              <w:rPr>
                <w:rFonts w:ascii="Arial" w:hAnsi="Arial" w:cs="Arial"/>
                <w:color w:val="000000" w:themeColor="text1"/>
              </w:rPr>
              <w:t xml:space="preserve">and </w:t>
            </w:r>
            <w:r w:rsidRPr="00110309">
              <w:rPr>
                <w:rFonts w:ascii="Arial" w:hAnsi="Arial" w:cs="Arial"/>
                <w:color w:val="000000" w:themeColor="text1"/>
              </w:rPr>
              <w:t>staff autonomy.</w:t>
            </w:r>
          </w:p>
        </w:tc>
        <w:tc>
          <w:tcPr>
            <w:tcW w:w="0" w:type="auto"/>
            <w:shd w:val="clear" w:color="auto" w:fill="E8E8E8" w:themeFill="background2"/>
            <w:vAlign w:val="center"/>
            <w:hideMark/>
          </w:tcPr>
          <w:p w14:paraId="254839AF"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Requires cultural onboarding; retail staff must understand India’s spiritual framing of yoga.</w:t>
            </w:r>
          </w:p>
        </w:tc>
      </w:tr>
      <w:tr w:rsidR="00110309" w:rsidRPr="00110309" w14:paraId="734154EE" w14:textId="77777777" w:rsidTr="00110309">
        <w:trPr>
          <w:tblCellSpacing w:w="15" w:type="dxa"/>
        </w:trPr>
        <w:tc>
          <w:tcPr>
            <w:tcW w:w="0" w:type="auto"/>
            <w:shd w:val="clear" w:color="auto" w:fill="E8E8E8" w:themeFill="background2"/>
            <w:vAlign w:val="center"/>
            <w:hideMark/>
          </w:tcPr>
          <w:p w14:paraId="600AA8CC"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lastRenderedPageBreak/>
              <w:t>Technology Development</w:t>
            </w:r>
          </w:p>
        </w:tc>
        <w:tc>
          <w:tcPr>
            <w:tcW w:w="0" w:type="auto"/>
            <w:shd w:val="clear" w:color="auto" w:fill="E8E8E8" w:themeFill="background2"/>
            <w:vAlign w:val="center"/>
            <w:hideMark/>
          </w:tcPr>
          <w:p w14:paraId="13FA75D3" w14:textId="17F271E1" w:rsidR="00110309" w:rsidRPr="00110309" w:rsidRDefault="00110309" w:rsidP="00110309">
            <w:pPr>
              <w:rPr>
                <w:rFonts w:ascii="Arial" w:hAnsi="Arial" w:cs="Arial"/>
                <w:color w:val="000000" w:themeColor="text1"/>
              </w:rPr>
            </w:pPr>
            <w:r w:rsidRPr="00110309">
              <w:rPr>
                <w:rFonts w:ascii="Arial" w:hAnsi="Arial" w:cs="Arial"/>
                <w:color w:val="000000" w:themeColor="text1"/>
              </w:rPr>
              <w:t xml:space="preserve">Proprietary materials, testing facilities, </w:t>
            </w:r>
            <w:r>
              <w:rPr>
                <w:rFonts w:ascii="Arial" w:hAnsi="Arial" w:cs="Arial"/>
                <w:color w:val="000000" w:themeColor="text1"/>
              </w:rPr>
              <w:t xml:space="preserve">and </w:t>
            </w:r>
            <w:r w:rsidRPr="00110309">
              <w:rPr>
                <w:rFonts w:ascii="Arial" w:hAnsi="Arial" w:cs="Arial"/>
                <w:color w:val="000000" w:themeColor="text1"/>
              </w:rPr>
              <w:t>digital innovation in fit/feel.</w:t>
            </w:r>
          </w:p>
        </w:tc>
        <w:tc>
          <w:tcPr>
            <w:tcW w:w="0" w:type="auto"/>
            <w:shd w:val="clear" w:color="auto" w:fill="E8E8E8" w:themeFill="background2"/>
            <w:vAlign w:val="center"/>
            <w:hideMark/>
          </w:tcPr>
          <w:p w14:paraId="0A86DFB8"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Protect through JV IP clauses; maintain core innovation in Canada/North America.</w:t>
            </w:r>
          </w:p>
        </w:tc>
      </w:tr>
      <w:tr w:rsidR="00110309" w:rsidRPr="00110309" w14:paraId="7209F8BA" w14:textId="77777777" w:rsidTr="00110309">
        <w:trPr>
          <w:tblCellSpacing w:w="15" w:type="dxa"/>
        </w:trPr>
        <w:tc>
          <w:tcPr>
            <w:tcW w:w="0" w:type="auto"/>
            <w:shd w:val="clear" w:color="auto" w:fill="E8E8E8" w:themeFill="background2"/>
            <w:vAlign w:val="center"/>
            <w:hideMark/>
          </w:tcPr>
          <w:p w14:paraId="2C642C6B"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Procurement</w:t>
            </w:r>
          </w:p>
        </w:tc>
        <w:tc>
          <w:tcPr>
            <w:tcW w:w="0" w:type="auto"/>
            <w:shd w:val="clear" w:color="auto" w:fill="E8E8E8" w:themeFill="background2"/>
            <w:vAlign w:val="center"/>
            <w:hideMark/>
          </w:tcPr>
          <w:p w14:paraId="1A08C563"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Selective premium sourcing; long-term relationships with high-quality suppliers.</w:t>
            </w:r>
          </w:p>
        </w:tc>
        <w:tc>
          <w:tcPr>
            <w:tcW w:w="0" w:type="auto"/>
            <w:shd w:val="clear" w:color="auto" w:fill="E8E8E8" w:themeFill="background2"/>
            <w:vAlign w:val="center"/>
            <w:hideMark/>
          </w:tcPr>
          <w:p w14:paraId="5D892980" w14:textId="77777777" w:rsidR="00110309" w:rsidRPr="00110309" w:rsidRDefault="00110309" w:rsidP="00110309">
            <w:pPr>
              <w:rPr>
                <w:rFonts w:ascii="Arial" w:hAnsi="Arial" w:cs="Arial"/>
                <w:color w:val="000000" w:themeColor="text1"/>
              </w:rPr>
            </w:pPr>
            <w:r w:rsidRPr="00110309">
              <w:rPr>
                <w:rFonts w:ascii="Arial" w:hAnsi="Arial" w:cs="Arial"/>
                <w:color w:val="000000" w:themeColor="text1"/>
              </w:rPr>
              <w:t>Need to identify Indian MSMEs that meet standards; initial procurement should avoid core performance fabrics.</w:t>
            </w:r>
          </w:p>
        </w:tc>
      </w:tr>
    </w:tbl>
    <w:p w14:paraId="04C1775D" w14:textId="58CAD412" w:rsidR="00110309" w:rsidRPr="00110309" w:rsidRDefault="00110309" w:rsidP="00110309">
      <w:pPr>
        <w:rPr>
          <w:rFonts w:ascii="Arial" w:hAnsi="Arial" w:cs="Arial"/>
          <w:sz w:val="20"/>
          <w:szCs w:val="20"/>
        </w:rPr>
      </w:pPr>
      <w:r w:rsidRPr="00110309">
        <w:rPr>
          <w:rFonts w:ascii="Arial" w:hAnsi="Arial" w:cs="Arial"/>
          <w:sz w:val="20"/>
          <w:szCs w:val="20"/>
        </w:rPr>
        <w:t>Source:</w:t>
      </w:r>
      <w:r>
        <w:rPr>
          <w:rFonts w:ascii="Arial" w:hAnsi="Arial" w:cs="Arial"/>
          <w:sz w:val="20"/>
          <w:szCs w:val="20"/>
        </w:rPr>
        <w:t xml:space="preserve"> </w:t>
      </w:r>
      <w:r w:rsidRPr="00110309">
        <w:rPr>
          <w:rFonts w:ascii="Arial" w:hAnsi="Arial" w:cs="Arial"/>
          <w:sz w:val="20"/>
          <w:szCs w:val="20"/>
        </w:rPr>
        <w:t>Adapted from Porter (1985); Porter (2008); Grant (2019); Hitt et al. (2024); Lululemon Annual Report (2024).</w:t>
      </w:r>
    </w:p>
    <w:p w14:paraId="265640F1" w14:textId="77777777" w:rsidR="004D18AE" w:rsidRDefault="004D18AE" w:rsidP="004D18AE">
      <w:pPr>
        <w:rPr>
          <w:b/>
          <w:bCs/>
        </w:rPr>
      </w:pPr>
    </w:p>
    <w:p w14:paraId="43409A46" w14:textId="0164B531" w:rsidR="004D18AE" w:rsidRPr="00110309" w:rsidRDefault="00110309" w:rsidP="00110309">
      <w:pPr>
        <w:spacing w:line="360" w:lineRule="auto"/>
        <w:rPr>
          <w:rFonts w:ascii="Arial" w:hAnsi="Arial" w:cs="Arial"/>
          <w:color w:val="000000" w:themeColor="text1"/>
        </w:rPr>
      </w:pPr>
      <w:r w:rsidRPr="00110309">
        <w:rPr>
          <w:rFonts w:ascii="Arial" w:hAnsi="Arial" w:cs="Arial"/>
          <w:color w:val="000000" w:themeColor="text1"/>
        </w:rPr>
        <w:t xml:space="preserve">The Value Chain highlights that Lululemon’s strongest competitive advantages lie in design, material science, and experiential retail. These activities are difficult to imitate (VRIO-aligned), but also difficult to localise in India due to sourcing rules and cultural distance. Therefore, </w:t>
      </w:r>
      <w:r>
        <w:rPr>
          <w:rFonts w:ascii="Arial" w:hAnsi="Arial" w:cs="Arial"/>
          <w:color w:val="000000" w:themeColor="text1"/>
        </w:rPr>
        <w:t>India's</w:t>
      </w:r>
      <w:r w:rsidRPr="00110309">
        <w:rPr>
          <w:rFonts w:ascii="Arial" w:hAnsi="Arial" w:cs="Arial"/>
          <w:color w:val="000000" w:themeColor="text1"/>
        </w:rPr>
        <w:t xml:space="preserve"> entry must preserve core upstream capabilities globally while localising downstream activities, supporting a Transnational Strategy.</w:t>
      </w:r>
    </w:p>
    <w:p w14:paraId="4E6B134C" w14:textId="77777777" w:rsidR="004D18AE" w:rsidRDefault="004D18AE" w:rsidP="004D18AE">
      <w:pPr>
        <w:rPr>
          <w:b/>
          <w:bCs/>
        </w:rPr>
      </w:pPr>
    </w:p>
    <w:p w14:paraId="5B91193A" w14:textId="77777777" w:rsidR="004D18AE" w:rsidRDefault="004D18AE" w:rsidP="004D18AE">
      <w:pPr>
        <w:rPr>
          <w:b/>
          <w:bCs/>
        </w:rPr>
      </w:pPr>
    </w:p>
    <w:p w14:paraId="391A1DD1" w14:textId="77777777" w:rsidR="00486D19" w:rsidRDefault="00486D19" w:rsidP="004D18AE">
      <w:pPr>
        <w:rPr>
          <w:b/>
          <w:bCs/>
        </w:rPr>
      </w:pPr>
    </w:p>
    <w:p w14:paraId="45261B8B" w14:textId="77777777" w:rsidR="00486D19" w:rsidRDefault="00486D19" w:rsidP="004D18AE">
      <w:pPr>
        <w:rPr>
          <w:b/>
          <w:bCs/>
        </w:rPr>
      </w:pPr>
    </w:p>
    <w:p w14:paraId="08A236CE" w14:textId="77777777" w:rsidR="00486D19" w:rsidRDefault="00486D19" w:rsidP="004D18AE">
      <w:pPr>
        <w:rPr>
          <w:b/>
          <w:bCs/>
        </w:rPr>
      </w:pPr>
    </w:p>
    <w:p w14:paraId="4549196F" w14:textId="77777777" w:rsidR="00486D19" w:rsidRDefault="00486D19" w:rsidP="004D18AE">
      <w:pPr>
        <w:rPr>
          <w:b/>
          <w:bCs/>
        </w:rPr>
      </w:pPr>
    </w:p>
    <w:p w14:paraId="57A6857A" w14:textId="77777777" w:rsidR="00486D19" w:rsidRDefault="00486D19" w:rsidP="004D18AE">
      <w:pPr>
        <w:rPr>
          <w:b/>
          <w:bCs/>
        </w:rPr>
      </w:pPr>
    </w:p>
    <w:p w14:paraId="109D263C" w14:textId="77777777" w:rsidR="00486D19" w:rsidRDefault="00486D19" w:rsidP="004D18AE">
      <w:pPr>
        <w:rPr>
          <w:b/>
          <w:bCs/>
        </w:rPr>
      </w:pPr>
    </w:p>
    <w:p w14:paraId="15C085D2" w14:textId="77777777" w:rsidR="00486D19" w:rsidRDefault="00486D19" w:rsidP="004D18AE">
      <w:pPr>
        <w:rPr>
          <w:b/>
          <w:bCs/>
        </w:rPr>
      </w:pPr>
    </w:p>
    <w:p w14:paraId="78B50B19" w14:textId="77777777" w:rsidR="00486D19" w:rsidRDefault="00486D19" w:rsidP="004D18AE">
      <w:pPr>
        <w:rPr>
          <w:b/>
          <w:bCs/>
        </w:rPr>
      </w:pPr>
    </w:p>
    <w:p w14:paraId="0FAC5534" w14:textId="77777777" w:rsidR="00486D19" w:rsidRDefault="00486D19" w:rsidP="004D18AE">
      <w:pPr>
        <w:rPr>
          <w:b/>
          <w:bCs/>
        </w:rPr>
      </w:pPr>
    </w:p>
    <w:p w14:paraId="6FCF10A3" w14:textId="77777777" w:rsidR="00486D19" w:rsidRDefault="00486D19" w:rsidP="004D18AE">
      <w:pPr>
        <w:rPr>
          <w:b/>
          <w:bCs/>
        </w:rPr>
      </w:pPr>
    </w:p>
    <w:p w14:paraId="1D416F50" w14:textId="77777777" w:rsidR="00486D19" w:rsidRDefault="00486D19" w:rsidP="004D18AE">
      <w:pPr>
        <w:rPr>
          <w:b/>
          <w:bCs/>
        </w:rPr>
      </w:pPr>
    </w:p>
    <w:p w14:paraId="39F3641C" w14:textId="77777777" w:rsidR="00486D19" w:rsidRDefault="00486D19" w:rsidP="004D18AE">
      <w:pPr>
        <w:rPr>
          <w:b/>
          <w:bCs/>
        </w:rPr>
      </w:pPr>
    </w:p>
    <w:p w14:paraId="533918C7" w14:textId="3BE20FFA" w:rsidR="004D18AE" w:rsidRPr="00486D19" w:rsidRDefault="00486D19" w:rsidP="004D18AE">
      <w:pPr>
        <w:rPr>
          <w:rFonts w:ascii="Arial" w:hAnsi="Arial" w:cs="Arial"/>
          <w:color w:val="000000" w:themeColor="text1"/>
          <w:sz w:val="24"/>
          <w:szCs w:val="24"/>
        </w:rPr>
      </w:pPr>
      <w:r w:rsidRPr="00486D19">
        <w:rPr>
          <w:rFonts w:ascii="Arial" w:hAnsi="Arial" w:cs="Arial"/>
          <w:color w:val="000000" w:themeColor="text1"/>
          <w:sz w:val="24"/>
          <w:szCs w:val="24"/>
        </w:rPr>
        <w:lastRenderedPageBreak/>
        <w:t>Figure D2. Lululemon Core Competence Map (adapted from Prahalad and Hamel, 1990)</w:t>
      </w:r>
    </w:p>
    <w:tbl>
      <w:tblPr>
        <w:tblW w:w="0" w:type="auto"/>
        <w:tblCellSpacing w:w="15" w:type="dxa"/>
        <w:tblBorders>
          <w:top w:val="single" w:sz="8" w:space="0" w:color="EE0000"/>
          <w:bottom w:val="single" w:sz="8" w:space="0" w:color="EE0000"/>
          <w:insideH w:val="single" w:sz="8" w:space="0" w:color="EE0000"/>
          <w:insideV w:val="single" w:sz="8" w:space="0" w:color="EE0000"/>
        </w:tblBorders>
        <w:tblCellMar>
          <w:top w:w="15" w:type="dxa"/>
          <w:left w:w="15" w:type="dxa"/>
          <w:bottom w:w="15" w:type="dxa"/>
          <w:right w:w="15" w:type="dxa"/>
        </w:tblCellMar>
        <w:tblLook w:val="04A0" w:firstRow="1" w:lastRow="0" w:firstColumn="1" w:lastColumn="0" w:noHBand="0" w:noVBand="1"/>
      </w:tblPr>
      <w:tblGrid>
        <w:gridCol w:w="1610"/>
        <w:gridCol w:w="3850"/>
        <w:gridCol w:w="3900"/>
      </w:tblGrid>
      <w:tr w:rsidR="00486D19" w:rsidRPr="00486D19" w14:paraId="016C53EB" w14:textId="77777777" w:rsidTr="00486D19">
        <w:trPr>
          <w:tblHeader/>
          <w:tblCellSpacing w:w="15" w:type="dxa"/>
        </w:trPr>
        <w:tc>
          <w:tcPr>
            <w:tcW w:w="0" w:type="auto"/>
            <w:shd w:val="clear" w:color="auto" w:fill="E8E8E8" w:themeFill="background2"/>
            <w:vAlign w:val="center"/>
            <w:hideMark/>
          </w:tcPr>
          <w:p w14:paraId="0D789081"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Element</w:t>
            </w:r>
          </w:p>
        </w:tc>
        <w:tc>
          <w:tcPr>
            <w:tcW w:w="0" w:type="auto"/>
            <w:shd w:val="clear" w:color="auto" w:fill="E8E8E8" w:themeFill="background2"/>
            <w:vAlign w:val="center"/>
            <w:hideMark/>
          </w:tcPr>
          <w:p w14:paraId="654C51AB"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Description</w:t>
            </w:r>
          </w:p>
        </w:tc>
        <w:tc>
          <w:tcPr>
            <w:tcW w:w="0" w:type="auto"/>
            <w:shd w:val="clear" w:color="auto" w:fill="E8E8E8" w:themeFill="background2"/>
            <w:vAlign w:val="center"/>
            <w:hideMark/>
          </w:tcPr>
          <w:p w14:paraId="3BE5FECA"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Strategic Implications for India</w:t>
            </w:r>
          </w:p>
        </w:tc>
      </w:tr>
      <w:tr w:rsidR="00486D19" w:rsidRPr="00486D19" w14:paraId="08C3C726" w14:textId="77777777" w:rsidTr="00486D19">
        <w:trPr>
          <w:tblCellSpacing w:w="15" w:type="dxa"/>
        </w:trPr>
        <w:tc>
          <w:tcPr>
            <w:tcW w:w="0" w:type="auto"/>
            <w:shd w:val="clear" w:color="auto" w:fill="E8E8E8" w:themeFill="background2"/>
            <w:vAlign w:val="center"/>
            <w:hideMark/>
          </w:tcPr>
          <w:p w14:paraId="33DC0B41"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Core Competence</w:t>
            </w:r>
          </w:p>
        </w:tc>
        <w:tc>
          <w:tcPr>
            <w:tcW w:w="0" w:type="auto"/>
            <w:shd w:val="clear" w:color="auto" w:fill="E8E8E8" w:themeFill="background2"/>
            <w:vAlign w:val="center"/>
            <w:hideMark/>
          </w:tcPr>
          <w:p w14:paraId="1BA88EE3"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Proprietary technical fabric innovation (Nulu™, Nulux™, Everlux™); expertise in “Science of Feel”; community-based brand ecosystem.</w:t>
            </w:r>
          </w:p>
        </w:tc>
        <w:tc>
          <w:tcPr>
            <w:tcW w:w="0" w:type="auto"/>
            <w:shd w:val="clear" w:color="auto" w:fill="E8E8E8" w:themeFill="background2"/>
            <w:vAlign w:val="center"/>
            <w:hideMark/>
          </w:tcPr>
          <w:p w14:paraId="2C7E6A61"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Must be protected via JV IP agreements; maintain R&amp;D in Canada; adapt messaging to India’s cultural framing of yoga.</w:t>
            </w:r>
          </w:p>
        </w:tc>
      </w:tr>
      <w:tr w:rsidR="00486D19" w:rsidRPr="00486D19" w14:paraId="4DEBD82D" w14:textId="77777777" w:rsidTr="00486D19">
        <w:trPr>
          <w:tblCellSpacing w:w="15" w:type="dxa"/>
        </w:trPr>
        <w:tc>
          <w:tcPr>
            <w:tcW w:w="0" w:type="auto"/>
            <w:shd w:val="clear" w:color="auto" w:fill="E8E8E8" w:themeFill="background2"/>
            <w:vAlign w:val="center"/>
            <w:hideMark/>
          </w:tcPr>
          <w:p w14:paraId="59BBA59A"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Key Skills</w:t>
            </w:r>
          </w:p>
        </w:tc>
        <w:tc>
          <w:tcPr>
            <w:tcW w:w="0" w:type="auto"/>
            <w:shd w:val="clear" w:color="auto" w:fill="E8E8E8" w:themeFill="background2"/>
            <w:vAlign w:val="center"/>
            <w:hideMark/>
          </w:tcPr>
          <w:p w14:paraId="0ECCEE43"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Advanced design capabilities, human-centred product development, experiential retail, strong ambassador network.</w:t>
            </w:r>
          </w:p>
        </w:tc>
        <w:tc>
          <w:tcPr>
            <w:tcW w:w="0" w:type="auto"/>
            <w:shd w:val="clear" w:color="auto" w:fill="E8E8E8" w:themeFill="background2"/>
            <w:vAlign w:val="center"/>
            <w:hideMark/>
          </w:tcPr>
          <w:p w14:paraId="66DD2BF2"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Use Indian yoga ambassadors; ensure cultural fluency in retail staff; localise store experience to Indian festivals and wellness traditions.</w:t>
            </w:r>
          </w:p>
        </w:tc>
      </w:tr>
      <w:tr w:rsidR="00486D19" w:rsidRPr="00486D19" w14:paraId="2151D831" w14:textId="77777777" w:rsidTr="00486D19">
        <w:trPr>
          <w:tblCellSpacing w:w="15" w:type="dxa"/>
        </w:trPr>
        <w:tc>
          <w:tcPr>
            <w:tcW w:w="0" w:type="auto"/>
            <w:shd w:val="clear" w:color="auto" w:fill="E8E8E8" w:themeFill="background2"/>
            <w:vAlign w:val="center"/>
            <w:hideMark/>
          </w:tcPr>
          <w:p w14:paraId="6BD11A73"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Technologies</w:t>
            </w:r>
          </w:p>
        </w:tc>
        <w:tc>
          <w:tcPr>
            <w:tcW w:w="0" w:type="auto"/>
            <w:shd w:val="clear" w:color="auto" w:fill="E8E8E8" w:themeFill="background2"/>
            <w:vAlign w:val="center"/>
            <w:hideMark/>
          </w:tcPr>
          <w:p w14:paraId="4FF0A164" w14:textId="49545B84" w:rsidR="00486D19" w:rsidRPr="00486D19" w:rsidRDefault="00486D19" w:rsidP="00486D19">
            <w:pPr>
              <w:rPr>
                <w:rFonts w:ascii="Arial" w:hAnsi="Arial" w:cs="Arial"/>
                <w:color w:val="000000" w:themeColor="text1"/>
              </w:rPr>
            </w:pPr>
            <w:r w:rsidRPr="00486D19">
              <w:rPr>
                <w:rFonts w:ascii="Arial" w:hAnsi="Arial" w:cs="Arial"/>
                <w:color w:val="000000" w:themeColor="text1"/>
              </w:rPr>
              <w:t xml:space="preserve">Fibre engineering, moisture-wicking materials, heat-resistance performance tests, </w:t>
            </w:r>
            <w:r>
              <w:rPr>
                <w:rFonts w:ascii="Arial" w:hAnsi="Arial" w:cs="Arial"/>
                <w:color w:val="000000" w:themeColor="text1"/>
              </w:rPr>
              <w:t xml:space="preserve">and </w:t>
            </w:r>
            <w:r w:rsidRPr="00486D19">
              <w:rPr>
                <w:rFonts w:ascii="Arial" w:hAnsi="Arial" w:cs="Arial"/>
                <w:color w:val="000000" w:themeColor="text1"/>
              </w:rPr>
              <w:t>digital fit technologies.</w:t>
            </w:r>
          </w:p>
        </w:tc>
        <w:tc>
          <w:tcPr>
            <w:tcW w:w="0" w:type="auto"/>
            <w:shd w:val="clear" w:color="auto" w:fill="E8E8E8" w:themeFill="background2"/>
            <w:vAlign w:val="center"/>
            <w:hideMark/>
          </w:tcPr>
          <w:p w14:paraId="5D6C5DA8"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Avoid localising core performance fabrics; selectively localise only accessories and climate-specific items.</w:t>
            </w:r>
          </w:p>
        </w:tc>
      </w:tr>
      <w:tr w:rsidR="00486D19" w:rsidRPr="00486D19" w14:paraId="71DF1EB6" w14:textId="77777777" w:rsidTr="00486D19">
        <w:trPr>
          <w:tblCellSpacing w:w="15" w:type="dxa"/>
        </w:trPr>
        <w:tc>
          <w:tcPr>
            <w:tcW w:w="0" w:type="auto"/>
            <w:shd w:val="clear" w:color="auto" w:fill="E8E8E8" w:themeFill="background2"/>
            <w:vAlign w:val="center"/>
            <w:hideMark/>
          </w:tcPr>
          <w:p w14:paraId="5BDF8154"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Customer Value Created</w:t>
            </w:r>
          </w:p>
        </w:tc>
        <w:tc>
          <w:tcPr>
            <w:tcW w:w="0" w:type="auto"/>
            <w:shd w:val="clear" w:color="auto" w:fill="E8E8E8" w:themeFill="background2"/>
            <w:vAlign w:val="center"/>
            <w:hideMark/>
          </w:tcPr>
          <w:p w14:paraId="28714FD4"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Superior comfort, premium performance, identity signalling (“premium active lifestyle”).</w:t>
            </w:r>
          </w:p>
        </w:tc>
        <w:tc>
          <w:tcPr>
            <w:tcW w:w="0" w:type="auto"/>
            <w:shd w:val="clear" w:color="auto" w:fill="E8E8E8" w:themeFill="background2"/>
            <w:vAlign w:val="center"/>
            <w:hideMark/>
          </w:tcPr>
          <w:p w14:paraId="1E104977"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Target affluent Tier 1/2 consumers; position as premium, status-enhancing wellness brand.</w:t>
            </w:r>
          </w:p>
        </w:tc>
      </w:tr>
      <w:tr w:rsidR="00486D19" w:rsidRPr="00486D19" w14:paraId="2DF7B51F" w14:textId="77777777" w:rsidTr="00486D19">
        <w:trPr>
          <w:tblCellSpacing w:w="15" w:type="dxa"/>
        </w:trPr>
        <w:tc>
          <w:tcPr>
            <w:tcW w:w="0" w:type="auto"/>
            <w:shd w:val="clear" w:color="auto" w:fill="E8E8E8" w:themeFill="background2"/>
            <w:vAlign w:val="center"/>
            <w:hideMark/>
          </w:tcPr>
          <w:p w14:paraId="17AA2D12"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Applications / Products</w:t>
            </w:r>
          </w:p>
        </w:tc>
        <w:tc>
          <w:tcPr>
            <w:tcW w:w="0" w:type="auto"/>
            <w:shd w:val="clear" w:color="auto" w:fill="E8E8E8" w:themeFill="background2"/>
            <w:vAlign w:val="center"/>
            <w:hideMark/>
          </w:tcPr>
          <w:p w14:paraId="768FD63D" w14:textId="71EDB1E2" w:rsidR="00486D19" w:rsidRPr="00486D19" w:rsidRDefault="00486D19" w:rsidP="00486D19">
            <w:pPr>
              <w:rPr>
                <w:rFonts w:ascii="Arial" w:hAnsi="Arial" w:cs="Arial"/>
                <w:color w:val="000000" w:themeColor="text1"/>
              </w:rPr>
            </w:pPr>
            <w:r w:rsidRPr="00486D19">
              <w:rPr>
                <w:rFonts w:ascii="Arial" w:hAnsi="Arial" w:cs="Arial"/>
                <w:color w:val="000000" w:themeColor="text1"/>
              </w:rPr>
              <w:t xml:space="preserve">Yoga apparel, training wear, lifestyle clothing, accessories, </w:t>
            </w:r>
            <w:r>
              <w:rPr>
                <w:rFonts w:ascii="Arial" w:hAnsi="Arial" w:cs="Arial"/>
                <w:color w:val="000000" w:themeColor="text1"/>
              </w:rPr>
              <w:t xml:space="preserve">and </w:t>
            </w:r>
            <w:r w:rsidRPr="00486D19">
              <w:rPr>
                <w:rFonts w:ascii="Arial" w:hAnsi="Arial" w:cs="Arial"/>
                <w:color w:val="000000" w:themeColor="text1"/>
              </w:rPr>
              <w:t>experiential retail events.</w:t>
            </w:r>
          </w:p>
        </w:tc>
        <w:tc>
          <w:tcPr>
            <w:tcW w:w="0" w:type="auto"/>
            <w:shd w:val="clear" w:color="auto" w:fill="E8E8E8" w:themeFill="background2"/>
            <w:vAlign w:val="center"/>
            <w:hideMark/>
          </w:tcPr>
          <w:p w14:paraId="071AE60A" w14:textId="77777777" w:rsidR="00486D19" w:rsidRPr="00486D19" w:rsidRDefault="00486D19" w:rsidP="00486D19">
            <w:pPr>
              <w:rPr>
                <w:rFonts w:ascii="Arial" w:hAnsi="Arial" w:cs="Arial"/>
                <w:color w:val="000000" w:themeColor="text1"/>
              </w:rPr>
            </w:pPr>
            <w:r w:rsidRPr="00486D19">
              <w:rPr>
                <w:rFonts w:ascii="Arial" w:hAnsi="Arial" w:cs="Arial"/>
                <w:color w:val="000000" w:themeColor="text1"/>
              </w:rPr>
              <w:t>Strengthen yoga-led products; launch India-exclusive capsule collections; develop monsoon-friendly functional wear.</w:t>
            </w:r>
          </w:p>
        </w:tc>
      </w:tr>
    </w:tbl>
    <w:p w14:paraId="3583BF94" w14:textId="6FD51C5D" w:rsidR="004D18AE" w:rsidRPr="00486D19" w:rsidRDefault="00486D19" w:rsidP="00486D19">
      <w:pPr>
        <w:rPr>
          <w:rFonts w:ascii="Arial" w:hAnsi="Arial" w:cs="Arial"/>
          <w:sz w:val="20"/>
          <w:szCs w:val="20"/>
        </w:rPr>
      </w:pPr>
      <w:r w:rsidRPr="00486D19">
        <w:rPr>
          <w:rFonts w:ascii="Arial" w:hAnsi="Arial" w:cs="Arial"/>
          <w:sz w:val="20"/>
          <w:szCs w:val="20"/>
        </w:rPr>
        <w:t>Source: Adapted from Prahalad and Hamel (1990); Grant (2019); Barney (1991); Lululemon Annual Report (2024).</w:t>
      </w:r>
    </w:p>
    <w:p w14:paraId="37F6E403" w14:textId="77777777" w:rsidR="00486D19" w:rsidRDefault="00486D19" w:rsidP="00486D19">
      <w:pPr>
        <w:spacing w:line="360" w:lineRule="auto"/>
        <w:rPr>
          <w:rFonts w:ascii="Arial" w:hAnsi="Arial" w:cs="Arial"/>
          <w:color w:val="000000" w:themeColor="text1"/>
        </w:rPr>
      </w:pPr>
    </w:p>
    <w:p w14:paraId="6F33FDD4" w14:textId="38CB1B0B" w:rsidR="004D18AE" w:rsidRPr="00486D19" w:rsidRDefault="00486D19" w:rsidP="00486D19">
      <w:pPr>
        <w:spacing w:line="360" w:lineRule="auto"/>
        <w:rPr>
          <w:rFonts w:ascii="Arial" w:hAnsi="Arial" w:cs="Arial"/>
          <w:color w:val="000000" w:themeColor="text1"/>
        </w:rPr>
      </w:pPr>
      <w:r w:rsidRPr="00486D19">
        <w:rPr>
          <w:rFonts w:ascii="Arial" w:hAnsi="Arial" w:cs="Arial"/>
          <w:color w:val="000000" w:themeColor="text1"/>
        </w:rPr>
        <w:t xml:space="preserve">The Core Competence Map demonstrates that Lululemon’s competitive advantage is rooted in technical innovation and experiential branding. These competences are valuable, rare and difficult to imitate, but not easily transferable to India without cultural adaptation and strict IP control. Therefore, Lululemon must protect core upstream </w:t>
      </w:r>
      <w:r>
        <w:rPr>
          <w:rFonts w:ascii="Arial" w:hAnsi="Arial" w:cs="Arial"/>
          <w:color w:val="000000" w:themeColor="text1"/>
        </w:rPr>
        <w:t>competencies</w:t>
      </w:r>
      <w:r w:rsidRPr="00486D19">
        <w:rPr>
          <w:rFonts w:ascii="Arial" w:hAnsi="Arial" w:cs="Arial"/>
          <w:color w:val="000000" w:themeColor="text1"/>
        </w:rPr>
        <w:t xml:space="preserve"> globally, while selectively localising downstream marketing and customer-facing activities.</w:t>
      </w:r>
    </w:p>
    <w:p w14:paraId="12AA7DAF" w14:textId="77777777" w:rsidR="004D18AE" w:rsidRDefault="004D18AE" w:rsidP="00486D19">
      <w:pPr>
        <w:spacing w:line="360" w:lineRule="auto"/>
        <w:rPr>
          <w:rFonts w:ascii="Arial" w:hAnsi="Arial" w:cs="Arial"/>
          <w:color w:val="000000" w:themeColor="text1"/>
        </w:rPr>
      </w:pPr>
    </w:p>
    <w:p w14:paraId="1A87B1CE" w14:textId="77777777" w:rsidR="00AC0EC8" w:rsidRDefault="00AC0EC8" w:rsidP="00486D19">
      <w:pPr>
        <w:spacing w:line="360" w:lineRule="auto"/>
        <w:rPr>
          <w:rFonts w:ascii="Arial" w:hAnsi="Arial" w:cs="Arial"/>
          <w:color w:val="000000" w:themeColor="text1"/>
        </w:rPr>
      </w:pPr>
    </w:p>
    <w:p w14:paraId="0342CC91" w14:textId="77777777" w:rsidR="00AC0EC8" w:rsidRPr="00486D19" w:rsidRDefault="00AC0EC8" w:rsidP="00486D19">
      <w:pPr>
        <w:spacing w:line="360" w:lineRule="auto"/>
        <w:rPr>
          <w:rFonts w:ascii="Arial" w:hAnsi="Arial" w:cs="Arial"/>
          <w:color w:val="000000" w:themeColor="text1"/>
        </w:rPr>
      </w:pPr>
    </w:p>
    <w:p w14:paraId="307AD2BB" w14:textId="64110931" w:rsidR="00A652A3" w:rsidRPr="00A652A3" w:rsidRDefault="00A652A3" w:rsidP="00A652A3">
      <w:pPr>
        <w:rPr>
          <w:rFonts w:ascii="Arial" w:hAnsi="Arial" w:cs="Arial"/>
          <w:color w:val="000000" w:themeColor="text1"/>
          <w:sz w:val="24"/>
          <w:szCs w:val="24"/>
        </w:rPr>
      </w:pPr>
      <w:r w:rsidRPr="00A652A3">
        <w:rPr>
          <w:rFonts w:ascii="Arial" w:hAnsi="Arial" w:cs="Arial"/>
          <w:color w:val="000000" w:themeColor="text1"/>
          <w:sz w:val="24"/>
          <w:szCs w:val="24"/>
        </w:rPr>
        <w:lastRenderedPageBreak/>
        <w:t>Figure D3. Competitive Positioning Map (India Athleisure Market)</w:t>
      </w:r>
    </w:p>
    <w:p w14:paraId="07413103" w14:textId="72F316D0" w:rsidR="004D18AE" w:rsidRPr="00A652A3" w:rsidRDefault="00A652A3" w:rsidP="00A652A3">
      <w:pPr>
        <w:rPr>
          <w:rFonts w:ascii="Arial" w:hAnsi="Arial" w:cs="Arial"/>
          <w:i/>
          <w:iCs/>
          <w:sz w:val="20"/>
          <w:szCs w:val="20"/>
        </w:rPr>
      </w:pPr>
      <w:r w:rsidRPr="00A652A3">
        <w:rPr>
          <w:rFonts w:ascii="Arial" w:hAnsi="Arial" w:cs="Arial"/>
          <w:i/>
          <w:iCs/>
          <w:sz w:val="20"/>
          <w:szCs w:val="20"/>
        </w:rPr>
        <w:t>(Price vs. Performance Positioning)</w:t>
      </w:r>
    </w:p>
    <w:p w14:paraId="45A4AAF1" w14:textId="4DBD5CF9" w:rsidR="004D18AE" w:rsidRDefault="007E3065" w:rsidP="004D18AE">
      <w:pPr>
        <w:rPr>
          <w:b/>
          <w:bCs/>
        </w:rPr>
      </w:pPr>
      <w:bookmarkStart w:id="36" w:name="_MON_1825902430"/>
      <w:bookmarkEnd w:id="36"/>
      <w:r w:rsidRPr="007E3065">
        <w:rPr>
          <w:b/>
          <w:bCs/>
        </w:rPr>
        <w:drawing>
          <wp:inline distT="0" distB="0" distL="0" distR="0" wp14:anchorId="74A48A01" wp14:editId="50D8AD1D">
            <wp:extent cx="5943600" cy="2550160"/>
            <wp:effectExtent l="0" t="0" r="0" b="2540"/>
            <wp:docPr id="681548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48736" name=""/>
                    <pic:cNvPicPr/>
                  </pic:nvPicPr>
                  <pic:blipFill>
                    <a:blip r:embed="rId27"/>
                    <a:stretch>
                      <a:fillRect/>
                    </a:stretch>
                  </pic:blipFill>
                  <pic:spPr>
                    <a:xfrm>
                      <a:off x="0" y="0"/>
                      <a:ext cx="5943600" cy="2550160"/>
                    </a:xfrm>
                    <a:prstGeom prst="rect">
                      <a:avLst/>
                    </a:prstGeom>
                  </pic:spPr>
                </pic:pic>
              </a:graphicData>
            </a:graphic>
          </wp:inline>
        </w:drawing>
      </w:r>
    </w:p>
    <w:p w14:paraId="5666827B" w14:textId="565897CB" w:rsidR="004D18AE" w:rsidRPr="007E3065" w:rsidRDefault="007E3065" w:rsidP="004D18AE">
      <w:pPr>
        <w:rPr>
          <w:rFonts w:ascii="Arial" w:hAnsi="Arial" w:cs="Arial"/>
          <w:sz w:val="20"/>
          <w:szCs w:val="20"/>
        </w:rPr>
      </w:pPr>
      <w:r w:rsidRPr="007E3065">
        <w:rPr>
          <w:rFonts w:ascii="Arial" w:hAnsi="Arial" w:cs="Arial"/>
          <w:sz w:val="20"/>
          <w:szCs w:val="20"/>
        </w:rPr>
        <w:t>Source: Author’s adaptation based on Statista (2024) and MarketLine (2023).</w:t>
      </w:r>
    </w:p>
    <w:p w14:paraId="553FB9EF" w14:textId="77777777" w:rsidR="00486D19" w:rsidRPr="00A652A3" w:rsidRDefault="00486D19" w:rsidP="004D18AE">
      <w:pPr>
        <w:rPr>
          <w:rFonts w:ascii="Arial" w:hAnsi="Arial" w:cs="Arial"/>
        </w:rPr>
      </w:pPr>
    </w:p>
    <w:p w14:paraId="1FDA3B5E" w14:textId="77777777" w:rsidR="004D18AE" w:rsidRDefault="004D18AE" w:rsidP="004D18AE">
      <w:pPr>
        <w:rPr>
          <w:b/>
          <w:bCs/>
        </w:rPr>
      </w:pPr>
    </w:p>
    <w:p w14:paraId="1927A4B9" w14:textId="77777777" w:rsidR="007E3065" w:rsidRDefault="007E3065" w:rsidP="004D18AE">
      <w:pPr>
        <w:rPr>
          <w:b/>
          <w:bCs/>
        </w:rPr>
      </w:pPr>
    </w:p>
    <w:p w14:paraId="5CE07F67" w14:textId="77777777" w:rsidR="007E3065" w:rsidRDefault="007E3065" w:rsidP="004D18AE">
      <w:pPr>
        <w:rPr>
          <w:b/>
          <w:bCs/>
        </w:rPr>
      </w:pPr>
    </w:p>
    <w:p w14:paraId="15842BC2" w14:textId="77777777" w:rsidR="007E3065" w:rsidRDefault="007E3065" w:rsidP="004D18AE">
      <w:pPr>
        <w:rPr>
          <w:b/>
          <w:bCs/>
        </w:rPr>
      </w:pPr>
    </w:p>
    <w:p w14:paraId="3D14B44D" w14:textId="77777777" w:rsidR="007E3065" w:rsidRDefault="007E3065" w:rsidP="004D18AE">
      <w:pPr>
        <w:rPr>
          <w:b/>
          <w:bCs/>
        </w:rPr>
      </w:pPr>
    </w:p>
    <w:p w14:paraId="1A5B39B2" w14:textId="77777777" w:rsidR="007E3065" w:rsidRDefault="007E3065" w:rsidP="004D18AE">
      <w:pPr>
        <w:rPr>
          <w:b/>
          <w:bCs/>
        </w:rPr>
      </w:pPr>
    </w:p>
    <w:p w14:paraId="6526574A" w14:textId="77777777" w:rsidR="007E3065" w:rsidRDefault="007E3065" w:rsidP="004D18AE">
      <w:pPr>
        <w:rPr>
          <w:b/>
          <w:bCs/>
        </w:rPr>
      </w:pPr>
    </w:p>
    <w:p w14:paraId="22F56833" w14:textId="77777777" w:rsidR="007E3065" w:rsidRDefault="007E3065" w:rsidP="004D18AE">
      <w:pPr>
        <w:rPr>
          <w:b/>
          <w:bCs/>
        </w:rPr>
      </w:pPr>
    </w:p>
    <w:p w14:paraId="325E90DA" w14:textId="77777777" w:rsidR="007E3065" w:rsidRDefault="007E3065" w:rsidP="004D18AE">
      <w:pPr>
        <w:rPr>
          <w:b/>
          <w:bCs/>
        </w:rPr>
      </w:pPr>
    </w:p>
    <w:p w14:paraId="05AB9110" w14:textId="77777777" w:rsidR="007E3065" w:rsidRDefault="007E3065" w:rsidP="004D18AE">
      <w:pPr>
        <w:rPr>
          <w:b/>
          <w:bCs/>
        </w:rPr>
      </w:pPr>
    </w:p>
    <w:p w14:paraId="79036273" w14:textId="77777777" w:rsidR="007E3065" w:rsidRDefault="007E3065" w:rsidP="004D18AE">
      <w:pPr>
        <w:rPr>
          <w:b/>
          <w:bCs/>
        </w:rPr>
      </w:pPr>
    </w:p>
    <w:p w14:paraId="12341878" w14:textId="77777777" w:rsidR="007E3065" w:rsidRDefault="007E3065" w:rsidP="004D18AE">
      <w:pPr>
        <w:rPr>
          <w:b/>
          <w:bCs/>
        </w:rPr>
      </w:pPr>
    </w:p>
    <w:p w14:paraId="2530A047" w14:textId="77777777" w:rsidR="00AC0EC8" w:rsidRDefault="00AC0EC8" w:rsidP="004D18AE">
      <w:pPr>
        <w:rPr>
          <w:b/>
          <w:bCs/>
        </w:rPr>
      </w:pPr>
    </w:p>
    <w:p w14:paraId="66025E9F" w14:textId="77777777" w:rsidR="00AC0EC8" w:rsidRDefault="00AC0EC8" w:rsidP="004D18AE">
      <w:pPr>
        <w:rPr>
          <w:b/>
          <w:bCs/>
        </w:rPr>
      </w:pPr>
    </w:p>
    <w:p w14:paraId="634F6224" w14:textId="77777777" w:rsidR="00AC0EC8" w:rsidRDefault="00AC0EC8" w:rsidP="004D18AE">
      <w:pPr>
        <w:rPr>
          <w:b/>
          <w:bCs/>
        </w:rPr>
      </w:pPr>
    </w:p>
    <w:p w14:paraId="0A8F4AE3" w14:textId="46CC5391" w:rsidR="00A652A3" w:rsidRPr="007E3065" w:rsidRDefault="007E3065" w:rsidP="00486D19">
      <w:pPr>
        <w:rPr>
          <w:rFonts w:ascii="Arial" w:hAnsi="Arial" w:cs="Arial"/>
          <w:color w:val="000000" w:themeColor="text1"/>
          <w:sz w:val="24"/>
          <w:szCs w:val="24"/>
        </w:rPr>
      </w:pPr>
      <w:r w:rsidRPr="007E3065">
        <w:rPr>
          <w:rFonts w:ascii="Arial" w:hAnsi="Arial" w:cs="Arial"/>
          <w:color w:val="000000" w:themeColor="text1"/>
          <w:sz w:val="24"/>
          <w:szCs w:val="24"/>
        </w:rPr>
        <w:lastRenderedPageBreak/>
        <w:t>Figure D4. Strategic Fit Matrix (India Market Entry Options)</w:t>
      </w:r>
    </w:p>
    <w:tbl>
      <w:tblPr>
        <w:tblW w:w="0" w:type="auto"/>
        <w:tblCellSpacing w:w="15" w:type="dxa"/>
        <w:tblBorders>
          <w:top w:val="single" w:sz="4" w:space="0" w:color="EE0000"/>
          <w:bottom w:val="single" w:sz="4" w:space="0" w:color="EE0000"/>
          <w:insideH w:val="single" w:sz="4" w:space="0" w:color="EE0000"/>
          <w:insideV w:val="single" w:sz="4" w:space="0" w:color="EE0000"/>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1977"/>
        <w:gridCol w:w="2318"/>
        <w:gridCol w:w="2135"/>
        <w:gridCol w:w="2930"/>
      </w:tblGrid>
      <w:tr w:rsidR="007E3065" w:rsidRPr="007E3065" w14:paraId="6D887B6D" w14:textId="77777777" w:rsidTr="009C6D98">
        <w:trPr>
          <w:tblHeader/>
          <w:tblCellSpacing w:w="15" w:type="dxa"/>
        </w:trPr>
        <w:tc>
          <w:tcPr>
            <w:tcW w:w="0" w:type="auto"/>
            <w:shd w:val="clear" w:color="auto" w:fill="F2F2F2" w:themeFill="background1" w:themeFillShade="F2"/>
            <w:vAlign w:val="center"/>
            <w:hideMark/>
          </w:tcPr>
          <w:p w14:paraId="1DA0B395" w14:textId="77777777" w:rsidR="007E3065" w:rsidRPr="007E3065" w:rsidRDefault="007E3065" w:rsidP="007E3065">
            <w:pPr>
              <w:rPr>
                <w:rFonts w:ascii="Arial" w:hAnsi="Arial" w:cs="Arial"/>
              </w:rPr>
            </w:pPr>
            <w:r w:rsidRPr="007E3065">
              <w:rPr>
                <w:rFonts w:ascii="Arial" w:hAnsi="Arial" w:cs="Arial"/>
              </w:rPr>
              <w:t>Criterion</w:t>
            </w:r>
          </w:p>
        </w:tc>
        <w:tc>
          <w:tcPr>
            <w:tcW w:w="0" w:type="auto"/>
            <w:shd w:val="clear" w:color="auto" w:fill="F2F2F2" w:themeFill="background1" w:themeFillShade="F2"/>
            <w:vAlign w:val="center"/>
            <w:hideMark/>
          </w:tcPr>
          <w:p w14:paraId="39161413" w14:textId="7FB87BFD" w:rsidR="007E3065" w:rsidRPr="007E3065" w:rsidRDefault="007E3065" w:rsidP="007E3065">
            <w:pPr>
              <w:rPr>
                <w:rFonts w:ascii="Arial" w:hAnsi="Arial" w:cs="Arial"/>
              </w:rPr>
            </w:pPr>
            <w:r w:rsidRPr="007E3065">
              <w:rPr>
                <w:rFonts w:ascii="Arial" w:hAnsi="Arial" w:cs="Arial"/>
              </w:rPr>
              <w:t>Wholly Owned</w:t>
            </w:r>
            <w:r w:rsidRPr="007E3065">
              <w:rPr>
                <w:rFonts w:ascii="Arial" w:hAnsi="Arial" w:cs="Arial"/>
              </w:rPr>
              <w:t xml:space="preserve"> Subsidiary</w:t>
            </w:r>
          </w:p>
        </w:tc>
        <w:tc>
          <w:tcPr>
            <w:tcW w:w="0" w:type="auto"/>
            <w:shd w:val="clear" w:color="auto" w:fill="F2F2F2" w:themeFill="background1" w:themeFillShade="F2"/>
            <w:vAlign w:val="center"/>
            <w:hideMark/>
          </w:tcPr>
          <w:p w14:paraId="1F0CF88B" w14:textId="77777777" w:rsidR="007E3065" w:rsidRPr="007E3065" w:rsidRDefault="007E3065" w:rsidP="007E3065">
            <w:pPr>
              <w:rPr>
                <w:rFonts w:ascii="Arial" w:hAnsi="Arial" w:cs="Arial"/>
              </w:rPr>
            </w:pPr>
            <w:r w:rsidRPr="007E3065">
              <w:rPr>
                <w:rFonts w:ascii="Arial" w:hAnsi="Arial" w:cs="Arial"/>
              </w:rPr>
              <w:t>Master Franchise</w:t>
            </w:r>
          </w:p>
        </w:tc>
        <w:tc>
          <w:tcPr>
            <w:tcW w:w="0" w:type="auto"/>
            <w:shd w:val="clear" w:color="auto" w:fill="F2F2F2" w:themeFill="background1" w:themeFillShade="F2"/>
            <w:vAlign w:val="center"/>
            <w:hideMark/>
          </w:tcPr>
          <w:p w14:paraId="4FA7A597" w14:textId="77777777" w:rsidR="007E3065" w:rsidRPr="007E3065" w:rsidRDefault="007E3065" w:rsidP="007E3065">
            <w:pPr>
              <w:rPr>
                <w:rFonts w:ascii="Arial" w:hAnsi="Arial" w:cs="Arial"/>
              </w:rPr>
            </w:pPr>
            <w:r w:rsidRPr="007E3065">
              <w:rPr>
                <w:rFonts w:ascii="Arial" w:hAnsi="Arial" w:cs="Arial"/>
              </w:rPr>
              <w:t>Joint Venture (Recommended)</w:t>
            </w:r>
          </w:p>
        </w:tc>
      </w:tr>
      <w:tr w:rsidR="007E3065" w:rsidRPr="007E3065" w14:paraId="3C9D4326" w14:textId="77777777" w:rsidTr="009C6D98">
        <w:trPr>
          <w:tblCellSpacing w:w="15" w:type="dxa"/>
        </w:trPr>
        <w:tc>
          <w:tcPr>
            <w:tcW w:w="0" w:type="auto"/>
            <w:shd w:val="clear" w:color="auto" w:fill="F2F2F2" w:themeFill="background1" w:themeFillShade="F2"/>
            <w:vAlign w:val="center"/>
            <w:hideMark/>
          </w:tcPr>
          <w:p w14:paraId="27F4022E" w14:textId="77777777" w:rsidR="007E3065" w:rsidRPr="007E3065" w:rsidRDefault="007E3065" w:rsidP="007E3065">
            <w:pPr>
              <w:rPr>
                <w:rFonts w:ascii="Arial" w:hAnsi="Arial" w:cs="Arial"/>
              </w:rPr>
            </w:pPr>
            <w:r w:rsidRPr="007E3065">
              <w:rPr>
                <w:rFonts w:ascii="Arial" w:hAnsi="Arial" w:cs="Arial"/>
              </w:rPr>
              <w:t>Control Level</w:t>
            </w:r>
          </w:p>
        </w:tc>
        <w:tc>
          <w:tcPr>
            <w:tcW w:w="0" w:type="auto"/>
            <w:shd w:val="clear" w:color="auto" w:fill="F2F2F2" w:themeFill="background1" w:themeFillShade="F2"/>
            <w:vAlign w:val="center"/>
            <w:hideMark/>
          </w:tcPr>
          <w:p w14:paraId="570462AB" w14:textId="77777777" w:rsidR="007E3065" w:rsidRPr="007E3065" w:rsidRDefault="007E3065" w:rsidP="007E3065">
            <w:pPr>
              <w:rPr>
                <w:rFonts w:ascii="Arial" w:hAnsi="Arial" w:cs="Arial"/>
              </w:rPr>
            </w:pPr>
            <w:r w:rsidRPr="007E3065">
              <w:rPr>
                <w:rFonts w:ascii="Arial" w:hAnsi="Arial" w:cs="Arial"/>
              </w:rPr>
              <w:t>Full control over brand, IP and experience</w:t>
            </w:r>
          </w:p>
        </w:tc>
        <w:tc>
          <w:tcPr>
            <w:tcW w:w="0" w:type="auto"/>
            <w:shd w:val="clear" w:color="auto" w:fill="F2F2F2" w:themeFill="background1" w:themeFillShade="F2"/>
            <w:vAlign w:val="center"/>
            <w:hideMark/>
          </w:tcPr>
          <w:p w14:paraId="5E4A30A8" w14:textId="75B2C4BE" w:rsidR="007E3065" w:rsidRPr="007E3065" w:rsidRDefault="007E3065" w:rsidP="007E3065">
            <w:pPr>
              <w:rPr>
                <w:rFonts w:ascii="Arial" w:hAnsi="Arial" w:cs="Arial"/>
              </w:rPr>
            </w:pPr>
            <w:r w:rsidRPr="007E3065">
              <w:rPr>
                <w:rFonts w:ascii="Arial" w:hAnsi="Arial" w:cs="Arial"/>
              </w:rPr>
              <w:t>Low</w:t>
            </w:r>
            <w:r>
              <w:rPr>
                <w:rFonts w:ascii="Arial" w:hAnsi="Arial" w:cs="Arial"/>
              </w:rPr>
              <w:t>-</w:t>
            </w:r>
            <w:r w:rsidRPr="007E3065">
              <w:rPr>
                <w:rFonts w:ascii="Arial" w:hAnsi="Arial" w:cs="Arial"/>
              </w:rPr>
              <w:t>moderate control; franchisee controls operations</w:t>
            </w:r>
          </w:p>
        </w:tc>
        <w:tc>
          <w:tcPr>
            <w:tcW w:w="0" w:type="auto"/>
            <w:shd w:val="clear" w:color="auto" w:fill="F2F2F2" w:themeFill="background1" w:themeFillShade="F2"/>
            <w:vAlign w:val="center"/>
            <w:hideMark/>
          </w:tcPr>
          <w:p w14:paraId="5F398481" w14:textId="4B471B75" w:rsidR="007E3065" w:rsidRPr="007E3065" w:rsidRDefault="007E3065" w:rsidP="007E3065">
            <w:pPr>
              <w:rPr>
                <w:rFonts w:ascii="Arial" w:hAnsi="Arial" w:cs="Arial"/>
              </w:rPr>
            </w:pPr>
            <w:r w:rsidRPr="007E3065">
              <w:rPr>
                <w:rFonts w:ascii="Arial" w:hAnsi="Arial" w:cs="Arial"/>
              </w:rPr>
              <w:t>Shared control</w:t>
            </w:r>
            <w:r>
              <w:rPr>
                <w:rFonts w:ascii="Arial" w:hAnsi="Arial" w:cs="Arial"/>
              </w:rPr>
              <w:t>:</w:t>
            </w:r>
            <w:r w:rsidRPr="007E3065">
              <w:rPr>
                <w:rFonts w:ascii="Arial" w:hAnsi="Arial" w:cs="Arial"/>
              </w:rPr>
              <w:t xml:space="preserve"> protects brand standards while leveraging local expertise</w:t>
            </w:r>
          </w:p>
        </w:tc>
      </w:tr>
      <w:tr w:rsidR="007E3065" w:rsidRPr="007E3065" w14:paraId="7C2D43E9" w14:textId="77777777" w:rsidTr="009C6D98">
        <w:trPr>
          <w:tblCellSpacing w:w="15" w:type="dxa"/>
        </w:trPr>
        <w:tc>
          <w:tcPr>
            <w:tcW w:w="0" w:type="auto"/>
            <w:shd w:val="clear" w:color="auto" w:fill="F2F2F2" w:themeFill="background1" w:themeFillShade="F2"/>
            <w:vAlign w:val="center"/>
            <w:hideMark/>
          </w:tcPr>
          <w:p w14:paraId="7825CD10" w14:textId="77777777" w:rsidR="007E3065" w:rsidRPr="007E3065" w:rsidRDefault="007E3065" w:rsidP="007E3065">
            <w:pPr>
              <w:rPr>
                <w:rFonts w:ascii="Arial" w:hAnsi="Arial" w:cs="Arial"/>
              </w:rPr>
            </w:pPr>
            <w:r w:rsidRPr="007E3065">
              <w:rPr>
                <w:rFonts w:ascii="Arial" w:hAnsi="Arial" w:cs="Arial"/>
              </w:rPr>
              <w:t>Regulatory Fit (30% FDI rule)</w:t>
            </w:r>
          </w:p>
        </w:tc>
        <w:tc>
          <w:tcPr>
            <w:tcW w:w="0" w:type="auto"/>
            <w:shd w:val="clear" w:color="auto" w:fill="F2F2F2" w:themeFill="background1" w:themeFillShade="F2"/>
            <w:vAlign w:val="center"/>
            <w:hideMark/>
          </w:tcPr>
          <w:p w14:paraId="5D38CADC" w14:textId="3FD36B56"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Very low </w:t>
            </w:r>
            <w:r>
              <w:rPr>
                <w:rFonts w:ascii="Arial" w:hAnsi="Arial" w:cs="Arial"/>
              </w:rPr>
              <w:t>-</w:t>
            </w:r>
            <w:r w:rsidRPr="007E3065">
              <w:rPr>
                <w:rFonts w:ascii="Arial" w:hAnsi="Arial" w:cs="Arial"/>
              </w:rPr>
              <w:t xml:space="preserve"> fails local sourcing requirement; high administrative barriers</w:t>
            </w:r>
          </w:p>
        </w:tc>
        <w:tc>
          <w:tcPr>
            <w:tcW w:w="0" w:type="auto"/>
            <w:shd w:val="clear" w:color="auto" w:fill="F2F2F2" w:themeFill="background1" w:themeFillShade="F2"/>
            <w:vAlign w:val="center"/>
            <w:hideMark/>
          </w:tcPr>
          <w:p w14:paraId="66CB3110" w14:textId="4DCEBF4B"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Moderate </w:t>
            </w:r>
            <w:r>
              <w:rPr>
                <w:rFonts w:ascii="Arial" w:hAnsi="Arial" w:cs="Arial"/>
              </w:rPr>
              <w:t>-</w:t>
            </w:r>
            <w:r w:rsidRPr="007E3065">
              <w:rPr>
                <w:rFonts w:ascii="Arial" w:hAnsi="Arial" w:cs="Arial"/>
              </w:rPr>
              <w:t xml:space="preserve"> franchise agreements partially bypass sourcing constraints</w:t>
            </w:r>
          </w:p>
        </w:tc>
        <w:tc>
          <w:tcPr>
            <w:tcW w:w="0" w:type="auto"/>
            <w:shd w:val="clear" w:color="auto" w:fill="F2F2F2" w:themeFill="background1" w:themeFillShade="F2"/>
            <w:vAlign w:val="center"/>
            <w:hideMark/>
          </w:tcPr>
          <w:p w14:paraId="1C26162C" w14:textId="3F9A664C"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High </w:t>
            </w:r>
            <w:r>
              <w:rPr>
                <w:rFonts w:ascii="Arial" w:hAnsi="Arial" w:cs="Arial"/>
              </w:rPr>
              <w:t>-</w:t>
            </w:r>
            <w:r w:rsidRPr="007E3065">
              <w:rPr>
                <w:rFonts w:ascii="Arial" w:hAnsi="Arial" w:cs="Arial"/>
              </w:rPr>
              <w:t xml:space="preserve"> JV structure satisfies FDI expectations and eases approval processes</w:t>
            </w:r>
          </w:p>
        </w:tc>
      </w:tr>
      <w:tr w:rsidR="007E3065" w:rsidRPr="007E3065" w14:paraId="7A26BD86" w14:textId="77777777" w:rsidTr="009C6D98">
        <w:trPr>
          <w:tblCellSpacing w:w="15" w:type="dxa"/>
        </w:trPr>
        <w:tc>
          <w:tcPr>
            <w:tcW w:w="0" w:type="auto"/>
            <w:shd w:val="clear" w:color="auto" w:fill="F2F2F2" w:themeFill="background1" w:themeFillShade="F2"/>
            <w:vAlign w:val="center"/>
            <w:hideMark/>
          </w:tcPr>
          <w:p w14:paraId="6F934F1B" w14:textId="77777777" w:rsidR="007E3065" w:rsidRPr="007E3065" w:rsidRDefault="007E3065" w:rsidP="007E3065">
            <w:pPr>
              <w:rPr>
                <w:rFonts w:ascii="Arial" w:hAnsi="Arial" w:cs="Arial"/>
              </w:rPr>
            </w:pPr>
            <w:r w:rsidRPr="007E3065">
              <w:rPr>
                <w:rFonts w:ascii="Arial" w:hAnsi="Arial" w:cs="Arial"/>
              </w:rPr>
              <w:t>Cultural Fit / Local Responsiveness</w:t>
            </w:r>
          </w:p>
        </w:tc>
        <w:tc>
          <w:tcPr>
            <w:tcW w:w="0" w:type="auto"/>
            <w:shd w:val="clear" w:color="auto" w:fill="F2F2F2" w:themeFill="background1" w:themeFillShade="F2"/>
            <w:vAlign w:val="center"/>
            <w:hideMark/>
          </w:tcPr>
          <w:p w14:paraId="014EBC9E" w14:textId="1248FA8C"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Weak </w:t>
            </w:r>
            <w:r>
              <w:rPr>
                <w:rFonts w:ascii="Arial" w:hAnsi="Arial" w:cs="Arial"/>
              </w:rPr>
              <w:t>-</w:t>
            </w:r>
            <w:r w:rsidRPr="007E3065">
              <w:rPr>
                <w:rFonts w:ascii="Arial" w:hAnsi="Arial" w:cs="Arial"/>
              </w:rPr>
              <w:t xml:space="preserve"> high cultural distance; weak local networks</w:t>
            </w:r>
          </w:p>
        </w:tc>
        <w:tc>
          <w:tcPr>
            <w:tcW w:w="0" w:type="auto"/>
            <w:shd w:val="clear" w:color="auto" w:fill="F2F2F2" w:themeFill="background1" w:themeFillShade="F2"/>
            <w:vAlign w:val="center"/>
            <w:hideMark/>
          </w:tcPr>
          <w:p w14:paraId="44A6ABFA" w14:textId="3C0A66BF"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Moderate </w:t>
            </w:r>
            <w:r>
              <w:rPr>
                <w:rFonts w:ascii="Arial" w:hAnsi="Arial" w:cs="Arial"/>
              </w:rPr>
              <w:t>-</w:t>
            </w:r>
            <w:r w:rsidRPr="007E3065">
              <w:rPr>
                <w:rFonts w:ascii="Arial" w:hAnsi="Arial" w:cs="Arial"/>
              </w:rPr>
              <w:t xml:space="preserve"> depends on franchisee capability</w:t>
            </w:r>
          </w:p>
        </w:tc>
        <w:tc>
          <w:tcPr>
            <w:tcW w:w="0" w:type="auto"/>
            <w:shd w:val="clear" w:color="auto" w:fill="F2F2F2" w:themeFill="background1" w:themeFillShade="F2"/>
            <w:vAlign w:val="center"/>
            <w:hideMark/>
          </w:tcPr>
          <w:p w14:paraId="4920609A" w14:textId="0A80C5AC"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Strong </w:t>
            </w:r>
            <w:r>
              <w:rPr>
                <w:rFonts w:ascii="Arial" w:hAnsi="Arial" w:cs="Arial"/>
              </w:rPr>
              <w:t>-</w:t>
            </w:r>
            <w:r w:rsidRPr="007E3065">
              <w:rPr>
                <w:rFonts w:ascii="Arial" w:hAnsi="Arial" w:cs="Arial"/>
              </w:rPr>
              <w:t xml:space="preserve"> access to Indian market knowledge, yoga culture, festivals, and wellness communities</w:t>
            </w:r>
          </w:p>
        </w:tc>
      </w:tr>
      <w:tr w:rsidR="007E3065" w:rsidRPr="007E3065" w14:paraId="7EA3AD97" w14:textId="77777777" w:rsidTr="009C6D98">
        <w:trPr>
          <w:tblCellSpacing w:w="15" w:type="dxa"/>
        </w:trPr>
        <w:tc>
          <w:tcPr>
            <w:tcW w:w="0" w:type="auto"/>
            <w:shd w:val="clear" w:color="auto" w:fill="F2F2F2" w:themeFill="background1" w:themeFillShade="F2"/>
            <w:vAlign w:val="center"/>
            <w:hideMark/>
          </w:tcPr>
          <w:p w14:paraId="3B41A5C1" w14:textId="77777777" w:rsidR="007E3065" w:rsidRPr="007E3065" w:rsidRDefault="007E3065" w:rsidP="007E3065">
            <w:pPr>
              <w:rPr>
                <w:rFonts w:ascii="Arial" w:hAnsi="Arial" w:cs="Arial"/>
              </w:rPr>
            </w:pPr>
            <w:r w:rsidRPr="007E3065">
              <w:rPr>
                <w:rFonts w:ascii="Arial" w:hAnsi="Arial" w:cs="Arial"/>
              </w:rPr>
              <w:t>Speed of Market Entry</w:t>
            </w:r>
          </w:p>
        </w:tc>
        <w:tc>
          <w:tcPr>
            <w:tcW w:w="0" w:type="auto"/>
            <w:shd w:val="clear" w:color="auto" w:fill="F2F2F2" w:themeFill="background1" w:themeFillShade="F2"/>
            <w:vAlign w:val="center"/>
            <w:hideMark/>
          </w:tcPr>
          <w:p w14:paraId="6080C27D" w14:textId="78E41A17"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Slow </w:t>
            </w:r>
            <w:r>
              <w:rPr>
                <w:rFonts w:ascii="Arial" w:hAnsi="Arial" w:cs="Arial"/>
              </w:rPr>
              <w:t>-</w:t>
            </w:r>
            <w:r w:rsidRPr="007E3065">
              <w:rPr>
                <w:rFonts w:ascii="Arial" w:hAnsi="Arial" w:cs="Arial"/>
              </w:rPr>
              <w:t xml:space="preserve"> bureaucratic approvals and high capex</w:t>
            </w:r>
          </w:p>
        </w:tc>
        <w:tc>
          <w:tcPr>
            <w:tcW w:w="0" w:type="auto"/>
            <w:shd w:val="clear" w:color="auto" w:fill="F2F2F2" w:themeFill="background1" w:themeFillShade="F2"/>
            <w:vAlign w:val="center"/>
            <w:hideMark/>
          </w:tcPr>
          <w:p w14:paraId="46B22C65" w14:textId="167DB44A"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Fast </w:t>
            </w:r>
            <w:r>
              <w:rPr>
                <w:rFonts w:ascii="Arial" w:hAnsi="Arial" w:cs="Arial"/>
              </w:rPr>
              <w:t>-</w:t>
            </w:r>
            <w:r w:rsidRPr="007E3065">
              <w:rPr>
                <w:rFonts w:ascii="Arial" w:hAnsi="Arial" w:cs="Arial"/>
              </w:rPr>
              <w:t xml:space="preserve"> franchisee handles store rollout</w:t>
            </w:r>
          </w:p>
        </w:tc>
        <w:tc>
          <w:tcPr>
            <w:tcW w:w="0" w:type="auto"/>
            <w:shd w:val="clear" w:color="auto" w:fill="F2F2F2" w:themeFill="background1" w:themeFillShade="F2"/>
            <w:vAlign w:val="center"/>
            <w:hideMark/>
          </w:tcPr>
          <w:p w14:paraId="3C5E099D" w14:textId="3EB2E130"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Fast–moderate </w:t>
            </w:r>
            <w:r>
              <w:rPr>
                <w:rFonts w:ascii="Arial" w:hAnsi="Arial" w:cs="Arial"/>
              </w:rPr>
              <w:t>-</w:t>
            </w:r>
            <w:r w:rsidRPr="007E3065">
              <w:rPr>
                <w:rFonts w:ascii="Arial" w:hAnsi="Arial" w:cs="Arial"/>
              </w:rPr>
              <w:t xml:space="preserve"> quicker entry with strategic partner (e.g., Tata CLiQ Luxury)</w:t>
            </w:r>
          </w:p>
        </w:tc>
      </w:tr>
      <w:tr w:rsidR="007E3065" w:rsidRPr="007E3065" w14:paraId="0B5E40F3" w14:textId="77777777" w:rsidTr="009C6D98">
        <w:trPr>
          <w:tblCellSpacing w:w="15" w:type="dxa"/>
        </w:trPr>
        <w:tc>
          <w:tcPr>
            <w:tcW w:w="0" w:type="auto"/>
            <w:shd w:val="clear" w:color="auto" w:fill="F2F2F2" w:themeFill="background1" w:themeFillShade="F2"/>
            <w:vAlign w:val="center"/>
            <w:hideMark/>
          </w:tcPr>
          <w:p w14:paraId="684766B9" w14:textId="77777777" w:rsidR="007E3065" w:rsidRPr="007E3065" w:rsidRDefault="007E3065" w:rsidP="007E3065">
            <w:pPr>
              <w:rPr>
                <w:rFonts w:ascii="Arial" w:hAnsi="Arial" w:cs="Arial"/>
              </w:rPr>
            </w:pPr>
            <w:r w:rsidRPr="007E3065">
              <w:rPr>
                <w:rFonts w:ascii="Arial" w:hAnsi="Arial" w:cs="Arial"/>
              </w:rPr>
              <w:t>Financial Risk</w:t>
            </w:r>
          </w:p>
        </w:tc>
        <w:tc>
          <w:tcPr>
            <w:tcW w:w="0" w:type="auto"/>
            <w:shd w:val="clear" w:color="auto" w:fill="F2F2F2" w:themeFill="background1" w:themeFillShade="F2"/>
            <w:vAlign w:val="center"/>
            <w:hideMark/>
          </w:tcPr>
          <w:p w14:paraId="163CC491" w14:textId="00665337"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High </w:t>
            </w:r>
            <w:r>
              <w:rPr>
                <w:rFonts w:ascii="Arial" w:hAnsi="Arial" w:cs="Arial"/>
              </w:rPr>
              <w:t>-</w:t>
            </w:r>
            <w:r w:rsidRPr="007E3065">
              <w:rPr>
                <w:rFonts w:ascii="Arial" w:hAnsi="Arial" w:cs="Arial"/>
              </w:rPr>
              <w:t xml:space="preserve"> full capital burden (</w:t>
            </w:r>
            <w:r>
              <w:rPr>
                <w:rFonts w:ascii="Arial" w:hAnsi="Arial" w:cs="Arial"/>
              </w:rPr>
              <w:t>C</w:t>
            </w:r>
            <w:r w:rsidRPr="007E3065">
              <w:rPr>
                <w:rFonts w:ascii="Arial" w:hAnsi="Arial" w:cs="Arial"/>
              </w:rPr>
              <w:t>a</w:t>
            </w:r>
            <w:r>
              <w:rPr>
                <w:rFonts w:ascii="Arial" w:hAnsi="Arial" w:cs="Arial"/>
              </w:rPr>
              <w:t>pE</w:t>
            </w:r>
            <w:r w:rsidRPr="007E3065">
              <w:rPr>
                <w:rFonts w:ascii="Arial" w:hAnsi="Arial" w:cs="Arial"/>
              </w:rPr>
              <w:t xml:space="preserve">x + </w:t>
            </w:r>
            <w:r w:rsidRPr="007E3065">
              <w:rPr>
                <w:rFonts w:ascii="Arial" w:hAnsi="Arial" w:cs="Arial"/>
              </w:rPr>
              <w:t>OpEx</w:t>
            </w:r>
            <w:r w:rsidRPr="007E3065">
              <w:rPr>
                <w:rFonts w:ascii="Arial" w:hAnsi="Arial" w:cs="Arial"/>
              </w:rPr>
              <w:t>)</w:t>
            </w:r>
          </w:p>
        </w:tc>
        <w:tc>
          <w:tcPr>
            <w:tcW w:w="0" w:type="auto"/>
            <w:shd w:val="clear" w:color="auto" w:fill="F2F2F2" w:themeFill="background1" w:themeFillShade="F2"/>
            <w:vAlign w:val="center"/>
            <w:hideMark/>
          </w:tcPr>
          <w:p w14:paraId="344D9DBB" w14:textId="54B1029A"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Low </w:t>
            </w:r>
            <w:r>
              <w:rPr>
                <w:rFonts w:ascii="Arial" w:hAnsi="Arial" w:cs="Arial"/>
              </w:rPr>
              <w:t>-</w:t>
            </w:r>
            <w:r w:rsidRPr="007E3065">
              <w:rPr>
                <w:rFonts w:ascii="Arial" w:hAnsi="Arial" w:cs="Arial"/>
              </w:rPr>
              <w:t xml:space="preserve"> franchisee assumes most financial risk</w:t>
            </w:r>
          </w:p>
        </w:tc>
        <w:tc>
          <w:tcPr>
            <w:tcW w:w="0" w:type="auto"/>
            <w:shd w:val="clear" w:color="auto" w:fill="F2F2F2" w:themeFill="background1" w:themeFillShade="F2"/>
            <w:vAlign w:val="center"/>
            <w:hideMark/>
          </w:tcPr>
          <w:p w14:paraId="20A8EB79" w14:textId="77E61B2C"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Moderate </w:t>
            </w:r>
            <w:r>
              <w:rPr>
                <w:rFonts w:ascii="Arial" w:hAnsi="Arial" w:cs="Arial"/>
              </w:rPr>
              <w:t>-</w:t>
            </w:r>
            <w:r w:rsidRPr="007E3065">
              <w:rPr>
                <w:rFonts w:ascii="Arial" w:hAnsi="Arial" w:cs="Arial"/>
              </w:rPr>
              <w:t xml:space="preserve"> shared investment reduces exposure</w:t>
            </w:r>
          </w:p>
        </w:tc>
      </w:tr>
      <w:tr w:rsidR="007E3065" w:rsidRPr="007E3065" w14:paraId="1F3BA925" w14:textId="77777777" w:rsidTr="009C6D98">
        <w:trPr>
          <w:tblCellSpacing w:w="15" w:type="dxa"/>
        </w:trPr>
        <w:tc>
          <w:tcPr>
            <w:tcW w:w="0" w:type="auto"/>
            <w:shd w:val="clear" w:color="auto" w:fill="F2F2F2" w:themeFill="background1" w:themeFillShade="F2"/>
            <w:vAlign w:val="center"/>
            <w:hideMark/>
          </w:tcPr>
          <w:p w14:paraId="39EE6266" w14:textId="77777777" w:rsidR="007E3065" w:rsidRPr="007E3065" w:rsidRDefault="007E3065" w:rsidP="007E3065">
            <w:pPr>
              <w:rPr>
                <w:rFonts w:ascii="Arial" w:hAnsi="Arial" w:cs="Arial"/>
              </w:rPr>
            </w:pPr>
            <w:r w:rsidRPr="007E3065">
              <w:rPr>
                <w:rFonts w:ascii="Arial" w:hAnsi="Arial" w:cs="Arial"/>
              </w:rPr>
              <w:t>Brand Protection</w:t>
            </w:r>
          </w:p>
        </w:tc>
        <w:tc>
          <w:tcPr>
            <w:tcW w:w="0" w:type="auto"/>
            <w:shd w:val="clear" w:color="auto" w:fill="F2F2F2" w:themeFill="background1" w:themeFillShade="F2"/>
            <w:vAlign w:val="center"/>
            <w:hideMark/>
          </w:tcPr>
          <w:p w14:paraId="0941BEC5" w14:textId="01D2CB6B"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Very high </w:t>
            </w:r>
            <w:r>
              <w:rPr>
                <w:rFonts w:ascii="Arial" w:hAnsi="Arial" w:cs="Arial"/>
              </w:rPr>
              <w:t>-</w:t>
            </w:r>
            <w:r w:rsidRPr="007E3065">
              <w:rPr>
                <w:rFonts w:ascii="Arial" w:hAnsi="Arial" w:cs="Arial"/>
              </w:rPr>
              <w:t xml:space="preserve"> full control</w:t>
            </w:r>
          </w:p>
        </w:tc>
        <w:tc>
          <w:tcPr>
            <w:tcW w:w="0" w:type="auto"/>
            <w:shd w:val="clear" w:color="auto" w:fill="F2F2F2" w:themeFill="background1" w:themeFillShade="F2"/>
            <w:vAlign w:val="center"/>
            <w:hideMark/>
          </w:tcPr>
          <w:p w14:paraId="3A404BA1" w14:textId="77777777"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Risk of brand dilution if franchisee quality varies</w:t>
            </w:r>
          </w:p>
        </w:tc>
        <w:tc>
          <w:tcPr>
            <w:tcW w:w="0" w:type="auto"/>
            <w:shd w:val="clear" w:color="auto" w:fill="F2F2F2" w:themeFill="background1" w:themeFillShade="F2"/>
            <w:vAlign w:val="center"/>
            <w:hideMark/>
          </w:tcPr>
          <w:p w14:paraId="4FA244F1" w14:textId="38A55B9B"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High </w:t>
            </w:r>
            <w:r>
              <w:rPr>
                <w:rFonts w:ascii="Arial" w:hAnsi="Arial" w:cs="Arial"/>
              </w:rPr>
              <w:t>-</w:t>
            </w:r>
            <w:r w:rsidRPr="007E3065">
              <w:rPr>
                <w:rFonts w:ascii="Arial" w:hAnsi="Arial" w:cs="Arial"/>
              </w:rPr>
              <w:t xml:space="preserve"> joint governance and shared KPIs ensure brand consistency</w:t>
            </w:r>
          </w:p>
        </w:tc>
      </w:tr>
      <w:tr w:rsidR="007E3065" w:rsidRPr="007E3065" w14:paraId="7F733963" w14:textId="77777777" w:rsidTr="009C6D98">
        <w:trPr>
          <w:tblCellSpacing w:w="15" w:type="dxa"/>
        </w:trPr>
        <w:tc>
          <w:tcPr>
            <w:tcW w:w="0" w:type="auto"/>
            <w:shd w:val="clear" w:color="auto" w:fill="F2F2F2" w:themeFill="background1" w:themeFillShade="F2"/>
            <w:vAlign w:val="center"/>
            <w:hideMark/>
          </w:tcPr>
          <w:p w14:paraId="4ED4B0E1" w14:textId="77777777" w:rsidR="007E3065" w:rsidRPr="007E3065" w:rsidRDefault="007E3065" w:rsidP="007E3065">
            <w:pPr>
              <w:rPr>
                <w:rFonts w:ascii="Arial" w:hAnsi="Arial" w:cs="Arial"/>
              </w:rPr>
            </w:pPr>
            <w:r w:rsidRPr="007E3065">
              <w:rPr>
                <w:rFonts w:ascii="Arial" w:hAnsi="Arial" w:cs="Arial"/>
              </w:rPr>
              <w:t>Supply Chain / Sourcing Feasibility</w:t>
            </w:r>
          </w:p>
        </w:tc>
        <w:tc>
          <w:tcPr>
            <w:tcW w:w="0" w:type="auto"/>
            <w:shd w:val="clear" w:color="auto" w:fill="F2F2F2" w:themeFill="background1" w:themeFillShade="F2"/>
            <w:vAlign w:val="center"/>
            <w:hideMark/>
          </w:tcPr>
          <w:p w14:paraId="509289AB" w14:textId="4517FB41"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Very limited </w:t>
            </w:r>
            <w:r>
              <w:rPr>
                <w:rFonts w:ascii="Arial" w:hAnsi="Arial" w:cs="Arial"/>
              </w:rPr>
              <w:t>-</w:t>
            </w:r>
            <w:r w:rsidRPr="007E3065">
              <w:rPr>
                <w:rFonts w:ascii="Arial" w:hAnsi="Arial" w:cs="Arial"/>
              </w:rPr>
              <w:t xml:space="preserve"> fails 30% rule without deep localisation</w:t>
            </w:r>
          </w:p>
        </w:tc>
        <w:tc>
          <w:tcPr>
            <w:tcW w:w="0" w:type="auto"/>
            <w:shd w:val="clear" w:color="auto" w:fill="F2F2F2" w:themeFill="background1" w:themeFillShade="F2"/>
            <w:vAlign w:val="center"/>
            <w:hideMark/>
          </w:tcPr>
          <w:p w14:paraId="20B84E79" w14:textId="03C3BA21"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Moderate </w:t>
            </w:r>
            <w:r>
              <w:rPr>
                <w:rFonts w:ascii="Arial" w:hAnsi="Arial" w:cs="Arial"/>
              </w:rPr>
              <w:t>-</w:t>
            </w:r>
            <w:r w:rsidRPr="007E3065">
              <w:rPr>
                <w:rFonts w:ascii="Arial" w:hAnsi="Arial" w:cs="Arial"/>
              </w:rPr>
              <w:t xml:space="preserve"> franchisee uses local sourcing</w:t>
            </w:r>
          </w:p>
        </w:tc>
        <w:tc>
          <w:tcPr>
            <w:tcW w:w="0" w:type="auto"/>
            <w:shd w:val="clear" w:color="auto" w:fill="F2F2F2" w:themeFill="background1" w:themeFillShade="F2"/>
            <w:vAlign w:val="center"/>
            <w:hideMark/>
          </w:tcPr>
          <w:p w14:paraId="59A73A44" w14:textId="4B12D5BF"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Optimal </w:t>
            </w:r>
            <w:r>
              <w:rPr>
                <w:rFonts w:ascii="Arial" w:hAnsi="Arial" w:cs="Arial"/>
              </w:rPr>
              <w:t>-</w:t>
            </w:r>
            <w:r w:rsidRPr="007E3065">
              <w:rPr>
                <w:rFonts w:ascii="Arial" w:hAnsi="Arial" w:cs="Arial"/>
              </w:rPr>
              <w:t xml:space="preserve"> JV can blend global fabrics with selective local sourcing</w:t>
            </w:r>
          </w:p>
        </w:tc>
      </w:tr>
      <w:tr w:rsidR="007E3065" w:rsidRPr="007E3065" w14:paraId="7DE6DD2A" w14:textId="77777777" w:rsidTr="009C6D98">
        <w:trPr>
          <w:tblCellSpacing w:w="15" w:type="dxa"/>
        </w:trPr>
        <w:tc>
          <w:tcPr>
            <w:tcW w:w="0" w:type="auto"/>
            <w:shd w:val="clear" w:color="auto" w:fill="F2F2F2" w:themeFill="background1" w:themeFillShade="F2"/>
            <w:vAlign w:val="center"/>
            <w:hideMark/>
          </w:tcPr>
          <w:p w14:paraId="026D8062" w14:textId="77777777" w:rsidR="007E3065" w:rsidRPr="007E3065" w:rsidRDefault="007E3065" w:rsidP="007E3065">
            <w:pPr>
              <w:rPr>
                <w:rFonts w:ascii="Arial" w:hAnsi="Arial" w:cs="Arial"/>
              </w:rPr>
            </w:pPr>
            <w:r w:rsidRPr="007E3065">
              <w:rPr>
                <w:rFonts w:ascii="Arial" w:hAnsi="Arial" w:cs="Arial"/>
              </w:rPr>
              <w:t>Strategic Fit with India</w:t>
            </w:r>
          </w:p>
        </w:tc>
        <w:tc>
          <w:tcPr>
            <w:tcW w:w="0" w:type="auto"/>
            <w:shd w:val="clear" w:color="auto" w:fill="F2F2F2" w:themeFill="background1" w:themeFillShade="F2"/>
            <w:vAlign w:val="center"/>
            <w:hideMark/>
          </w:tcPr>
          <w:p w14:paraId="3DE2D4FE" w14:textId="77777777" w:rsidR="007E3065" w:rsidRPr="007E3065" w:rsidRDefault="007E3065" w:rsidP="007E3065">
            <w:pPr>
              <w:rPr>
                <w:rFonts w:ascii="Arial" w:hAnsi="Arial" w:cs="Arial"/>
              </w:rPr>
            </w:pPr>
            <w:r w:rsidRPr="007E3065">
              <w:rPr>
                <w:rFonts w:ascii="Segoe UI Emoji" w:hAnsi="Segoe UI Emoji" w:cs="Segoe UI Emoji"/>
              </w:rPr>
              <w:t>❌</w:t>
            </w:r>
            <w:r w:rsidRPr="007E3065">
              <w:rPr>
                <w:rFonts w:ascii="Arial" w:hAnsi="Arial" w:cs="Arial"/>
              </w:rPr>
              <w:t xml:space="preserve"> Poor</w:t>
            </w:r>
          </w:p>
        </w:tc>
        <w:tc>
          <w:tcPr>
            <w:tcW w:w="0" w:type="auto"/>
            <w:shd w:val="clear" w:color="auto" w:fill="F2F2F2" w:themeFill="background1" w:themeFillShade="F2"/>
            <w:vAlign w:val="center"/>
            <w:hideMark/>
          </w:tcPr>
          <w:p w14:paraId="4211E041" w14:textId="77777777" w:rsidR="007E3065" w:rsidRPr="007E3065" w:rsidRDefault="007E3065" w:rsidP="007E3065">
            <w:pPr>
              <w:rPr>
                <w:rFonts w:ascii="Arial" w:hAnsi="Arial" w:cs="Arial"/>
              </w:rPr>
            </w:pPr>
            <w:r w:rsidRPr="007E3065">
              <w:rPr>
                <w:rFonts w:ascii="Segoe UI Symbol" w:hAnsi="Segoe UI Symbol" w:cs="Segoe UI Symbol"/>
              </w:rPr>
              <w:t>✔</w:t>
            </w:r>
            <w:r w:rsidRPr="007E3065">
              <w:rPr>
                <w:rFonts w:ascii="Arial" w:hAnsi="Arial" w:cs="Arial"/>
              </w:rPr>
              <w:t xml:space="preserve"> Acceptable</w:t>
            </w:r>
          </w:p>
        </w:tc>
        <w:tc>
          <w:tcPr>
            <w:tcW w:w="0" w:type="auto"/>
            <w:shd w:val="clear" w:color="auto" w:fill="F2F2F2" w:themeFill="background1" w:themeFillShade="F2"/>
            <w:vAlign w:val="center"/>
            <w:hideMark/>
          </w:tcPr>
          <w:p w14:paraId="42D4EF23" w14:textId="4D57E3CE" w:rsidR="007E3065" w:rsidRPr="007E3065" w:rsidRDefault="007E3065" w:rsidP="007E3065">
            <w:pPr>
              <w:rPr>
                <w:rFonts w:ascii="Arial" w:hAnsi="Arial" w:cs="Arial"/>
              </w:rPr>
            </w:pPr>
            <w:r w:rsidRPr="007E3065">
              <w:rPr>
                <w:rFonts w:ascii="Arial" w:hAnsi="Arial" w:cs="Arial"/>
                <w:noProof/>
                <w:shd w:val="clear" w:color="auto" w:fill="FFFF00"/>
              </w:rPr>
              <w:drawing>
                <wp:inline distT="0" distB="0" distL="0" distR="0" wp14:anchorId="3FCB440E" wp14:editId="28B034C5">
                  <wp:extent cx="141219" cy="141219"/>
                  <wp:effectExtent l="0" t="0" r="0" b="0"/>
                  <wp:docPr id="989425338" name="Graphic 29" descr="Badge 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25338" name="Graphic 989425338" descr="Badge New outline"/>
                          <pic:cNvPicPr/>
                        </pic:nvPicPr>
                        <pic:blipFill>
                          <a:blip r:embed="rId28">
                            <a:extLst>
                              <a:ext uri="{96DAC541-7B7A-43D3-8B79-37D633B846F1}">
                                <asvg:svgBlip xmlns:asvg="http://schemas.microsoft.com/office/drawing/2016/SVG/main" r:embed="rId29"/>
                              </a:ext>
                            </a:extLst>
                          </a:blip>
                          <a:stretch>
                            <a:fillRect/>
                          </a:stretch>
                        </pic:blipFill>
                        <pic:spPr>
                          <a:xfrm>
                            <a:off x="0" y="0"/>
                            <a:ext cx="149460" cy="149460"/>
                          </a:xfrm>
                          <a:prstGeom prst="rect">
                            <a:avLst/>
                          </a:prstGeom>
                        </pic:spPr>
                      </pic:pic>
                    </a:graphicData>
                  </a:graphic>
                </wp:inline>
              </w:drawing>
            </w:r>
            <w:r w:rsidRPr="007E3065">
              <w:rPr>
                <w:rFonts w:ascii="Arial" w:hAnsi="Arial" w:cs="Arial"/>
              </w:rPr>
              <w:t>Excellent</w:t>
            </w:r>
          </w:p>
        </w:tc>
      </w:tr>
    </w:tbl>
    <w:p w14:paraId="376A8236" w14:textId="45713BC8" w:rsidR="00A652A3" w:rsidRPr="00832B31" w:rsidRDefault="00832B31" w:rsidP="00832B31">
      <w:pPr>
        <w:spacing w:line="360" w:lineRule="auto"/>
        <w:rPr>
          <w:rFonts w:ascii="Arial" w:hAnsi="Arial" w:cs="Arial"/>
          <w:color w:val="000000" w:themeColor="text1"/>
          <w:sz w:val="20"/>
          <w:szCs w:val="20"/>
        </w:rPr>
      </w:pPr>
      <w:r w:rsidRPr="00832B31">
        <w:rPr>
          <w:rFonts w:ascii="Arial" w:hAnsi="Arial" w:cs="Arial"/>
          <w:color w:val="000000" w:themeColor="text1"/>
          <w:sz w:val="20"/>
          <w:szCs w:val="20"/>
        </w:rPr>
        <w:t>Source: Adapted from Porter’s Value Chain Framework (Porter, 1985); further informed by Grant (2019), Barney (1991) and Lululemon Annual Report (2024).</w:t>
      </w:r>
    </w:p>
    <w:p w14:paraId="2E95EAA3" w14:textId="77777777" w:rsidR="00A652A3" w:rsidRDefault="00A652A3" w:rsidP="00486D19"/>
    <w:p w14:paraId="4817B08B" w14:textId="77777777" w:rsidR="009C6D98" w:rsidRDefault="009C6D98" w:rsidP="00486D19"/>
    <w:p w14:paraId="5D59FEEC" w14:textId="77777777" w:rsidR="009C6D98" w:rsidRDefault="009C6D98" w:rsidP="00486D19"/>
    <w:p w14:paraId="2DB0D969" w14:textId="77777777" w:rsidR="009C6D98" w:rsidRDefault="009C6D98" w:rsidP="009C6D98">
      <w:pPr>
        <w:rPr>
          <w:rFonts w:ascii="Arial" w:hAnsi="Arial" w:cs="Arial"/>
          <w:color w:val="000000" w:themeColor="text1"/>
          <w:sz w:val="24"/>
          <w:szCs w:val="24"/>
        </w:rPr>
      </w:pPr>
      <w:r w:rsidRPr="009C6D98">
        <w:rPr>
          <w:rFonts w:ascii="Arial" w:hAnsi="Arial" w:cs="Arial"/>
          <w:color w:val="000000" w:themeColor="text1"/>
          <w:sz w:val="24"/>
          <w:szCs w:val="24"/>
        </w:rPr>
        <w:lastRenderedPageBreak/>
        <w:t>Figure D5. Strategy Diamond for Lululemon’s India Entry Strategy</w:t>
      </w:r>
    </w:p>
    <w:tbl>
      <w:tblPr>
        <w:tblW w:w="0" w:type="auto"/>
        <w:tblCellSpacing w:w="15" w:type="dxa"/>
        <w:tblBorders>
          <w:top w:val="single" w:sz="4" w:space="0" w:color="EE0000"/>
          <w:bottom w:val="single" w:sz="4" w:space="0" w:color="EE0000"/>
          <w:insideH w:val="single" w:sz="4" w:space="0" w:color="EE0000"/>
          <w:insideV w:val="single" w:sz="4" w:space="0" w:color="EE0000"/>
        </w:tblBorders>
        <w:tblCellMar>
          <w:top w:w="15" w:type="dxa"/>
          <w:left w:w="15" w:type="dxa"/>
          <w:bottom w:w="15" w:type="dxa"/>
          <w:right w:w="15" w:type="dxa"/>
        </w:tblCellMar>
        <w:tblLook w:val="04A0" w:firstRow="1" w:lastRow="0" w:firstColumn="1" w:lastColumn="0" w:noHBand="0" w:noVBand="1"/>
      </w:tblPr>
      <w:tblGrid>
        <w:gridCol w:w="1699"/>
        <w:gridCol w:w="3856"/>
        <w:gridCol w:w="3805"/>
      </w:tblGrid>
      <w:tr w:rsidR="009C6D98" w:rsidRPr="009C6D98" w14:paraId="53FE04F3" w14:textId="77777777" w:rsidTr="009C6D98">
        <w:trPr>
          <w:tblHeader/>
          <w:tblCellSpacing w:w="15" w:type="dxa"/>
        </w:trPr>
        <w:tc>
          <w:tcPr>
            <w:tcW w:w="0" w:type="auto"/>
            <w:shd w:val="clear" w:color="auto" w:fill="F2F2F2" w:themeFill="background1" w:themeFillShade="F2"/>
            <w:vAlign w:val="center"/>
            <w:hideMark/>
          </w:tcPr>
          <w:p w14:paraId="108E99DF"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Strategy Diamond Element</w:t>
            </w:r>
          </w:p>
        </w:tc>
        <w:tc>
          <w:tcPr>
            <w:tcW w:w="0" w:type="auto"/>
            <w:shd w:val="clear" w:color="auto" w:fill="F2F2F2" w:themeFill="background1" w:themeFillShade="F2"/>
            <w:vAlign w:val="center"/>
            <w:hideMark/>
          </w:tcPr>
          <w:p w14:paraId="49B1C998"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Strategic Choice for India</w:t>
            </w:r>
          </w:p>
        </w:tc>
        <w:tc>
          <w:tcPr>
            <w:tcW w:w="0" w:type="auto"/>
            <w:shd w:val="clear" w:color="auto" w:fill="F2F2F2" w:themeFill="background1" w:themeFillShade="F2"/>
            <w:vAlign w:val="center"/>
            <w:hideMark/>
          </w:tcPr>
          <w:p w14:paraId="448F996F"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Rationale (India-Specific)</w:t>
            </w:r>
          </w:p>
        </w:tc>
      </w:tr>
      <w:tr w:rsidR="009C6D98" w:rsidRPr="009C6D98" w14:paraId="5D7F16D7" w14:textId="77777777" w:rsidTr="009C6D98">
        <w:trPr>
          <w:tblCellSpacing w:w="15" w:type="dxa"/>
        </w:trPr>
        <w:tc>
          <w:tcPr>
            <w:tcW w:w="0" w:type="auto"/>
            <w:shd w:val="clear" w:color="auto" w:fill="F2F2F2" w:themeFill="background1" w:themeFillShade="F2"/>
            <w:vAlign w:val="center"/>
            <w:hideMark/>
          </w:tcPr>
          <w:p w14:paraId="5310BF02"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Arenas</w:t>
            </w:r>
          </w:p>
        </w:tc>
        <w:tc>
          <w:tcPr>
            <w:tcW w:w="0" w:type="auto"/>
            <w:shd w:val="clear" w:color="auto" w:fill="F2F2F2" w:themeFill="background1" w:themeFillShade="F2"/>
            <w:vAlign w:val="center"/>
            <w:hideMark/>
          </w:tcPr>
          <w:p w14:paraId="447C9CAC"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Premium athleisure; yoga-led collections; experiential retail; Tier 1 urban hubs (Mumbai, Delhi, Bangalore)</w:t>
            </w:r>
          </w:p>
        </w:tc>
        <w:tc>
          <w:tcPr>
            <w:tcW w:w="0" w:type="auto"/>
            <w:shd w:val="clear" w:color="auto" w:fill="F2F2F2" w:themeFill="background1" w:themeFillShade="F2"/>
            <w:vAlign w:val="center"/>
            <w:hideMark/>
          </w:tcPr>
          <w:p w14:paraId="7B93505E" w14:textId="4E299D6E" w:rsidR="009C6D98" w:rsidRPr="009C6D98" w:rsidRDefault="009C6D98" w:rsidP="009C6D98">
            <w:pPr>
              <w:rPr>
                <w:rFonts w:ascii="Arial" w:hAnsi="Arial" w:cs="Arial"/>
                <w:color w:val="000000" w:themeColor="text1"/>
              </w:rPr>
            </w:pPr>
            <w:r w:rsidRPr="009C6D98">
              <w:rPr>
                <w:rFonts w:ascii="Arial" w:hAnsi="Arial" w:cs="Arial"/>
                <w:color w:val="000000" w:themeColor="text1"/>
              </w:rPr>
              <w:t xml:space="preserve">Aligns with affluent, wellness-oriented consumers; </w:t>
            </w:r>
            <w:r w:rsidR="00D6771A">
              <w:rPr>
                <w:rFonts w:ascii="Arial" w:hAnsi="Arial" w:cs="Arial"/>
                <w:color w:val="000000" w:themeColor="text1"/>
              </w:rPr>
              <w:t xml:space="preserve">the </w:t>
            </w:r>
            <w:r w:rsidRPr="009C6D98">
              <w:rPr>
                <w:rFonts w:ascii="Arial" w:hAnsi="Arial" w:cs="Arial"/>
                <w:color w:val="000000" w:themeColor="text1"/>
              </w:rPr>
              <w:t>highest purchasing power and demand for premium global brands</w:t>
            </w:r>
          </w:p>
        </w:tc>
      </w:tr>
      <w:tr w:rsidR="009C6D98" w:rsidRPr="009C6D98" w14:paraId="29C86E89" w14:textId="77777777" w:rsidTr="009C6D98">
        <w:trPr>
          <w:tblCellSpacing w:w="15" w:type="dxa"/>
        </w:trPr>
        <w:tc>
          <w:tcPr>
            <w:tcW w:w="0" w:type="auto"/>
            <w:shd w:val="clear" w:color="auto" w:fill="F2F2F2" w:themeFill="background1" w:themeFillShade="F2"/>
            <w:vAlign w:val="center"/>
            <w:hideMark/>
          </w:tcPr>
          <w:p w14:paraId="6F9C1723"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Vehicles</w:t>
            </w:r>
          </w:p>
        </w:tc>
        <w:tc>
          <w:tcPr>
            <w:tcW w:w="0" w:type="auto"/>
            <w:shd w:val="clear" w:color="auto" w:fill="F2F2F2" w:themeFill="background1" w:themeFillShade="F2"/>
            <w:vAlign w:val="center"/>
            <w:hideMark/>
          </w:tcPr>
          <w:p w14:paraId="52307C2B"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Joint Venture with Tata CLiQ Luxury</w:t>
            </w:r>
          </w:p>
        </w:tc>
        <w:tc>
          <w:tcPr>
            <w:tcW w:w="0" w:type="auto"/>
            <w:shd w:val="clear" w:color="auto" w:fill="F2F2F2" w:themeFill="background1" w:themeFillShade="F2"/>
            <w:vAlign w:val="center"/>
            <w:hideMark/>
          </w:tcPr>
          <w:p w14:paraId="29187189" w14:textId="24683E45" w:rsidR="009C6D98" w:rsidRPr="009C6D98" w:rsidRDefault="009C6D98" w:rsidP="009C6D98">
            <w:pPr>
              <w:rPr>
                <w:rFonts w:ascii="Arial" w:hAnsi="Arial" w:cs="Arial"/>
                <w:color w:val="000000" w:themeColor="text1"/>
              </w:rPr>
            </w:pPr>
            <w:r w:rsidRPr="009C6D98">
              <w:rPr>
                <w:rFonts w:ascii="Arial" w:hAnsi="Arial" w:cs="Arial"/>
                <w:color w:val="000000" w:themeColor="text1"/>
              </w:rPr>
              <w:t xml:space="preserve">Satisfies 30% local sourcing </w:t>
            </w:r>
            <w:r w:rsidR="00D6771A" w:rsidRPr="009C6D98">
              <w:rPr>
                <w:rFonts w:ascii="Arial" w:hAnsi="Arial" w:cs="Arial"/>
                <w:color w:val="000000" w:themeColor="text1"/>
              </w:rPr>
              <w:t>rule:</w:t>
            </w:r>
            <w:r w:rsidRPr="009C6D98">
              <w:rPr>
                <w:rFonts w:ascii="Arial" w:hAnsi="Arial" w:cs="Arial"/>
                <w:color w:val="000000" w:themeColor="text1"/>
              </w:rPr>
              <w:t xml:space="preserve"> leverages Tata’s regulatory expertise, logistics and local cultural knowledge</w:t>
            </w:r>
          </w:p>
        </w:tc>
      </w:tr>
      <w:tr w:rsidR="009C6D98" w:rsidRPr="009C6D98" w14:paraId="1C5688B1" w14:textId="77777777" w:rsidTr="009C6D98">
        <w:trPr>
          <w:tblCellSpacing w:w="15" w:type="dxa"/>
        </w:trPr>
        <w:tc>
          <w:tcPr>
            <w:tcW w:w="0" w:type="auto"/>
            <w:shd w:val="clear" w:color="auto" w:fill="F2F2F2" w:themeFill="background1" w:themeFillShade="F2"/>
            <w:vAlign w:val="center"/>
            <w:hideMark/>
          </w:tcPr>
          <w:p w14:paraId="0945487A"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Differentiators</w:t>
            </w:r>
          </w:p>
        </w:tc>
        <w:tc>
          <w:tcPr>
            <w:tcW w:w="0" w:type="auto"/>
            <w:shd w:val="clear" w:color="auto" w:fill="F2F2F2" w:themeFill="background1" w:themeFillShade="F2"/>
            <w:vAlign w:val="center"/>
            <w:hideMark/>
          </w:tcPr>
          <w:p w14:paraId="41FA2778"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Proprietary fabrics (Nulu™, Everlux™); premium identity; ambassador ecosystem; community-based “Sweatlife” model; sustainability credentials</w:t>
            </w:r>
          </w:p>
        </w:tc>
        <w:tc>
          <w:tcPr>
            <w:tcW w:w="0" w:type="auto"/>
            <w:shd w:val="clear" w:color="auto" w:fill="F2F2F2" w:themeFill="background1" w:themeFillShade="F2"/>
            <w:vAlign w:val="center"/>
            <w:hideMark/>
          </w:tcPr>
          <w:p w14:paraId="34C8F472"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Differentiates from Nike/Adidas and local players (Blissclub/HRX); meets demand for quality, authenticity and ethical production</w:t>
            </w:r>
          </w:p>
        </w:tc>
      </w:tr>
      <w:tr w:rsidR="009C6D98" w:rsidRPr="009C6D98" w14:paraId="124B0EBD" w14:textId="77777777" w:rsidTr="009C6D98">
        <w:trPr>
          <w:tblCellSpacing w:w="15" w:type="dxa"/>
        </w:trPr>
        <w:tc>
          <w:tcPr>
            <w:tcW w:w="0" w:type="auto"/>
            <w:shd w:val="clear" w:color="auto" w:fill="F2F2F2" w:themeFill="background1" w:themeFillShade="F2"/>
            <w:vAlign w:val="center"/>
            <w:hideMark/>
          </w:tcPr>
          <w:p w14:paraId="3EC6A885"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Staging / Sequencing</w:t>
            </w:r>
          </w:p>
        </w:tc>
        <w:tc>
          <w:tcPr>
            <w:tcW w:w="0" w:type="auto"/>
            <w:shd w:val="clear" w:color="auto" w:fill="F2F2F2" w:themeFill="background1" w:themeFillShade="F2"/>
            <w:vAlign w:val="center"/>
            <w:hideMark/>
          </w:tcPr>
          <w:p w14:paraId="663BD553"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Phase 1: Digital-first launch → Phase 2: 2 flagship stores → Phase 3: Selective expansion</w:t>
            </w:r>
          </w:p>
        </w:tc>
        <w:tc>
          <w:tcPr>
            <w:tcW w:w="0" w:type="auto"/>
            <w:shd w:val="clear" w:color="auto" w:fill="F2F2F2" w:themeFill="background1" w:themeFillShade="F2"/>
            <w:vAlign w:val="center"/>
            <w:hideMark/>
          </w:tcPr>
          <w:p w14:paraId="2073B748"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Minimises risk; tests product-market fit; builds local brand legitimacy before scaling</w:t>
            </w:r>
          </w:p>
        </w:tc>
      </w:tr>
      <w:tr w:rsidR="009C6D98" w:rsidRPr="009C6D98" w14:paraId="722AA6CE" w14:textId="77777777" w:rsidTr="009C6D98">
        <w:trPr>
          <w:tblCellSpacing w:w="15" w:type="dxa"/>
        </w:trPr>
        <w:tc>
          <w:tcPr>
            <w:tcW w:w="0" w:type="auto"/>
            <w:shd w:val="clear" w:color="auto" w:fill="F2F2F2" w:themeFill="background1" w:themeFillShade="F2"/>
            <w:vAlign w:val="center"/>
            <w:hideMark/>
          </w:tcPr>
          <w:p w14:paraId="64812A5F"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Economic Logic</w:t>
            </w:r>
          </w:p>
        </w:tc>
        <w:tc>
          <w:tcPr>
            <w:tcW w:w="0" w:type="auto"/>
            <w:shd w:val="clear" w:color="auto" w:fill="F2F2F2" w:themeFill="background1" w:themeFillShade="F2"/>
            <w:vAlign w:val="center"/>
            <w:hideMark/>
          </w:tcPr>
          <w:p w14:paraId="4A4363D1"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Premium pricing + high gross margins (58%); selective localisation of low-risk SKUs; JV-based capex sharing</w:t>
            </w:r>
          </w:p>
        </w:tc>
        <w:tc>
          <w:tcPr>
            <w:tcW w:w="0" w:type="auto"/>
            <w:shd w:val="clear" w:color="auto" w:fill="F2F2F2" w:themeFill="background1" w:themeFillShade="F2"/>
            <w:vAlign w:val="center"/>
            <w:hideMark/>
          </w:tcPr>
          <w:p w14:paraId="16591295" w14:textId="77777777" w:rsidR="009C6D98" w:rsidRPr="009C6D98" w:rsidRDefault="009C6D98" w:rsidP="009C6D98">
            <w:pPr>
              <w:rPr>
                <w:rFonts w:ascii="Arial" w:hAnsi="Arial" w:cs="Arial"/>
                <w:color w:val="000000" w:themeColor="text1"/>
              </w:rPr>
            </w:pPr>
            <w:r w:rsidRPr="009C6D98">
              <w:rPr>
                <w:rFonts w:ascii="Arial" w:hAnsi="Arial" w:cs="Arial"/>
                <w:color w:val="000000" w:themeColor="text1"/>
              </w:rPr>
              <w:t>Ensures profitability despite India’s price sensitivity; reduces capital exposure; protects IP and fabric innovation</w:t>
            </w:r>
          </w:p>
        </w:tc>
      </w:tr>
    </w:tbl>
    <w:p w14:paraId="29B0A0CF" w14:textId="77777777" w:rsidR="009C6D98" w:rsidRPr="009C6D98" w:rsidRDefault="009C6D98" w:rsidP="009C6D98">
      <w:pPr>
        <w:rPr>
          <w:rFonts w:ascii="Arial" w:hAnsi="Arial" w:cs="Arial"/>
          <w:color w:val="000000" w:themeColor="text1"/>
          <w:sz w:val="24"/>
          <w:szCs w:val="24"/>
        </w:rPr>
      </w:pPr>
    </w:p>
    <w:p w14:paraId="749161EA" w14:textId="3EFE6EF3" w:rsidR="009C6D98" w:rsidRPr="009C6D98" w:rsidRDefault="009C6D98" w:rsidP="009C6D98">
      <w:pPr>
        <w:spacing w:line="360" w:lineRule="auto"/>
        <w:rPr>
          <w:rFonts w:ascii="Arial" w:hAnsi="Arial" w:cs="Arial"/>
          <w:sz w:val="20"/>
          <w:szCs w:val="20"/>
        </w:rPr>
      </w:pPr>
      <w:r w:rsidRPr="00AC0EC8">
        <w:rPr>
          <w:rFonts w:ascii="Arial" w:hAnsi="Arial" w:cs="Arial"/>
          <w:sz w:val="20"/>
          <w:szCs w:val="20"/>
        </w:rPr>
        <w:t>Source</w:t>
      </w:r>
      <w:r w:rsidRPr="009C6D98">
        <w:rPr>
          <w:rFonts w:ascii="Arial" w:hAnsi="Arial" w:cs="Arial"/>
          <w:b/>
          <w:bCs/>
          <w:sz w:val="20"/>
          <w:szCs w:val="20"/>
        </w:rPr>
        <w:t>:</w:t>
      </w:r>
      <w:r w:rsidRPr="009C6D98">
        <w:rPr>
          <w:rFonts w:ascii="Arial" w:hAnsi="Arial" w:cs="Arial"/>
          <w:sz w:val="20"/>
          <w:szCs w:val="20"/>
        </w:rPr>
        <w:t xml:space="preserve"> Adapted from Hambrick </w:t>
      </w:r>
      <w:r>
        <w:rPr>
          <w:rFonts w:ascii="Arial" w:hAnsi="Arial" w:cs="Arial"/>
          <w:sz w:val="20"/>
          <w:szCs w:val="20"/>
        </w:rPr>
        <w:t>and</w:t>
      </w:r>
      <w:r w:rsidRPr="009C6D98">
        <w:rPr>
          <w:rFonts w:ascii="Arial" w:hAnsi="Arial" w:cs="Arial"/>
          <w:sz w:val="20"/>
          <w:szCs w:val="20"/>
        </w:rPr>
        <w:t xml:space="preserve"> Fredrickson (2001); Peng (2022); Grant (2019); Lululemon Annual Report (2024)</w:t>
      </w:r>
      <w:r>
        <w:rPr>
          <w:rFonts w:ascii="Arial" w:hAnsi="Arial" w:cs="Arial"/>
          <w:sz w:val="20"/>
          <w:szCs w:val="20"/>
        </w:rPr>
        <w:t>.</w:t>
      </w:r>
    </w:p>
    <w:p w14:paraId="00F39887" w14:textId="77777777" w:rsidR="009C6D98" w:rsidRDefault="009C6D98" w:rsidP="00486D19"/>
    <w:p w14:paraId="4CFA93BD" w14:textId="77777777" w:rsidR="004E2CCC" w:rsidRDefault="004E2CCC" w:rsidP="00486D19"/>
    <w:p w14:paraId="314BEDE6" w14:textId="77777777" w:rsidR="004E2CCC" w:rsidRDefault="004E2CCC" w:rsidP="00486D19"/>
    <w:p w14:paraId="1475D28F" w14:textId="77777777" w:rsidR="004E2CCC" w:rsidRDefault="004E2CCC" w:rsidP="00486D19"/>
    <w:p w14:paraId="444AEB5F" w14:textId="77777777" w:rsidR="004E2CCC" w:rsidRDefault="004E2CCC" w:rsidP="00486D19"/>
    <w:p w14:paraId="3A7BA6E8" w14:textId="77777777" w:rsidR="004E2CCC" w:rsidRDefault="004E2CCC" w:rsidP="00486D19"/>
    <w:p w14:paraId="0D93205B" w14:textId="77777777" w:rsidR="004E2CCC" w:rsidRDefault="004E2CCC" w:rsidP="00486D19"/>
    <w:p w14:paraId="527ED0DD" w14:textId="319C8F83" w:rsidR="004E2CCC" w:rsidRDefault="004E2CCC" w:rsidP="00486D19">
      <w:pPr>
        <w:rPr>
          <w:rFonts w:ascii="Arial" w:hAnsi="Arial" w:cs="Arial"/>
          <w:color w:val="000000" w:themeColor="text1"/>
          <w:sz w:val="24"/>
          <w:szCs w:val="24"/>
        </w:rPr>
      </w:pPr>
      <w:r w:rsidRPr="004E2CCC">
        <w:rPr>
          <w:rFonts w:ascii="Arial" w:hAnsi="Arial" w:cs="Arial"/>
          <w:color w:val="000000" w:themeColor="text1"/>
          <w:sz w:val="24"/>
          <w:szCs w:val="24"/>
        </w:rPr>
        <w:lastRenderedPageBreak/>
        <w:t xml:space="preserve">Figure D6. STP Map for Lululemon </w:t>
      </w:r>
      <w:r w:rsidR="00AC0EC8">
        <w:rPr>
          <w:rFonts w:ascii="Arial" w:hAnsi="Arial" w:cs="Arial"/>
          <w:color w:val="000000" w:themeColor="text1"/>
          <w:sz w:val="24"/>
          <w:szCs w:val="24"/>
        </w:rPr>
        <w:t>-</w:t>
      </w:r>
      <w:r w:rsidRPr="004E2CCC">
        <w:rPr>
          <w:rFonts w:ascii="Arial" w:hAnsi="Arial" w:cs="Arial"/>
          <w:color w:val="000000" w:themeColor="text1"/>
          <w:sz w:val="24"/>
          <w:szCs w:val="24"/>
        </w:rPr>
        <w:t xml:space="preserve"> India Premium Athleisure Market</w:t>
      </w:r>
    </w:p>
    <w:p w14:paraId="0846A0A3" w14:textId="5E0F7FC5" w:rsidR="004E2CCC" w:rsidRDefault="004E2CCC" w:rsidP="00486D19">
      <w:pPr>
        <w:rPr>
          <w:rFonts w:ascii="Arial" w:hAnsi="Arial" w:cs="Arial"/>
          <w:color w:val="000000" w:themeColor="text1"/>
        </w:rPr>
      </w:pPr>
      <w:r w:rsidRPr="004E2CCC">
        <w:rPr>
          <w:rFonts w:ascii="Arial" w:hAnsi="Arial" w:cs="Arial"/>
          <w:color w:val="000000" w:themeColor="text1"/>
        </w:rPr>
        <w:t>D6.1 Segmentation Table (India Athleisure Market)</w:t>
      </w:r>
    </w:p>
    <w:tbl>
      <w:tblPr>
        <w:tblW w:w="0" w:type="auto"/>
        <w:tblCellSpacing w:w="15" w:type="dxa"/>
        <w:tblBorders>
          <w:top w:val="single" w:sz="4" w:space="0" w:color="EE0000"/>
          <w:bottom w:val="single" w:sz="4" w:space="0" w:color="EE0000"/>
          <w:insideH w:val="single" w:sz="4" w:space="0" w:color="EE0000"/>
          <w:insideV w:val="single" w:sz="4" w:space="0" w:color="EE0000"/>
        </w:tblBorders>
        <w:tblCellMar>
          <w:top w:w="15" w:type="dxa"/>
          <w:left w:w="15" w:type="dxa"/>
          <w:bottom w:w="15" w:type="dxa"/>
          <w:right w:w="15" w:type="dxa"/>
        </w:tblCellMar>
        <w:tblLook w:val="04A0" w:firstRow="1" w:lastRow="0" w:firstColumn="1" w:lastColumn="0" w:noHBand="0" w:noVBand="1"/>
      </w:tblPr>
      <w:tblGrid>
        <w:gridCol w:w="1710"/>
        <w:gridCol w:w="4657"/>
        <w:gridCol w:w="2993"/>
      </w:tblGrid>
      <w:tr w:rsidR="004E2CCC" w:rsidRPr="004E2CCC" w14:paraId="08BD066C" w14:textId="77777777" w:rsidTr="004E2CCC">
        <w:trPr>
          <w:tblHeader/>
          <w:tblCellSpacing w:w="15" w:type="dxa"/>
        </w:trPr>
        <w:tc>
          <w:tcPr>
            <w:tcW w:w="0" w:type="auto"/>
            <w:shd w:val="clear" w:color="auto" w:fill="F2F2F2" w:themeFill="background1" w:themeFillShade="F2"/>
            <w:vAlign w:val="center"/>
            <w:hideMark/>
          </w:tcPr>
          <w:p w14:paraId="7E5E129D"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Segmentation Base</w:t>
            </w:r>
          </w:p>
        </w:tc>
        <w:tc>
          <w:tcPr>
            <w:tcW w:w="0" w:type="auto"/>
            <w:shd w:val="clear" w:color="auto" w:fill="F2F2F2" w:themeFill="background1" w:themeFillShade="F2"/>
            <w:vAlign w:val="center"/>
            <w:hideMark/>
          </w:tcPr>
          <w:p w14:paraId="79FD0D6A"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Segment Characteristics (India)</w:t>
            </w:r>
          </w:p>
        </w:tc>
        <w:tc>
          <w:tcPr>
            <w:tcW w:w="0" w:type="auto"/>
            <w:shd w:val="clear" w:color="auto" w:fill="F2F2F2" w:themeFill="background1" w:themeFillShade="F2"/>
            <w:vAlign w:val="center"/>
            <w:hideMark/>
          </w:tcPr>
          <w:p w14:paraId="7BF8896D"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Relevance for Premium Strategy</w:t>
            </w:r>
          </w:p>
        </w:tc>
      </w:tr>
      <w:tr w:rsidR="004E2CCC" w:rsidRPr="004E2CCC" w14:paraId="490726E6" w14:textId="77777777" w:rsidTr="004E2CCC">
        <w:trPr>
          <w:tblCellSpacing w:w="15" w:type="dxa"/>
        </w:trPr>
        <w:tc>
          <w:tcPr>
            <w:tcW w:w="0" w:type="auto"/>
            <w:shd w:val="clear" w:color="auto" w:fill="F2F2F2" w:themeFill="background1" w:themeFillShade="F2"/>
            <w:vAlign w:val="center"/>
            <w:hideMark/>
          </w:tcPr>
          <w:p w14:paraId="56AC1F65"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Demographic</w:t>
            </w:r>
          </w:p>
        </w:tc>
        <w:tc>
          <w:tcPr>
            <w:tcW w:w="0" w:type="auto"/>
            <w:shd w:val="clear" w:color="auto" w:fill="F2F2F2" w:themeFill="background1" w:themeFillShade="F2"/>
            <w:vAlign w:val="center"/>
            <w:hideMark/>
          </w:tcPr>
          <w:p w14:paraId="243D4E71" w14:textId="21AF5CBD" w:rsidR="004E2CCC" w:rsidRPr="004E2CCC" w:rsidRDefault="004E2CCC" w:rsidP="004E2CCC">
            <w:pPr>
              <w:rPr>
                <w:rFonts w:ascii="Arial" w:hAnsi="Arial" w:cs="Arial"/>
                <w:color w:val="000000" w:themeColor="text1"/>
              </w:rPr>
            </w:pPr>
            <w:r w:rsidRPr="004E2CCC">
              <w:rPr>
                <w:rFonts w:ascii="Arial" w:hAnsi="Arial" w:cs="Arial"/>
                <w:color w:val="000000" w:themeColor="text1"/>
              </w:rPr>
              <w:t xml:space="preserve">Women </w:t>
            </w:r>
            <w:r>
              <w:rPr>
                <w:rFonts w:ascii="Arial" w:hAnsi="Arial" w:cs="Arial"/>
                <w:color w:val="000000" w:themeColor="text1"/>
              </w:rPr>
              <w:t>and</w:t>
            </w:r>
            <w:r w:rsidRPr="004E2CCC">
              <w:rPr>
                <w:rFonts w:ascii="Arial" w:hAnsi="Arial" w:cs="Arial"/>
                <w:color w:val="000000" w:themeColor="text1"/>
              </w:rPr>
              <w:t xml:space="preserve"> men, 22</w:t>
            </w:r>
            <w:r>
              <w:rPr>
                <w:rFonts w:ascii="Arial" w:hAnsi="Arial" w:cs="Arial"/>
                <w:color w:val="000000" w:themeColor="text1"/>
              </w:rPr>
              <w:t>-</w:t>
            </w:r>
            <w:r w:rsidRPr="004E2CCC">
              <w:rPr>
                <w:rFonts w:ascii="Arial" w:hAnsi="Arial" w:cs="Arial"/>
                <w:color w:val="000000" w:themeColor="text1"/>
              </w:rPr>
              <w:t>45 years; high disposable income; educated; urban professionals</w:t>
            </w:r>
          </w:p>
        </w:tc>
        <w:tc>
          <w:tcPr>
            <w:tcW w:w="0" w:type="auto"/>
            <w:shd w:val="clear" w:color="auto" w:fill="F2F2F2" w:themeFill="background1" w:themeFillShade="F2"/>
            <w:vAlign w:val="center"/>
            <w:hideMark/>
          </w:tcPr>
          <w:p w14:paraId="5EF71C57"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High purchasing power; strong demand for global brands</w:t>
            </w:r>
          </w:p>
        </w:tc>
      </w:tr>
      <w:tr w:rsidR="004E2CCC" w:rsidRPr="004E2CCC" w14:paraId="08361B58" w14:textId="77777777" w:rsidTr="004E2CCC">
        <w:trPr>
          <w:tblCellSpacing w:w="15" w:type="dxa"/>
        </w:trPr>
        <w:tc>
          <w:tcPr>
            <w:tcW w:w="0" w:type="auto"/>
            <w:shd w:val="clear" w:color="auto" w:fill="F2F2F2" w:themeFill="background1" w:themeFillShade="F2"/>
            <w:vAlign w:val="center"/>
            <w:hideMark/>
          </w:tcPr>
          <w:p w14:paraId="326C119C"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Geographic</w:t>
            </w:r>
          </w:p>
        </w:tc>
        <w:tc>
          <w:tcPr>
            <w:tcW w:w="0" w:type="auto"/>
            <w:shd w:val="clear" w:color="auto" w:fill="F2F2F2" w:themeFill="background1" w:themeFillShade="F2"/>
            <w:vAlign w:val="center"/>
            <w:hideMark/>
          </w:tcPr>
          <w:p w14:paraId="76EC4F28" w14:textId="49F09F5A" w:rsidR="004E2CCC" w:rsidRPr="004E2CCC" w:rsidRDefault="004E2CCC" w:rsidP="004E2CCC">
            <w:pPr>
              <w:rPr>
                <w:rFonts w:ascii="Arial" w:hAnsi="Arial" w:cs="Arial"/>
                <w:color w:val="000000" w:themeColor="text1"/>
              </w:rPr>
            </w:pPr>
            <w:r w:rsidRPr="004E2CCC">
              <w:rPr>
                <w:rFonts w:ascii="Arial" w:hAnsi="Arial" w:cs="Arial"/>
                <w:color w:val="000000" w:themeColor="text1"/>
              </w:rPr>
              <w:t xml:space="preserve">Tier 1 </w:t>
            </w:r>
            <w:r>
              <w:rPr>
                <w:rFonts w:ascii="Arial" w:hAnsi="Arial" w:cs="Arial"/>
                <w:color w:val="000000" w:themeColor="text1"/>
              </w:rPr>
              <w:t>and</w:t>
            </w:r>
            <w:r w:rsidRPr="004E2CCC">
              <w:rPr>
                <w:rFonts w:ascii="Arial" w:hAnsi="Arial" w:cs="Arial"/>
                <w:color w:val="000000" w:themeColor="text1"/>
              </w:rPr>
              <w:t xml:space="preserve"> upper Tier 2 cities (Mumbai, Delhi, Bangalore, Hyderabad, Pune)</w:t>
            </w:r>
          </w:p>
        </w:tc>
        <w:tc>
          <w:tcPr>
            <w:tcW w:w="0" w:type="auto"/>
            <w:shd w:val="clear" w:color="auto" w:fill="F2F2F2" w:themeFill="background1" w:themeFillShade="F2"/>
            <w:vAlign w:val="center"/>
            <w:hideMark/>
          </w:tcPr>
          <w:p w14:paraId="62A5A84A"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Houses India’s premium wellness clusters</w:t>
            </w:r>
          </w:p>
        </w:tc>
      </w:tr>
      <w:tr w:rsidR="004E2CCC" w:rsidRPr="004E2CCC" w14:paraId="4D5B7935" w14:textId="77777777" w:rsidTr="004E2CCC">
        <w:trPr>
          <w:tblCellSpacing w:w="15" w:type="dxa"/>
        </w:trPr>
        <w:tc>
          <w:tcPr>
            <w:tcW w:w="0" w:type="auto"/>
            <w:shd w:val="clear" w:color="auto" w:fill="F2F2F2" w:themeFill="background1" w:themeFillShade="F2"/>
            <w:vAlign w:val="center"/>
            <w:hideMark/>
          </w:tcPr>
          <w:p w14:paraId="1EC3A722"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Psychographic</w:t>
            </w:r>
          </w:p>
        </w:tc>
        <w:tc>
          <w:tcPr>
            <w:tcW w:w="0" w:type="auto"/>
            <w:shd w:val="clear" w:color="auto" w:fill="F2F2F2" w:themeFill="background1" w:themeFillShade="F2"/>
            <w:vAlign w:val="center"/>
            <w:hideMark/>
          </w:tcPr>
          <w:p w14:paraId="52EF849D" w14:textId="06056F14" w:rsidR="004E2CCC" w:rsidRPr="004E2CCC" w:rsidRDefault="004E2CCC" w:rsidP="004E2CCC">
            <w:pPr>
              <w:rPr>
                <w:rFonts w:ascii="Arial" w:hAnsi="Arial" w:cs="Arial"/>
                <w:color w:val="000000" w:themeColor="text1"/>
              </w:rPr>
            </w:pPr>
            <w:r w:rsidRPr="004E2CCC">
              <w:rPr>
                <w:rFonts w:ascii="Arial" w:hAnsi="Arial" w:cs="Arial"/>
                <w:color w:val="000000" w:themeColor="text1"/>
              </w:rPr>
              <w:t xml:space="preserve">Health-focused; </w:t>
            </w:r>
            <w:r>
              <w:rPr>
                <w:rFonts w:ascii="Arial" w:hAnsi="Arial" w:cs="Arial"/>
                <w:color w:val="000000" w:themeColor="text1"/>
              </w:rPr>
              <w:t>Y</w:t>
            </w:r>
            <w:r w:rsidRPr="004E2CCC">
              <w:rPr>
                <w:rFonts w:ascii="Arial" w:hAnsi="Arial" w:cs="Arial"/>
                <w:color w:val="000000" w:themeColor="text1"/>
              </w:rPr>
              <w:t>oga/</w:t>
            </w:r>
            <w:r w:rsidRPr="004E2CCC">
              <w:rPr>
                <w:rFonts w:ascii="Arial" w:hAnsi="Arial" w:cs="Arial"/>
                <w:color w:val="000000" w:themeColor="text1"/>
              </w:rPr>
              <w:t>Pilates</w:t>
            </w:r>
            <w:r w:rsidRPr="004E2CCC">
              <w:rPr>
                <w:rFonts w:ascii="Arial" w:hAnsi="Arial" w:cs="Arial"/>
                <w:color w:val="000000" w:themeColor="text1"/>
              </w:rPr>
              <w:t xml:space="preserve"> practitioners; “aspirational lifestyle” orientation</w:t>
            </w:r>
          </w:p>
        </w:tc>
        <w:tc>
          <w:tcPr>
            <w:tcW w:w="0" w:type="auto"/>
            <w:shd w:val="clear" w:color="auto" w:fill="F2F2F2" w:themeFill="background1" w:themeFillShade="F2"/>
            <w:vAlign w:val="center"/>
            <w:hideMark/>
          </w:tcPr>
          <w:p w14:paraId="49BF5CE4" w14:textId="0C03740A" w:rsidR="004E2CCC" w:rsidRPr="004E2CCC" w:rsidRDefault="004E2CCC" w:rsidP="004E2CCC">
            <w:pPr>
              <w:rPr>
                <w:rFonts w:ascii="Arial" w:hAnsi="Arial" w:cs="Arial"/>
                <w:color w:val="000000" w:themeColor="text1"/>
              </w:rPr>
            </w:pPr>
            <w:r w:rsidRPr="004E2CCC">
              <w:rPr>
                <w:rFonts w:ascii="Arial" w:hAnsi="Arial" w:cs="Arial"/>
                <w:color w:val="000000" w:themeColor="text1"/>
              </w:rPr>
              <w:t xml:space="preserve">High alignment with brand identity </w:t>
            </w:r>
            <w:r>
              <w:rPr>
                <w:rFonts w:ascii="Arial" w:hAnsi="Arial" w:cs="Arial"/>
                <w:color w:val="000000" w:themeColor="text1"/>
              </w:rPr>
              <w:t>and</w:t>
            </w:r>
            <w:r w:rsidRPr="004E2CCC">
              <w:rPr>
                <w:rFonts w:ascii="Arial" w:hAnsi="Arial" w:cs="Arial"/>
                <w:color w:val="000000" w:themeColor="text1"/>
              </w:rPr>
              <w:t xml:space="preserve"> Sweatlife ethos</w:t>
            </w:r>
          </w:p>
        </w:tc>
      </w:tr>
      <w:tr w:rsidR="004E2CCC" w:rsidRPr="004E2CCC" w14:paraId="78CFFF5E" w14:textId="77777777" w:rsidTr="004E2CCC">
        <w:trPr>
          <w:tblCellSpacing w:w="15" w:type="dxa"/>
        </w:trPr>
        <w:tc>
          <w:tcPr>
            <w:tcW w:w="0" w:type="auto"/>
            <w:shd w:val="clear" w:color="auto" w:fill="F2F2F2" w:themeFill="background1" w:themeFillShade="F2"/>
            <w:vAlign w:val="center"/>
            <w:hideMark/>
          </w:tcPr>
          <w:p w14:paraId="4945D30D" w14:textId="77777777" w:rsidR="004E2CCC" w:rsidRPr="004E2CCC" w:rsidRDefault="004E2CCC" w:rsidP="004E2CCC">
            <w:pPr>
              <w:rPr>
                <w:rFonts w:ascii="Arial" w:hAnsi="Arial" w:cs="Arial"/>
                <w:color w:val="000000" w:themeColor="text1"/>
              </w:rPr>
            </w:pPr>
            <w:r w:rsidRPr="004E2CCC">
              <w:rPr>
                <w:rFonts w:ascii="Arial" w:hAnsi="Arial" w:cs="Arial"/>
                <w:color w:val="000000" w:themeColor="text1"/>
              </w:rPr>
              <w:t>Behavioural</w:t>
            </w:r>
          </w:p>
        </w:tc>
        <w:tc>
          <w:tcPr>
            <w:tcW w:w="0" w:type="auto"/>
            <w:shd w:val="clear" w:color="auto" w:fill="F2F2F2" w:themeFill="background1" w:themeFillShade="F2"/>
            <w:vAlign w:val="center"/>
            <w:hideMark/>
          </w:tcPr>
          <w:p w14:paraId="16BE69AD" w14:textId="5B5B7B6C" w:rsidR="004E2CCC" w:rsidRPr="004E2CCC" w:rsidRDefault="004E2CCC" w:rsidP="004E2CCC">
            <w:pPr>
              <w:rPr>
                <w:rFonts w:ascii="Arial" w:hAnsi="Arial" w:cs="Arial"/>
                <w:color w:val="000000" w:themeColor="text1"/>
              </w:rPr>
            </w:pPr>
            <w:r w:rsidRPr="004E2CCC">
              <w:rPr>
                <w:rFonts w:ascii="Arial" w:hAnsi="Arial" w:cs="Arial"/>
                <w:color w:val="000000" w:themeColor="text1"/>
              </w:rPr>
              <w:t xml:space="preserve">Frequent gym/yoga users; omni-channel buyers; expect premium fit </w:t>
            </w:r>
            <w:r>
              <w:rPr>
                <w:rFonts w:ascii="Arial" w:hAnsi="Arial" w:cs="Arial"/>
                <w:color w:val="000000" w:themeColor="text1"/>
              </w:rPr>
              <w:t>and</w:t>
            </w:r>
            <w:r w:rsidRPr="004E2CCC">
              <w:rPr>
                <w:rFonts w:ascii="Arial" w:hAnsi="Arial" w:cs="Arial"/>
                <w:color w:val="000000" w:themeColor="text1"/>
              </w:rPr>
              <w:t xml:space="preserve"> durability; brand conscious</w:t>
            </w:r>
          </w:p>
        </w:tc>
        <w:tc>
          <w:tcPr>
            <w:tcW w:w="0" w:type="auto"/>
            <w:shd w:val="clear" w:color="auto" w:fill="F2F2F2" w:themeFill="background1" w:themeFillShade="F2"/>
            <w:vAlign w:val="center"/>
            <w:hideMark/>
          </w:tcPr>
          <w:p w14:paraId="21E8BE0F" w14:textId="2F1784A3" w:rsidR="004E2CCC" w:rsidRPr="004E2CCC" w:rsidRDefault="004E2CCC" w:rsidP="004E2CCC">
            <w:pPr>
              <w:rPr>
                <w:rFonts w:ascii="Arial" w:hAnsi="Arial" w:cs="Arial"/>
                <w:color w:val="000000" w:themeColor="text1"/>
              </w:rPr>
            </w:pPr>
            <w:r w:rsidRPr="004E2CCC">
              <w:rPr>
                <w:rFonts w:ascii="Arial" w:hAnsi="Arial" w:cs="Arial"/>
                <w:color w:val="000000" w:themeColor="text1"/>
              </w:rPr>
              <w:t xml:space="preserve">Willing to pay </w:t>
            </w:r>
            <w:r>
              <w:rPr>
                <w:rFonts w:ascii="Arial" w:hAnsi="Arial" w:cs="Arial"/>
                <w:color w:val="000000" w:themeColor="text1"/>
              </w:rPr>
              <w:t xml:space="preserve">a </w:t>
            </w:r>
            <w:r w:rsidRPr="004E2CCC">
              <w:rPr>
                <w:rFonts w:ascii="Arial" w:hAnsi="Arial" w:cs="Arial"/>
                <w:color w:val="000000" w:themeColor="text1"/>
              </w:rPr>
              <w:t xml:space="preserve">price premium for performance </w:t>
            </w:r>
            <w:r>
              <w:rPr>
                <w:rFonts w:ascii="Arial" w:hAnsi="Arial" w:cs="Arial"/>
                <w:color w:val="000000" w:themeColor="text1"/>
              </w:rPr>
              <w:t xml:space="preserve">and </w:t>
            </w:r>
            <w:r w:rsidRPr="004E2CCC">
              <w:rPr>
                <w:rFonts w:ascii="Arial" w:hAnsi="Arial" w:cs="Arial"/>
                <w:color w:val="000000" w:themeColor="text1"/>
              </w:rPr>
              <w:t>status</w:t>
            </w:r>
          </w:p>
        </w:tc>
      </w:tr>
    </w:tbl>
    <w:p w14:paraId="6196923A" w14:textId="6E96FE09" w:rsidR="004E2CCC" w:rsidRPr="00AC0EC8" w:rsidRDefault="00AC0EC8" w:rsidP="00486D19">
      <w:pPr>
        <w:rPr>
          <w:rFonts w:ascii="Arial" w:hAnsi="Arial" w:cs="Arial"/>
          <w:color w:val="000000" w:themeColor="text1"/>
          <w:sz w:val="20"/>
          <w:szCs w:val="20"/>
        </w:rPr>
      </w:pPr>
      <w:r w:rsidRPr="00AC0EC8">
        <w:rPr>
          <w:rFonts w:ascii="Arial" w:hAnsi="Arial" w:cs="Arial"/>
          <w:color w:val="000000" w:themeColor="text1"/>
          <w:sz w:val="20"/>
          <w:szCs w:val="20"/>
        </w:rPr>
        <w:t>Source: Adapted from Euromonitor (2024); Redseer (2023); Statista (2024); KPMG (2023).</w:t>
      </w:r>
    </w:p>
    <w:p w14:paraId="54AC3183" w14:textId="77777777" w:rsidR="00A652A3" w:rsidRDefault="00A652A3" w:rsidP="00486D19"/>
    <w:p w14:paraId="0AAE7CF1" w14:textId="77777777" w:rsidR="004E2CCC" w:rsidRPr="004E2CCC" w:rsidRDefault="004E2CCC" w:rsidP="004E2CCC">
      <w:pPr>
        <w:spacing w:line="360" w:lineRule="auto"/>
        <w:rPr>
          <w:rFonts w:ascii="Arial" w:hAnsi="Arial" w:cs="Arial"/>
        </w:rPr>
      </w:pPr>
      <w:r w:rsidRPr="004E2CCC">
        <w:rPr>
          <w:rFonts w:ascii="Arial" w:hAnsi="Arial" w:cs="Arial"/>
        </w:rPr>
        <w:t>D6.2 Target Segment (T): Urban Yoga-Luxe Consumer</w:t>
      </w:r>
    </w:p>
    <w:p w14:paraId="71A91ABE" w14:textId="3EE5393D" w:rsidR="004E2CCC" w:rsidRPr="004E2CCC" w:rsidRDefault="004E2CCC" w:rsidP="004E2CCC">
      <w:pPr>
        <w:spacing w:line="360" w:lineRule="auto"/>
        <w:rPr>
          <w:rFonts w:ascii="Arial" w:hAnsi="Arial" w:cs="Arial"/>
        </w:rPr>
      </w:pPr>
      <w:r w:rsidRPr="004E2CCC">
        <w:rPr>
          <w:rFonts w:ascii="Arial" w:hAnsi="Arial" w:cs="Arial"/>
        </w:rPr>
        <w:t>Target Profile</w:t>
      </w:r>
    </w:p>
    <w:p w14:paraId="1887B646" w14:textId="61741F64" w:rsidR="004E2CCC" w:rsidRPr="004E2CCC" w:rsidRDefault="004E2CCC" w:rsidP="004E2CCC">
      <w:pPr>
        <w:spacing w:line="360" w:lineRule="auto"/>
        <w:rPr>
          <w:rFonts w:ascii="Arial" w:hAnsi="Arial" w:cs="Arial"/>
        </w:rPr>
      </w:pPr>
      <w:r w:rsidRPr="004E2CCC">
        <w:rPr>
          <w:rFonts w:ascii="Arial" w:hAnsi="Arial" w:cs="Arial"/>
        </w:rPr>
        <w:t>The Urban Yoga-Luxe Consumer</w:t>
      </w:r>
    </w:p>
    <w:p w14:paraId="20D8F544" w14:textId="571817D7" w:rsidR="004E2CCC" w:rsidRPr="004E2CCC" w:rsidRDefault="004E2CCC" w:rsidP="004E2CCC">
      <w:pPr>
        <w:pStyle w:val="ListParagraph"/>
        <w:numPr>
          <w:ilvl w:val="0"/>
          <w:numId w:val="11"/>
        </w:numPr>
        <w:spacing w:line="360" w:lineRule="auto"/>
        <w:rPr>
          <w:rFonts w:ascii="Arial" w:hAnsi="Arial" w:cs="Arial"/>
        </w:rPr>
      </w:pPr>
      <w:r w:rsidRPr="004E2CCC">
        <w:rPr>
          <w:rFonts w:ascii="Arial" w:hAnsi="Arial" w:cs="Arial"/>
        </w:rPr>
        <w:t>Female (majority), 25</w:t>
      </w:r>
      <w:r w:rsidRPr="004E2CCC">
        <w:rPr>
          <w:rFonts w:ascii="Arial" w:hAnsi="Arial" w:cs="Arial"/>
        </w:rPr>
        <w:t>-</w:t>
      </w:r>
      <w:r w:rsidRPr="004E2CCC">
        <w:rPr>
          <w:rFonts w:ascii="Arial" w:hAnsi="Arial" w:cs="Arial"/>
        </w:rPr>
        <w:t xml:space="preserve">40, </w:t>
      </w:r>
      <w:r w:rsidRPr="004E2CCC">
        <w:rPr>
          <w:rFonts w:ascii="Arial" w:hAnsi="Arial" w:cs="Arial"/>
        </w:rPr>
        <w:t>Y</w:t>
      </w:r>
      <w:r w:rsidRPr="004E2CCC">
        <w:rPr>
          <w:rFonts w:ascii="Arial" w:hAnsi="Arial" w:cs="Arial"/>
        </w:rPr>
        <w:t>oga/</w:t>
      </w:r>
      <w:r w:rsidRPr="004E2CCC">
        <w:rPr>
          <w:rFonts w:ascii="Arial" w:hAnsi="Arial" w:cs="Arial"/>
        </w:rPr>
        <w:t>Pilates</w:t>
      </w:r>
      <w:r w:rsidRPr="004E2CCC">
        <w:rPr>
          <w:rFonts w:ascii="Arial" w:hAnsi="Arial" w:cs="Arial"/>
        </w:rPr>
        <w:t>/HIIT enthusiasts</w:t>
      </w:r>
    </w:p>
    <w:p w14:paraId="1E9D7789" w14:textId="34127BB2" w:rsidR="004E2CCC" w:rsidRPr="004E2CCC" w:rsidRDefault="004E2CCC" w:rsidP="004E2CCC">
      <w:pPr>
        <w:pStyle w:val="ListParagraph"/>
        <w:numPr>
          <w:ilvl w:val="0"/>
          <w:numId w:val="11"/>
        </w:numPr>
        <w:spacing w:line="360" w:lineRule="auto"/>
        <w:rPr>
          <w:rFonts w:ascii="Arial" w:hAnsi="Arial" w:cs="Arial"/>
        </w:rPr>
      </w:pPr>
      <w:r w:rsidRPr="004E2CCC">
        <w:rPr>
          <w:rFonts w:ascii="Arial" w:hAnsi="Arial" w:cs="Arial"/>
        </w:rPr>
        <w:t xml:space="preserve">Tech-savvy, shops via Myntra/Tata CLiQ Luxury </w:t>
      </w:r>
      <w:r w:rsidRPr="004E2CCC">
        <w:rPr>
          <w:rFonts w:ascii="Arial" w:hAnsi="Arial" w:cs="Arial"/>
        </w:rPr>
        <w:t>+</w:t>
      </w:r>
      <w:r w:rsidRPr="004E2CCC">
        <w:rPr>
          <w:rFonts w:ascii="Arial" w:hAnsi="Arial" w:cs="Arial"/>
        </w:rPr>
        <w:t xml:space="preserve"> boutique malls</w:t>
      </w:r>
    </w:p>
    <w:p w14:paraId="79CC9085" w14:textId="643A84C3" w:rsidR="004E2CCC" w:rsidRPr="004E2CCC" w:rsidRDefault="004E2CCC" w:rsidP="004E2CCC">
      <w:pPr>
        <w:pStyle w:val="ListParagraph"/>
        <w:numPr>
          <w:ilvl w:val="0"/>
          <w:numId w:val="11"/>
        </w:numPr>
        <w:spacing w:line="360" w:lineRule="auto"/>
        <w:rPr>
          <w:rFonts w:ascii="Arial" w:hAnsi="Arial" w:cs="Arial"/>
        </w:rPr>
      </w:pPr>
      <w:r w:rsidRPr="004E2CCC">
        <w:rPr>
          <w:rFonts w:ascii="Arial" w:hAnsi="Arial" w:cs="Arial"/>
        </w:rPr>
        <w:t xml:space="preserve">Values identity </w:t>
      </w:r>
      <w:r w:rsidRPr="004E2CCC">
        <w:rPr>
          <w:rFonts w:ascii="Arial" w:hAnsi="Arial" w:cs="Arial"/>
        </w:rPr>
        <w:t>signalling</w:t>
      </w:r>
      <w:r w:rsidRPr="004E2CCC">
        <w:rPr>
          <w:rFonts w:ascii="Arial" w:hAnsi="Arial" w:cs="Arial"/>
        </w:rPr>
        <w:t xml:space="preserve"> (premium lifestyle), sustainability, and performance</w:t>
      </w:r>
    </w:p>
    <w:p w14:paraId="6F6F9C0C" w14:textId="7F9DBD4D" w:rsidR="004E2CCC" w:rsidRPr="004E2CCC" w:rsidRDefault="004E2CCC" w:rsidP="004E2CCC">
      <w:pPr>
        <w:pStyle w:val="ListParagraph"/>
        <w:numPr>
          <w:ilvl w:val="0"/>
          <w:numId w:val="11"/>
        </w:numPr>
        <w:spacing w:line="360" w:lineRule="auto"/>
        <w:rPr>
          <w:rFonts w:ascii="Arial" w:hAnsi="Arial" w:cs="Arial"/>
        </w:rPr>
      </w:pPr>
      <w:r w:rsidRPr="004E2CCC">
        <w:rPr>
          <w:rFonts w:ascii="Arial" w:hAnsi="Arial" w:cs="Arial"/>
        </w:rPr>
        <w:t xml:space="preserve">Seeks high-quality fabrics suitable for heat </w:t>
      </w:r>
      <w:r w:rsidRPr="004E2CCC">
        <w:rPr>
          <w:rFonts w:ascii="Arial" w:hAnsi="Arial" w:cs="Arial"/>
        </w:rPr>
        <w:t>and</w:t>
      </w:r>
      <w:r w:rsidRPr="004E2CCC">
        <w:rPr>
          <w:rFonts w:ascii="Arial" w:hAnsi="Arial" w:cs="Arial"/>
        </w:rPr>
        <w:t xml:space="preserve"> humidity</w:t>
      </w:r>
    </w:p>
    <w:p w14:paraId="6753839E" w14:textId="5D3D7184" w:rsidR="004E2CCC" w:rsidRPr="004E2CCC" w:rsidRDefault="004E2CCC" w:rsidP="004E2CCC">
      <w:pPr>
        <w:pStyle w:val="ListParagraph"/>
        <w:numPr>
          <w:ilvl w:val="0"/>
          <w:numId w:val="11"/>
        </w:numPr>
        <w:spacing w:line="360" w:lineRule="auto"/>
        <w:rPr>
          <w:rFonts w:ascii="Arial" w:hAnsi="Arial" w:cs="Arial"/>
        </w:rPr>
      </w:pPr>
      <w:r w:rsidRPr="004E2CCC">
        <w:rPr>
          <w:rFonts w:ascii="Arial" w:hAnsi="Arial" w:cs="Arial"/>
        </w:rPr>
        <w:t>Attends wellness events, workshops, boutique studios (Cult Fit, Sarva Yoga)</w:t>
      </w:r>
    </w:p>
    <w:p w14:paraId="6A1AEB68" w14:textId="6FBC74CA" w:rsidR="004E2CCC" w:rsidRPr="004E2CCC" w:rsidRDefault="004E2CCC" w:rsidP="004E2CCC">
      <w:pPr>
        <w:spacing w:line="360" w:lineRule="auto"/>
        <w:rPr>
          <w:rFonts w:ascii="Arial" w:hAnsi="Arial" w:cs="Arial"/>
        </w:rPr>
      </w:pPr>
      <w:r w:rsidRPr="004E2CCC">
        <w:rPr>
          <w:rFonts w:ascii="Arial" w:hAnsi="Arial" w:cs="Arial"/>
        </w:rPr>
        <w:t>Why This Segment?</w:t>
      </w:r>
    </w:p>
    <w:p w14:paraId="3291448B" w14:textId="1938CEA4" w:rsidR="004E2CCC" w:rsidRPr="004E2CCC" w:rsidRDefault="004E2CCC" w:rsidP="004E2CCC">
      <w:pPr>
        <w:pStyle w:val="ListParagraph"/>
        <w:numPr>
          <w:ilvl w:val="0"/>
          <w:numId w:val="12"/>
        </w:numPr>
        <w:spacing w:line="360" w:lineRule="auto"/>
        <w:rPr>
          <w:rFonts w:ascii="Arial" w:hAnsi="Arial" w:cs="Arial"/>
        </w:rPr>
      </w:pPr>
      <w:r w:rsidRPr="004E2CCC">
        <w:rPr>
          <w:rFonts w:ascii="Arial" w:hAnsi="Arial" w:cs="Arial"/>
        </w:rPr>
        <w:t>Highest willingness to pay (Euromonitor, 2024)</w:t>
      </w:r>
    </w:p>
    <w:p w14:paraId="2546F099" w14:textId="335C1C75" w:rsidR="004E2CCC" w:rsidRPr="004E2CCC" w:rsidRDefault="004E2CCC" w:rsidP="004E2CCC">
      <w:pPr>
        <w:pStyle w:val="ListParagraph"/>
        <w:numPr>
          <w:ilvl w:val="0"/>
          <w:numId w:val="12"/>
        </w:numPr>
        <w:spacing w:line="360" w:lineRule="auto"/>
        <w:rPr>
          <w:rFonts w:ascii="Arial" w:hAnsi="Arial" w:cs="Arial"/>
        </w:rPr>
      </w:pPr>
      <w:r w:rsidRPr="004E2CCC">
        <w:rPr>
          <w:rFonts w:ascii="Arial" w:hAnsi="Arial" w:cs="Arial"/>
        </w:rPr>
        <w:t>Brand-conscious, follows Western fitness/wellness trends</w:t>
      </w:r>
    </w:p>
    <w:p w14:paraId="76FF44A4" w14:textId="2BD963BE" w:rsidR="004E2CCC" w:rsidRPr="004E2CCC" w:rsidRDefault="004E2CCC" w:rsidP="004E2CCC">
      <w:pPr>
        <w:pStyle w:val="ListParagraph"/>
        <w:numPr>
          <w:ilvl w:val="0"/>
          <w:numId w:val="12"/>
        </w:numPr>
        <w:spacing w:line="360" w:lineRule="auto"/>
        <w:rPr>
          <w:rFonts w:ascii="Arial" w:hAnsi="Arial" w:cs="Arial"/>
        </w:rPr>
      </w:pPr>
      <w:r w:rsidRPr="004E2CCC">
        <w:rPr>
          <w:rFonts w:ascii="Arial" w:hAnsi="Arial" w:cs="Arial"/>
        </w:rPr>
        <w:t>Strong match with Lululemon’s global brand equity</w:t>
      </w:r>
    </w:p>
    <w:p w14:paraId="2A43C0FD" w14:textId="7DABF462" w:rsidR="004E2CCC" w:rsidRPr="000B235F" w:rsidRDefault="004E2CCC" w:rsidP="004E2CCC">
      <w:pPr>
        <w:pStyle w:val="ListParagraph"/>
        <w:numPr>
          <w:ilvl w:val="0"/>
          <w:numId w:val="12"/>
        </w:numPr>
        <w:spacing w:line="360" w:lineRule="auto"/>
        <w:rPr>
          <w:rFonts w:ascii="Arial" w:hAnsi="Arial" w:cs="Arial"/>
        </w:rPr>
      </w:pPr>
      <w:r w:rsidRPr="004E2CCC">
        <w:rPr>
          <w:rFonts w:ascii="Arial" w:hAnsi="Arial" w:cs="Arial"/>
        </w:rPr>
        <w:t>Low price elasticity compared to mass Indian consumers</w:t>
      </w:r>
    </w:p>
    <w:p w14:paraId="78FCD43D" w14:textId="0CB95564" w:rsidR="004E2CCC" w:rsidRPr="00AC0EC8" w:rsidRDefault="004E2CCC" w:rsidP="004E2CCC">
      <w:pPr>
        <w:pStyle w:val="ListParagraph"/>
        <w:numPr>
          <w:ilvl w:val="0"/>
          <w:numId w:val="12"/>
        </w:numPr>
        <w:spacing w:line="360" w:lineRule="auto"/>
        <w:rPr>
          <w:rFonts w:ascii="Arial" w:hAnsi="Arial" w:cs="Arial"/>
        </w:rPr>
      </w:pPr>
      <w:r w:rsidRPr="004E2CCC">
        <w:rPr>
          <w:rFonts w:ascii="Arial" w:hAnsi="Arial" w:cs="Arial"/>
        </w:rPr>
        <w:t>High social influence effect → accelerates organic brand diffusion</w:t>
      </w:r>
    </w:p>
    <w:p w14:paraId="1667218C" w14:textId="77777777" w:rsidR="004E2CCC" w:rsidRPr="004E2CCC" w:rsidRDefault="004E2CCC" w:rsidP="004E2CCC">
      <w:pPr>
        <w:spacing w:line="360" w:lineRule="auto"/>
        <w:rPr>
          <w:rFonts w:ascii="Arial" w:hAnsi="Arial" w:cs="Arial"/>
          <w:color w:val="000000" w:themeColor="text1"/>
        </w:rPr>
      </w:pPr>
      <w:r w:rsidRPr="004E2CCC">
        <w:rPr>
          <w:rFonts w:ascii="Arial" w:hAnsi="Arial" w:cs="Arial"/>
          <w:color w:val="000000" w:themeColor="text1"/>
        </w:rPr>
        <w:lastRenderedPageBreak/>
        <w:t>D6.3 Positioning (P): Premium Wellness Performance</w:t>
      </w:r>
    </w:p>
    <w:p w14:paraId="50FB42D8" w14:textId="79CB88A7" w:rsidR="004E2CCC" w:rsidRPr="004E2CCC" w:rsidRDefault="004E2CCC" w:rsidP="004E2CCC">
      <w:pPr>
        <w:spacing w:line="360" w:lineRule="auto"/>
        <w:rPr>
          <w:rFonts w:ascii="Arial" w:hAnsi="Arial" w:cs="Arial"/>
        </w:rPr>
      </w:pPr>
      <w:r w:rsidRPr="004E2CCC">
        <w:rPr>
          <w:rFonts w:ascii="Arial" w:hAnsi="Arial" w:cs="Arial"/>
        </w:rPr>
        <w:t>Positioning Statement (concise Distinction-level)</w:t>
      </w:r>
    </w:p>
    <w:p w14:paraId="72B0D3F3" w14:textId="771889C7" w:rsidR="00A652A3" w:rsidRPr="004E2CCC" w:rsidRDefault="004E2CCC" w:rsidP="004E2CCC">
      <w:pPr>
        <w:spacing w:line="360" w:lineRule="auto"/>
        <w:rPr>
          <w:rFonts w:ascii="Arial" w:hAnsi="Arial" w:cs="Arial"/>
        </w:rPr>
      </w:pPr>
      <w:r w:rsidRPr="004E2CCC">
        <w:rPr>
          <w:rFonts w:ascii="Arial" w:hAnsi="Arial" w:cs="Arial"/>
        </w:rPr>
        <w:t xml:space="preserve">For India’s Urban Yoga-Luxe Consumer, Lululemon is the premium athleisure brand that delivers technical performance, cultural authenticity and experiential wellness, combining cutting-edge fabric innovation with community-driven retail </w:t>
      </w:r>
      <w:r w:rsidRPr="004E2CCC">
        <w:rPr>
          <w:rFonts w:ascii="Arial" w:hAnsi="Arial" w:cs="Arial"/>
        </w:rPr>
        <w:t>-</w:t>
      </w:r>
      <w:r w:rsidRPr="004E2CCC">
        <w:rPr>
          <w:rFonts w:ascii="Arial" w:hAnsi="Arial" w:cs="Arial"/>
        </w:rPr>
        <w:t xml:space="preserve"> unlike mass athleisure brands focused on price discounts.</w:t>
      </w:r>
    </w:p>
    <w:p w14:paraId="50CF481D" w14:textId="2A18E125" w:rsidR="004E2CCC" w:rsidRDefault="004E2CCC" w:rsidP="004E2CCC">
      <w:pPr>
        <w:spacing w:line="360" w:lineRule="auto"/>
        <w:rPr>
          <w:rFonts w:ascii="Arial" w:hAnsi="Arial" w:cs="Arial"/>
        </w:rPr>
      </w:pPr>
      <w:r w:rsidRPr="004E2CCC">
        <w:rPr>
          <w:rFonts w:ascii="Arial" w:hAnsi="Arial" w:cs="Arial"/>
        </w:rPr>
        <w:t>Positioning Strategy Elements</w:t>
      </w:r>
    </w:p>
    <w:tbl>
      <w:tblPr>
        <w:tblW w:w="0" w:type="auto"/>
        <w:tblCellSpacing w:w="15" w:type="dxa"/>
        <w:tblBorders>
          <w:top w:val="single" w:sz="4" w:space="0" w:color="EE0000"/>
          <w:bottom w:val="single" w:sz="4" w:space="0" w:color="EE0000"/>
          <w:insideH w:val="single" w:sz="4" w:space="0" w:color="EE0000"/>
          <w:insideV w:val="single" w:sz="4" w:space="0" w:color="EE0000"/>
        </w:tblBorders>
        <w:tblCellMar>
          <w:top w:w="15" w:type="dxa"/>
          <w:left w:w="15" w:type="dxa"/>
          <w:bottom w:w="15" w:type="dxa"/>
          <w:right w:w="15" w:type="dxa"/>
        </w:tblCellMar>
        <w:tblLook w:val="04A0" w:firstRow="1" w:lastRow="0" w:firstColumn="1" w:lastColumn="0" w:noHBand="0" w:noVBand="1"/>
      </w:tblPr>
      <w:tblGrid>
        <w:gridCol w:w="1944"/>
        <w:gridCol w:w="7416"/>
      </w:tblGrid>
      <w:tr w:rsidR="004E2CCC" w:rsidRPr="004E2CCC" w14:paraId="0AABD337" w14:textId="77777777" w:rsidTr="004E2CCC">
        <w:trPr>
          <w:tblHeader/>
          <w:tblCellSpacing w:w="15" w:type="dxa"/>
        </w:trPr>
        <w:tc>
          <w:tcPr>
            <w:tcW w:w="0" w:type="auto"/>
            <w:shd w:val="clear" w:color="auto" w:fill="F2F2F2" w:themeFill="background1" w:themeFillShade="F2"/>
            <w:vAlign w:val="center"/>
            <w:hideMark/>
          </w:tcPr>
          <w:p w14:paraId="1F6F772B" w14:textId="77777777" w:rsidR="004E2CCC" w:rsidRPr="004E2CCC" w:rsidRDefault="004E2CCC" w:rsidP="004E2CCC">
            <w:pPr>
              <w:spacing w:line="360" w:lineRule="auto"/>
              <w:rPr>
                <w:rFonts w:ascii="Arial" w:hAnsi="Arial" w:cs="Arial"/>
              </w:rPr>
            </w:pPr>
            <w:r w:rsidRPr="004E2CCC">
              <w:rPr>
                <w:rFonts w:ascii="Arial" w:hAnsi="Arial" w:cs="Arial"/>
              </w:rPr>
              <w:t>Element</w:t>
            </w:r>
          </w:p>
        </w:tc>
        <w:tc>
          <w:tcPr>
            <w:tcW w:w="0" w:type="auto"/>
            <w:shd w:val="clear" w:color="auto" w:fill="F2F2F2" w:themeFill="background1" w:themeFillShade="F2"/>
            <w:vAlign w:val="center"/>
            <w:hideMark/>
          </w:tcPr>
          <w:p w14:paraId="123B5EAD" w14:textId="77777777" w:rsidR="004E2CCC" w:rsidRPr="004E2CCC" w:rsidRDefault="004E2CCC" w:rsidP="004E2CCC">
            <w:pPr>
              <w:spacing w:line="360" w:lineRule="auto"/>
              <w:rPr>
                <w:rFonts w:ascii="Arial" w:hAnsi="Arial" w:cs="Arial"/>
              </w:rPr>
            </w:pPr>
            <w:r w:rsidRPr="004E2CCC">
              <w:rPr>
                <w:rFonts w:ascii="Arial" w:hAnsi="Arial" w:cs="Arial"/>
              </w:rPr>
              <w:t>Lululemon India Positioning</w:t>
            </w:r>
          </w:p>
        </w:tc>
      </w:tr>
      <w:tr w:rsidR="004E2CCC" w:rsidRPr="004E2CCC" w14:paraId="5027D62C" w14:textId="77777777" w:rsidTr="004E2CCC">
        <w:trPr>
          <w:tblCellSpacing w:w="15" w:type="dxa"/>
        </w:trPr>
        <w:tc>
          <w:tcPr>
            <w:tcW w:w="0" w:type="auto"/>
            <w:shd w:val="clear" w:color="auto" w:fill="F2F2F2" w:themeFill="background1" w:themeFillShade="F2"/>
            <w:vAlign w:val="center"/>
            <w:hideMark/>
          </w:tcPr>
          <w:p w14:paraId="7CD29994" w14:textId="77777777" w:rsidR="004E2CCC" w:rsidRPr="004E2CCC" w:rsidRDefault="004E2CCC" w:rsidP="004E2CCC">
            <w:pPr>
              <w:spacing w:line="360" w:lineRule="auto"/>
              <w:rPr>
                <w:rFonts w:ascii="Arial" w:hAnsi="Arial" w:cs="Arial"/>
              </w:rPr>
            </w:pPr>
            <w:r w:rsidRPr="004E2CCC">
              <w:rPr>
                <w:rFonts w:ascii="Arial" w:hAnsi="Arial" w:cs="Arial"/>
              </w:rPr>
              <w:t>Value Proposition</w:t>
            </w:r>
          </w:p>
        </w:tc>
        <w:tc>
          <w:tcPr>
            <w:tcW w:w="0" w:type="auto"/>
            <w:shd w:val="clear" w:color="auto" w:fill="F2F2F2" w:themeFill="background1" w:themeFillShade="F2"/>
            <w:vAlign w:val="center"/>
            <w:hideMark/>
          </w:tcPr>
          <w:p w14:paraId="365AB03D" w14:textId="77777777" w:rsidR="004E2CCC" w:rsidRPr="004E2CCC" w:rsidRDefault="004E2CCC" w:rsidP="004E2CCC">
            <w:pPr>
              <w:spacing w:line="360" w:lineRule="auto"/>
              <w:rPr>
                <w:rFonts w:ascii="Arial" w:hAnsi="Arial" w:cs="Arial"/>
              </w:rPr>
            </w:pPr>
            <w:r w:rsidRPr="004E2CCC">
              <w:rPr>
                <w:rFonts w:ascii="Arial" w:hAnsi="Arial" w:cs="Arial"/>
              </w:rPr>
              <w:t>“Premium technical apparel + authentic yoga culture + experiential wellness.”</w:t>
            </w:r>
          </w:p>
        </w:tc>
      </w:tr>
      <w:tr w:rsidR="004E2CCC" w:rsidRPr="004E2CCC" w14:paraId="2A19411F" w14:textId="77777777" w:rsidTr="004E2CCC">
        <w:trPr>
          <w:tblCellSpacing w:w="15" w:type="dxa"/>
        </w:trPr>
        <w:tc>
          <w:tcPr>
            <w:tcW w:w="0" w:type="auto"/>
            <w:shd w:val="clear" w:color="auto" w:fill="F2F2F2" w:themeFill="background1" w:themeFillShade="F2"/>
            <w:vAlign w:val="center"/>
            <w:hideMark/>
          </w:tcPr>
          <w:p w14:paraId="235030CD" w14:textId="77777777" w:rsidR="004E2CCC" w:rsidRPr="004E2CCC" w:rsidRDefault="004E2CCC" w:rsidP="004E2CCC">
            <w:pPr>
              <w:spacing w:line="360" w:lineRule="auto"/>
              <w:rPr>
                <w:rFonts w:ascii="Arial" w:hAnsi="Arial" w:cs="Arial"/>
              </w:rPr>
            </w:pPr>
            <w:r w:rsidRPr="004E2CCC">
              <w:rPr>
                <w:rFonts w:ascii="Arial" w:hAnsi="Arial" w:cs="Arial"/>
              </w:rPr>
              <w:t>Differentiation Drivers</w:t>
            </w:r>
          </w:p>
        </w:tc>
        <w:tc>
          <w:tcPr>
            <w:tcW w:w="0" w:type="auto"/>
            <w:shd w:val="clear" w:color="auto" w:fill="F2F2F2" w:themeFill="background1" w:themeFillShade="F2"/>
            <w:vAlign w:val="center"/>
            <w:hideMark/>
          </w:tcPr>
          <w:p w14:paraId="566CE1A4" w14:textId="77777777" w:rsidR="004E2CCC" w:rsidRPr="004E2CCC" w:rsidRDefault="004E2CCC" w:rsidP="004E2CCC">
            <w:pPr>
              <w:spacing w:line="360" w:lineRule="auto"/>
              <w:rPr>
                <w:rFonts w:ascii="Arial" w:hAnsi="Arial" w:cs="Arial"/>
              </w:rPr>
            </w:pPr>
            <w:r w:rsidRPr="004E2CCC">
              <w:rPr>
                <w:rFonts w:ascii="Arial" w:hAnsi="Arial" w:cs="Arial"/>
              </w:rPr>
              <w:t>Fabric innovation (Nulu™, Everlux™), Sweatlife community, premium retail experience</w:t>
            </w:r>
          </w:p>
        </w:tc>
      </w:tr>
      <w:tr w:rsidR="004E2CCC" w:rsidRPr="004E2CCC" w14:paraId="33529521" w14:textId="77777777" w:rsidTr="004E2CCC">
        <w:trPr>
          <w:tblCellSpacing w:w="15" w:type="dxa"/>
        </w:trPr>
        <w:tc>
          <w:tcPr>
            <w:tcW w:w="0" w:type="auto"/>
            <w:shd w:val="clear" w:color="auto" w:fill="F2F2F2" w:themeFill="background1" w:themeFillShade="F2"/>
            <w:vAlign w:val="center"/>
            <w:hideMark/>
          </w:tcPr>
          <w:p w14:paraId="25E4155C" w14:textId="77777777" w:rsidR="004E2CCC" w:rsidRPr="004E2CCC" w:rsidRDefault="004E2CCC" w:rsidP="004E2CCC">
            <w:pPr>
              <w:spacing w:line="360" w:lineRule="auto"/>
              <w:rPr>
                <w:rFonts w:ascii="Arial" w:hAnsi="Arial" w:cs="Arial"/>
              </w:rPr>
            </w:pPr>
            <w:r w:rsidRPr="004E2CCC">
              <w:rPr>
                <w:rFonts w:ascii="Arial" w:hAnsi="Arial" w:cs="Arial"/>
              </w:rPr>
              <w:t>Competitive Frame</w:t>
            </w:r>
          </w:p>
        </w:tc>
        <w:tc>
          <w:tcPr>
            <w:tcW w:w="0" w:type="auto"/>
            <w:shd w:val="clear" w:color="auto" w:fill="F2F2F2" w:themeFill="background1" w:themeFillShade="F2"/>
            <w:vAlign w:val="center"/>
            <w:hideMark/>
          </w:tcPr>
          <w:p w14:paraId="3A142EC2" w14:textId="7CB72BBC" w:rsidR="004E2CCC" w:rsidRPr="004E2CCC" w:rsidRDefault="004E2CCC" w:rsidP="004E2CCC">
            <w:pPr>
              <w:spacing w:line="360" w:lineRule="auto"/>
              <w:rPr>
                <w:rFonts w:ascii="Arial" w:hAnsi="Arial" w:cs="Arial"/>
              </w:rPr>
            </w:pPr>
            <w:r w:rsidRPr="004E2CCC">
              <w:rPr>
                <w:rFonts w:ascii="Arial" w:hAnsi="Arial" w:cs="Arial"/>
              </w:rPr>
              <w:t xml:space="preserve">Above Nike/Adidas (performance), far above Blissclub/HRX (price), positioned as </w:t>
            </w:r>
            <w:r w:rsidR="00666686">
              <w:rPr>
                <w:rFonts w:ascii="Arial" w:hAnsi="Arial" w:cs="Arial"/>
              </w:rPr>
              <w:t xml:space="preserve">a </w:t>
            </w:r>
            <w:r w:rsidRPr="004E2CCC">
              <w:rPr>
                <w:rFonts w:ascii="Arial" w:hAnsi="Arial" w:cs="Arial"/>
              </w:rPr>
              <w:t>global luxury wellness</w:t>
            </w:r>
          </w:p>
        </w:tc>
      </w:tr>
      <w:tr w:rsidR="004E2CCC" w:rsidRPr="004E2CCC" w14:paraId="35E58B80" w14:textId="77777777" w:rsidTr="004E2CCC">
        <w:trPr>
          <w:tblCellSpacing w:w="15" w:type="dxa"/>
        </w:trPr>
        <w:tc>
          <w:tcPr>
            <w:tcW w:w="0" w:type="auto"/>
            <w:shd w:val="clear" w:color="auto" w:fill="F2F2F2" w:themeFill="background1" w:themeFillShade="F2"/>
            <w:vAlign w:val="center"/>
            <w:hideMark/>
          </w:tcPr>
          <w:p w14:paraId="022FE5DD" w14:textId="77777777" w:rsidR="004E2CCC" w:rsidRPr="004E2CCC" w:rsidRDefault="004E2CCC" w:rsidP="004E2CCC">
            <w:pPr>
              <w:spacing w:line="360" w:lineRule="auto"/>
              <w:rPr>
                <w:rFonts w:ascii="Arial" w:hAnsi="Arial" w:cs="Arial"/>
              </w:rPr>
            </w:pPr>
            <w:r w:rsidRPr="004E2CCC">
              <w:rPr>
                <w:rFonts w:ascii="Arial" w:hAnsi="Arial" w:cs="Arial"/>
              </w:rPr>
              <w:t>Brand Promise</w:t>
            </w:r>
          </w:p>
        </w:tc>
        <w:tc>
          <w:tcPr>
            <w:tcW w:w="0" w:type="auto"/>
            <w:shd w:val="clear" w:color="auto" w:fill="F2F2F2" w:themeFill="background1" w:themeFillShade="F2"/>
            <w:vAlign w:val="center"/>
            <w:hideMark/>
          </w:tcPr>
          <w:p w14:paraId="0291FEB8" w14:textId="4F3E557D" w:rsidR="004E2CCC" w:rsidRPr="004E2CCC" w:rsidRDefault="004E2CCC" w:rsidP="004E2CCC">
            <w:pPr>
              <w:spacing w:line="360" w:lineRule="auto"/>
              <w:rPr>
                <w:rFonts w:ascii="Arial" w:hAnsi="Arial" w:cs="Arial"/>
              </w:rPr>
            </w:pPr>
            <w:r w:rsidRPr="004E2CCC">
              <w:rPr>
                <w:rFonts w:ascii="Arial" w:hAnsi="Arial" w:cs="Arial"/>
              </w:rPr>
              <w:t xml:space="preserve">“Feel your practice </w:t>
            </w:r>
            <w:r w:rsidR="00666686">
              <w:rPr>
                <w:rFonts w:ascii="Arial" w:hAnsi="Arial" w:cs="Arial"/>
              </w:rPr>
              <w:t>-</w:t>
            </w:r>
            <w:r w:rsidRPr="004E2CCC">
              <w:rPr>
                <w:rFonts w:ascii="Arial" w:hAnsi="Arial" w:cs="Arial"/>
              </w:rPr>
              <w:t xml:space="preserve"> elevate your life.”</w:t>
            </w:r>
          </w:p>
        </w:tc>
      </w:tr>
    </w:tbl>
    <w:p w14:paraId="7367987C" w14:textId="46D84383" w:rsidR="004E2CCC" w:rsidRPr="00AC0EC8" w:rsidRDefault="00AC0EC8" w:rsidP="00AC0EC8">
      <w:pPr>
        <w:spacing w:line="360" w:lineRule="auto"/>
        <w:rPr>
          <w:rFonts w:ascii="Arial" w:hAnsi="Arial" w:cs="Arial"/>
          <w:sz w:val="20"/>
          <w:szCs w:val="20"/>
        </w:rPr>
      </w:pPr>
      <w:r w:rsidRPr="00AC0EC8">
        <w:rPr>
          <w:rFonts w:ascii="Arial" w:hAnsi="Arial" w:cs="Arial"/>
          <w:sz w:val="20"/>
          <w:szCs w:val="20"/>
        </w:rPr>
        <w:t>Source</w:t>
      </w:r>
      <w:r w:rsidRPr="00AC0EC8">
        <w:rPr>
          <w:rFonts w:ascii="Arial" w:hAnsi="Arial" w:cs="Arial"/>
          <w:b/>
          <w:bCs/>
          <w:sz w:val="20"/>
          <w:szCs w:val="20"/>
        </w:rPr>
        <w:t>:</w:t>
      </w:r>
      <w:r w:rsidRPr="00AC0EC8">
        <w:rPr>
          <w:rFonts w:ascii="Arial" w:hAnsi="Arial" w:cs="Arial"/>
          <w:sz w:val="20"/>
          <w:szCs w:val="20"/>
        </w:rPr>
        <w:t xml:space="preserve"> Developed by the author based on Porter (1980); Keller (2013); Aaker (1996); Euromonitor (2024).</w:t>
      </w:r>
    </w:p>
    <w:p w14:paraId="302C8C5E" w14:textId="77777777" w:rsidR="004E2CCC" w:rsidRDefault="004E2CCC" w:rsidP="004E2CCC">
      <w:pPr>
        <w:spacing w:line="360" w:lineRule="auto"/>
        <w:rPr>
          <w:rFonts w:ascii="Arial" w:hAnsi="Arial" w:cs="Arial"/>
        </w:rPr>
      </w:pPr>
    </w:p>
    <w:p w14:paraId="5116BC1D" w14:textId="77777777" w:rsidR="00666686" w:rsidRDefault="00666686" w:rsidP="004E2CCC">
      <w:pPr>
        <w:spacing w:line="360" w:lineRule="auto"/>
        <w:rPr>
          <w:rFonts w:ascii="Arial" w:hAnsi="Arial" w:cs="Arial"/>
        </w:rPr>
      </w:pPr>
    </w:p>
    <w:p w14:paraId="04229048" w14:textId="77777777" w:rsidR="00AC0EC8" w:rsidRDefault="00AC0EC8" w:rsidP="004E2CCC">
      <w:pPr>
        <w:spacing w:line="360" w:lineRule="auto"/>
        <w:rPr>
          <w:rFonts w:ascii="Arial" w:hAnsi="Arial" w:cs="Arial"/>
        </w:rPr>
      </w:pPr>
    </w:p>
    <w:p w14:paraId="24E7B7EB" w14:textId="77777777" w:rsidR="00AC0EC8" w:rsidRDefault="00AC0EC8" w:rsidP="004E2CCC">
      <w:pPr>
        <w:spacing w:line="360" w:lineRule="auto"/>
        <w:rPr>
          <w:rFonts w:ascii="Arial" w:hAnsi="Arial" w:cs="Arial"/>
        </w:rPr>
      </w:pPr>
    </w:p>
    <w:p w14:paraId="317CD7EA" w14:textId="77777777" w:rsidR="00AC0EC8" w:rsidRDefault="00AC0EC8" w:rsidP="004E2CCC">
      <w:pPr>
        <w:spacing w:line="360" w:lineRule="auto"/>
        <w:rPr>
          <w:rFonts w:ascii="Arial" w:hAnsi="Arial" w:cs="Arial"/>
        </w:rPr>
      </w:pPr>
    </w:p>
    <w:p w14:paraId="03F20B76" w14:textId="77777777" w:rsidR="00AC0EC8" w:rsidRDefault="00AC0EC8" w:rsidP="004E2CCC">
      <w:pPr>
        <w:spacing w:line="360" w:lineRule="auto"/>
        <w:rPr>
          <w:rFonts w:ascii="Arial" w:hAnsi="Arial" w:cs="Arial"/>
        </w:rPr>
      </w:pPr>
    </w:p>
    <w:p w14:paraId="37E73DF7" w14:textId="77777777" w:rsidR="00666686" w:rsidRDefault="00666686" w:rsidP="004E2CCC">
      <w:pPr>
        <w:spacing w:line="360" w:lineRule="auto"/>
        <w:rPr>
          <w:rFonts w:ascii="Arial" w:hAnsi="Arial" w:cs="Arial"/>
        </w:rPr>
      </w:pPr>
    </w:p>
    <w:p w14:paraId="0415D029" w14:textId="77777777" w:rsidR="00666686" w:rsidRDefault="00666686" w:rsidP="004E2CCC">
      <w:pPr>
        <w:spacing w:line="360" w:lineRule="auto"/>
        <w:rPr>
          <w:rFonts w:ascii="Arial" w:hAnsi="Arial" w:cs="Arial"/>
        </w:rPr>
      </w:pPr>
    </w:p>
    <w:p w14:paraId="3E128668" w14:textId="68499A1F" w:rsidR="00666686" w:rsidRDefault="00666686" w:rsidP="004E2CCC">
      <w:pPr>
        <w:spacing w:line="360" w:lineRule="auto"/>
        <w:rPr>
          <w:rFonts w:ascii="Arial" w:hAnsi="Arial" w:cs="Arial"/>
        </w:rPr>
      </w:pPr>
      <w:r w:rsidRPr="00666686">
        <w:rPr>
          <w:rFonts w:ascii="Arial" w:hAnsi="Arial" w:cs="Arial"/>
        </w:rPr>
        <w:lastRenderedPageBreak/>
        <w:t xml:space="preserve">D6.4 STP Visual Map </w:t>
      </w:r>
    </w:p>
    <w:p w14:paraId="3875DDC9" w14:textId="5EA60DFD" w:rsidR="001356B8" w:rsidRPr="004E2CCC" w:rsidRDefault="001356B8" w:rsidP="004E2CCC">
      <w:pPr>
        <w:spacing w:line="360" w:lineRule="auto"/>
        <w:rPr>
          <w:rFonts w:ascii="Arial" w:hAnsi="Arial" w:cs="Arial"/>
        </w:rPr>
      </w:pPr>
      <w:r w:rsidRPr="001356B8">
        <w:rPr>
          <w:rFonts w:ascii="Arial" w:hAnsi="Arial" w:cs="Arial"/>
        </w:rPr>
        <w:drawing>
          <wp:inline distT="0" distB="0" distL="0" distR="0" wp14:anchorId="2373830C" wp14:editId="4278B5BB">
            <wp:extent cx="6085002" cy="2756454"/>
            <wp:effectExtent l="0" t="0" r="0" b="6350"/>
            <wp:docPr id="595708306" name="Picture 1" descr="A graph with red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08306" name="Picture 1" descr="A graph with red dots and white text&#10;&#10;AI-generated content may be incorrect."/>
                    <pic:cNvPicPr/>
                  </pic:nvPicPr>
                  <pic:blipFill>
                    <a:blip r:embed="rId30"/>
                    <a:stretch>
                      <a:fillRect/>
                    </a:stretch>
                  </pic:blipFill>
                  <pic:spPr>
                    <a:xfrm>
                      <a:off x="0" y="0"/>
                      <a:ext cx="6089853" cy="2758651"/>
                    </a:xfrm>
                    <a:prstGeom prst="rect">
                      <a:avLst/>
                    </a:prstGeom>
                  </pic:spPr>
                </pic:pic>
              </a:graphicData>
            </a:graphic>
          </wp:inline>
        </w:drawing>
      </w:r>
    </w:p>
    <w:p w14:paraId="274A5D17" w14:textId="58E13D20" w:rsidR="004E2CCC" w:rsidRDefault="001356B8" w:rsidP="001356B8">
      <w:pPr>
        <w:rPr>
          <w:rFonts w:ascii="Arial" w:hAnsi="Arial" w:cs="Arial"/>
          <w:sz w:val="20"/>
          <w:szCs w:val="20"/>
        </w:rPr>
      </w:pPr>
      <w:r w:rsidRPr="001356B8">
        <w:rPr>
          <w:rFonts w:ascii="Arial" w:hAnsi="Arial" w:cs="Arial"/>
          <w:sz w:val="20"/>
          <w:szCs w:val="20"/>
        </w:rPr>
        <w:t>Source: Adapted from Kotler, P. and Keller, K. L. (2022) Marketing Management;</w:t>
      </w:r>
      <w:r>
        <w:rPr>
          <w:rFonts w:ascii="Arial" w:hAnsi="Arial" w:cs="Arial"/>
          <w:sz w:val="20"/>
          <w:szCs w:val="20"/>
        </w:rPr>
        <w:t xml:space="preserve"> </w:t>
      </w:r>
      <w:r w:rsidRPr="001356B8">
        <w:rPr>
          <w:rFonts w:ascii="Arial" w:hAnsi="Arial" w:cs="Arial"/>
          <w:sz w:val="20"/>
          <w:szCs w:val="20"/>
        </w:rPr>
        <w:t xml:space="preserve">Kumar, V. (2018) Strategic </w:t>
      </w:r>
      <w:r w:rsidRPr="001356B8">
        <w:rPr>
          <w:rFonts w:ascii="Arial" w:hAnsi="Arial" w:cs="Arial"/>
          <w:sz w:val="20"/>
          <w:szCs w:val="20"/>
        </w:rPr>
        <w:t>Marketing.</w:t>
      </w:r>
      <w:r>
        <w:rPr>
          <w:rFonts w:ascii="Arial" w:hAnsi="Arial" w:cs="Arial"/>
          <w:sz w:val="20"/>
          <w:szCs w:val="20"/>
        </w:rPr>
        <w:t xml:space="preserve"> S</w:t>
      </w:r>
      <w:r w:rsidRPr="001356B8">
        <w:rPr>
          <w:rFonts w:ascii="Arial" w:hAnsi="Arial" w:cs="Arial"/>
          <w:sz w:val="20"/>
          <w:szCs w:val="20"/>
        </w:rPr>
        <w:t>upplemented with Indian premium athleisure market data from Statista (2024) and MarketLine (2023).</w:t>
      </w:r>
    </w:p>
    <w:p w14:paraId="76FEC877" w14:textId="77777777" w:rsidR="00AC0EC8" w:rsidRDefault="00AC0EC8" w:rsidP="001356B8">
      <w:pPr>
        <w:rPr>
          <w:rFonts w:ascii="Arial" w:hAnsi="Arial" w:cs="Arial"/>
          <w:sz w:val="20"/>
          <w:szCs w:val="20"/>
        </w:rPr>
      </w:pPr>
    </w:p>
    <w:p w14:paraId="4987D2BA" w14:textId="77777777" w:rsidR="00AC0EC8" w:rsidRPr="001356B8" w:rsidRDefault="00AC0EC8" w:rsidP="001356B8">
      <w:pPr>
        <w:rPr>
          <w:rFonts w:ascii="Arial" w:hAnsi="Arial" w:cs="Arial"/>
          <w:sz w:val="20"/>
          <w:szCs w:val="20"/>
        </w:rPr>
      </w:pPr>
    </w:p>
    <w:p w14:paraId="7E42B19C" w14:textId="77777777" w:rsidR="004E2CCC" w:rsidRDefault="004E2CCC" w:rsidP="00486D19"/>
    <w:p w14:paraId="4498CD22" w14:textId="4C1BA137" w:rsidR="002D0A32" w:rsidRPr="002D0A32" w:rsidRDefault="002D0A32" w:rsidP="002D0A32">
      <w:pPr>
        <w:rPr>
          <w:rFonts w:ascii="Arial" w:hAnsi="Arial" w:cs="Arial"/>
        </w:rPr>
      </w:pPr>
      <w:r w:rsidRPr="002D0A32">
        <w:rPr>
          <w:rFonts w:ascii="Arial" w:hAnsi="Arial" w:cs="Arial"/>
        </w:rPr>
        <w:t>D6.5 Strategic Implications</w:t>
      </w:r>
    </w:p>
    <w:p w14:paraId="350264AC" w14:textId="77777777" w:rsidR="002D0A32" w:rsidRPr="002D0A32" w:rsidRDefault="002D0A32" w:rsidP="002D0A32">
      <w:pPr>
        <w:numPr>
          <w:ilvl w:val="0"/>
          <w:numId w:val="13"/>
        </w:numPr>
        <w:rPr>
          <w:rFonts w:ascii="Arial" w:hAnsi="Arial" w:cs="Arial"/>
        </w:rPr>
      </w:pPr>
      <w:r w:rsidRPr="002D0A32">
        <w:rPr>
          <w:rFonts w:ascii="Arial" w:hAnsi="Arial" w:cs="Arial"/>
        </w:rPr>
        <w:t>Lululemon should exclude mass-market consumers and fully commit to a Differentiation-Focus strategy.</w:t>
      </w:r>
    </w:p>
    <w:p w14:paraId="37DCF3BA" w14:textId="77777777" w:rsidR="002D0A32" w:rsidRPr="002D0A32" w:rsidRDefault="002D0A32" w:rsidP="002D0A32">
      <w:pPr>
        <w:numPr>
          <w:ilvl w:val="0"/>
          <w:numId w:val="13"/>
        </w:numPr>
        <w:rPr>
          <w:rFonts w:ascii="Arial" w:hAnsi="Arial" w:cs="Arial"/>
        </w:rPr>
      </w:pPr>
      <w:r w:rsidRPr="002D0A32">
        <w:rPr>
          <w:rFonts w:ascii="Arial" w:hAnsi="Arial" w:cs="Arial"/>
        </w:rPr>
        <w:t>Cultural-fit scores indicate the need for Indian ambassadors and yoga-led localisation.</w:t>
      </w:r>
    </w:p>
    <w:p w14:paraId="327EE6DC" w14:textId="5B04975E" w:rsidR="002D0A32" w:rsidRPr="002D0A32" w:rsidRDefault="002D0A32" w:rsidP="002D0A32">
      <w:pPr>
        <w:numPr>
          <w:ilvl w:val="0"/>
          <w:numId w:val="13"/>
        </w:numPr>
        <w:rPr>
          <w:rFonts w:ascii="Arial" w:hAnsi="Arial" w:cs="Arial"/>
        </w:rPr>
      </w:pPr>
      <w:r w:rsidRPr="002D0A32">
        <w:rPr>
          <w:rFonts w:ascii="Arial" w:hAnsi="Arial" w:cs="Arial"/>
        </w:rPr>
        <w:t xml:space="preserve">Premium positioning must be supported by experience-centric stores and community events to justify </w:t>
      </w:r>
      <w:r>
        <w:rPr>
          <w:rFonts w:ascii="Arial" w:hAnsi="Arial" w:cs="Arial"/>
        </w:rPr>
        <w:t xml:space="preserve">the </w:t>
      </w:r>
      <w:r w:rsidRPr="002D0A32">
        <w:rPr>
          <w:rFonts w:ascii="Arial" w:hAnsi="Arial" w:cs="Arial"/>
        </w:rPr>
        <w:t>price.</w:t>
      </w:r>
    </w:p>
    <w:p w14:paraId="496B59EB" w14:textId="77777777" w:rsidR="002D0A32" w:rsidRPr="002D0A32" w:rsidRDefault="002D0A32" w:rsidP="002D0A32">
      <w:pPr>
        <w:numPr>
          <w:ilvl w:val="0"/>
          <w:numId w:val="13"/>
        </w:numPr>
        <w:rPr>
          <w:rFonts w:ascii="Arial" w:hAnsi="Arial" w:cs="Arial"/>
        </w:rPr>
      </w:pPr>
      <w:r w:rsidRPr="002D0A32">
        <w:rPr>
          <w:rFonts w:ascii="Arial" w:hAnsi="Arial" w:cs="Arial"/>
        </w:rPr>
        <w:t>Competitors (Nike/Adidas) compete on global performance; Lululemon competes on performance + identity + community → unique mix.</w:t>
      </w:r>
    </w:p>
    <w:p w14:paraId="4992D46F" w14:textId="77777777" w:rsidR="004E2CCC" w:rsidRDefault="004E2CCC" w:rsidP="00486D19"/>
    <w:p w14:paraId="49F1F9F2" w14:textId="77777777" w:rsidR="003A66CF" w:rsidRDefault="003A66CF" w:rsidP="00486D19"/>
    <w:p w14:paraId="3F54DC7A" w14:textId="77777777" w:rsidR="003A66CF" w:rsidRDefault="003A66CF" w:rsidP="00486D19"/>
    <w:p w14:paraId="2209C8DA" w14:textId="77777777" w:rsidR="003A66CF" w:rsidRDefault="003A66CF" w:rsidP="00486D19"/>
    <w:p w14:paraId="6205797B" w14:textId="77777777" w:rsidR="003A66CF" w:rsidRDefault="003A66CF" w:rsidP="00486D19"/>
    <w:p w14:paraId="543C2263" w14:textId="6EC39259" w:rsidR="00AB19C6" w:rsidRDefault="00AB19C6" w:rsidP="00486D19">
      <w:pPr>
        <w:rPr>
          <w:rFonts w:ascii="Arial" w:hAnsi="Arial" w:cs="Arial"/>
        </w:rPr>
      </w:pPr>
      <w:r>
        <w:rPr>
          <w:rFonts w:ascii="Arial" w:hAnsi="Arial" w:cs="Arial"/>
          <w:noProof/>
          <w:color w:val="000000" w:themeColor="text1"/>
        </w:rPr>
        <w:lastRenderedPageBreak/>
        <mc:AlternateContent>
          <mc:Choice Requires="wps">
            <w:drawing>
              <wp:anchor distT="0" distB="0" distL="114300" distR="114300" simplePos="0" relativeHeight="251694592" behindDoc="0" locked="0" layoutInCell="1" allowOverlap="1" wp14:anchorId="3E040003" wp14:editId="0CAE7036">
                <wp:simplePos x="0" y="0"/>
                <wp:positionH relativeFrom="column">
                  <wp:posOffset>0</wp:posOffset>
                </wp:positionH>
                <wp:positionV relativeFrom="paragraph">
                  <wp:posOffset>213408</wp:posOffset>
                </wp:positionV>
                <wp:extent cx="3183775" cy="0"/>
                <wp:effectExtent l="0" t="0" r="0" b="0"/>
                <wp:wrapNone/>
                <wp:docPr id="668889867" name="Straight Connector 4"/>
                <wp:cNvGraphicFramePr/>
                <a:graphic xmlns:a="http://schemas.openxmlformats.org/drawingml/2006/main">
                  <a:graphicData uri="http://schemas.microsoft.com/office/word/2010/wordprocessingShape">
                    <wps:wsp>
                      <wps:cNvCnPr/>
                      <wps:spPr>
                        <a:xfrm flipV="1">
                          <a:off x="0" y="0"/>
                          <a:ext cx="3183775" cy="0"/>
                        </a:xfrm>
                        <a:prstGeom prst="line">
                          <a:avLst/>
                        </a:prstGeom>
                        <a:ln>
                          <a:solidFill>
                            <a:srgbClr val="FF47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E17E6F" id="Straight Connector 4" o:spid="_x0000_s1026" style="position:absolute;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6.8pt" to="250.7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" strokecolor="#ff4747" strokeweight=".5pt">
                <v:stroke joinstyle="miter"/>
              </v:line>
            </w:pict>
          </mc:Fallback>
        </mc:AlternateContent>
      </w:r>
      <w:r w:rsidRPr="00AB19C6">
        <w:rPr>
          <w:rFonts w:ascii="Arial" w:hAnsi="Arial" w:cs="Arial"/>
        </w:rPr>
        <w:t>Appendix E: Performance Evaluation and Financial Plan</w:t>
      </w:r>
    </w:p>
    <w:p w14:paraId="7A75E81C" w14:textId="4756FA0D" w:rsidR="00AB19C6" w:rsidRDefault="00AB19C6" w:rsidP="00486D19">
      <w:pPr>
        <w:rPr>
          <w:rFonts w:ascii="Arial" w:hAnsi="Arial" w:cs="Arial"/>
        </w:rPr>
      </w:pPr>
    </w:p>
    <w:p w14:paraId="7A65D0CD" w14:textId="2200241B" w:rsidR="003A66CF" w:rsidRPr="003A66CF" w:rsidRDefault="003A66CF" w:rsidP="00486D19">
      <w:pPr>
        <w:rPr>
          <w:rFonts w:ascii="Arial" w:hAnsi="Arial" w:cs="Arial"/>
        </w:rPr>
      </w:pPr>
      <w:r w:rsidRPr="003A66CF">
        <w:rPr>
          <w:rFonts w:ascii="Arial" w:hAnsi="Arial" w:cs="Arial"/>
        </w:rPr>
        <w:t xml:space="preserve">Table E1. Balanced Scorecard for Lululemon India (adapted from Kaplan </w:t>
      </w:r>
      <w:r w:rsidRPr="003A66CF">
        <w:rPr>
          <w:rFonts w:ascii="Arial" w:hAnsi="Arial" w:cs="Arial"/>
        </w:rPr>
        <w:t>and</w:t>
      </w:r>
      <w:r w:rsidRPr="003A66CF">
        <w:rPr>
          <w:rFonts w:ascii="Arial" w:hAnsi="Arial" w:cs="Arial"/>
        </w:rPr>
        <w:t xml:space="preserve"> Norton, 1996)</w:t>
      </w:r>
    </w:p>
    <w:tbl>
      <w:tblPr>
        <w:tblW w:w="0" w:type="auto"/>
        <w:tblCellSpacing w:w="15" w:type="dxa"/>
        <w:tblBorders>
          <w:top w:val="single" w:sz="4" w:space="0" w:color="EE0000"/>
          <w:bottom w:val="single" w:sz="4" w:space="0" w:color="EE0000"/>
          <w:insideH w:val="single" w:sz="4" w:space="0" w:color="EE0000"/>
          <w:insideV w:val="single" w:sz="4" w:space="0" w:color="EE0000"/>
        </w:tblBorders>
        <w:tblCellMar>
          <w:top w:w="15" w:type="dxa"/>
          <w:left w:w="15" w:type="dxa"/>
          <w:bottom w:w="15" w:type="dxa"/>
          <w:right w:w="15" w:type="dxa"/>
        </w:tblCellMar>
        <w:tblLook w:val="04A0" w:firstRow="1" w:lastRow="0" w:firstColumn="1" w:lastColumn="0" w:noHBand="0" w:noVBand="1"/>
      </w:tblPr>
      <w:tblGrid>
        <w:gridCol w:w="1390"/>
        <w:gridCol w:w="1769"/>
        <w:gridCol w:w="2092"/>
        <w:gridCol w:w="2025"/>
        <w:gridCol w:w="2084"/>
      </w:tblGrid>
      <w:tr w:rsidR="00AB19C6" w:rsidRPr="00AB19C6" w14:paraId="6B84A664" w14:textId="77777777" w:rsidTr="003A66CF">
        <w:trPr>
          <w:tblHeader/>
          <w:tblCellSpacing w:w="15" w:type="dxa"/>
        </w:trPr>
        <w:tc>
          <w:tcPr>
            <w:tcW w:w="0" w:type="auto"/>
            <w:shd w:val="clear" w:color="auto" w:fill="F2F2F2" w:themeFill="background1" w:themeFillShade="F2"/>
            <w:vAlign w:val="center"/>
            <w:hideMark/>
          </w:tcPr>
          <w:p w14:paraId="514D0D5A"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Perspective</w:t>
            </w:r>
          </w:p>
        </w:tc>
        <w:tc>
          <w:tcPr>
            <w:tcW w:w="0" w:type="auto"/>
            <w:shd w:val="clear" w:color="auto" w:fill="F2F2F2" w:themeFill="background1" w:themeFillShade="F2"/>
            <w:vAlign w:val="center"/>
            <w:hideMark/>
          </w:tcPr>
          <w:p w14:paraId="1406099E"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Strategic Objective</w:t>
            </w:r>
          </w:p>
        </w:tc>
        <w:tc>
          <w:tcPr>
            <w:tcW w:w="0" w:type="auto"/>
            <w:shd w:val="clear" w:color="auto" w:fill="F2F2F2" w:themeFill="background1" w:themeFillShade="F2"/>
            <w:vAlign w:val="center"/>
            <w:hideMark/>
          </w:tcPr>
          <w:p w14:paraId="46ABB6A8"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Key Performance Indicators (KPIs)</w:t>
            </w:r>
          </w:p>
        </w:tc>
        <w:tc>
          <w:tcPr>
            <w:tcW w:w="0" w:type="auto"/>
            <w:shd w:val="clear" w:color="auto" w:fill="F2F2F2" w:themeFill="background1" w:themeFillShade="F2"/>
            <w:vAlign w:val="center"/>
            <w:hideMark/>
          </w:tcPr>
          <w:p w14:paraId="448B3714" w14:textId="33FD1C41" w:rsidR="003A66CF" w:rsidRPr="003A66CF" w:rsidRDefault="003A66CF" w:rsidP="003A66CF">
            <w:pPr>
              <w:rPr>
                <w:rFonts w:ascii="Arial" w:hAnsi="Arial" w:cs="Arial"/>
                <w:color w:val="000000" w:themeColor="text1"/>
              </w:rPr>
            </w:pPr>
            <w:r w:rsidRPr="003A66CF">
              <w:rPr>
                <w:rFonts w:ascii="Arial" w:hAnsi="Arial" w:cs="Arial"/>
                <w:color w:val="000000" w:themeColor="text1"/>
              </w:rPr>
              <w:t>Target (Year 1</w:t>
            </w:r>
            <w:r w:rsidRPr="00AB19C6">
              <w:rPr>
                <w:rFonts w:ascii="Arial" w:hAnsi="Arial" w:cs="Arial"/>
                <w:color w:val="000000" w:themeColor="text1"/>
              </w:rPr>
              <w:t>-</w:t>
            </w:r>
            <w:r w:rsidRPr="003A66CF">
              <w:rPr>
                <w:rFonts w:ascii="Arial" w:hAnsi="Arial" w:cs="Arial"/>
                <w:color w:val="000000" w:themeColor="text1"/>
              </w:rPr>
              <w:t>3)</w:t>
            </w:r>
          </w:p>
        </w:tc>
        <w:tc>
          <w:tcPr>
            <w:tcW w:w="0" w:type="auto"/>
            <w:shd w:val="clear" w:color="auto" w:fill="F2F2F2" w:themeFill="background1" w:themeFillShade="F2"/>
            <w:vAlign w:val="center"/>
            <w:hideMark/>
          </w:tcPr>
          <w:p w14:paraId="2BCCD142"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Rationale</w:t>
            </w:r>
          </w:p>
        </w:tc>
      </w:tr>
      <w:tr w:rsidR="00AB19C6" w:rsidRPr="00AB19C6" w14:paraId="69FF14E9" w14:textId="77777777" w:rsidTr="003A66CF">
        <w:trPr>
          <w:tblCellSpacing w:w="15" w:type="dxa"/>
        </w:trPr>
        <w:tc>
          <w:tcPr>
            <w:tcW w:w="0" w:type="auto"/>
            <w:shd w:val="clear" w:color="auto" w:fill="F2F2F2" w:themeFill="background1" w:themeFillShade="F2"/>
            <w:vAlign w:val="center"/>
            <w:hideMark/>
          </w:tcPr>
          <w:p w14:paraId="5AF04D3A"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Financial</w:t>
            </w:r>
          </w:p>
        </w:tc>
        <w:tc>
          <w:tcPr>
            <w:tcW w:w="0" w:type="auto"/>
            <w:shd w:val="clear" w:color="auto" w:fill="F2F2F2" w:themeFill="background1" w:themeFillShade="F2"/>
            <w:vAlign w:val="center"/>
            <w:hideMark/>
          </w:tcPr>
          <w:p w14:paraId="4FCF907F"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Achieve flagship profitability</w:t>
            </w:r>
          </w:p>
        </w:tc>
        <w:tc>
          <w:tcPr>
            <w:tcW w:w="0" w:type="auto"/>
            <w:shd w:val="clear" w:color="auto" w:fill="F2F2F2" w:themeFill="background1" w:themeFillShade="F2"/>
            <w:vAlign w:val="center"/>
            <w:hideMark/>
          </w:tcPr>
          <w:p w14:paraId="68E73D96" w14:textId="0E79BC11" w:rsidR="003A66CF" w:rsidRPr="003A66CF" w:rsidRDefault="003A66CF" w:rsidP="003A66CF">
            <w:pPr>
              <w:rPr>
                <w:rFonts w:ascii="Arial" w:hAnsi="Arial" w:cs="Arial"/>
                <w:color w:val="000000" w:themeColor="text1"/>
              </w:rPr>
            </w:pPr>
            <w:r w:rsidRPr="003A66CF">
              <w:rPr>
                <w:rFonts w:ascii="Arial" w:hAnsi="Arial" w:cs="Arial"/>
                <w:color w:val="000000" w:themeColor="text1"/>
              </w:rPr>
              <w:t xml:space="preserve">Revenue per </w:t>
            </w:r>
            <w:r w:rsidRPr="00AB19C6">
              <w:rPr>
                <w:rFonts w:ascii="Arial" w:hAnsi="Arial" w:cs="Arial"/>
                <w:color w:val="000000" w:themeColor="text1"/>
              </w:rPr>
              <w:t>sq.</w:t>
            </w:r>
            <w:r w:rsidRPr="003A66CF">
              <w:rPr>
                <w:rFonts w:ascii="Arial" w:hAnsi="Arial" w:cs="Arial"/>
                <w:color w:val="000000" w:themeColor="text1"/>
              </w:rPr>
              <w:t xml:space="preserve"> ft; Store-level EBITDA</w:t>
            </w:r>
          </w:p>
        </w:tc>
        <w:tc>
          <w:tcPr>
            <w:tcW w:w="0" w:type="auto"/>
            <w:shd w:val="clear" w:color="auto" w:fill="F2F2F2" w:themeFill="background1" w:themeFillShade="F2"/>
            <w:vAlign w:val="center"/>
            <w:hideMark/>
          </w:tcPr>
          <w:p w14:paraId="0A32A173" w14:textId="608B8628" w:rsidR="003A66CF" w:rsidRPr="003A66CF" w:rsidRDefault="003A66CF" w:rsidP="003A66CF">
            <w:pPr>
              <w:rPr>
                <w:rFonts w:ascii="Arial" w:hAnsi="Arial" w:cs="Arial"/>
                <w:color w:val="000000" w:themeColor="text1"/>
              </w:rPr>
            </w:pPr>
            <w:r w:rsidRPr="003A66CF">
              <w:rPr>
                <w:rFonts w:ascii="Arial" w:hAnsi="Arial" w:cs="Arial"/>
                <w:color w:val="000000" w:themeColor="text1"/>
              </w:rPr>
              <w:t>₹45,000</w:t>
            </w:r>
            <w:r w:rsidRPr="00AB19C6">
              <w:rPr>
                <w:rFonts w:ascii="Arial" w:hAnsi="Arial" w:cs="Arial"/>
                <w:color w:val="000000" w:themeColor="text1"/>
              </w:rPr>
              <w:t>-</w:t>
            </w:r>
            <w:r w:rsidRPr="003A66CF">
              <w:rPr>
                <w:rFonts w:ascii="Arial" w:hAnsi="Arial" w:cs="Arial"/>
                <w:color w:val="000000" w:themeColor="text1"/>
              </w:rPr>
              <w:t xml:space="preserve">55,000 per </w:t>
            </w:r>
            <w:r w:rsidRPr="00AB19C6">
              <w:rPr>
                <w:rFonts w:ascii="Arial" w:hAnsi="Arial" w:cs="Arial"/>
                <w:color w:val="000000" w:themeColor="text1"/>
              </w:rPr>
              <w:t>sq.</w:t>
            </w:r>
            <w:r w:rsidRPr="003A66CF">
              <w:rPr>
                <w:rFonts w:ascii="Arial" w:hAnsi="Arial" w:cs="Arial"/>
                <w:color w:val="000000" w:themeColor="text1"/>
              </w:rPr>
              <w:t xml:space="preserve"> ft by Year 3</w:t>
            </w:r>
          </w:p>
        </w:tc>
        <w:tc>
          <w:tcPr>
            <w:tcW w:w="0" w:type="auto"/>
            <w:shd w:val="clear" w:color="auto" w:fill="F2F2F2" w:themeFill="background1" w:themeFillShade="F2"/>
            <w:vAlign w:val="center"/>
            <w:hideMark/>
          </w:tcPr>
          <w:p w14:paraId="53687937"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Premium retail benchmarks in Tier 1 cities</w:t>
            </w:r>
          </w:p>
        </w:tc>
      </w:tr>
      <w:tr w:rsidR="00AB19C6" w:rsidRPr="00AB19C6" w14:paraId="314D49A4" w14:textId="77777777" w:rsidTr="003A66CF">
        <w:trPr>
          <w:tblCellSpacing w:w="15" w:type="dxa"/>
        </w:trPr>
        <w:tc>
          <w:tcPr>
            <w:tcW w:w="0" w:type="auto"/>
            <w:shd w:val="clear" w:color="auto" w:fill="F2F2F2" w:themeFill="background1" w:themeFillShade="F2"/>
            <w:vAlign w:val="center"/>
            <w:hideMark/>
          </w:tcPr>
          <w:p w14:paraId="79D217FE" w14:textId="77777777" w:rsidR="003A66CF" w:rsidRPr="003A66CF" w:rsidRDefault="003A66CF" w:rsidP="003A66CF">
            <w:pPr>
              <w:rPr>
                <w:rFonts w:ascii="Arial" w:hAnsi="Arial" w:cs="Arial"/>
                <w:color w:val="000000" w:themeColor="text1"/>
              </w:rPr>
            </w:pPr>
          </w:p>
        </w:tc>
        <w:tc>
          <w:tcPr>
            <w:tcW w:w="0" w:type="auto"/>
            <w:shd w:val="clear" w:color="auto" w:fill="F2F2F2" w:themeFill="background1" w:themeFillShade="F2"/>
            <w:vAlign w:val="center"/>
            <w:hideMark/>
          </w:tcPr>
          <w:p w14:paraId="0BEF53F4"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Strengthen cash flow stability</w:t>
            </w:r>
          </w:p>
        </w:tc>
        <w:tc>
          <w:tcPr>
            <w:tcW w:w="0" w:type="auto"/>
            <w:shd w:val="clear" w:color="auto" w:fill="F2F2F2" w:themeFill="background1" w:themeFillShade="F2"/>
            <w:vAlign w:val="center"/>
            <w:hideMark/>
          </w:tcPr>
          <w:p w14:paraId="777461AC"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Cash Conversion Cycle; Gross Margin</w:t>
            </w:r>
          </w:p>
        </w:tc>
        <w:tc>
          <w:tcPr>
            <w:tcW w:w="0" w:type="auto"/>
            <w:shd w:val="clear" w:color="auto" w:fill="F2F2F2" w:themeFill="background1" w:themeFillShade="F2"/>
            <w:vAlign w:val="center"/>
            <w:hideMark/>
          </w:tcPr>
          <w:p w14:paraId="46D3FFDE"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Maintain &gt;55% gross margin</w:t>
            </w:r>
          </w:p>
        </w:tc>
        <w:tc>
          <w:tcPr>
            <w:tcW w:w="0" w:type="auto"/>
            <w:shd w:val="clear" w:color="auto" w:fill="F2F2F2" w:themeFill="background1" w:themeFillShade="F2"/>
            <w:vAlign w:val="center"/>
            <w:hideMark/>
          </w:tcPr>
          <w:p w14:paraId="4E0BAF34"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Protects VRIO-based product integrity</w:t>
            </w:r>
          </w:p>
        </w:tc>
      </w:tr>
      <w:tr w:rsidR="00AB19C6" w:rsidRPr="00AB19C6" w14:paraId="1A2BCE80" w14:textId="77777777" w:rsidTr="003A66CF">
        <w:trPr>
          <w:tblCellSpacing w:w="15" w:type="dxa"/>
        </w:trPr>
        <w:tc>
          <w:tcPr>
            <w:tcW w:w="0" w:type="auto"/>
            <w:shd w:val="clear" w:color="auto" w:fill="F2F2F2" w:themeFill="background1" w:themeFillShade="F2"/>
            <w:vAlign w:val="center"/>
            <w:hideMark/>
          </w:tcPr>
          <w:p w14:paraId="7D0ED3B1"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Customer</w:t>
            </w:r>
          </w:p>
        </w:tc>
        <w:tc>
          <w:tcPr>
            <w:tcW w:w="0" w:type="auto"/>
            <w:shd w:val="clear" w:color="auto" w:fill="F2F2F2" w:themeFill="background1" w:themeFillShade="F2"/>
            <w:vAlign w:val="center"/>
            <w:hideMark/>
          </w:tcPr>
          <w:p w14:paraId="3CDC3991"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Build strong premium customer loyalty</w:t>
            </w:r>
          </w:p>
        </w:tc>
        <w:tc>
          <w:tcPr>
            <w:tcW w:w="0" w:type="auto"/>
            <w:shd w:val="clear" w:color="auto" w:fill="F2F2F2" w:themeFill="background1" w:themeFillShade="F2"/>
            <w:vAlign w:val="center"/>
            <w:hideMark/>
          </w:tcPr>
          <w:p w14:paraId="67994AB6"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NPS; Repeat Purchase Rate</w:t>
            </w:r>
          </w:p>
        </w:tc>
        <w:tc>
          <w:tcPr>
            <w:tcW w:w="0" w:type="auto"/>
            <w:shd w:val="clear" w:color="auto" w:fill="F2F2F2" w:themeFill="background1" w:themeFillShade="F2"/>
            <w:vAlign w:val="center"/>
            <w:hideMark/>
          </w:tcPr>
          <w:p w14:paraId="7ED41C8D"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NPS &gt; 60; Repeat rate &gt; 35%</w:t>
            </w:r>
          </w:p>
        </w:tc>
        <w:tc>
          <w:tcPr>
            <w:tcW w:w="0" w:type="auto"/>
            <w:shd w:val="clear" w:color="auto" w:fill="F2F2F2" w:themeFill="background1" w:themeFillShade="F2"/>
            <w:vAlign w:val="center"/>
            <w:hideMark/>
          </w:tcPr>
          <w:p w14:paraId="2A5857C4"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India’s high buyer power requires loyalty-building</w:t>
            </w:r>
          </w:p>
        </w:tc>
      </w:tr>
      <w:tr w:rsidR="00AB19C6" w:rsidRPr="00AB19C6" w14:paraId="301E01C3" w14:textId="77777777" w:rsidTr="003A66CF">
        <w:trPr>
          <w:tblCellSpacing w:w="15" w:type="dxa"/>
        </w:trPr>
        <w:tc>
          <w:tcPr>
            <w:tcW w:w="0" w:type="auto"/>
            <w:shd w:val="clear" w:color="auto" w:fill="F2F2F2" w:themeFill="background1" w:themeFillShade="F2"/>
            <w:vAlign w:val="center"/>
            <w:hideMark/>
          </w:tcPr>
          <w:p w14:paraId="1D9DC53E" w14:textId="77777777" w:rsidR="003A66CF" w:rsidRPr="003A66CF" w:rsidRDefault="003A66CF" w:rsidP="003A66CF">
            <w:pPr>
              <w:rPr>
                <w:rFonts w:ascii="Arial" w:hAnsi="Arial" w:cs="Arial"/>
                <w:color w:val="000000" w:themeColor="text1"/>
              </w:rPr>
            </w:pPr>
          </w:p>
        </w:tc>
        <w:tc>
          <w:tcPr>
            <w:tcW w:w="0" w:type="auto"/>
            <w:shd w:val="clear" w:color="auto" w:fill="F2F2F2" w:themeFill="background1" w:themeFillShade="F2"/>
            <w:vAlign w:val="center"/>
            <w:hideMark/>
          </w:tcPr>
          <w:p w14:paraId="48A48C9A"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Ensure cultural alignment</w:t>
            </w:r>
          </w:p>
        </w:tc>
        <w:tc>
          <w:tcPr>
            <w:tcW w:w="0" w:type="auto"/>
            <w:shd w:val="clear" w:color="auto" w:fill="F2F2F2" w:themeFill="background1" w:themeFillShade="F2"/>
            <w:vAlign w:val="center"/>
            <w:hideMark/>
          </w:tcPr>
          <w:p w14:paraId="6BB2C8CF"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Social Media Sentiment (AI-scan)</w:t>
            </w:r>
          </w:p>
        </w:tc>
        <w:tc>
          <w:tcPr>
            <w:tcW w:w="0" w:type="auto"/>
            <w:shd w:val="clear" w:color="auto" w:fill="F2F2F2" w:themeFill="background1" w:themeFillShade="F2"/>
            <w:vAlign w:val="center"/>
            <w:hideMark/>
          </w:tcPr>
          <w:p w14:paraId="44CE975F"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&gt;80% positive wellness-brand sentiment</w:t>
            </w:r>
          </w:p>
        </w:tc>
        <w:tc>
          <w:tcPr>
            <w:tcW w:w="0" w:type="auto"/>
            <w:shd w:val="clear" w:color="auto" w:fill="F2F2F2" w:themeFill="background1" w:themeFillShade="F2"/>
            <w:vAlign w:val="center"/>
            <w:hideMark/>
          </w:tcPr>
          <w:p w14:paraId="44920030"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Critical due to cultural distance</w:t>
            </w:r>
          </w:p>
        </w:tc>
      </w:tr>
      <w:tr w:rsidR="00AB19C6" w:rsidRPr="00AB19C6" w14:paraId="28837E91" w14:textId="77777777" w:rsidTr="003A66CF">
        <w:trPr>
          <w:tblCellSpacing w:w="15" w:type="dxa"/>
        </w:trPr>
        <w:tc>
          <w:tcPr>
            <w:tcW w:w="0" w:type="auto"/>
            <w:shd w:val="clear" w:color="auto" w:fill="F2F2F2" w:themeFill="background1" w:themeFillShade="F2"/>
            <w:vAlign w:val="center"/>
            <w:hideMark/>
          </w:tcPr>
          <w:p w14:paraId="0A3664E5"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Internal Process</w:t>
            </w:r>
          </w:p>
        </w:tc>
        <w:tc>
          <w:tcPr>
            <w:tcW w:w="0" w:type="auto"/>
            <w:shd w:val="clear" w:color="auto" w:fill="F2F2F2" w:themeFill="background1" w:themeFillShade="F2"/>
            <w:vAlign w:val="center"/>
            <w:hideMark/>
          </w:tcPr>
          <w:p w14:paraId="63C94A81" w14:textId="48AE4381" w:rsidR="003A66CF" w:rsidRPr="003A66CF" w:rsidRDefault="003A66CF" w:rsidP="003A66CF">
            <w:pPr>
              <w:rPr>
                <w:rFonts w:ascii="Arial" w:hAnsi="Arial" w:cs="Arial"/>
                <w:color w:val="000000" w:themeColor="text1"/>
              </w:rPr>
            </w:pPr>
            <w:r w:rsidRPr="003A66CF">
              <w:rPr>
                <w:rFonts w:ascii="Arial" w:hAnsi="Arial" w:cs="Arial"/>
                <w:color w:val="000000" w:themeColor="text1"/>
              </w:rPr>
              <w:t xml:space="preserve">Maintain product quality </w:t>
            </w:r>
            <w:r w:rsidR="00AB19C6" w:rsidRPr="00AB19C6">
              <w:rPr>
                <w:rFonts w:ascii="Arial" w:hAnsi="Arial" w:cs="Arial"/>
                <w:color w:val="000000" w:themeColor="text1"/>
              </w:rPr>
              <w:t>and</w:t>
            </w:r>
            <w:r w:rsidRPr="003A66CF">
              <w:rPr>
                <w:rFonts w:ascii="Arial" w:hAnsi="Arial" w:cs="Arial"/>
                <w:color w:val="000000" w:themeColor="text1"/>
              </w:rPr>
              <w:t xml:space="preserve"> compliance</w:t>
            </w:r>
          </w:p>
        </w:tc>
        <w:tc>
          <w:tcPr>
            <w:tcW w:w="0" w:type="auto"/>
            <w:shd w:val="clear" w:color="auto" w:fill="F2F2F2" w:themeFill="background1" w:themeFillShade="F2"/>
            <w:vAlign w:val="center"/>
            <w:hideMark/>
          </w:tcPr>
          <w:p w14:paraId="3C3C223C"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 SKUs meeting quality specs; Sourcing adherence</w:t>
            </w:r>
          </w:p>
        </w:tc>
        <w:tc>
          <w:tcPr>
            <w:tcW w:w="0" w:type="auto"/>
            <w:shd w:val="clear" w:color="auto" w:fill="F2F2F2" w:themeFill="background1" w:themeFillShade="F2"/>
            <w:vAlign w:val="center"/>
            <w:hideMark/>
          </w:tcPr>
          <w:p w14:paraId="69FA3CCC"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&lt;2% defect rate; 30% sourcing compliance</w:t>
            </w:r>
          </w:p>
        </w:tc>
        <w:tc>
          <w:tcPr>
            <w:tcW w:w="0" w:type="auto"/>
            <w:shd w:val="clear" w:color="auto" w:fill="F2F2F2" w:themeFill="background1" w:themeFillShade="F2"/>
            <w:vAlign w:val="center"/>
            <w:hideMark/>
          </w:tcPr>
          <w:p w14:paraId="3FFB589E"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India FDI rules + premium positioning</w:t>
            </w:r>
          </w:p>
        </w:tc>
      </w:tr>
      <w:tr w:rsidR="00AB19C6" w:rsidRPr="00AB19C6" w14:paraId="494B8D93" w14:textId="77777777" w:rsidTr="003A66CF">
        <w:trPr>
          <w:tblCellSpacing w:w="15" w:type="dxa"/>
        </w:trPr>
        <w:tc>
          <w:tcPr>
            <w:tcW w:w="0" w:type="auto"/>
            <w:shd w:val="clear" w:color="auto" w:fill="F2F2F2" w:themeFill="background1" w:themeFillShade="F2"/>
            <w:vAlign w:val="center"/>
            <w:hideMark/>
          </w:tcPr>
          <w:p w14:paraId="579B39FF" w14:textId="77777777" w:rsidR="003A66CF" w:rsidRPr="003A66CF" w:rsidRDefault="003A66CF" w:rsidP="003A66CF">
            <w:pPr>
              <w:rPr>
                <w:rFonts w:ascii="Arial" w:hAnsi="Arial" w:cs="Arial"/>
                <w:color w:val="000000" w:themeColor="text1"/>
              </w:rPr>
            </w:pPr>
          </w:p>
        </w:tc>
        <w:tc>
          <w:tcPr>
            <w:tcW w:w="0" w:type="auto"/>
            <w:shd w:val="clear" w:color="auto" w:fill="F2F2F2" w:themeFill="background1" w:themeFillShade="F2"/>
            <w:vAlign w:val="center"/>
            <w:hideMark/>
          </w:tcPr>
          <w:p w14:paraId="790CC3C0"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Improve operational efficiency</w:t>
            </w:r>
          </w:p>
        </w:tc>
        <w:tc>
          <w:tcPr>
            <w:tcW w:w="0" w:type="auto"/>
            <w:shd w:val="clear" w:color="auto" w:fill="F2F2F2" w:themeFill="background1" w:themeFillShade="F2"/>
            <w:vAlign w:val="center"/>
            <w:hideMark/>
          </w:tcPr>
          <w:p w14:paraId="79BE8DF7"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Delivery lead time; Inventory turnover</w:t>
            </w:r>
          </w:p>
        </w:tc>
        <w:tc>
          <w:tcPr>
            <w:tcW w:w="0" w:type="auto"/>
            <w:shd w:val="clear" w:color="auto" w:fill="F2F2F2" w:themeFill="background1" w:themeFillShade="F2"/>
            <w:vAlign w:val="center"/>
            <w:hideMark/>
          </w:tcPr>
          <w:p w14:paraId="1E592841"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Lead time &lt; 4 days in Tier 1</w:t>
            </w:r>
          </w:p>
        </w:tc>
        <w:tc>
          <w:tcPr>
            <w:tcW w:w="0" w:type="auto"/>
            <w:shd w:val="clear" w:color="auto" w:fill="F2F2F2" w:themeFill="background1" w:themeFillShade="F2"/>
            <w:vAlign w:val="center"/>
            <w:hideMark/>
          </w:tcPr>
          <w:p w14:paraId="5D6A1243"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Required for omnichannel integration</w:t>
            </w:r>
          </w:p>
        </w:tc>
      </w:tr>
      <w:tr w:rsidR="00AB19C6" w:rsidRPr="00AB19C6" w14:paraId="7692AB74" w14:textId="77777777" w:rsidTr="003A66CF">
        <w:trPr>
          <w:tblCellSpacing w:w="15" w:type="dxa"/>
        </w:trPr>
        <w:tc>
          <w:tcPr>
            <w:tcW w:w="0" w:type="auto"/>
            <w:shd w:val="clear" w:color="auto" w:fill="F2F2F2" w:themeFill="background1" w:themeFillShade="F2"/>
            <w:vAlign w:val="center"/>
            <w:hideMark/>
          </w:tcPr>
          <w:p w14:paraId="72831631" w14:textId="6B9D4AAA" w:rsidR="003A66CF" w:rsidRPr="003A66CF" w:rsidRDefault="003A66CF" w:rsidP="003A66CF">
            <w:pPr>
              <w:rPr>
                <w:rFonts w:ascii="Arial" w:hAnsi="Arial" w:cs="Arial"/>
                <w:color w:val="000000" w:themeColor="text1"/>
              </w:rPr>
            </w:pPr>
            <w:r w:rsidRPr="003A66CF">
              <w:rPr>
                <w:rFonts w:ascii="Arial" w:hAnsi="Arial" w:cs="Arial"/>
                <w:color w:val="000000" w:themeColor="text1"/>
              </w:rPr>
              <w:t xml:space="preserve">Learning </w:t>
            </w:r>
            <w:r w:rsidR="00D27EA1">
              <w:rPr>
                <w:rFonts w:ascii="Arial" w:hAnsi="Arial" w:cs="Arial"/>
                <w:color w:val="000000" w:themeColor="text1"/>
              </w:rPr>
              <w:t>and</w:t>
            </w:r>
            <w:r w:rsidRPr="003A66CF">
              <w:rPr>
                <w:rFonts w:ascii="Arial" w:hAnsi="Arial" w:cs="Arial"/>
                <w:color w:val="000000" w:themeColor="text1"/>
              </w:rPr>
              <w:t xml:space="preserve"> Growth</w:t>
            </w:r>
          </w:p>
        </w:tc>
        <w:tc>
          <w:tcPr>
            <w:tcW w:w="0" w:type="auto"/>
            <w:shd w:val="clear" w:color="auto" w:fill="F2F2F2" w:themeFill="background1" w:themeFillShade="F2"/>
            <w:vAlign w:val="center"/>
            <w:hideMark/>
          </w:tcPr>
          <w:p w14:paraId="29F7552E" w14:textId="2179ADB0" w:rsidR="003A66CF" w:rsidRPr="003A66CF" w:rsidRDefault="003A66CF" w:rsidP="003A66CF">
            <w:pPr>
              <w:rPr>
                <w:rFonts w:ascii="Arial" w:hAnsi="Arial" w:cs="Arial"/>
                <w:color w:val="000000" w:themeColor="text1"/>
              </w:rPr>
            </w:pPr>
            <w:r w:rsidRPr="003A66CF">
              <w:rPr>
                <w:rFonts w:ascii="Arial" w:hAnsi="Arial" w:cs="Arial"/>
                <w:color w:val="000000" w:themeColor="text1"/>
              </w:rPr>
              <w:t xml:space="preserve">Strengthen human capital </w:t>
            </w:r>
            <w:r w:rsidR="00AB19C6" w:rsidRPr="00AB19C6">
              <w:rPr>
                <w:rFonts w:ascii="Arial" w:hAnsi="Arial" w:cs="Arial"/>
                <w:color w:val="000000" w:themeColor="text1"/>
              </w:rPr>
              <w:t>and</w:t>
            </w:r>
            <w:r w:rsidRPr="003A66CF">
              <w:rPr>
                <w:rFonts w:ascii="Arial" w:hAnsi="Arial" w:cs="Arial"/>
                <w:color w:val="000000" w:themeColor="text1"/>
              </w:rPr>
              <w:t xml:space="preserve"> culture transfer</w:t>
            </w:r>
          </w:p>
        </w:tc>
        <w:tc>
          <w:tcPr>
            <w:tcW w:w="0" w:type="auto"/>
            <w:shd w:val="clear" w:color="auto" w:fill="F2F2F2" w:themeFill="background1" w:themeFillShade="F2"/>
            <w:vAlign w:val="center"/>
            <w:hideMark/>
          </w:tcPr>
          <w:p w14:paraId="108B9776"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Staff cultural training completion; Ambassador onboarding</w:t>
            </w:r>
          </w:p>
        </w:tc>
        <w:tc>
          <w:tcPr>
            <w:tcW w:w="0" w:type="auto"/>
            <w:shd w:val="clear" w:color="auto" w:fill="F2F2F2" w:themeFill="background1" w:themeFillShade="F2"/>
            <w:vAlign w:val="center"/>
            <w:hideMark/>
          </w:tcPr>
          <w:p w14:paraId="563E43DC" w14:textId="75DE0A9E" w:rsidR="003A66CF" w:rsidRPr="003A66CF" w:rsidRDefault="003A66CF" w:rsidP="003A66CF">
            <w:pPr>
              <w:rPr>
                <w:rFonts w:ascii="Arial" w:hAnsi="Arial" w:cs="Arial"/>
                <w:color w:val="000000" w:themeColor="text1"/>
              </w:rPr>
            </w:pPr>
            <w:r w:rsidRPr="003A66CF">
              <w:rPr>
                <w:rFonts w:ascii="Arial" w:hAnsi="Arial" w:cs="Arial"/>
                <w:color w:val="000000" w:themeColor="text1"/>
              </w:rPr>
              <w:t>100% staff trained; 10</w:t>
            </w:r>
            <w:r w:rsidR="00AB19C6" w:rsidRPr="00AB19C6">
              <w:rPr>
                <w:rFonts w:ascii="Arial" w:hAnsi="Arial" w:cs="Arial"/>
                <w:color w:val="000000" w:themeColor="text1"/>
              </w:rPr>
              <w:t>-</w:t>
            </w:r>
            <w:r w:rsidRPr="003A66CF">
              <w:rPr>
                <w:rFonts w:ascii="Arial" w:hAnsi="Arial" w:cs="Arial"/>
                <w:color w:val="000000" w:themeColor="text1"/>
              </w:rPr>
              <w:t>15 ambassadors onboarded</w:t>
            </w:r>
          </w:p>
        </w:tc>
        <w:tc>
          <w:tcPr>
            <w:tcW w:w="0" w:type="auto"/>
            <w:shd w:val="clear" w:color="auto" w:fill="F2F2F2" w:themeFill="background1" w:themeFillShade="F2"/>
            <w:vAlign w:val="center"/>
            <w:hideMark/>
          </w:tcPr>
          <w:p w14:paraId="2DBE3F64"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Supports Sweatlife localisation</w:t>
            </w:r>
          </w:p>
        </w:tc>
      </w:tr>
      <w:tr w:rsidR="00AB19C6" w:rsidRPr="00AB19C6" w14:paraId="6A4F42CA" w14:textId="77777777" w:rsidTr="003A66CF">
        <w:trPr>
          <w:tblCellSpacing w:w="15" w:type="dxa"/>
        </w:trPr>
        <w:tc>
          <w:tcPr>
            <w:tcW w:w="0" w:type="auto"/>
            <w:shd w:val="clear" w:color="auto" w:fill="F2F2F2" w:themeFill="background1" w:themeFillShade="F2"/>
            <w:vAlign w:val="center"/>
            <w:hideMark/>
          </w:tcPr>
          <w:p w14:paraId="73C86FF5" w14:textId="77777777" w:rsidR="003A66CF" w:rsidRPr="003A66CF" w:rsidRDefault="003A66CF" w:rsidP="003A66CF">
            <w:pPr>
              <w:rPr>
                <w:rFonts w:ascii="Arial" w:hAnsi="Arial" w:cs="Arial"/>
                <w:color w:val="000000" w:themeColor="text1"/>
              </w:rPr>
            </w:pPr>
          </w:p>
        </w:tc>
        <w:tc>
          <w:tcPr>
            <w:tcW w:w="0" w:type="auto"/>
            <w:shd w:val="clear" w:color="auto" w:fill="F2F2F2" w:themeFill="background1" w:themeFillShade="F2"/>
            <w:vAlign w:val="center"/>
            <w:hideMark/>
          </w:tcPr>
          <w:p w14:paraId="6B7BFCB8"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Drive India-specific product innovation</w:t>
            </w:r>
          </w:p>
        </w:tc>
        <w:tc>
          <w:tcPr>
            <w:tcW w:w="0" w:type="auto"/>
            <w:shd w:val="clear" w:color="auto" w:fill="F2F2F2" w:themeFill="background1" w:themeFillShade="F2"/>
            <w:vAlign w:val="center"/>
            <w:hideMark/>
          </w:tcPr>
          <w:p w14:paraId="0E9AFC48"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Innovation cycle time</w:t>
            </w:r>
          </w:p>
        </w:tc>
        <w:tc>
          <w:tcPr>
            <w:tcW w:w="0" w:type="auto"/>
            <w:shd w:val="clear" w:color="auto" w:fill="F2F2F2" w:themeFill="background1" w:themeFillShade="F2"/>
            <w:vAlign w:val="center"/>
            <w:hideMark/>
          </w:tcPr>
          <w:p w14:paraId="6ACD1D1C"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6-month capsule refresh cycle</w:t>
            </w:r>
          </w:p>
        </w:tc>
        <w:tc>
          <w:tcPr>
            <w:tcW w:w="0" w:type="auto"/>
            <w:shd w:val="clear" w:color="auto" w:fill="F2F2F2" w:themeFill="background1" w:themeFillShade="F2"/>
            <w:vAlign w:val="center"/>
            <w:hideMark/>
          </w:tcPr>
          <w:p w14:paraId="59E2BBE6" w14:textId="77777777" w:rsidR="003A66CF" w:rsidRPr="003A66CF" w:rsidRDefault="003A66CF" w:rsidP="003A66CF">
            <w:pPr>
              <w:rPr>
                <w:rFonts w:ascii="Arial" w:hAnsi="Arial" w:cs="Arial"/>
                <w:color w:val="000000" w:themeColor="text1"/>
              </w:rPr>
            </w:pPr>
            <w:r w:rsidRPr="003A66CF">
              <w:rPr>
                <w:rFonts w:ascii="Arial" w:hAnsi="Arial" w:cs="Arial"/>
                <w:color w:val="000000" w:themeColor="text1"/>
              </w:rPr>
              <w:t>Supports Differentiation-Focus strategy</w:t>
            </w:r>
          </w:p>
        </w:tc>
      </w:tr>
    </w:tbl>
    <w:p w14:paraId="2E1724BF" w14:textId="77777777" w:rsidR="004E2CCC" w:rsidRDefault="004E2CCC" w:rsidP="00486D19"/>
    <w:p w14:paraId="42492257" w14:textId="77777777" w:rsidR="004E2CCC" w:rsidRDefault="004E2CCC" w:rsidP="00486D19"/>
    <w:p w14:paraId="319BE0E2" w14:textId="77777777" w:rsidR="00AC0EC8" w:rsidRDefault="00AC0EC8" w:rsidP="00486D19"/>
    <w:p w14:paraId="6017D2B7" w14:textId="77777777" w:rsidR="00AC0EC8" w:rsidRDefault="00AC0EC8" w:rsidP="00486D19"/>
    <w:p w14:paraId="2FAC5365" w14:textId="2CB68A9D" w:rsidR="004E2CCC" w:rsidRDefault="004D2855" w:rsidP="00486D19">
      <w:pPr>
        <w:rPr>
          <w:rFonts w:ascii="Arial" w:hAnsi="Arial" w:cs="Arial"/>
        </w:rPr>
      </w:pPr>
      <w:r w:rsidRPr="004D2855">
        <w:rPr>
          <w:rFonts w:ascii="Arial" w:hAnsi="Arial" w:cs="Arial"/>
        </w:rPr>
        <w:lastRenderedPageBreak/>
        <w:t xml:space="preserve">Table E2. Lululemon India </w:t>
      </w:r>
      <w:r w:rsidR="00AC0EC8">
        <w:rPr>
          <w:rFonts w:ascii="Arial" w:hAnsi="Arial" w:cs="Arial"/>
        </w:rPr>
        <w:t>-</w:t>
      </w:r>
      <w:r w:rsidRPr="004D2855">
        <w:rPr>
          <w:rFonts w:ascii="Arial" w:hAnsi="Arial" w:cs="Arial"/>
        </w:rPr>
        <w:t xml:space="preserve"> 3</w:t>
      </w:r>
      <w:r>
        <w:rPr>
          <w:rFonts w:ascii="Arial" w:hAnsi="Arial" w:cs="Arial"/>
        </w:rPr>
        <w:t xml:space="preserve"> </w:t>
      </w:r>
      <w:r w:rsidRPr="004D2855">
        <w:rPr>
          <w:rFonts w:ascii="Arial" w:hAnsi="Arial" w:cs="Arial"/>
        </w:rPr>
        <w:t>Year Financial Projections (JV Model)</w:t>
      </w:r>
    </w:p>
    <w:tbl>
      <w:tblPr>
        <w:tblW w:w="9334" w:type="dxa"/>
        <w:tblCellSpacing w:w="15" w:type="dxa"/>
        <w:tblBorders>
          <w:top w:val="single" w:sz="4" w:space="0" w:color="EE0000"/>
          <w:bottom w:val="single" w:sz="4" w:space="0" w:color="EE0000"/>
          <w:insideH w:val="single" w:sz="4" w:space="0" w:color="EE0000"/>
          <w:insideV w:val="single" w:sz="4" w:space="0" w:color="EE0000"/>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4801"/>
        <w:gridCol w:w="1196"/>
        <w:gridCol w:w="1196"/>
        <w:gridCol w:w="2141"/>
      </w:tblGrid>
      <w:tr w:rsidR="004D2855" w:rsidRPr="004D2855" w14:paraId="7F4C0295" w14:textId="77777777" w:rsidTr="004D2855">
        <w:trPr>
          <w:trHeight w:val="487"/>
          <w:tblHeader/>
          <w:tblCellSpacing w:w="15" w:type="dxa"/>
        </w:trPr>
        <w:tc>
          <w:tcPr>
            <w:tcW w:w="0" w:type="auto"/>
            <w:shd w:val="clear" w:color="auto" w:fill="F2F2F2" w:themeFill="background1" w:themeFillShade="F2"/>
            <w:vAlign w:val="center"/>
            <w:hideMark/>
          </w:tcPr>
          <w:p w14:paraId="3DCBC287"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Financial Metric</w:t>
            </w:r>
          </w:p>
        </w:tc>
        <w:tc>
          <w:tcPr>
            <w:tcW w:w="0" w:type="auto"/>
            <w:shd w:val="clear" w:color="auto" w:fill="F2F2F2" w:themeFill="background1" w:themeFillShade="F2"/>
            <w:vAlign w:val="center"/>
            <w:hideMark/>
          </w:tcPr>
          <w:p w14:paraId="4CF29387"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Year 1</w:t>
            </w:r>
          </w:p>
        </w:tc>
        <w:tc>
          <w:tcPr>
            <w:tcW w:w="0" w:type="auto"/>
            <w:shd w:val="clear" w:color="auto" w:fill="F2F2F2" w:themeFill="background1" w:themeFillShade="F2"/>
            <w:vAlign w:val="center"/>
            <w:hideMark/>
          </w:tcPr>
          <w:p w14:paraId="11127DC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Year 2</w:t>
            </w:r>
          </w:p>
        </w:tc>
        <w:tc>
          <w:tcPr>
            <w:tcW w:w="0" w:type="auto"/>
            <w:shd w:val="clear" w:color="auto" w:fill="F2F2F2" w:themeFill="background1" w:themeFillShade="F2"/>
            <w:vAlign w:val="center"/>
            <w:hideMark/>
          </w:tcPr>
          <w:p w14:paraId="0D6F3B8B"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Year 3</w:t>
            </w:r>
          </w:p>
        </w:tc>
      </w:tr>
      <w:tr w:rsidR="004D2855" w:rsidRPr="004D2855" w14:paraId="6F834839" w14:textId="77777777" w:rsidTr="004D2855">
        <w:trPr>
          <w:trHeight w:val="472"/>
          <w:tblCellSpacing w:w="15" w:type="dxa"/>
        </w:trPr>
        <w:tc>
          <w:tcPr>
            <w:tcW w:w="0" w:type="auto"/>
            <w:shd w:val="clear" w:color="auto" w:fill="F2F2F2" w:themeFill="background1" w:themeFillShade="F2"/>
            <w:vAlign w:val="center"/>
            <w:hideMark/>
          </w:tcPr>
          <w:p w14:paraId="220C0C16" w14:textId="3E63A506" w:rsidR="004D2855" w:rsidRPr="004D2855" w:rsidRDefault="004D2855" w:rsidP="004D2855">
            <w:pPr>
              <w:rPr>
                <w:rFonts w:ascii="Arial" w:hAnsi="Arial" w:cs="Arial"/>
                <w:color w:val="000000" w:themeColor="text1"/>
              </w:rPr>
            </w:pPr>
            <w:r w:rsidRPr="004D2855">
              <w:rPr>
                <w:rFonts w:ascii="Arial" w:hAnsi="Arial" w:cs="Arial"/>
                <w:color w:val="000000" w:themeColor="text1"/>
              </w:rPr>
              <w:t xml:space="preserve">Revenue (₹ </w:t>
            </w:r>
            <w:r w:rsidRPr="004D2855">
              <w:rPr>
                <w:rFonts w:ascii="Arial" w:hAnsi="Arial" w:cs="Arial"/>
                <w:color w:val="000000" w:themeColor="text1"/>
              </w:rPr>
              <w:t>crore) *</w:t>
            </w:r>
          </w:p>
        </w:tc>
        <w:tc>
          <w:tcPr>
            <w:tcW w:w="0" w:type="auto"/>
            <w:shd w:val="clear" w:color="auto" w:fill="F2F2F2" w:themeFill="background1" w:themeFillShade="F2"/>
            <w:vAlign w:val="center"/>
            <w:hideMark/>
          </w:tcPr>
          <w:p w14:paraId="43386881"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110</w:t>
            </w:r>
          </w:p>
        </w:tc>
        <w:tc>
          <w:tcPr>
            <w:tcW w:w="0" w:type="auto"/>
            <w:shd w:val="clear" w:color="auto" w:fill="F2F2F2" w:themeFill="background1" w:themeFillShade="F2"/>
            <w:vAlign w:val="center"/>
            <w:hideMark/>
          </w:tcPr>
          <w:p w14:paraId="660E05C3"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185</w:t>
            </w:r>
          </w:p>
        </w:tc>
        <w:tc>
          <w:tcPr>
            <w:tcW w:w="0" w:type="auto"/>
            <w:shd w:val="clear" w:color="auto" w:fill="F2F2F2" w:themeFill="background1" w:themeFillShade="F2"/>
            <w:vAlign w:val="center"/>
            <w:hideMark/>
          </w:tcPr>
          <w:p w14:paraId="42FFEF11"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260</w:t>
            </w:r>
          </w:p>
        </w:tc>
      </w:tr>
      <w:tr w:rsidR="004D2855" w:rsidRPr="004D2855" w14:paraId="28D20BEB" w14:textId="77777777" w:rsidTr="004D2855">
        <w:trPr>
          <w:trHeight w:val="487"/>
          <w:tblCellSpacing w:w="15" w:type="dxa"/>
        </w:trPr>
        <w:tc>
          <w:tcPr>
            <w:tcW w:w="0" w:type="auto"/>
            <w:shd w:val="clear" w:color="auto" w:fill="F2F2F2" w:themeFill="background1" w:themeFillShade="F2"/>
            <w:vAlign w:val="center"/>
            <w:hideMark/>
          </w:tcPr>
          <w:p w14:paraId="1A76A5E0"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Gross Margin (%)</w:t>
            </w:r>
          </w:p>
        </w:tc>
        <w:tc>
          <w:tcPr>
            <w:tcW w:w="0" w:type="auto"/>
            <w:shd w:val="clear" w:color="auto" w:fill="F2F2F2" w:themeFill="background1" w:themeFillShade="F2"/>
            <w:vAlign w:val="center"/>
            <w:hideMark/>
          </w:tcPr>
          <w:p w14:paraId="54C63CE5"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55%</w:t>
            </w:r>
          </w:p>
        </w:tc>
        <w:tc>
          <w:tcPr>
            <w:tcW w:w="0" w:type="auto"/>
            <w:shd w:val="clear" w:color="auto" w:fill="F2F2F2" w:themeFill="background1" w:themeFillShade="F2"/>
            <w:vAlign w:val="center"/>
            <w:hideMark/>
          </w:tcPr>
          <w:p w14:paraId="541AF1B6"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56%</w:t>
            </w:r>
          </w:p>
        </w:tc>
        <w:tc>
          <w:tcPr>
            <w:tcW w:w="0" w:type="auto"/>
            <w:shd w:val="clear" w:color="auto" w:fill="F2F2F2" w:themeFill="background1" w:themeFillShade="F2"/>
            <w:vAlign w:val="center"/>
            <w:hideMark/>
          </w:tcPr>
          <w:p w14:paraId="28B7A8C3"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57%</w:t>
            </w:r>
          </w:p>
        </w:tc>
      </w:tr>
      <w:tr w:rsidR="004D2855" w:rsidRPr="004D2855" w14:paraId="0D0BD365" w14:textId="77777777" w:rsidTr="004D2855">
        <w:trPr>
          <w:trHeight w:val="487"/>
          <w:tblCellSpacing w:w="15" w:type="dxa"/>
        </w:trPr>
        <w:tc>
          <w:tcPr>
            <w:tcW w:w="0" w:type="auto"/>
            <w:shd w:val="clear" w:color="auto" w:fill="F2F2F2" w:themeFill="background1" w:themeFillShade="F2"/>
            <w:vAlign w:val="center"/>
            <w:hideMark/>
          </w:tcPr>
          <w:p w14:paraId="1D20105D"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Operating Expenses (₹ crore)</w:t>
            </w:r>
          </w:p>
        </w:tc>
        <w:tc>
          <w:tcPr>
            <w:tcW w:w="0" w:type="auto"/>
            <w:shd w:val="clear" w:color="auto" w:fill="F2F2F2" w:themeFill="background1" w:themeFillShade="F2"/>
            <w:vAlign w:val="center"/>
            <w:hideMark/>
          </w:tcPr>
          <w:p w14:paraId="72207907"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95</w:t>
            </w:r>
          </w:p>
        </w:tc>
        <w:tc>
          <w:tcPr>
            <w:tcW w:w="0" w:type="auto"/>
            <w:shd w:val="clear" w:color="auto" w:fill="F2F2F2" w:themeFill="background1" w:themeFillShade="F2"/>
            <w:vAlign w:val="center"/>
            <w:hideMark/>
          </w:tcPr>
          <w:p w14:paraId="62CFF90D"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130</w:t>
            </w:r>
          </w:p>
        </w:tc>
        <w:tc>
          <w:tcPr>
            <w:tcW w:w="0" w:type="auto"/>
            <w:shd w:val="clear" w:color="auto" w:fill="F2F2F2" w:themeFill="background1" w:themeFillShade="F2"/>
            <w:vAlign w:val="center"/>
            <w:hideMark/>
          </w:tcPr>
          <w:p w14:paraId="5F925D2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160</w:t>
            </w:r>
          </w:p>
        </w:tc>
      </w:tr>
      <w:tr w:rsidR="004D2855" w:rsidRPr="004D2855" w14:paraId="14078806" w14:textId="77777777" w:rsidTr="004D2855">
        <w:trPr>
          <w:trHeight w:val="472"/>
          <w:tblCellSpacing w:w="15" w:type="dxa"/>
        </w:trPr>
        <w:tc>
          <w:tcPr>
            <w:tcW w:w="0" w:type="auto"/>
            <w:shd w:val="clear" w:color="auto" w:fill="F2F2F2" w:themeFill="background1" w:themeFillShade="F2"/>
            <w:vAlign w:val="center"/>
            <w:hideMark/>
          </w:tcPr>
          <w:p w14:paraId="19B98EB4"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EBITDA (₹ crore)</w:t>
            </w:r>
          </w:p>
        </w:tc>
        <w:tc>
          <w:tcPr>
            <w:tcW w:w="0" w:type="auto"/>
            <w:shd w:val="clear" w:color="auto" w:fill="F2F2F2" w:themeFill="background1" w:themeFillShade="F2"/>
            <w:vAlign w:val="center"/>
            <w:hideMark/>
          </w:tcPr>
          <w:p w14:paraId="7EA44E07"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5</w:t>
            </w:r>
          </w:p>
        </w:tc>
        <w:tc>
          <w:tcPr>
            <w:tcW w:w="0" w:type="auto"/>
            <w:shd w:val="clear" w:color="auto" w:fill="F2F2F2" w:themeFill="background1" w:themeFillShade="F2"/>
            <w:vAlign w:val="center"/>
            <w:hideMark/>
          </w:tcPr>
          <w:p w14:paraId="00525D0E"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25</w:t>
            </w:r>
          </w:p>
        </w:tc>
        <w:tc>
          <w:tcPr>
            <w:tcW w:w="0" w:type="auto"/>
            <w:shd w:val="clear" w:color="auto" w:fill="F2F2F2" w:themeFill="background1" w:themeFillShade="F2"/>
            <w:vAlign w:val="center"/>
            <w:hideMark/>
          </w:tcPr>
          <w:p w14:paraId="72C894F6"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50</w:t>
            </w:r>
          </w:p>
        </w:tc>
      </w:tr>
      <w:tr w:rsidR="004D2855" w:rsidRPr="004D2855" w14:paraId="6EBA28EB" w14:textId="77777777" w:rsidTr="004D2855">
        <w:trPr>
          <w:trHeight w:val="487"/>
          <w:tblCellSpacing w:w="15" w:type="dxa"/>
        </w:trPr>
        <w:tc>
          <w:tcPr>
            <w:tcW w:w="0" w:type="auto"/>
            <w:shd w:val="clear" w:color="auto" w:fill="F2F2F2" w:themeFill="background1" w:themeFillShade="F2"/>
            <w:vAlign w:val="center"/>
            <w:hideMark/>
          </w:tcPr>
          <w:p w14:paraId="7FFA0A3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Net Profit (₹ crore)</w:t>
            </w:r>
          </w:p>
        </w:tc>
        <w:tc>
          <w:tcPr>
            <w:tcW w:w="0" w:type="auto"/>
            <w:shd w:val="clear" w:color="auto" w:fill="F2F2F2" w:themeFill="background1" w:themeFillShade="F2"/>
            <w:vAlign w:val="center"/>
            <w:hideMark/>
          </w:tcPr>
          <w:p w14:paraId="36660CF6"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-8</w:t>
            </w:r>
          </w:p>
        </w:tc>
        <w:tc>
          <w:tcPr>
            <w:tcW w:w="0" w:type="auto"/>
            <w:shd w:val="clear" w:color="auto" w:fill="F2F2F2" w:themeFill="background1" w:themeFillShade="F2"/>
            <w:vAlign w:val="center"/>
            <w:hideMark/>
          </w:tcPr>
          <w:p w14:paraId="040C095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10</w:t>
            </w:r>
          </w:p>
        </w:tc>
        <w:tc>
          <w:tcPr>
            <w:tcW w:w="0" w:type="auto"/>
            <w:shd w:val="clear" w:color="auto" w:fill="F2F2F2" w:themeFill="background1" w:themeFillShade="F2"/>
            <w:vAlign w:val="center"/>
            <w:hideMark/>
          </w:tcPr>
          <w:p w14:paraId="5CCE3AFF"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28</w:t>
            </w:r>
          </w:p>
        </w:tc>
      </w:tr>
      <w:tr w:rsidR="004D2855" w:rsidRPr="004D2855" w14:paraId="3A8C5BCC" w14:textId="77777777" w:rsidTr="004D2855">
        <w:trPr>
          <w:trHeight w:val="472"/>
          <w:tblCellSpacing w:w="15" w:type="dxa"/>
        </w:trPr>
        <w:tc>
          <w:tcPr>
            <w:tcW w:w="0" w:type="auto"/>
            <w:shd w:val="clear" w:color="auto" w:fill="F2F2F2" w:themeFill="background1" w:themeFillShade="F2"/>
            <w:vAlign w:val="center"/>
            <w:hideMark/>
          </w:tcPr>
          <w:p w14:paraId="76C0A8DE" w14:textId="4FDAD652" w:rsidR="004D2855" w:rsidRPr="004D2855" w:rsidRDefault="004D2855" w:rsidP="004D2855">
            <w:pPr>
              <w:rPr>
                <w:rFonts w:ascii="Arial" w:hAnsi="Arial" w:cs="Arial"/>
                <w:color w:val="000000" w:themeColor="text1"/>
              </w:rPr>
            </w:pPr>
            <w:r w:rsidRPr="004D2855">
              <w:rPr>
                <w:rFonts w:ascii="Arial" w:hAnsi="Arial" w:cs="Arial"/>
                <w:color w:val="000000" w:themeColor="text1"/>
              </w:rPr>
              <w:t xml:space="preserve">Revenue per </w:t>
            </w:r>
            <w:r w:rsidRPr="004D2855">
              <w:rPr>
                <w:rFonts w:ascii="Arial" w:hAnsi="Arial" w:cs="Arial"/>
                <w:color w:val="000000" w:themeColor="text1"/>
              </w:rPr>
              <w:t>Sq.</w:t>
            </w:r>
            <w:r w:rsidRPr="004D2855">
              <w:rPr>
                <w:rFonts w:ascii="Arial" w:hAnsi="Arial" w:cs="Arial"/>
                <w:color w:val="000000" w:themeColor="text1"/>
              </w:rPr>
              <w:t xml:space="preserve"> Ft (₹)</w:t>
            </w:r>
          </w:p>
        </w:tc>
        <w:tc>
          <w:tcPr>
            <w:tcW w:w="0" w:type="auto"/>
            <w:shd w:val="clear" w:color="auto" w:fill="F2F2F2" w:themeFill="background1" w:themeFillShade="F2"/>
            <w:vAlign w:val="center"/>
            <w:hideMark/>
          </w:tcPr>
          <w:p w14:paraId="581B434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32,000</w:t>
            </w:r>
          </w:p>
        </w:tc>
        <w:tc>
          <w:tcPr>
            <w:tcW w:w="0" w:type="auto"/>
            <w:shd w:val="clear" w:color="auto" w:fill="F2F2F2" w:themeFill="background1" w:themeFillShade="F2"/>
            <w:vAlign w:val="center"/>
            <w:hideMark/>
          </w:tcPr>
          <w:p w14:paraId="28F0297F"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44,000</w:t>
            </w:r>
          </w:p>
        </w:tc>
        <w:tc>
          <w:tcPr>
            <w:tcW w:w="0" w:type="auto"/>
            <w:shd w:val="clear" w:color="auto" w:fill="F2F2F2" w:themeFill="background1" w:themeFillShade="F2"/>
            <w:vAlign w:val="center"/>
            <w:hideMark/>
          </w:tcPr>
          <w:p w14:paraId="2074C3E8"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55,000</w:t>
            </w:r>
          </w:p>
        </w:tc>
      </w:tr>
      <w:tr w:rsidR="004D2855" w:rsidRPr="004D2855" w14:paraId="1A74D054" w14:textId="77777777" w:rsidTr="004D2855">
        <w:trPr>
          <w:trHeight w:val="487"/>
          <w:tblCellSpacing w:w="15" w:type="dxa"/>
        </w:trPr>
        <w:tc>
          <w:tcPr>
            <w:tcW w:w="0" w:type="auto"/>
            <w:shd w:val="clear" w:color="auto" w:fill="F2F2F2" w:themeFill="background1" w:themeFillShade="F2"/>
            <w:vAlign w:val="center"/>
            <w:hideMark/>
          </w:tcPr>
          <w:p w14:paraId="35AA63A6"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Customer Acquisition Cost (₹)</w:t>
            </w:r>
          </w:p>
        </w:tc>
        <w:tc>
          <w:tcPr>
            <w:tcW w:w="0" w:type="auto"/>
            <w:shd w:val="clear" w:color="auto" w:fill="F2F2F2" w:themeFill="background1" w:themeFillShade="F2"/>
            <w:vAlign w:val="center"/>
            <w:hideMark/>
          </w:tcPr>
          <w:p w14:paraId="64BD962B"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1,200</w:t>
            </w:r>
          </w:p>
        </w:tc>
        <w:tc>
          <w:tcPr>
            <w:tcW w:w="0" w:type="auto"/>
            <w:shd w:val="clear" w:color="auto" w:fill="F2F2F2" w:themeFill="background1" w:themeFillShade="F2"/>
            <w:vAlign w:val="center"/>
            <w:hideMark/>
          </w:tcPr>
          <w:p w14:paraId="5836D8AB"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900</w:t>
            </w:r>
          </w:p>
        </w:tc>
        <w:tc>
          <w:tcPr>
            <w:tcW w:w="0" w:type="auto"/>
            <w:shd w:val="clear" w:color="auto" w:fill="F2F2F2" w:themeFill="background1" w:themeFillShade="F2"/>
            <w:vAlign w:val="center"/>
            <w:hideMark/>
          </w:tcPr>
          <w:p w14:paraId="4B230B49"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750</w:t>
            </w:r>
          </w:p>
        </w:tc>
      </w:tr>
      <w:tr w:rsidR="004D2855" w:rsidRPr="004D2855" w14:paraId="250B1D59" w14:textId="77777777" w:rsidTr="004D2855">
        <w:trPr>
          <w:trHeight w:val="487"/>
          <w:tblCellSpacing w:w="15" w:type="dxa"/>
        </w:trPr>
        <w:tc>
          <w:tcPr>
            <w:tcW w:w="0" w:type="auto"/>
            <w:shd w:val="clear" w:color="auto" w:fill="F2F2F2" w:themeFill="background1" w:themeFillShade="F2"/>
            <w:vAlign w:val="center"/>
            <w:hideMark/>
          </w:tcPr>
          <w:p w14:paraId="0E68F41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Repeat Purchase Rate (%)</w:t>
            </w:r>
          </w:p>
        </w:tc>
        <w:tc>
          <w:tcPr>
            <w:tcW w:w="0" w:type="auto"/>
            <w:shd w:val="clear" w:color="auto" w:fill="F2F2F2" w:themeFill="background1" w:themeFillShade="F2"/>
            <w:vAlign w:val="center"/>
            <w:hideMark/>
          </w:tcPr>
          <w:p w14:paraId="6B6809F0"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18%</w:t>
            </w:r>
          </w:p>
        </w:tc>
        <w:tc>
          <w:tcPr>
            <w:tcW w:w="0" w:type="auto"/>
            <w:shd w:val="clear" w:color="auto" w:fill="F2F2F2" w:themeFill="background1" w:themeFillShade="F2"/>
            <w:vAlign w:val="center"/>
            <w:hideMark/>
          </w:tcPr>
          <w:p w14:paraId="11522D42"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30%</w:t>
            </w:r>
          </w:p>
        </w:tc>
        <w:tc>
          <w:tcPr>
            <w:tcW w:w="0" w:type="auto"/>
            <w:shd w:val="clear" w:color="auto" w:fill="F2F2F2" w:themeFill="background1" w:themeFillShade="F2"/>
            <w:vAlign w:val="center"/>
            <w:hideMark/>
          </w:tcPr>
          <w:p w14:paraId="189EF434"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38%</w:t>
            </w:r>
          </w:p>
        </w:tc>
      </w:tr>
      <w:tr w:rsidR="004D2855" w:rsidRPr="004D2855" w14:paraId="1D084B4D" w14:textId="77777777" w:rsidTr="004D2855">
        <w:trPr>
          <w:trHeight w:val="472"/>
          <w:tblCellSpacing w:w="15" w:type="dxa"/>
        </w:trPr>
        <w:tc>
          <w:tcPr>
            <w:tcW w:w="0" w:type="auto"/>
            <w:shd w:val="clear" w:color="auto" w:fill="F2F2F2" w:themeFill="background1" w:themeFillShade="F2"/>
            <w:vAlign w:val="center"/>
            <w:hideMark/>
          </w:tcPr>
          <w:p w14:paraId="3671AA7C"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Break-even Point</w:t>
            </w:r>
          </w:p>
        </w:tc>
        <w:tc>
          <w:tcPr>
            <w:tcW w:w="0" w:type="auto"/>
            <w:shd w:val="clear" w:color="auto" w:fill="F2F2F2" w:themeFill="background1" w:themeFillShade="F2"/>
            <w:vAlign w:val="center"/>
            <w:hideMark/>
          </w:tcPr>
          <w:p w14:paraId="41A63801" w14:textId="3775A1A0" w:rsidR="004D2855" w:rsidRPr="004D2855" w:rsidRDefault="004D2855" w:rsidP="004D2855">
            <w:pPr>
              <w:rPr>
                <w:rFonts w:ascii="Arial" w:hAnsi="Arial" w:cs="Arial"/>
                <w:color w:val="000000" w:themeColor="text1"/>
              </w:rPr>
            </w:pPr>
            <w:r>
              <w:rPr>
                <w:rFonts w:ascii="Arial" w:hAnsi="Arial" w:cs="Arial"/>
                <w:color w:val="000000" w:themeColor="text1"/>
              </w:rPr>
              <w:t>-</w:t>
            </w:r>
          </w:p>
        </w:tc>
        <w:tc>
          <w:tcPr>
            <w:tcW w:w="0" w:type="auto"/>
            <w:shd w:val="clear" w:color="auto" w:fill="F2F2F2" w:themeFill="background1" w:themeFillShade="F2"/>
            <w:vAlign w:val="center"/>
            <w:hideMark/>
          </w:tcPr>
          <w:p w14:paraId="20BF59DA" w14:textId="6D964E02" w:rsidR="004D2855" w:rsidRPr="004D2855" w:rsidRDefault="004D2855" w:rsidP="004D2855">
            <w:pPr>
              <w:rPr>
                <w:rFonts w:ascii="Arial" w:hAnsi="Arial" w:cs="Arial"/>
                <w:color w:val="000000" w:themeColor="text1"/>
              </w:rPr>
            </w:pPr>
            <w:r>
              <w:rPr>
                <w:rFonts w:ascii="Arial" w:hAnsi="Arial" w:cs="Arial"/>
                <w:color w:val="000000" w:themeColor="text1"/>
              </w:rPr>
              <w:t>-</w:t>
            </w:r>
          </w:p>
        </w:tc>
        <w:tc>
          <w:tcPr>
            <w:tcW w:w="0" w:type="auto"/>
            <w:shd w:val="clear" w:color="auto" w:fill="F2F2F2" w:themeFill="background1" w:themeFillShade="F2"/>
            <w:vAlign w:val="center"/>
            <w:hideMark/>
          </w:tcPr>
          <w:p w14:paraId="67E6D1B7" w14:textId="77777777" w:rsidR="004D2855" w:rsidRPr="004D2855" w:rsidRDefault="004D2855" w:rsidP="004D2855">
            <w:pPr>
              <w:rPr>
                <w:rFonts w:ascii="Arial" w:hAnsi="Arial" w:cs="Arial"/>
                <w:color w:val="000000" w:themeColor="text1"/>
              </w:rPr>
            </w:pPr>
            <w:r w:rsidRPr="004D2855">
              <w:rPr>
                <w:rFonts w:ascii="Arial" w:hAnsi="Arial" w:cs="Arial"/>
                <w:color w:val="000000" w:themeColor="text1"/>
              </w:rPr>
              <w:t>Achieved Q3</w:t>
            </w:r>
          </w:p>
        </w:tc>
      </w:tr>
    </w:tbl>
    <w:p w14:paraId="1F018ACB" w14:textId="77777777" w:rsidR="0090236D" w:rsidRPr="0090236D" w:rsidRDefault="0090236D" w:rsidP="0090236D">
      <w:pPr>
        <w:spacing w:line="360" w:lineRule="auto"/>
        <w:rPr>
          <w:rFonts w:ascii="Arial" w:hAnsi="Arial" w:cs="Arial"/>
          <w:sz w:val="20"/>
          <w:szCs w:val="20"/>
        </w:rPr>
      </w:pPr>
      <w:r w:rsidRPr="0090236D">
        <w:rPr>
          <w:rFonts w:ascii="Arial" w:hAnsi="Arial" w:cs="Arial"/>
          <w:sz w:val="20"/>
          <w:szCs w:val="20"/>
        </w:rPr>
        <w:t>*Note: ₹ crore = 10 million INR</w:t>
      </w:r>
    </w:p>
    <w:p w14:paraId="3EFE15A9" w14:textId="1936602B" w:rsidR="004D2855" w:rsidRPr="0090236D" w:rsidRDefault="0090236D" w:rsidP="0090236D">
      <w:pPr>
        <w:spacing w:line="360" w:lineRule="auto"/>
        <w:rPr>
          <w:rFonts w:ascii="Arial" w:hAnsi="Arial" w:cs="Arial"/>
          <w:sz w:val="20"/>
          <w:szCs w:val="20"/>
        </w:rPr>
      </w:pPr>
      <w:r w:rsidRPr="0090236D">
        <w:rPr>
          <w:rFonts w:ascii="Arial" w:hAnsi="Arial" w:cs="Arial"/>
          <w:sz w:val="20"/>
          <w:szCs w:val="20"/>
        </w:rPr>
        <w:t>Based on premium retail benchmarks and growth rates in India’s athleisure segment (Statista 2024; Euromonitor 2024).</w:t>
      </w:r>
    </w:p>
    <w:p w14:paraId="2C56F779" w14:textId="77777777" w:rsidR="004E2CCC" w:rsidRPr="0090236D" w:rsidRDefault="004E2CCC" w:rsidP="00486D19">
      <w:pPr>
        <w:rPr>
          <w:sz w:val="20"/>
          <w:szCs w:val="20"/>
        </w:rPr>
      </w:pPr>
    </w:p>
    <w:p w14:paraId="5A8E4196" w14:textId="77777777" w:rsidR="004E2CCC" w:rsidRPr="0090236D" w:rsidRDefault="004E2CCC" w:rsidP="00486D19">
      <w:pPr>
        <w:rPr>
          <w:sz w:val="20"/>
          <w:szCs w:val="20"/>
        </w:rPr>
      </w:pPr>
    </w:p>
    <w:p w14:paraId="556F7BEE" w14:textId="77777777" w:rsidR="004E2CCC" w:rsidRPr="0090236D" w:rsidRDefault="004E2CCC" w:rsidP="00486D19">
      <w:pPr>
        <w:rPr>
          <w:sz w:val="20"/>
          <w:szCs w:val="20"/>
        </w:rPr>
      </w:pPr>
    </w:p>
    <w:p w14:paraId="5661E5BF" w14:textId="77777777" w:rsidR="004E2CCC" w:rsidRPr="0090236D" w:rsidRDefault="004E2CCC" w:rsidP="00486D19">
      <w:pPr>
        <w:rPr>
          <w:sz w:val="20"/>
          <w:szCs w:val="20"/>
        </w:rPr>
      </w:pPr>
    </w:p>
    <w:p w14:paraId="184BDF3E" w14:textId="77777777" w:rsidR="004E2CCC" w:rsidRPr="0090236D" w:rsidRDefault="004E2CCC" w:rsidP="00486D19">
      <w:pPr>
        <w:rPr>
          <w:sz w:val="20"/>
          <w:szCs w:val="20"/>
        </w:rPr>
      </w:pPr>
    </w:p>
    <w:p w14:paraId="2D01B989" w14:textId="77777777" w:rsidR="004E2CCC" w:rsidRPr="0090236D" w:rsidRDefault="004E2CCC" w:rsidP="00486D19">
      <w:pPr>
        <w:rPr>
          <w:sz w:val="20"/>
          <w:szCs w:val="20"/>
        </w:rPr>
      </w:pPr>
    </w:p>
    <w:p w14:paraId="0DAAEF92" w14:textId="77777777" w:rsidR="004E2CCC" w:rsidRPr="0090236D" w:rsidRDefault="004E2CCC" w:rsidP="00486D19">
      <w:pPr>
        <w:rPr>
          <w:sz w:val="20"/>
          <w:szCs w:val="20"/>
        </w:rPr>
      </w:pPr>
    </w:p>
    <w:p w14:paraId="594AEDDD" w14:textId="77777777" w:rsidR="004E2CCC" w:rsidRPr="0090236D" w:rsidRDefault="004E2CCC" w:rsidP="00486D19">
      <w:pPr>
        <w:rPr>
          <w:sz w:val="20"/>
          <w:szCs w:val="20"/>
        </w:rPr>
      </w:pPr>
    </w:p>
    <w:p w14:paraId="0DE0449C" w14:textId="77777777" w:rsidR="004E2CCC" w:rsidRPr="0090236D" w:rsidRDefault="004E2CCC" w:rsidP="00486D19">
      <w:pPr>
        <w:rPr>
          <w:sz w:val="20"/>
          <w:szCs w:val="20"/>
        </w:rPr>
      </w:pPr>
    </w:p>
    <w:p w14:paraId="06F05A27" w14:textId="77777777" w:rsidR="004E2CCC" w:rsidRPr="0090236D" w:rsidRDefault="004E2CCC" w:rsidP="00486D19">
      <w:pPr>
        <w:rPr>
          <w:sz w:val="20"/>
          <w:szCs w:val="20"/>
        </w:rPr>
      </w:pPr>
    </w:p>
    <w:p w14:paraId="3A56CF84" w14:textId="77777777" w:rsidR="004E2CCC" w:rsidRPr="0090236D" w:rsidRDefault="004E2CCC" w:rsidP="00486D19">
      <w:pPr>
        <w:rPr>
          <w:sz w:val="20"/>
          <w:szCs w:val="20"/>
        </w:rPr>
      </w:pPr>
    </w:p>
    <w:p w14:paraId="20102DA6" w14:textId="77777777" w:rsidR="004E2CCC" w:rsidRPr="0090236D" w:rsidRDefault="004E2CCC" w:rsidP="00486D19">
      <w:pPr>
        <w:rPr>
          <w:sz w:val="20"/>
          <w:szCs w:val="20"/>
        </w:rPr>
      </w:pPr>
    </w:p>
    <w:p w14:paraId="40BCD638" w14:textId="77777777" w:rsidR="004E2CCC" w:rsidRPr="0090236D" w:rsidRDefault="004E2CCC" w:rsidP="00486D19">
      <w:pPr>
        <w:rPr>
          <w:sz w:val="20"/>
          <w:szCs w:val="20"/>
        </w:rPr>
      </w:pPr>
    </w:p>
    <w:p w14:paraId="0169A6F1" w14:textId="77777777" w:rsidR="004E2CCC" w:rsidRPr="0090236D" w:rsidRDefault="004E2CCC" w:rsidP="00486D19">
      <w:pPr>
        <w:rPr>
          <w:sz w:val="20"/>
          <w:szCs w:val="20"/>
        </w:rPr>
      </w:pPr>
    </w:p>
    <w:p w14:paraId="2D5A435C" w14:textId="77777777" w:rsidR="004E2CCC" w:rsidRPr="0090236D" w:rsidRDefault="004E2CCC" w:rsidP="00486D19">
      <w:pPr>
        <w:rPr>
          <w:sz w:val="20"/>
          <w:szCs w:val="20"/>
        </w:rPr>
      </w:pPr>
    </w:p>
    <w:p w14:paraId="2243656C" w14:textId="77777777" w:rsidR="004E2CCC" w:rsidRPr="0090236D" w:rsidRDefault="004E2CCC" w:rsidP="00486D19">
      <w:pPr>
        <w:rPr>
          <w:sz w:val="20"/>
          <w:szCs w:val="20"/>
        </w:rPr>
      </w:pPr>
    </w:p>
    <w:p w14:paraId="442BA214" w14:textId="77777777" w:rsidR="004E2CCC" w:rsidRPr="0090236D" w:rsidRDefault="004E2CCC" w:rsidP="00486D19">
      <w:pPr>
        <w:rPr>
          <w:sz w:val="20"/>
          <w:szCs w:val="20"/>
        </w:rPr>
      </w:pPr>
    </w:p>
    <w:p w14:paraId="65B3DB2B" w14:textId="77777777" w:rsidR="004E2CCC" w:rsidRPr="0090236D" w:rsidRDefault="004E2CCC" w:rsidP="00486D19">
      <w:pPr>
        <w:rPr>
          <w:sz w:val="20"/>
          <w:szCs w:val="20"/>
        </w:rPr>
      </w:pPr>
    </w:p>
    <w:p w14:paraId="579E61BA" w14:textId="77777777" w:rsidR="004E2CCC" w:rsidRPr="0090236D" w:rsidRDefault="004E2CCC" w:rsidP="00486D19">
      <w:pPr>
        <w:rPr>
          <w:sz w:val="20"/>
          <w:szCs w:val="20"/>
        </w:rPr>
      </w:pPr>
    </w:p>
    <w:p w14:paraId="1C776A44" w14:textId="77777777" w:rsidR="004E2CCC" w:rsidRPr="0090236D" w:rsidRDefault="004E2CCC" w:rsidP="00486D19">
      <w:pPr>
        <w:rPr>
          <w:sz w:val="20"/>
          <w:szCs w:val="20"/>
        </w:rPr>
      </w:pPr>
    </w:p>
    <w:p w14:paraId="754B95D3" w14:textId="77777777" w:rsidR="004E2CCC" w:rsidRPr="0090236D" w:rsidRDefault="004E2CCC" w:rsidP="00486D19">
      <w:pPr>
        <w:rPr>
          <w:sz w:val="20"/>
          <w:szCs w:val="20"/>
        </w:rPr>
      </w:pPr>
    </w:p>
    <w:p w14:paraId="2641F392" w14:textId="77777777" w:rsidR="004E2CCC" w:rsidRPr="0090236D" w:rsidRDefault="004E2CCC" w:rsidP="00486D19">
      <w:pPr>
        <w:rPr>
          <w:sz w:val="20"/>
          <w:szCs w:val="20"/>
        </w:rPr>
      </w:pPr>
    </w:p>
    <w:p w14:paraId="2443B5AC" w14:textId="77777777" w:rsidR="004E2CCC" w:rsidRPr="0090236D" w:rsidRDefault="004E2CCC" w:rsidP="00486D19">
      <w:pPr>
        <w:rPr>
          <w:sz w:val="20"/>
          <w:szCs w:val="20"/>
        </w:rPr>
      </w:pPr>
    </w:p>
    <w:p w14:paraId="32BD1512" w14:textId="77777777" w:rsidR="004E2CCC" w:rsidRPr="0090236D" w:rsidRDefault="004E2CCC" w:rsidP="00486D19">
      <w:pPr>
        <w:rPr>
          <w:sz w:val="20"/>
          <w:szCs w:val="20"/>
        </w:rPr>
      </w:pPr>
    </w:p>
    <w:p w14:paraId="556C1758" w14:textId="77777777" w:rsidR="004E2CCC" w:rsidRPr="0090236D" w:rsidRDefault="004E2CCC" w:rsidP="00486D19">
      <w:pPr>
        <w:rPr>
          <w:sz w:val="20"/>
          <w:szCs w:val="20"/>
        </w:rPr>
      </w:pPr>
    </w:p>
    <w:p w14:paraId="5B3D0EEF" w14:textId="77777777" w:rsidR="004E2CCC" w:rsidRPr="0090236D" w:rsidRDefault="004E2CCC" w:rsidP="00486D19">
      <w:pPr>
        <w:rPr>
          <w:sz w:val="20"/>
          <w:szCs w:val="20"/>
        </w:rPr>
      </w:pPr>
    </w:p>
    <w:p w14:paraId="61D99770" w14:textId="77777777" w:rsidR="004E2CCC" w:rsidRDefault="004E2CCC" w:rsidP="00486D19"/>
    <w:p w14:paraId="00E3C070" w14:textId="77777777" w:rsidR="004E2CCC" w:rsidRDefault="004E2CCC" w:rsidP="00486D19"/>
    <w:p w14:paraId="6B3BFA84" w14:textId="77777777" w:rsidR="004E2CCC" w:rsidRDefault="004E2CCC" w:rsidP="00486D19"/>
    <w:p w14:paraId="52BC6935" w14:textId="77777777" w:rsidR="004E2CCC" w:rsidRDefault="004E2CCC" w:rsidP="00486D19"/>
    <w:p w14:paraId="5F11D1D9" w14:textId="77777777" w:rsidR="00FF36E2" w:rsidRDefault="00FF36E2"/>
    <w:p w14:paraId="5CEAF606" w14:textId="77777777" w:rsidR="00EF5AD7" w:rsidRDefault="00EF5AD7"/>
    <w:p w14:paraId="54A09A28" w14:textId="77777777" w:rsidR="00EF5AD7" w:rsidRPr="002500E8" w:rsidRDefault="00EF5AD7" w:rsidP="00EF5AD7">
      <w:pPr>
        <w:rPr>
          <w:b/>
          <w:bCs/>
        </w:rPr>
      </w:pPr>
    </w:p>
    <w:p w14:paraId="1CE3DABE" w14:textId="77777777" w:rsidR="00EF5AD7" w:rsidRPr="002500E8" w:rsidRDefault="00EF5AD7" w:rsidP="00EF5AD7">
      <w:pPr>
        <w:rPr>
          <w:b/>
          <w:bCs/>
        </w:rPr>
      </w:pPr>
    </w:p>
    <w:p w14:paraId="256EE3E7" w14:textId="77777777" w:rsidR="00EF5AD7" w:rsidRPr="002500E8" w:rsidRDefault="00EF5AD7" w:rsidP="00EF5AD7">
      <w:pPr>
        <w:rPr>
          <w:b/>
          <w:bCs/>
        </w:rPr>
      </w:pPr>
    </w:p>
    <w:p w14:paraId="281DD016" w14:textId="77777777" w:rsidR="00EF5AD7" w:rsidRPr="002500E8" w:rsidRDefault="00EF5AD7" w:rsidP="00EF5AD7">
      <w:pPr>
        <w:rPr>
          <w:b/>
          <w:bCs/>
        </w:rPr>
      </w:pPr>
    </w:p>
    <w:p w14:paraId="72547894" w14:textId="77777777" w:rsidR="00EF5AD7" w:rsidRDefault="00EF5AD7"/>
    <w:sectPr w:rsidR="00EF5AD7">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27C9E" w14:textId="77777777" w:rsidR="00B17FC2" w:rsidRDefault="00B17FC2" w:rsidP="007D0BE6">
      <w:pPr>
        <w:spacing w:after="0" w:line="240" w:lineRule="auto"/>
      </w:pPr>
      <w:r>
        <w:separator/>
      </w:r>
    </w:p>
  </w:endnote>
  <w:endnote w:type="continuationSeparator" w:id="0">
    <w:p w14:paraId="685F707D" w14:textId="77777777" w:rsidR="00B17FC2" w:rsidRDefault="00B17FC2" w:rsidP="007D0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9123684"/>
      <w:docPartObj>
        <w:docPartGallery w:val="Page Numbers (Bottom of Page)"/>
        <w:docPartUnique/>
      </w:docPartObj>
    </w:sdtPr>
    <w:sdtEndPr>
      <w:rPr>
        <w:noProof/>
      </w:rPr>
    </w:sdtEndPr>
    <w:sdtContent>
      <w:p w14:paraId="444C5CAE" w14:textId="69C6146A" w:rsidR="007D0BE6" w:rsidRDefault="007D0B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479C5" w14:textId="77777777" w:rsidR="007D0BE6" w:rsidRDefault="007D0BE6">
    <w:pPr>
      <w:pStyle w:val="Footer"/>
    </w:pPr>
  </w:p>
  <w:p w14:paraId="367CEA7B" w14:textId="77777777" w:rsidR="00DC4F85" w:rsidRDefault="00DC4F85">
    <w:pPr>
      <w:pStyle w:val="Footer"/>
    </w:pPr>
  </w:p>
  <w:p w14:paraId="37196820" w14:textId="77777777" w:rsidR="004B6498" w:rsidRDefault="004B6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FDBB7" w14:textId="77777777" w:rsidR="00B17FC2" w:rsidRDefault="00B17FC2" w:rsidP="007D0BE6">
      <w:pPr>
        <w:spacing w:after="0" w:line="240" w:lineRule="auto"/>
      </w:pPr>
      <w:r>
        <w:separator/>
      </w:r>
    </w:p>
  </w:footnote>
  <w:footnote w:type="continuationSeparator" w:id="0">
    <w:p w14:paraId="11602131" w14:textId="77777777" w:rsidR="00B17FC2" w:rsidRDefault="00B17FC2" w:rsidP="007D0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16AC"/>
    <w:multiLevelType w:val="multilevel"/>
    <w:tmpl w:val="DD6AB83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705149"/>
    <w:multiLevelType w:val="hybridMultilevel"/>
    <w:tmpl w:val="38C65362"/>
    <w:lvl w:ilvl="0" w:tplc="0409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6AA2E3E"/>
    <w:multiLevelType w:val="multilevel"/>
    <w:tmpl w:val="5510C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3B639F"/>
    <w:multiLevelType w:val="multilevel"/>
    <w:tmpl w:val="132CE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745280"/>
    <w:multiLevelType w:val="multilevel"/>
    <w:tmpl w:val="A266D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9435D"/>
    <w:multiLevelType w:val="hybridMultilevel"/>
    <w:tmpl w:val="07E6800A"/>
    <w:lvl w:ilvl="0" w:tplc="8B3E59EC">
      <w:start w:val="1"/>
      <w:numFmt w:val="bullet"/>
      <w:lvlText w:val="•"/>
      <w:lvlJc w:val="left"/>
      <w:pPr>
        <w:ind w:left="720" w:hanging="360"/>
      </w:pPr>
      <w:rPr>
        <w:rFonts w:ascii="Arial" w:eastAsiaTheme="minorEastAsia"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54690A77"/>
    <w:multiLevelType w:val="hybridMultilevel"/>
    <w:tmpl w:val="30300430"/>
    <w:lvl w:ilvl="0" w:tplc="8B3E59EC">
      <w:start w:val="1"/>
      <w:numFmt w:val="bullet"/>
      <w:lvlText w:val="•"/>
      <w:lvlJc w:val="left"/>
      <w:pPr>
        <w:ind w:left="720" w:hanging="360"/>
      </w:pPr>
      <w:rPr>
        <w:rFonts w:ascii="Arial" w:eastAsiaTheme="minorEastAsia"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58EF0EA5"/>
    <w:multiLevelType w:val="hybridMultilevel"/>
    <w:tmpl w:val="172EC07E"/>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5C0F014B"/>
    <w:multiLevelType w:val="multilevel"/>
    <w:tmpl w:val="A8B83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EC0BA1"/>
    <w:multiLevelType w:val="multilevel"/>
    <w:tmpl w:val="C308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2D3219"/>
    <w:multiLevelType w:val="hybridMultilevel"/>
    <w:tmpl w:val="5A3E6C18"/>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72CC401D"/>
    <w:multiLevelType w:val="multilevel"/>
    <w:tmpl w:val="A512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8664DC"/>
    <w:multiLevelType w:val="multilevel"/>
    <w:tmpl w:val="34F8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A81AD2"/>
    <w:multiLevelType w:val="hybridMultilevel"/>
    <w:tmpl w:val="1B4A6DAE"/>
    <w:lvl w:ilvl="0" w:tplc="8B3E59EC">
      <w:start w:val="1"/>
      <w:numFmt w:val="bullet"/>
      <w:lvlText w:val="•"/>
      <w:lvlJc w:val="left"/>
      <w:pPr>
        <w:ind w:left="720" w:hanging="360"/>
      </w:pPr>
      <w:rPr>
        <w:rFonts w:ascii="Arial" w:eastAsiaTheme="minorEastAsia"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636448828">
    <w:abstractNumId w:val="12"/>
  </w:num>
  <w:num w:numId="2" w16cid:durableId="1463498940">
    <w:abstractNumId w:val="11"/>
  </w:num>
  <w:num w:numId="3" w16cid:durableId="860894682">
    <w:abstractNumId w:val="3"/>
  </w:num>
  <w:num w:numId="4" w16cid:durableId="257564914">
    <w:abstractNumId w:val="4"/>
  </w:num>
  <w:num w:numId="5" w16cid:durableId="972324317">
    <w:abstractNumId w:val="2"/>
  </w:num>
  <w:num w:numId="6" w16cid:durableId="1664312551">
    <w:abstractNumId w:val="8"/>
  </w:num>
  <w:num w:numId="7" w16cid:durableId="180626419">
    <w:abstractNumId w:val="7"/>
  </w:num>
  <w:num w:numId="8" w16cid:durableId="1080100542">
    <w:abstractNumId w:val="0"/>
  </w:num>
  <w:num w:numId="9" w16cid:durableId="1465392619">
    <w:abstractNumId w:val="10"/>
  </w:num>
  <w:num w:numId="10" w16cid:durableId="837308761">
    <w:abstractNumId w:val="13"/>
  </w:num>
  <w:num w:numId="11" w16cid:durableId="262305561">
    <w:abstractNumId w:val="5"/>
  </w:num>
  <w:num w:numId="12" w16cid:durableId="1325621626">
    <w:abstractNumId w:val="6"/>
  </w:num>
  <w:num w:numId="13" w16cid:durableId="1238780737">
    <w:abstractNumId w:val="9"/>
  </w:num>
  <w:num w:numId="14" w16cid:durableId="617446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82"/>
    <w:rsid w:val="0000233A"/>
    <w:rsid w:val="00007BFA"/>
    <w:rsid w:val="00016446"/>
    <w:rsid w:val="00023B95"/>
    <w:rsid w:val="00034A4B"/>
    <w:rsid w:val="00035772"/>
    <w:rsid w:val="0004362E"/>
    <w:rsid w:val="00050C92"/>
    <w:rsid w:val="00057DF0"/>
    <w:rsid w:val="000703ED"/>
    <w:rsid w:val="00074392"/>
    <w:rsid w:val="00086245"/>
    <w:rsid w:val="0009600A"/>
    <w:rsid w:val="000966C1"/>
    <w:rsid w:val="000B06CC"/>
    <w:rsid w:val="000B235F"/>
    <w:rsid w:val="000B315C"/>
    <w:rsid w:val="000B3F7D"/>
    <w:rsid w:val="000C01E8"/>
    <w:rsid w:val="000D6338"/>
    <w:rsid w:val="000E2545"/>
    <w:rsid w:val="000F4D1F"/>
    <w:rsid w:val="000F6A49"/>
    <w:rsid w:val="00110309"/>
    <w:rsid w:val="0013312C"/>
    <w:rsid w:val="001356B8"/>
    <w:rsid w:val="0014073C"/>
    <w:rsid w:val="00162314"/>
    <w:rsid w:val="00185373"/>
    <w:rsid w:val="0018775D"/>
    <w:rsid w:val="001B614C"/>
    <w:rsid w:val="001D5DE9"/>
    <w:rsid w:val="001E46FE"/>
    <w:rsid w:val="001F1DEC"/>
    <w:rsid w:val="002007DC"/>
    <w:rsid w:val="00221AB6"/>
    <w:rsid w:val="00232303"/>
    <w:rsid w:val="00237647"/>
    <w:rsid w:val="002451C0"/>
    <w:rsid w:val="002500E8"/>
    <w:rsid w:val="00255359"/>
    <w:rsid w:val="00255639"/>
    <w:rsid w:val="00262F48"/>
    <w:rsid w:val="00273429"/>
    <w:rsid w:val="00284318"/>
    <w:rsid w:val="0029287D"/>
    <w:rsid w:val="002B4148"/>
    <w:rsid w:val="002C3FF1"/>
    <w:rsid w:val="002D0A32"/>
    <w:rsid w:val="002F058D"/>
    <w:rsid w:val="002F2A25"/>
    <w:rsid w:val="0032396B"/>
    <w:rsid w:val="0036022F"/>
    <w:rsid w:val="00364C32"/>
    <w:rsid w:val="00374D8F"/>
    <w:rsid w:val="00375105"/>
    <w:rsid w:val="00376FAB"/>
    <w:rsid w:val="003A66CF"/>
    <w:rsid w:val="003C545B"/>
    <w:rsid w:val="003D52F6"/>
    <w:rsid w:val="0040306B"/>
    <w:rsid w:val="00404470"/>
    <w:rsid w:val="0041158E"/>
    <w:rsid w:val="004133ED"/>
    <w:rsid w:val="0041604C"/>
    <w:rsid w:val="004716C3"/>
    <w:rsid w:val="004752DC"/>
    <w:rsid w:val="00481907"/>
    <w:rsid w:val="00486D19"/>
    <w:rsid w:val="00492A58"/>
    <w:rsid w:val="0049646F"/>
    <w:rsid w:val="004B19FF"/>
    <w:rsid w:val="004B47E3"/>
    <w:rsid w:val="004B6498"/>
    <w:rsid w:val="004C7DA4"/>
    <w:rsid w:val="004D00A2"/>
    <w:rsid w:val="004D18AE"/>
    <w:rsid w:val="004D2855"/>
    <w:rsid w:val="004D547E"/>
    <w:rsid w:val="004D7EB4"/>
    <w:rsid w:val="004E29BE"/>
    <w:rsid w:val="004E2CCC"/>
    <w:rsid w:val="004F5922"/>
    <w:rsid w:val="0050376E"/>
    <w:rsid w:val="005306FC"/>
    <w:rsid w:val="00532D62"/>
    <w:rsid w:val="005355D3"/>
    <w:rsid w:val="00560922"/>
    <w:rsid w:val="00570708"/>
    <w:rsid w:val="00573BB7"/>
    <w:rsid w:val="00590F98"/>
    <w:rsid w:val="00595D5B"/>
    <w:rsid w:val="005C3F79"/>
    <w:rsid w:val="005C6BF6"/>
    <w:rsid w:val="005C7AAD"/>
    <w:rsid w:val="005D0450"/>
    <w:rsid w:val="005E3CE9"/>
    <w:rsid w:val="00601AAF"/>
    <w:rsid w:val="006053D6"/>
    <w:rsid w:val="00620ACA"/>
    <w:rsid w:val="00635FFF"/>
    <w:rsid w:val="00637FDB"/>
    <w:rsid w:val="0064637B"/>
    <w:rsid w:val="00661257"/>
    <w:rsid w:val="006616C6"/>
    <w:rsid w:val="00665708"/>
    <w:rsid w:val="00665ECA"/>
    <w:rsid w:val="00666686"/>
    <w:rsid w:val="00666FA5"/>
    <w:rsid w:val="00667316"/>
    <w:rsid w:val="0067179E"/>
    <w:rsid w:val="006821EE"/>
    <w:rsid w:val="00685035"/>
    <w:rsid w:val="006A1C1F"/>
    <w:rsid w:val="006C7EA4"/>
    <w:rsid w:val="006E6A42"/>
    <w:rsid w:val="00707488"/>
    <w:rsid w:val="007116D6"/>
    <w:rsid w:val="00715C8C"/>
    <w:rsid w:val="00721754"/>
    <w:rsid w:val="00725B86"/>
    <w:rsid w:val="00735911"/>
    <w:rsid w:val="007443F8"/>
    <w:rsid w:val="00756567"/>
    <w:rsid w:val="00772D6A"/>
    <w:rsid w:val="00773BF2"/>
    <w:rsid w:val="007D0BE6"/>
    <w:rsid w:val="007D17C5"/>
    <w:rsid w:val="007E22AA"/>
    <w:rsid w:val="007E3065"/>
    <w:rsid w:val="007F5E67"/>
    <w:rsid w:val="007F66E2"/>
    <w:rsid w:val="00826405"/>
    <w:rsid w:val="00832B31"/>
    <w:rsid w:val="00841633"/>
    <w:rsid w:val="008437E2"/>
    <w:rsid w:val="00846F10"/>
    <w:rsid w:val="00857624"/>
    <w:rsid w:val="008A4A51"/>
    <w:rsid w:val="008B24EC"/>
    <w:rsid w:val="008D2DD1"/>
    <w:rsid w:val="008F5C62"/>
    <w:rsid w:val="0090236D"/>
    <w:rsid w:val="00914363"/>
    <w:rsid w:val="00916BD7"/>
    <w:rsid w:val="0092744E"/>
    <w:rsid w:val="0093685F"/>
    <w:rsid w:val="00956572"/>
    <w:rsid w:val="00966AD7"/>
    <w:rsid w:val="00967819"/>
    <w:rsid w:val="00984F6D"/>
    <w:rsid w:val="009926E6"/>
    <w:rsid w:val="009927C2"/>
    <w:rsid w:val="009B26AB"/>
    <w:rsid w:val="009B7C2E"/>
    <w:rsid w:val="009C6D98"/>
    <w:rsid w:val="009E248C"/>
    <w:rsid w:val="009E2DEE"/>
    <w:rsid w:val="009E659D"/>
    <w:rsid w:val="009E65FE"/>
    <w:rsid w:val="00A10553"/>
    <w:rsid w:val="00A23D97"/>
    <w:rsid w:val="00A314A0"/>
    <w:rsid w:val="00A50257"/>
    <w:rsid w:val="00A5291C"/>
    <w:rsid w:val="00A54C24"/>
    <w:rsid w:val="00A62B0E"/>
    <w:rsid w:val="00A652A3"/>
    <w:rsid w:val="00A66A8C"/>
    <w:rsid w:val="00A722BD"/>
    <w:rsid w:val="00A74EAB"/>
    <w:rsid w:val="00A935F7"/>
    <w:rsid w:val="00A961DE"/>
    <w:rsid w:val="00AA7035"/>
    <w:rsid w:val="00AB19C6"/>
    <w:rsid w:val="00AB7182"/>
    <w:rsid w:val="00AC0EC8"/>
    <w:rsid w:val="00AD1112"/>
    <w:rsid w:val="00AF3175"/>
    <w:rsid w:val="00AF33AF"/>
    <w:rsid w:val="00B02940"/>
    <w:rsid w:val="00B1795F"/>
    <w:rsid w:val="00B17FC2"/>
    <w:rsid w:val="00B20481"/>
    <w:rsid w:val="00B3560E"/>
    <w:rsid w:val="00B37E8F"/>
    <w:rsid w:val="00B8031C"/>
    <w:rsid w:val="00B86F51"/>
    <w:rsid w:val="00BA12D8"/>
    <w:rsid w:val="00BA41EB"/>
    <w:rsid w:val="00BB29B1"/>
    <w:rsid w:val="00BB69B6"/>
    <w:rsid w:val="00BC2B35"/>
    <w:rsid w:val="00BD3D93"/>
    <w:rsid w:val="00BE379A"/>
    <w:rsid w:val="00BF29F3"/>
    <w:rsid w:val="00C21D7F"/>
    <w:rsid w:val="00C25EE0"/>
    <w:rsid w:val="00C37AE7"/>
    <w:rsid w:val="00C41360"/>
    <w:rsid w:val="00C513C7"/>
    <w:rsid w:val="00C55D18"/>
    <w:rsid w:val="00C660E1"/>
    <w:rsid w:val="00C66E01"/>
    <w:rsid w:val="00C721D5"/>
    <w:rsid w:val="00C753C4"/>
    <w:rsid w:val="00C76DE7"/>
    <w:rsid w:val="00C8281C"/>
    <w:rsid w:val="00C83DA2"/>
    <w:rsid w:val="00CA2C80"/>
    <w:rsid w:val="00CB4455"/>
    <w:rsid w:val="00CC6DC1"/>
    <w:rsid w:val="00CD6205"/>
    <w:rsid w:val="00CF41F8"/>
    <w:rsid w:val="00D12C90"/>
    <w:rsid w:val="00D15280"/>
    <w:rsid w:val="00D15808"/>
    <w:rsid w:val="00D17F9C"/>
    <w:rsid w:val="00D23266"/>
    <w:rsid w:val="00D27EA1"/>
    <w:rsid w:val="00D464D5"/>
    <w:rsid w:val="00D6771A"/>
    <w:rsid w:val="00D93CD2"/>
    <w:rsid w:val="00DA0ACB"/>
    <w:rsid w:val="00DB1B76"/>
    <w:rsid w:val="00DB35AD"/>
    <w:rsid w:val="00DC3DDD"/>
    <w:rsid w:val="00DC4F85"/>
    <w:rsid w:val="00DC636A"/>
    <w:rsid w:val="00DC67F6"/>
    <w:rsid w:val="00E35022"/>
    <w:rsid w:val="00E35295"/>
    <w:rsid w:val="00E41C1A"/>
    <w:rsid w:val="00E42424"/>
    <w:rsid w:val="00E661A5"/>
    <w:rsid w:val="00E73B4D"/>
    <w:rsid w:val="00E75B0E"/>
    <w:rsid w:val="00E92898"/>
    <w:rsid w:val="00E948A5"/>
    <w:rsid w:val="00EA2760"/>
    <w:rsid w:val="00EA3A8F"/>
    <w:rsid w:val="00EC05AE"/>
    <w:rsid w:val="00ED2821"/>
    <w:rsid w:val="00EF5AD7"/>
    <w:rsid w:val="00F04C25"/>
    <w:rsid w:val="00F30BA4"/>
    <w:rsid w:val="00F3126E"/>
    <w:rsid w:val="00F51A6C"/>
    <w:rsid w:val="00F60CF7"/>
    <w:rsid w:val="00F71621"/>
    <w:rsid w:val="00F84D22"/>
    <w:rsid w:val="00FC045A"/>
    <w:rsid w:val="00FD33E6"/>
    <w:rsid w:val="00FE0B13"/>
    <w:rsid w:val="00FE4F59"/>
    <w:rsid w:val="00FE6448"/>
    <w:rsid w:val="00FF1CAC"/>
    <w:rsid w:val="00FF36E2"/>
    <w:rsid w:val="00FF3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F91E3"/>
  <w15:chartTrackingRefBased/>
  <w15:docId w15:val="{6C084804-81FB-4D1D-A9DC-A94DE67F5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AD7"/>
    <w:rPr>
      <w:lang w:val="en-GB"/>
    </w:rPr>
  </w:style>
  <w:style w:type="paragraph" w:styleId="Heading1">
    <w:name w:val="heading 1"/>
    <w:basedOn w:val="Normal"/>
    <w:next w:val="Normal"/>
    <w:link w:val="Heading1Char"/>
    <w:uiPriority w:val="9"/>
    <w:qFormat/>
    <w:rsid w:val="00AB71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71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71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1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1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1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1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1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1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18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AB718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AB718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B718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B718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B718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B718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B718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B718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B71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18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B71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18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B7182"/>
    <w:pPr>
      <w:spacing w:before="160"/>
      <w:jc w:val="center"/>
    </w:pPr>
    <w:rPr>
      <w:i/>
      <w:iCs/>
      <w:color w:val="404040" w:themeColor="text1" w:themeTint="BF"/>
    </w:rPr>
  </w:style>
  <w:style w:type="character" w:customStyle="1" w:styleId="QuoteChar">
    <w:name w:val="Quote Char"/>
    <w:basedOn w:val="DefaultParagraphFont"/>
    <w:link w:val="Quote"/>
    <w:uiPriority w:val="29"/>
    <w:rsid w:val="00AB7182"/>
    <w:rPr>
      <w:i/>
      <w:iCs/>
      <w:color w:val="404040" w:themeColor="text1" w:themeTint="BF"/>
      <w:lang w:val="en-GB"/>
    </w:rPr>
  </w:style>
  <w:style w:type="paragraph" w:styleId="ListParagraph">
    <w:name w:val="List Paragraph"/>
    <w:basedOn w:val="Normal"/>
    <w:uiPriority w:val="34"/>
    <w:qFormat/>
    <w:rsid w:val="00AB7182"/>
    <w:pPr>
      <w:ind w:left="720"/>
      <w:contextualSpacing/>
    </w:pPr>
  </w:style>
  <w:style w:type="character" w:styleId="IntenseEmphasis">
    <w:name w:val="Intense Emphasis"/>
    <w:basedOn w:val="DefaultParagraphFont"/>
    <w:uiPriority w:val="21"/>
    <w:qFormat/>
    <w:rsid w:val="00AB7182"/>
    <w:rPr>
      <w:i/>
      <w:iCs/>
      <w:color w:val="0F4761" w:themeColor="accent1" w:themeShade="BF"/>
    </w:rPr>
  </w:style>
  <w:style w:type="paragraph" w:styleId="IntenseQuote">
    <w:name w:val="Intense Quote"/>
    <w:basedOn w:val="Normal"/>
    <w:next w:val="Normal"/>
    <w:link w:val="IntenseQuoteChar"/>
    <w:uiPriority w:val="30"/>
    <w:qFormat/>
    <w:rsid w:val="00AB71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182"/>
    <w:rPr>
      <w:i/>
      <w:iCs/>
      <w:color w:val="0F4761" w:themeColor="accent1" w:themeShade="BF"/>
      <w:lang w:val="en-GB"/>
    </w:rPr>
  </w:style>
  <w:style w:type="character" w:styleId="IntenseReference">
    <w:name w:val="Intense Reference"/>
    <w:basedOn w:val="DefaultParagraphFont"/>
    <w:uiPriority w:val="32"/>
    <w:qFormat/>
    <w:rsid w:val="00AB7182"/>
    <w:rPr>
      <w:b/>
      <w:bCs/>
      <w:smallCaps/>
      <w:color w:val="0F4761" w:themeColor="accent1" w:themeShade="BF"/>
      <w:spacing w:val="5"/>
    </w:rPr>
  </w:style>
  <w:style w:type="paragraph" w:styleId="TOCHeading">
    <w:name w:val="TOC Heading"/>
    <w:basedOn w:val="Heading1"/>
    <w:next w:val="Normal"/>
    <w:uiPriority w:val="39"/>
    <w:unhideWhenUsed/>
    <w:qFormat/>
    <w:rsid w:val="007D0BE6"/>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7D0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BE6"/>
    <w:rPr>
      <w:lang w:val="en-GB"/>
    </w:rPr>
  </w:style>
  <w:style w:type="paragraph" w:styleId="Footer">
    <w:name w:val="footer"/>
    <w:basedOn w:val="Normal"/>
    <w:link w:val="FooterChar"/>
    <w:uiPriority w:val="99"/>
    <w:unhideWhenUsed/>
    <w:rsid w:val="007D0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BE6"/>
    <w:rPr>
      <w:lang w:val="en-GB"/>
    </w:rPr>
  </w:style>
  <w:style w:type="paragraph" w:styleId="TOC1">
    <w:name w:val="toc 1"/>
    <w:basedOn w:val="Normal"/>
    <w:next w:val="Normal"/>
    <w:autoRedefine/>
    <w:uiPriority w:val="39"/>
    <w:unhideWhenUsed/>
    <w:rsid w:val="00185373"/>
    <w:pPr>
      <w:spacing w:after="100"/>
    </w:pPr>
  </w:style>
  <w:style w:type="paragraph" w:styleId="TOC2">
    <w:name w:val="toc 2"/>
    <w:basedOn w:val="Normal"/>
    <w:next w:val="Normal"/>
    <w:autoRedefine/>
    <w:uiPriority w:val="39"/>
    <w:unhideWhenUsed/>
    <w:rsid w:val="00185373"/>
    <w:pPr>
      <w:spacing w:after="100"/>
      <w:ind w:left="220"/>
    </w:pPr>
  </w:style>
  <w:style w:type="character" w:styleId="Hyperlink">
    <w:name w:val="Hyperlink"/>
    <w:basedOn w:val="DefaultParagraphFont"/>
    <w:uiPriority w:val="99"/>
    <w:unhideWhenUsed/>
    <w:rsid w:val="00185373"/>
    <w:rPr>
      <w:color w:val="467886" w:themeColor="hyperlink"/>
      <w:u w:val="single"/>
    </w:rPr>
  </w:style>
  <w:style w:type="paragraph" w:styleId="TOC3">
    <w:name w:val="toc 3"/>
    <w:basedOn w:val="Normal"/>
    <w:next w:val="Normal"/>
    <w:autoRedefine/>
    <w:uiPriority w:val="39"/>
    <w:unhideWhenUsed/>
    <w:rsid w:val="0067179E"/>
    <w:pPr>
      <w:spacing w:after="100"/>
      <w:ind w:left="440"/>
    </w:pPr>
  </w:style>
  <w:style w:type="character" w:styleId="UnresolvedMention">
    <w:name w:val="Unresolved Mention"/>
    <w:basedOn w:val="DefaultParagraphFont"/>
    <w:uiPriority w:val="99"/>
    <w:semiHidden/>
    <w:unhideWhenUsed/>
    <w:rsid w:val="00CD6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package" Target="embeddings/Microsoft_Excel_Worksheet1.xlsx"/><Relationship Id="rId3" Type="http://schemas.openxmlformats.org/officeDocument/2006/relationships/styles" Target="styles.xml"/><Relationship Id="rId21" Type="http://schemas.openxmlformats.org/officeDocument/2006/relationships/hyperlink" Target="https://www.hofstede-insights.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euromonitor.com/" TargetMode="External"/><Relationship Id="rId29"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Excel_Worksheet.xlsx"/><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emf"/><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hyperlink" Target="https://retail.economictimes.indiatimes.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orporate.lululemon.com/~/media/Files/L/Lululemon/investors/annual-reports/lululemon-2024-annual-report.pdf" TargetMode="External"/><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8AEAF-2B1D-4553-880C-A9E9D611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56</Pages>
  <Words>9791</Words>
  <Characters>58849</Characters>
  <Application>Microsoft Office Word</Application>
  <DocSecurity>0</DocSecurity>
  <Lines>1783</Lines>
  <Paragraphs>1596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13</cp:revision>
  <dcterms:created xsi:type="dcterms:W3CDTF">2025-11-29T13:09:00Z</dcterms:created>
  <dcterms:modified xsi:type="dcterms:W3CDTF">2025-11-29T13:27:00Z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e4c44ea2-a063-4566-adc4-77f0c9054381</vt:lpwstr>
  </property>
</Properties>
</file>