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E0D47" w14:textId="77777777" w:rsidR="00083226" w:rsidRDefault="00083226" w:rsidP="00083226">
      <w:pPr>
        <w:jc w:val="center"/>
        <w:rPr>
          <w:rFonts w:ascii="Times New Roman" w:eastAsia="Times New Roman" w:hAnsi="Times New Roman" w:cs="Times New Roman"/>
          <w:b/>
          <w:sz w:val="36"/>
          <w:szCs w:val="36"/>
        </w:rPr>
      </w:pPr>
    </w:p>
    <w:p w14:paraId="26D02540" w14:textId="77777777" w:rsidR="00083226" w:rsidRDefault="00083226" w:rsidP="00083226">
      <w:pPr>
        <w:jc w:val="center"/>
        <w:rPr>
          <w:rFonts w:ascii="Times New Roman" w:eastAsia="Times New Roman" w:hAnsi="Times New Roman" w:cs="Times New Roman"/>
          <w:b/>
          <w:sz w:val="36"/>
          <w:szCs w:val="36"/>
        </w:rPr>
      </w:pPr>
    </w:p>
    <w:p w14:paraId="1A31D488" w14:textId="77777777" w:rsidR="00083226" w:rsidRDefault="00083226" w:rsidP="00083226">
      <w:pPr>
        <w:jc w:val="center"/>
        <w:rPr>
          <w:rFonts w:ascii="Times New Roman" w:eastAsia="Times New Roman" w:hAnsi="Times New Roman" w:cs="Times New Roman"/>
          <w:b/>
          <w:sz w:val="36"/>
          <w:szCs w:val="36"/>
        </w:rPr>
      </w:pPr>
    </w:p>
    <w:p w14:paraId="04B31570" w14:textId="77777777" w:rsidR="00083226" w:rsidRDefault="00083226" w:rsidP="00083226">
      <w:pPr>
        <w:jc w:val="center"/>
        <w:rPr>
          <w:rFonts w:ascii="Times New Roman" w:eastAsia="Times New Roman" w:hAnsi="Times New Roman" w:cs="Times New Roman"/>
          <w:b/>
          <w:sz w:val="36"/>
          <w:szCs w:val="36"/>
        </w:rPr>
      </w:pPr>
    </w:p>
    <w:p w14:paraId="654A2DB8" w14:textId="77777777" w:rsidR="00083226" w:rsidRDefault="00083226" w:rsidP="00083226">
      <w:pPr>
        <w:jc w:val="center"/>
        <w:rPr>
          <w:rFonts w:ascii="Times New Roman" w:eastAsia="Times New Roman" w:hAnsi="Times New Roman" w:cs="Times New Roman"/>
          <w:b/>
          <w:sz w:val="36"/>
          <w:szCs w:val="36"/>
        </w:rPr>
      </w:pPr>
    </w:p>
    <w:p w14:paraId="69C8E959" w14:textId="77777777" w:rsidR="00083226" w:rsidRDefault="00083226" w:rsidP="00083226">
      <w:pPr>
        <w:jc w:val="center"/>
        <w:rPr>
          <w:rFonts w:ascii="Times New Roman" w:eastAsia="Times New Roman" w:hAnsi="Times New Roman" w:cs="Times New Roman"/>
          <w:b/>
          <w:sz w:val="36"/>
          <w:szCs w:val="36"/>
        </w:rPr>
      </w:pPr>
    </w:p>
    <w:p w14:paraId="5BACDEB0" w14:textId="77777777" w:rsidR="00083226" w:rsidRDefault="00083226" w:rsidP="00083226">
      <w:pPr>
        <w:jc w:val="center"/>
        <w:rPr>
          <w:rFonts w:ascii="Times New Roman" w:eastAsia="Times New Roman" w:hAnsi="Times New Roman" w:cs="Times New Roman"/>
          <w:b/>
          <w:sz w:val="36"/>
          <w:szCs w:val="36"/>
        </w:rPr>
      </w:pPr>
    </w:p>
    <w:p w14:paraId="11E7DA3C" w14:textId="77777777" w:rsidR="00083226" w:rsidRDefault="00083226" w:rsidP="00083226">
      <w:pPr>
        <w:jc w:val="center"/>
        <w:rPr>
          <w:rFonts w:ascii="Times New Roman" w:eastAsia="Times New Roman" w:hAnsi="Times New Roman" w:cs="Times New Roman"/>
          <w:b/>
          <w:sz w:val="36"/>
          <w:szCs w:val="36"/>
        </w:rPr>
      </w:pPr>
    </w:p>
    <w:p w14:paraId="06ABF08A" w14:textId="77777777" w:rsidR="00C20C29" w:rsidRPr="00083226" w:rsidRDefault="00000000" w:rsidP="00083226">
      <w:pPr>
        <w:jc w:val="center"/>
        <w:rPr>
          <w:rFonts w:ascii="Times New Roman" w:eastAsia="Times New Roman" w:hAnsi="Times New Roman" w:cs="Times New Roman"/>
          <w:b/>
          <w:sz w:val="36"/>
          <w:szCs w:val="36"/>
        </w:rPr>
      </w:pPr>
      <w:r w:rsidRPr="00083226">
        <w:rPr>
          <w:rFonts w:ascii="Times New Roman" w:eastAsia="Times New Roman" w:hAnsi="Times New Roman" w:cs="Times New Roman"/>
          <w:b/>
          <w:sz w:val="36"/>
          <w:szCs w:val="36"/>
        </w:rPr>
        <w:t>Programmed</w:t>
      </w:r>
      <w:r w:rsidR="00B16EDC" w:rsidRPr="00083226">
        <w:rPr>
          <w:rFonts w:ascii="Times New Roman" w:eastAsia="Times New Roman" w:hAnsi="Times New Roman" w:cs="Times New Roman"/>
          <w:b/>
          <w:sz w:val="36"/>
          <w:szCs w:val="36"/>
        </w:rPr>
        <w:t>: BA (Hons) Business Management</w:t>
      </w:r>
    </w:p>
    <w:p w14:paraId="0D378F37" w14:textId="77777777" w:rsidR="00C20C29" w:rsidRPr="00083226" w:rsidRDefault="00000000" w:rsidP="00083226">
      <w:pPr>
        <w:jc w:val="center"/>
        <w:rPr>
          <w:rFonts w:ascii="Times New Roman" w:eastAsia="Times New Roman" w:hAnsi="Times New Roman" w:cs="Times New Roman"/>
          <w:b/>
          <w:sz w:val="36"/>
          <w:szCs w:val="36"/>
        </w:rPr>
      </w:pPr>
      <w:r w:rsidRPr="00083226">
        <w:rPr>
          <w:rFonts w:ascii="Times New Roman" w:eastAsia="Times New Roman" w:hAnsi="Times New Roman" w:cs="Times New Roman"/>
          <w:b/>
          <w:sz w:val="36"/>
          <w:szCs w:val="36"/>
        </w:rPr>
        <w:t>Module: Project Management</w:t>
      </w:r>
    </w:p>
    <w:p w14:paraId="277DE37C" w14:textId="5672CC85" w:rsidR="00C20C29" w:rsidRPr="00083226" w:rsidRDefault="00A43428" w:rsidP="00A43428">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r w:rsidR="00000000" w:rsidRPr="00083226">
        <w:rPr>
          <w:rFonts w:ascii="Times New Roman" w:eastAsia="Times New Roman" w:hAnsi="Times New Roman" w:cs="Times New Roman"/>
          <w:b/>
          <w:sz w:val="36"/>
          <w:szCs w:val="36"/>
        </w:rPr>
        <w:t>Module code: LCBB5005</w:t>
      </w:r>
    </w:p>
    <w:p w14:paraId="238CCFDC" w14:textId="0D1CE941" w:rsidR="00C20C29" w:rsidRPr="00083226" w:rsidRDefault="00000000" w:rsidP="00083226">
      <w:pPr>
        <w:jc w:val="center"/>
        <w:rPr>
          <w:rFonts w:ascii="Times New Roman" w:eastAsia="Times New Roman" w:hAnsi="Times New Roman" w:cs="Times New Roman"/>
          <w:b/>
          <w:sz w:val="36"/>
          <w:szCs w:val="36"/>
        </w:rPr>
      </w:pPr>
      <w:r w:rsidRPr="00083226">
        <w:rPr>
          <w:rFonts w:ascii="Times New Roman" w:eastAsia="Times New Roman" w:hAnsi="Times New Roman" w:cs="Times New Roman"/>
          <w:b/>
          <w:sz w:val="36"/>
          <w:szCs w:val="36"/>
        </w:rPr>
        <w:t>Lecturer</w:t>
      </w:r>
      <w:r w:rsidR="00A43428">
        <w:rPr>
          <w:rFonts w:ascii="Times New Roman" w:eastAsia="Times New Roman" w:hAnsi="Times New Roman" w:cs="Times New Roman"/>
          <w:b/>
          <w:sz w:val="36"/>
          <w:szCs w:val="36"/>
        </w:rPr>
        <w:t xml:space="preserve"> name</w:t>
      </w:r>
      <w:r w:rsidRPr="00083226">
        <w:rPr>
          <w:rFonts w:ascii="Times New Roman" w:eastAsia="Times New Roman" w:hAnsi="Times New Roman" w:cs="Times New Roman"/>
          <w:b/>
          <w:sz w:val="36"/>
          <w:szCs w:val="36"/>
        </w:rPr>
        <w:t xml:space="preserve">: </w:t>
      </w:r>
      <w:r w:rsidR="00A43428">
        <w:rPr>
          <w:rFonts w:ascii="Times New Roman" w:eastAsia="Times New Roman" w:hAnsi="Times New Roman" w:cs="Times New Roman"/>
          <w:b/>
          <w:sz w:val="36"/>
          <w:szCs w:val="36"/>
        </w:rPr>
        <w:t>David Oyebisi</w:t>
      </w:r>
    </w:p>
    <w:p w14:paraId="6C0EED28" w14:textId="77777777" w:rsidR="00C20C29" w:rsidRPr="00083226" w:rsidRDefault="00000000" w:rsidP="00083226">
      <w:pPr>
        <w:jc w:val="center"/>
        <w:rPr>
          <w:rFonts w:ascii="Times New Roman" w:eastAsia="Times New Roman" w:hAnsi="Times New Roman" w:cs="Times New Roman"/>
          <w:b/>
          <w:sz w:val="36"/>
          <w:szCs w:val="36"/>
        </w:rPr>
      </w:pPr>
      <w:r w:rsidRPr="00083226">
        <w:rPr>
          <w:rFonts w:ascii="Times New Roman" w:eastAsia="Times New Roman" w:hAnsi="Times New Roman" w:cs="Times New Roman"/>
          <w:b/>
          <w:sz w:val="36"/>
          <w:szCs w:val="36"/>
        </w:rPr>
        <w:t>Assignment Title: Component 1: Coursework:</w:t>
      </w:r>
    </w:p>
    <w:p w14:paraId="13AD0741" w14:textId="292D1B69" w:rsidR="00C20C29" w:rsidRPr="00083226" w:rsidRDefault="00A43428" w:rsidP="00A43428">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r w:rsidR="00000000" w:rsidRPr="00083226">
        <w:rPr>
          <w:rFonts w:ascii="Times New Roman" w:eastAsia="Times New Roman" w:hAnsi="Times New Roman" w:cs="Times New Roman"/>
          <w:b/>
          <w:sz w:val="36"/>
          <w:szCs w:val="36"/>
        </w:rPr>
        <w:t>Essay - Project Plan</w:t>
      </w:r>
    </w:p>
    <w:p w14:paraId="6FFBF57E" w14:textId="428158D8" w:rsidR="00C20C29" w:rsidRDefault="00A43428" w:rsidP="00A43428">
      <w:pP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                          </w:t>
      </w:r>
      <w:r w:rsidRPr="00A43428">
        <w:rPr>
          <w:rFonts w:ascii="Times New Roman" w:eastAsia="Times New Roman" w:hAnsi="Times New Roman" w:cs="Times New Roman"/>
          <w:b/>
          <w:bCs/>
          <w:sz w:val="36"/>
          <w:szCs w:val="36"/>
        </w:rPr>
        <w:t>Student ID</w:t>
      </w:r>
      <w:r>
        <w:rPr>
          <w:rFonts w:ascii="Times New Roman" w:eastAsia="Times New Roman" w:hAnsi="Times New Roman" w:cs="Times New Roman"/>
          <w:b/>
          <w:bCs/>
          <w:sz w:val="36"/>
          <w:szCs w:val="36"/>
        </w:rPr>
        <w:t>: 210720</w:t>
      </w:r>
    </w:p>
    <w:p w14:paraId="7F3C9DCD" w14:textId="6AD61F62" w:rsidR="00A43428" w:rsidRPr="00A43428" w:rsidRDefault="00A43428" w:rsidP="00A43428">
      <w:pP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                          Student name: Mirela Oprea</w:t>
      </w:r>
    </w:p>
    <w:p w14:paraId="3005DB69" w14:textId="77777777" w:rsidR="00083226" w:rsidRDefault="00000000">
      <w:pPr>
        <w:rPr>
          <w:rFonts w:ascii="Times New Roman" w:eastAsia="Times New Roman" w:hAnsi="Times New Roman" w:cs="Times New Roman"/>
          <w:b/>
          <w:sz w:val="28"/>
          <w:szCs w:val="28"/>
        </w:rPr>
      </w:pPr>
      <w:bookmarkStart w:id="0" w:name="_xo8gksig3ru" w:colFirst="0" w:colLast="0"/>
      <w:bookmarkEnd w:id="0"/>
      <w:r>
        <w:br w:type="page"/>
      </w:r>
    </w:p>
    <w:sdt>
      <w:sdtPr>
        <w:rPr>
          <w:rFonts w:ascii="Arial" w:eastAsia="Arial" w:hAnsi="Arial" w:cs="Arial"/>
          <w:color w:val="auto"/>
          <w:sz w:val="22"/>
          <w:szCs w:val="22"/>
          <w:lang w:val="en" w:eastAsia="en-IN"/>
        </w:rPr>
        <w:id w:val="-109203129"/>
        <w:docPartObj>
          <w:docPartGallery w:val="Table of Contents"/>
          <w:docPartUnique/>
        </w:docPartObj>
      </w:sdtPr>
      <w:sdtEndPr>
        <w:rPr>
          <w:rFonts w:ascii="Times New Roman" w:hAnsi="Times New Roman" w:cs="Times New Roman"/>
          <w:b/>
          <w:bCs/>
          <w:noProof/>
          <w:sz w:val="24"/>
          <w:szCs w:val="24"/>
        </w:rPr>
      </w:sdtEndPr>
      <w:sdtContent>
        <w:p w14:paraId="6BBF0FB4" w14:textId="77777777" w:rsidR="00382B0F" w:rsidRPr="00451899" w:rsidRDefault="00000000" w:rsidP="00451899">
          <w:pPr>
            <w:pStyle w:val="TOCHeading"/>
            <w:spacing w:line="360" w:lineRule="auto"/>
            <w:jc w:val="center"/>
            <w:rPr>
              <w:rFonts w:ascii="Times New Roman" w:hAnsi="Times New Roman" w:cs="Times New Roman"/>
              <w:b/>
              <w:bCs/>
              <w:color w:val="auto"/>
              <w:sz w:val="24"/>
              <w:szCs w:val="24"/>
            </w:rPr>
          </w:pPr>
          <w:r w:rsidRPr="00451899">
            <w:rPr>
              <w:rFonts w:ascii="Times New Roman" w:hAnsi="Times New Roman" w:cs="Times New Roman"/>
              <w:b/>
              <w:bCs/>
              <w:color w:val="auto"/>
              <w:sz w:val="24"/>
              <w:szCs w:val="24"/>
            </w:rPr>
            <w:t>Table of Contents</w:t>
          </w:r>
        </w:p>
        <w:p w14:paraId="1BCA4DF3" w14:textId="77777777" w:rsidR="00451899" w:rsidRPr="00451899" w:rsidRDefault="00000000" w:rsidP="0045189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r w:rsidRPr="00451899">
            <w:rPr>
              <w:rFonts w:ascii="Times New Roman" w:hAnsi="Times New Roman" w:cs="Times New Roman"/>
              <w:sz w:val="24"/>
              <w:szCs w:val="24"/>
            </w:rPr>
            <w:fldChar w:fldCharType="begin"/>
          </w:r>
          <w:r w:rsidRPr="00451899">
            <w:rPr>
              <w:rFonts w:ascii="Times New Roman" w:hAnsi="Times New Roman" w:cs="Times New Roman"/>
              <w:sz w:val="24"/>
              <w:szCs w:val="24"/>
            </w:rPr>
            <w:instrText xml:space="preserve"> TOC \o "1-3" \h \z \u </w:instrText>
          </w:r>
          <w:r w:rsidRPr="00451899">
            <w:rPr>
              <w:rFonts w:ascii="Times New Roman" w:hAnsi="Times New Roman" w:cs="Times New Roman"/>
              <w:sz w:val="24"/>
              <w:szCs w:val="24"/>
            </w:rPr>
            <w:fldChar w:fldCharType="separate"/>
          </w:r>
          <w:hyperlink w:anchor="_Toc190531019" w:history="1">
            <w:r w:rsidR="00451899" w:rsidRPr="00451899">
              <w:rPr>
                <w:rStyle w:val="Hyperlink"/>
                <w:rFonts w:ascii="Times New Roman" w:hAnsi="Times New Roman" w:cs="Times New Roman"/>
                <w:noProof/>
                <w:sz w:val="24"/>
                <w:szCs w:val="24"/>
              </w:rPr>
              <w:t>Brief introduction about the selected project</w:t>
            </w:r>
            <w:r w:rsidR="00451899" w:rsidRPr="00451899">
              <w:rPr>
                <w:rFonts w:ascii="Times New Roman" w:hAnsi="Times New Roman" w:cs="Times New Roman"/>
                <w:noProof/>
                <w:webHidden/>
                <w:sz w:val="24"/>
                <w:szCs w:val="24"/>
              </w:rPr>
              <w:tab/>
            </w:r>
            <w:r w:rsidR="00451899" w:rsidRPr="00451899">
              <w:rPr>
                <w:rFonts w:ascii="Times New Roman" w:hAnsi="Times New Roman" w:cs="Times New Roman"/>
                <w:noProof/>
                <w:webHidden/>
                <w:sz w:val="24"/>
                <w:szCs w:val="24"/>
              </w:rPr>
              <w:fldChar w:fldCharType="begin"/>
            </w:r>
            <w:r w:rsidR="00451899" w:rsidRPr="00451899">
              <w:rPr>
                <w:rFonts w:ascii="Times New Roman" w:hAnsi="Times New Roman" w:cs="Times New Roman"/>
                <w:noProof/>
                <w:webHidden/>
                <w:sz w:val="24"/>
                <w:szCs w:val="24"/>
              </w:rPr>
              <w:instrText xml:space="preserve"> PAGEREF _Toc190531019 \h </w:instrText>
            </w:r>
            <w:r w:rsidR="00451899" w:rsidRPr="00451899">
              <w:rPr>
                <w:rFonts w:ascii="Times New Roman" w:hAnsi="Times New Roman" w:cs="Times New Roman"/>
                <w:noProof/>
                <w:webHidden/>
                <w:sz w:val="24"/>
                <w:szCs w:val="24"/>
              </w:rPr>
            </w:r>
            <w:r w:rsidR="00451899" w:rsidRPr="00451899">
              <w:rPr>
                <w:rFonts w:ascii="Times New Roman" w:hAnsi="Times New Roman" w:cs="Times New Roman"/>
                <w:noProof/>
                <w:webHidden/>
                <w:sz w:val="24"/>
                <w:szCs w:val="24"/>
              </w:rPr>
              <w:fldChar w:fldCharType="separate"/>
            </w:r>
            <w:r w:rsidR="00451899" w:rsidRPr="00451899">
              <w:rPr>
                <w:rFonts w:ascii="Times New Roman" w:hAnsi="Times New Roman" w:cs="Times New Roman"/>
                <w:noProof/>
                <w:webHidden/>
                <w:sz w:val="24"/>
                <w:szCs w:val="24"/>
              </w:rPr>
              <w:t>3</w:t>
            </w:r>
            <w:r w:rsidR="00451899" w:rsidRPr="00451899">
              <w:rPr>
                <w:rFonts w:ascii="Times New Roman" w:hAnsi="Times New Roman" w:cs="Times New Roman"/>
                <w:noProof/>
                <w:webHidden/>
                <w:sz w:val="24"/>
                <w:szCs w:val="24"/>
              </w:rPr>
              <w:fldChar w:fldCharType="end"/>
            </w:r>
          </w:hyperlink>
        </w:p>
        <w:p w14:paraId="3B1D29EF" w14:textId="77777777" w:rsidR="00451899" w:rsidRPr="00451899" w:rsidRDefault="00451899" w:rsidP="0045189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90531020" w:history="1">
            <w:r w:rsidRPr="00451899">
              <w:rPr>
                <w:rStyle w:val="Hyperlink"/>
                <w:rFonts w:ascii="Times New Roman" w:hAnsi="Times New Roman" w:cs="Times New Roman"/>
                <w:noProof/>
                <w:sz w:val="24"/>
                <w:szCs w:val="24"/>
              </w:rPr>
              <w:t>The aim, objectives and scope of the project</w:t>
            </w:r>
            <w:r w:rsidRPr="00451899">
              <w:rPr>
                <w:rFonts w:ascii="Times New Roman" w:hAnsi="Times New Roman" w:cs="Times New Roman"/>
                <w:noProof/>
                <w:webHidden/>
                <w:sz w:val="24"/>
                <w:szCs w:val="24"/>
              </w:rPr>
              <w:tab/>
            </w:r>
            <w:r w:rsidRPr="00451899">
              <w:rPr>
                <w:rFonts w:ascii="Times New Roman" w:hAnsi="Times New Roman" w:cs="Times New Roman"/>
                <w:noProof/>
                <w:webHidden/>
                <w:sz w:val="24"/>
                <w:szCs w:val="24"/>
              </w:rPr>
              <w:fldChar w:fldCharType="begin"/>
            </w:r>
            <w:r w:rsidRPr="00451899">
              <w:rPr>
                <w:rFonts w:ascii="Times New Roman" w:hAnsi="Times New Roman" w:cs="Times New Roman"/>
                <w:noProof/>
                <w:webHidden/>
                <w:sz w:val="24"/>
                <w:szCs w:val="24"/>
              </w:rPr>
              <w:instrText xml:space="preserve"> PAGEREF _Toc190531020 \h </w:instrText>
            </w:r>
            <w:r w:rsidRPr="00451899">
              <w:rPr>
                <w:rFonts w:ascii="Times New Roman" w:hAnsi="Times New Roman" w:cs="Times New Roman"/>
                <w:noProof/>
                <w:webHidden/>
                <w:sz w:val="24"/>
                <w:szCs w:val="24"/>
              </w:rPr>
            </w:r>
            <w:r w:rsidRPr="00451899">
              <w:rPr>
                <w:rFonts w:ascii="Times New Roman" w:hAnsi="Times New Roman" w:cs="Times New Roman"/>
                <w:noProof/>
                <w:webHidden/>
                <w:sz w:val="24"/>
                <w:szCs w:val="24"/>
              </w:rPr>
              <w:fldChar w:fldCharType="separate"/>
            </w:r>
            <w:r w:rsidRPr="00451899">
              <w:rPr>
                <w:rFonts w:ascii="Times New Roman" w:hAnsi="Times New Roman" w:cs="Times New Roman"/>
                <w:noProof/>
                <w:webHidden/>
                <w:sz w:val="24"/>
                <w:szCs w:val="24"/>
              </w:rPr>
              <w:t>3</w:t>
            </w:r>
            <w:r w:rsidRPr="00451899">
              <w:rPr>
                <w:rFonts w:ascii="Times New Roman" w:hAnsi="Times New Roman" w:cs="Times New Roman"/>
                <w:noProof/>
                <w:webHidden/>
                <w:sz w:val="24"/>
                <w:szCs w:val="24"/>
              </w:rPr>
              <w:fldChar w:fldCharType="end"/>
            </w:r>
          </w:hyperlink>
        </w:p>
        <w:p w14:paraId="68DE9AAD" w14:textId="77777777" w:rsidR="00451899" w:rsidRPr="00451899" w:rsidRDefault="00451899" w:rsidP="0045189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90531021" w:history="1">
            <w:r w:rsidRPr="00451899">
              <w:rPr>
                <w:rStyle w:val="Hyperlink"/>
                <w:rFonts w:ascii="Times New Roman" w:hAnsi="Times New Roman" w:cs="Times New Roman"/>
                <w:noProof/>
                <w:sz w:val="24"/>
                <w:szCs w:val="24"/>
              </w:rPr>
              <w:t>Main body</w:t>
            </w:r>
            <w:r w:rsidRPr="00451899">
              <w:rPr>
                <w:rFonts w:ascii="Times New Roman" w:hAnsi="Times New Roman" w:cs="Times New Roman"/>
                <w:noProof/>
                <w:webHidden/>
                <w:sz w:val="24"/>
                <w:szCs w:val="24"/>
              </w:rPr>
              <w:tab/>
            </w:r>
            <w:r w:rsidRPr="00451899">
              <w:rPr>
                <w:rFonts w:ascii="Times New Roman" w:hAnsi="Times New Roman" w:cs="Times New Roman"/>
                <w:noProof/>
                <w:webHidden/>
                <w:sz w:val="24"/>
                <w:szCs w:val="24"/>
              </w:rPr>
              <w:fldChar w:fldCharType="begin"/>
            </w:r>
            <w:r w:rsidRPr="00451899">
              <w:rPr>
                <w:rFonts w:ascii="Times New Roman" w:hAnsi="Times New Roman" w:cs="Times New Roman"/>
                <w:noProof/>
                <w:webHidden/>
                <w:sz w:val="24"/>
                <w:szCs w:val="24"/>
              </w:rPr>
              <w:instrText xml:space="preserve"> PAGEREF _Toc190531021 \h </w:instrText>
            </w:r>
            <w:r w:rsidRPr="00451899">
              <w:rPr>
                <w:rFonts w:ascii="Times New Roman" w:hAnsi="Times New Roman" w:cs="Times New Roman"/>
                <w:noProof/>
                <w:webHidden/>
                <w:sz w:val="24"/>
                <w:szCs w:val="24"/>
              </w:rPr>
            </w:r>
            <w:r w:rsidRPr="00451899">
              <w:rPr>
                <w:rFonts w:ascii="Times New Roman" w:hAnsi="Times New Roman" w:cs="Times New Roman"/>
                <w:noProof/>
                <w:webHidden/>
                <w:sz w:val="24"/>
                <w:szCs w:val="24"/>
              </w:rPr>
              <w:fldChar w:fldCharType="separate"/>
            </w:r>
            <w:r w:rsidRPr="00451899">
              <w:rPr>
                <w:rFonts w:ascii="Times New Roman" w:hAnsi="Times New Roman" w:cs="Times New Roman"/>
                <w:noProof/>
                <w:webHidden/>
                <w:sz w:val="24"/>
                <w:szCs w:val="24"/>
              </w:rPr>
              <w:t>4</w:t>
            </w:r>
            <w:r w:rsidRPr="00451899">
              <w:rPr>
                <w:rFonts w:ascii="Times New Roman" w:hAnsi="Times New Roman" w:cs="Times New Roman"/>
                <w:noProof/>
                <w:webHidden/>
                <w:sz w:val="24"/>
                <w:szCs w:val="24"/>
              </w:rPr>
              <w:fldChar w:fldCharType="end"/>
            </w:r>
          </w:hyperlink>
        </w:p>
        <w:p w14:paraId="3EE0CB6B" w14:textId="77777777" w:rsidR="00451899" w:rsidRPr="00451899" w:rsidRDefault="00451899" w:rsidP="0045189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90531022" w:history="1">
            <w:r w:rsidRPr="00451899">
              <w:rPr>
                <w:rStyle w:val="Hyperlink"/>
                <w:rFonts w:ascii="Times New Roman" w:hAnsi="Times New Roman" w:cs="Times New Roman"/>
                <w:noProof/>
                <w:sz w:val="24"/>
                <w:szCs w:val="24"/>
              </w:rPr>
              <w:t>Listing the project outputs (deliverables and other direct results)</w:t>
            </w:r>
            <w:r w:rsidRPr="00451899">
              <w:rPr>
                <w:rFonts w:ascii="Times New Roman" w:hAnsi="Times New Roman" w:cs="Times New Roman"/>
                <w:noProof/>
                <w:webHidden/>
                <w:sz w:val="24"/>
                <w:szCs w:val="24"/>
              </w:rPr>
              <w:tab/>
            </w:r>
            <w:r w:rsidRPr="00451899">
              <w:rPr>
                <w:rFonts w:ascii="Times New Roman" w:hAnsi="Times New Roman" w:cs="Times New Roman"/>
                <w:noProof/>
                <w:webHidden/>
                <w:sz w:val="24"/>
                <w:szCs w:val="24"/>
              </w:rPr>
              <w:fldChar w:fldCharType="begin"/>
            </w:r>
            <w:r w:rsidRPr="00451899">
              <w:rPr>
                <w:rFonts w:ascii="Times New Roman" w:hAnsi="Times New Roman" w:cs="Times New Roman"/>
                <w:noProof/>
                <w:webHidden/>
                <w:sz w:val="24"/>
                <w:szCs w:val="24"/>
              </w:rPr>
              <w:instrText xml:space="preserve"> PAGEREF _Toc190531022 \h </w:instrText>
            </w:r>
            <w:r w:rsidRPr="00451899">
              <w:rPr>
                <w:rFonts w:ascii="Times New Roman" w:hAnsi="Times New Roman" w:cs="Times New Roman"/>
                <w:noProof/>
                <w:webHidden/>
                <w:sz w:val="24"/>
                <w:szCs w:val="24"/>
              </w:rPr>
            </w:r>
            <w:r w:rsidRPr="00451899">
              <w:rPr>
                <w:rFonts w:ascii="Times New Roman" w:hAnsi="Times New Roman" w:cs="Times New Roman"/>
                <w:noProof/>
                <w:webHidden/>
                <w:sz w:val="24"/>
                <w:szCs w:val="24"/>
              </w:rPr>
              <w:fldChar w:fldCharType="separate"/>
            </w:r>
            <w:r w:rsidRPr="00451899">
              <w:rPr>
                <w:rFonts w:ascii="Times New Roman" w:hAnsi="Times New Roman" w:cs="Times New Roman"/>
                <w:noProof/>
                <w:webHidden/>
                <w:sz w:val="24"/>
                <w:szCs w:val="24"/>
              </w:rPr>
              <w:t>4</w:t>
            </w:r>
            <w:r w:rsidRPr="00451899">
              <w:rPr>
                <w:rFonts w:ascii="Times New Roman" w:hAnsi="Times New Roman" w:cs="Times New Roman"/>
                <w:noProof/>
                <w:webHidden/>
                <w:sz w:val="24"/>
                <w:szCs w:val="24"/>
              </w:rPr>
              <w:fldChar w:fldCharType="end"/>
            </w:r>
          </w:hyperlink>
        </w:p>
        <w:p w14:paraId="50E8A947" w14:textId="77777777" w:rsidR="00451899" w:rsidRPr="00451899" w:rsidRDefault="00451899" w:rsidP="0045189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90531023" w:history="1">
            <w:r w:rsidRPr="00451899">
              <w:rPr>
                <w:rStyle w:val="Hyperlink"/>
                <w:rFonts w:ascii="Times New Roman" w:hAnsi="Times New Roman" w:cs="Times New Roman"/>
                <w:noProof/>
                <w:sz w:val="24"/>
                <w:szCs w:val="24"/>
              </w:rPr>
              <w:t>Identification of the activities required to deliver the outputs</w:t>
            </w:r>
            <w:r w:rsidRPr="00451899">
              <w:rPr>
                <w:rFonts w:ascii="Times New Roman" w:hAnsi="Times New Roman" w:cs="Times New Roman"/>
                <w:noProof/>
                <w:webHidden/>
                <w:sz w:val="24"/>
                <w:szCs w:val="24"/>
              </w:rPr>
              <w:tab/>
            </w:r>
            <w:r w:rsidRPr="00451899">
              <w:rPr>
                <w:rFonts w:ascii="Times New Roman" w:hAnsi="Times New Roman" w:cs="Times New Roman"/>
                <w:noProof/>
                <w:webHidden/>
                <w:sz w:val="24"/>
                <w:szCs w:val="24"/>
              </w:rPr>
              <w:fldChar w:fldCharType="begin"/>
            </w:r>
            <w:r w:rsidRPr="00451899">
              <w:rPr>
                <w:rFonts w:ascii="Times New Roman" w:hAnsi="Times New Roman" w:cs="Times New Roman"/>
                <w:noProof/>
                <w:webHidden/>
                <w:sz w:val="24"/>
                <w:szCs w:val="24"/>
              </w:rPr>
              <w:instrText xml:space="preserve"> PAGEREF _Toc190531023 \h </w:instrText>
            </w:r>
            <w:r w:rsidRPr="00451899">
              <w:rPr>
                <w:rFonts w:ascii="Times New Roman" w:hAnsi="Times New Roman" w:cs="Times New Roman"/>
                <w:noProof/>
                <w:webHidden/>
                <w:sz w:val="24"/>
                <w:szCs w:val="24"/>
              </w:rPr>
            </w:r>
            <w:r w:rsidRPr="00451899">
              <w:rPr>
                <w:rFonts w:ascii="Times New Roman" w:hAnsi="Times New Roman" w:cs="Times New Roman"/>
                <w:noProof/>
                <w:webHidden/>
                <w:sz w:val="24"/>
                <w:szCs w:val="24"/>
              </w:rPr>
              <w:fldChar w:fldCharType="separate"/>
            </w:r>
            <w:r w:rsidRPr="00451899">
              <w:rPr>
                <w:rFonts w:ascii="Times New Roman" w:hAnsi="Times New Roman" w:cs="Times New Roman"/>
                <w:noProof/>
                <w:webHidden/>
                <w:sz w:val="24"/>
                <w:szCs w:val="24"/>
              </w:rPr>
              <w:t>4</w:t>
            </w:r>
            <w:r w:rsidRPr="00451899">
              <w:rPr>
                <w:rFonts w:ascii="Times New Roman" w:hAnsi="Times New Roman" w:cs="Times New Roman"/>
                <w:noProof/>
                <w:webHidden/>
                <w:sz w:val="24"/>
                <w:szCs w:val="24"/>
              </w:rPr>
              <w:fldChar w:fldCharType="end"/>
            </w:r>
          </w:hyperlink>
        </w:p>
        <w:p w14:paraId="08B2E7BB" w14:textId="77777777" w:rsidR="00451899" w:rsidRPr="00451899" w:rsidRDefault="00451899" w:rsidP="0045189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90531024" w:history="1">
            <w:r w:rsidRPr="00451899">
              <w:rPr>
                <w:rStyle w:val="Hyperlink"/>
                <w:rFonts w:ascii="Times New Roman" w:hAnsi="Times New Roman" w:cs="Times New Roman"/>
                <w:noProof/>
                <w:sz w:val="24"/>
                <w:szCs w:val="24"/>
                <w:highlight w:val="white"/>
                <w:lang w:val="en-IN"/>
              </w:rPr>
              <w:t>Work Breakdown Structure for Green Glory Project</w:t>
            </w:r>
            <w:r w:rsidRPr="00451899">
              <w:rPr>
                <w:rFonts w:ascii="Times New Roman" w:hAnsi="Times New Roman" w:cs="Times New Roman"/>
                <w:noProof/>
                <w:webHidden/>
                <w:sz w:val="24"/>
                <w:szCs w:val="24"/>
              </w:rPr>
              <w:tab/>
            </w:r>
            <w:r w:rsidRPr="00451899">
              <w:rPr>
                <w:rFonts w:ascii="Times New Roman" w:hAnsi="Times New Roman" w:cs="Times New Roman"/>
                <w:noProof/>
                <w:webHidden/>
                <w:sz w:val="24"/>
                <w:szCs w:val="24"/>
              </w:rPr>
              <w:fldChar w:fldCharType="begin"/>
            </w:r>
            <w:r w:rsidRPr="00451899">
              <w:rPr>
                <w:rFonts w:ascii="Times New Roman" w:hAnsi="Times New Roman" w:cs="Times New Roman"/>
                <w:noProof/>
                <w:webHidden/>
                <w:sz w:val="24"/>
                <w:szCs w:val="24"/>
              </w:rPr>
              <w:instrText xml:space="preserve"> PAGEREF _Toc190531024 \h </w:instrText>
            </w:r>
            <w:r w:rsidRPr="00451899">
              <w:rPr>
                <w:rFonts w:ascii="Times New Roman" w:hAnsi="Times New Roman" w:cs="Times New Roman"/>
                <w:noProof/>
                <w:webHidden/>
                <w:sz w:val="24"/>
                <w:szCs w:val="24"/>
              </w:rPr>
            </w:r>
            <w:r w:rsidRPr="00451899">
              <w:rPr>
                <w:rFonts w:ascii="Times New Roman" w:hAnsi="Times New Roman" w:cs="Times New Roman"/>
                <w:noProof/>
                <w:webHidden/>
                <w:sz w:val="24"/>
                <w:szCs w:val="24"/>
              </w:rPr>
              <w:fldChar w:fldCharType="separate"/>
            </w:r>
            <w:r w:rsidRPr="00451899">
              <w:rPr>
                <w:rFonts w:ascii="Times New Roman" w:hAnsi="Times New Roman" w:cs="Times New Roman"/>
                <w:noProof/>
                <w:webHidden/>
                <w:sz w:val="24"/>
                <w:szCs w:val="24"/>
              </w:rPr>
              <w:t>7</w:t>
            </w:r>
            <w:r w:rsidRPr="00451899">
              <w:rPr>
                <w:rFonts w:ascii="Times New Roman" w:hAnsi="Times New Roman" w:cs="Times New Roman"/>
                <w:noProof/>
                <w:webHidden/>
                <w:sz w:val="24"/>
                <w:szCs w:val="24"/>
              </w:rPr>
              <w:fldChar w:fldCharType="end"/>
            </w:r>
          </w:hyperlink>
        </w:p>
        <w:p w14:paraId="5270A9BA" w14:textId="77777777" w:rsidR="00451899" w:rsidRPr="00451899" w:rsidRDefault="00451899" w:rsidP="0045189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90531025" w:history="1">
            <w:r w:rsidRPr="00451899">
              <w:rPr>
                <w:rStyle w:val="Hyperlink"/>
                <w:rFonts w:ascii="Times New Roman" w:hAnsi="Times New Roman" w:cs="Times New Roman"/>
                <w:noProof/>
                <w:sz w:val="24"/>
                <w:szCs w:val="24"/>
                <w:highlight w:val="white"/>
                <w:lang w:val="en-IN"/>
              </w:rPr>
              <w:t xml:space="preserve">Identifying the deliverable and milestone(s) of </w:t>
            </w:r>
            <w:r w:rsidRPr="00451899">
              <w:rPr>
                <w:rStyle w:val="Hyperlink"/>
                <w:rFonts w:ascii="Times New Roman" w:hAnsi="Times New Roman" w:cs="Times New Roman"/>
                <w:noProof/>
                <w:sz w:val="24"/>
                <w:szCs w:val="24"/>
                <w:highlight w:val="white"/>
              </w:rPr>
              <w:t>each</w:t>
            </w:r>
            <w:r w:rsidRPr="00451899">
              <w:rPr>
                <w:rStyle w:val="Hyperlink"/>
                <w:rFonts w:ascii="Times New Roman" w:hAnsi="Times New Roman" w:cs="Times New Roman"/>
                <w:noProof/>
                <w:sz w:val="24"/>
                <w:szCs w:val="24"/>
                <w:highlight w:val="white"/>
                <w:lang w:val="en-IN"/>
              </w:rPr>
              <w:t xml:space="preserve"> task (timeline to complete)</w:t>
            </w:r>
            <w:r w:rsidRPr="00451899">
              <w:rPr>
                <w:rFonts w:ascii="Times New Roman" w:hAnsi="Times New Roman" w:cs="Times New Roman"/>
                <w:noProof/>
                <w:webHidden/>
                <w:sz w:val="24"/>
                <w:szCs w:val="24"/>
              </w:rPr>
              <w:tab/>
            </w:r>
            <w:r w:rsidRPr="00451899">
              <w:rPr>
                <w:rFonts w:ascii="Times New Roman" w:hAnsi="Times New Roman" w:cs="Times New Roman"/>
                <w:noProof/>
                <w:webHidden/>
                <w:sz w:val="24"/>
                <w:szCs w:val="24"/>
              </w:rPr>
              <w:fldChar w:fldCharType="begin"/>
            </w:r>
            <w:r w:rsidRPr="00451899">
              <w:rPr>
                <w:rFonts w:ascii="Times New Roman" w:hAnsi="Times New Roman" w:cs="Times New Roman"/>
                <w:noProof/>
                <w:webHidden/>
                <w:sz w:val="24"/>
                <w:szCs w:val="24"/>
              </w:rPr>
              <w:instrText xml:space="preserve"> PAGEREF _Toc190531025 \h </w:instrText>
            </w:r>
            <w:r w:rsidRPr="00451899">
              <w:rPr>
                <w:rFonts w:ascii="Times New Roman" w:hAnsi="Times New Roman" w:cs="Times New Roman"/>
                <w:noProof/>
                <w:webHidden/>
                <w:sz w:val="24"/>
                <w:szCs w:val="24"/>
              </w:rPr>
            </w:r>
            <w:r w:rsidRPr="00451899">
              <w:rPr>
                <w:rFonts w:ascii="Times New Roman" w:hAnsi="Times New Roman" w:cs="Times New Roman"/>
                <w:noProof/>
                <w:webHidden/>
                <w:sz w:val="24"/>
                <w:szCs w:val="24"/>
              </w:rPr>
              <w:fldChar w:fldCharType="separate"/>
            </w:r>
            <w:r w:rsidRPr="00451899">
              <w:rPr>
                <w:rFonts w:ascii="Times New Roman" w:hAnsi="Times New Roman" w:cs="Times New Roman"/>
                <w:noProof/>
                <w:webHidden/>
                <w:sz w:val="24"/>
                <w:szCs w:val="24"/>
              </w:rPr>
              <w:t>10</w:t>
            </w:r>
            <w:r w:rsidRPr="00451899">
              <w:rPr>
                <w:rFonts w:ascii="Times New Roman" w:hAnsi="Times New Roman" w:cs="Times New Roman"/>
                <w:noProof/>
                <w:webHidden/>
                <w:sz w:val="24"/>
                <w:szCs w:val="24"/>
              </w:rPr>
              <w:fldChar w:fldCharType="end"/>
            </w:r>
          </w:hyperlink>
        </w:p>
        <w:p w14:paraId="472C38A2" w14:textId="77777777" w:rsidR="00451899" w:rsidRPr="00451899" w:rsidRDefault="00451899" w:rsidP="00451899">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90531026" w:history="1">
            <w:r w:rsidRPr="00451899">
              <w:rPr>
                <w:rStyle w:val="Hyperlink"/>
                <w:rFonts w:ascii="Times New Roman" w:hAnsi="Times New Roman" w:cs="Times New Roman"/>
                <w:noProof/>
                <w:sz w:val="24"/>
                <w:szCs w:val="24"/>
              </w:rPr>
              <w:t>Usage of the resources (personnel and material) required to complete each task</w:t>
            </w:r>
            <w:r w:rsidRPr="00451899">
              <w:rPr>
                <w:rFonts w:ascii="Times New Roman" w:hAnsi="Times New Roman" w:cs="Times New Roman"/>
                <w:noProof/>
                <w:webHidden/>
                <w:sz w:val="24"/>
                <w:szCs w:val="24"/>
              </w:rPr>
              <w:tab/>
            </w:r>
            <w:r w:rsidRPr="00451899">
              <w:rPr>
                <w:rFonts w:ascii="Times New Roman" w:hAnsi="Times New Roman" w:cs="Times New Roman"/>
                <w:noProof/>
                <w:webHidden/>
                <w:sz w:val="24"/>
                <w:szCs w:val="24"/>
              </w:rPr>
              <w:fldChar w:fldCharType="begin"/>
            </w:r>
            <w:r w:rsidRPr="00451899">
              <w:rPr>
                <w:rFonts w:ascii="Times New Roman" w:hAnsi="Times New Roman" w:cs="Times New Roman"/>
                <w:noProof/>
                <w:webHidden/>
                <w:sz w:val="24"/>
                <w:szCs w:val="24"/>
              </w:rPr>
              <w:instrText xml:space="preserve"> PAGEREF _Toc190531026 \h </w:instrText>
            </w:r>
            <w:r w:rsidRPr="00451899">
              <w:rPr>
                <w:rFonts w:ascii="Times New Roman" w:hAnsi="Times New Roman" w:cs="Times New Roman"/>
                <w:noProof/>
                <w:webHidden/>
                <w:sz w:val="24"/>
                <w:szCs w:val="24"/>
              </w:rPr>
            </w:r>
            <w:r w:rsidRPr="00451899">
              <w:rPr>
                <w:rFonts w:ascii="Times New Roman" w:hAnsi="Times New Roman" w:cs="Times New Roman"/>
                <w:noProof/>
                <w:webHidden/>
                <w:sz w:val="24"/>
                <w:szCs w:val="24"/>
              </w:rPr>
              <w:fldChar w:fldCharType="separate"/>
            </w:r>
            <w:r w:rsidRPr="00451899">
              <w:rPr>
                <w:rFonts w:ascii="Times New Roman" w:hAnsi="Times New Roman" w:cs="Times New Roman"/>
                <w:noProof/>
                <w:webHidden/>
                <w:sz w:val="24"/>
                <w:szCs w:val="24"/>
              </w:rPr>
              <w:t>13</w:t>
            </w:r>
            <w:r w:rsidRPr="00451899">
              <w:rPr>
                <w:rFonts w:ascii="Times New Roman" w:hAnsi="Times New Roman" w:cs="Times New Roman"/>
                <w:noProof/>
                <w:webHidden/>
                <w:sz w:val="24"/>
                <w:szCs w:val="24"/>
              </w:rPr>
              <w:fldChar w:fldCharType="end"/>
            </w:r>
          </w:hyperlink>
        </w:p>
        <w:p w14:paraId="0685868E" w14:textId="77777777" w:rsidR="00451899" w:rsidRPr="00451899" w:rsidRDefault="00451899" w:rsidP="0045189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90531027" w:history="1">
            <w:r w:rsidRPr="00451899">
              <w:rPr>
                <w:rStyle w:val="Hyperlink"/>
                <w:rFonts w:ascii="Times New Roman" w:hAnsi="Times New Roman" w:cs="Times New Roman"/>
                <w:noProof/>
                <w:sz w:val="24"/>
                <w:szCs w:val="24"/>
                <w:highlight w:val="white"/>
                <w:lang w:val="en-IN"/>
              </w:rPr>
              <w:t>Conclusion</w:t>
            </w:r>
            <w:r w:rsidRPr="00451899">
              <w:rPr>
                <w:rFonts w:ascii="Times New Roman" w:hAnsi="Times New Roman" w:cs="Times New Roman"/>
                <w:noProof/>
                <w:webHidden/>
                <w:sz w:val="24"/>
                <w:szCs w:val="24"/>
              </w:rPr>
              <w:tab/>
            </w:r>
            <w:r w:rsidRPr="00451899">
              <w:rPr>
                <w:rFonts w:ascii="Times New Roman" w:hAnsi="Times New Roman" w:cs="Times New Roman"/>
                <w:noProof/>
                <w:webHidden/>
                <w:sz w:val="24"/>
                <w:szCs w:val="24"/>
              </w:rPr>
              <w:fldChar w:fldCharType="begin"/>
            </w:r>
            <w:r w:rsidRPr="00451899">
              <w:rPr>
                <w:rFonts w:ascii="Times New Roman" w:hAnsi="Times New Roman" w:cs="Times New Roman"/>
                <w:noProof/>
                <w:webHidden/>
                <w:sz w:val="24"/>
                <w:szCs w:val="24"/>
              </w:rPr>
              <w:instrText xml:space="preserve"> PAGEREF _Toc190531027 \h </w:instrText>
            </w:r>
            <w:r w:rsidRPr="00451899">
              <w:rPr>
                <w:rFonts w:ascii="Times New Roman" w:hAnsi="Times New Roman" w:cs="Times New Roman"/>
                <w:noProof/>
                <w:webHidden/>
                <w:sz w:val="24"/>
                <w:szCs w:val="24"/>
              </w:rPr>
            </w:r>
            <w:r w:rsidRPr="00451899">
              <w:rPr>
                <w:rFonts w:ascii="Times New Roman" w:hAnsi="Times New Roman" w:cs="Times New Roman"/>
                <w:noProof/>
                <w:webHidden/>
                <w:sz w:val="24"/>
                <w:szCs w:val="24"/>
              </w:rPr>
              <w:fldChar w:fldCharType="separate"/>
            </w:r>
            <w:r w:rsidRPr="00451899">
              <w:rPr>
                <w:rFonts w:ascii="Times New Roman" w:hAnsi="Times New Roman" w:cs="Times New Roman"/>
                <w:noProof/>
                <w:webHidden/>
                <w:sz w:val="24"/>
                <w:szCs w:val="24"/>
              </w:rPr>
              <w:t>13</w:t>
            </w:r>
            <w:r w:rsidRPr="00451899">
              <w:rPr>
                <w:rFonts w:ascii="Times New Roman" w:hAnsi="Times New Roman" w:cs="Times New Roman"/>
                <w:noProof/>
                <w:webHidden/>
                <w:sz w:val="24"/>
                <w:szCs w:val="24"/>
              </w:rPr>
              <w:fldChar w:fldCharType="end"/>
            </w:r>
          </w:hyperlink>
        </w:p>
        <w:p w14:paraId="4B87B80C" w14:textId="77777777" w:rsidR="00451899" w:rsidRPr="00451899" w:rsidRDefault="00451899" w:rsidP="00451899">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90531028" w:history="1">
            <w:r w:rsidRPr="00451899">
              <w:rPr>
                <w:rStyle w:val="Hyperlink"/>
                <w:rFonts w:ascii="Times New Roman" w:hAnsi="Times New Roman" w:cs="Times New Roman"/>
                <w:noProof/>
                <w:sz w:val="24"/>
                <w:szCs w:val="24"/>
              </w:rPr>
              <w:t>Reference List</w:t>
            </w:r>
            <w:r w:rsidRPr="00451899">
              <w:rPr>
                <w:rFonts w:ascii="Times New Roman" w:hAnsi="Times New Roman" w:cs="Times New Roman"/>
                <w:noProof/>
                <w:webHidden/>
                <w:sz w:val="24"/>
                <w:szCs w:val="24"/>
              </w:rPr>
              <w:tab/>
            </w:r>
            <w:r w:rsidRPr="00451899">
              <w:rPr>
                <w:rFonts w:ascii="Times New Roman" w:hAnsi="Times New Roman" w:cs="Times New Roman"/>
                <w:noProof/>
                <w:webHidden/>
                <w:sz w:val="24"/>
                <w:szCs w:val="24"/>
              </w:rPr>
              <w:fldChar w:fldCharType="begin"/>
            </w:r>
            <w:r w:rsidRPr="00451899">
              <w:rPr>
                <w:rFonts w:ascii="Times New Roman" w:hAnsi="Times New Roman" w:cs="Times New Roman"/>
                <w:noProof/>
                <w:webHidden/>
                <w:sz w:val="24"/>
                <w:szCs w:val="24"/>
              </w:rPr>
              <w:instrText xml:space="preserve"> PAGEREF _Toc190531028 \h </w:instrText>
            </w:r>
            <w:r w:rsidRPr="00451899">
              <w:rPr>
                <w:rFonts w:ascii="Times New Roman" w:hAnsi="Times New Roman" w:cs="Times New Roman"/>
                <w:noProof/>
                <w:webHidden/>
                <w:sz w:val="24"/>
                <w:szCs w:val="24"/>
              </w:rPr>
            </w:r>
            <w:r w:rsidRPr="00451899">
              <w:rPr>
                <w:rFonts w:ascii="Times New Roman" w:hAnsi="Times New Roman" w:cs="Times New Roman"/>
                <w:noProof/>
                <w:webHidden/>
                <w:sz w:val="24"/>
                <w:szCs w:val="24"/>
              </w:rPr>
              <w:fldChar w:fldCharType="separate"/>
            </w:r>
            <w:r w:rsidRPr="00451899">
              <w:rPr>
                <w:rFonts w:ascii="Times New Roman" w:hAnsi="Times New Roman" w:cs="Times New Roman"/>
                <w:noProof/>
                <w:webHidden/>
                <w:sz w:val="24"/>
                <w:szCs w:val="24"/>
              </w:rPr>
              <w:t>15</w:t>
            </w:r>
            <w:r w:rsidRPr="00451899">
              <w:rPr>
                <w:rFonts w:ascii="Times New Roman" w:hAnsi="Times New Roman" w:cs="Times New Roman"/>
                <w:noProof/>
                <w:webHidden/>
                <w:sz w:val="24"/>
                <w:szCs w:val="24"/>
              </w:rPr>
              <w:fldChar w:fldCharType="end"/>
            </w:r>
          </w:hyperlink>
        </w:p>
        <w:p w14:paraId="30AC829F" w14:textId="77777777" w:rsidR="00382B0F" w:rsidRPr="00382B0F" w:rsidRDefault="00000000" w:rsidP="00451899">
          <w:pPr>
            <w:spacing w:line="360" w:lineRule="auto"/>
            <w:jc w:val="both"/>
            <w:rPr>
              <w:rFonts w:ascii="Times New Roman" w:hAnsi="Times New Roman" w:cs="Times New Roman"/>
              <w:sz w:val="24"/>
              <w:szCs w:val="24"/>
            </w:rPr>
          </w:pPr>
          <w:r w:rsidRPr="00451899">
            <w:rPr>
              <w:rFonts w:ascii="Times New Roman" w:hAnsi="Times New Roman" w:cs="Times New Roman"/>
              <w:b/>
              <w:bCs/>
              <w:noProof/>
              <w:sz w:val="24"/>
              <w:szCs w:val="24"/>
            </w:rPr>
            <w:fldChar w:fldCharType="end"/>
          </w:r>
        </w:p>
      </w:sdtContent>
    </w:sdt>
    <w:p w14:paraId="651BD491" w14:textId="77777777" w:rsidR="00083226" w:rsidRDefault="00000000">
      <w:pPr>
        <w:rPr>
          <w:rFonts w:ascii="Times New Roman" w:eastAsia="Times New Roman" w:hAnsi="Times New Roman" w:cs="Times New Roman"/>
          <w:b/>
          <w:sz w:val="28"/>
          <w:szCs w:val="28"/>
        </w:rPr>
      </w:pPr>
      <w:r>
        <w:br w:type="page"/>
      </w:r>
    </w:p>
    <w:p w14:paraId="77B6B176" w14:textId="77777777" w:rsidR="00C20C29" w:rsidRDefault="00000000">
      <w:pPr>
        <w:pStyle w:val="Heading1"/>
      </w:pPr>
      <w:bookmarkStart w:id="1" w:name="_Toc190531019"/>
      <w:r>
        <w:lastRenderedPageBreak/>
        <w:t>Brief introduction about the selected project</w:t>
      </w:r>
      <w:bookmarkEnd w:id="1"/>
    </w:p>
    <w:p w14:paraId="36C3068F" w14:textId="77777777" w:rsidR="00C20C29" w:rsidRDefault="00000000">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The “</w:t>
      </w:r>
      <w:r w:rsidR="00451899">
        <w:rPr>
          <w:rFonts w:ascii="Times New Roman" w:eastAsia="Times New Roman" w:hAnsi="Times New Roman" w:cs="Times New Roman"/>
          <w:sz w:val="24"/>
          <w:szCs w:val="24"/>
          <w:highlight w:val="white"/>
        </w:rPr>
        <w:t>Green Glory</w:t>
      </w:r>
      <w:r w:rsidR="00083226">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project is an initiative that aims to use the underutilized urban spaces to transform them into eco-friendly community parks. Major conversion of the vacant places that are mostly neglected can offer positive environmental impacts to the society and community if </w:t>
      </w:r>
      <w:r w:rsidR="00451899">
        <w:rPr>
          <w:rFonts w:ascii="Times New Roman" w:eastAsia="Times New Roman" w:hAnsi="Times New Roman" w:cs="Times New Roman"/>
          <w:sz w:val="24"/>
          <w:szCs w:val="24"/>
          <w:highlight w:val="white"/>
        </w:rPr>
        <w:t>utilized</w:t>
      </w:r>
      <w:r>
        <w:rPr>
          <w:rFonts w:ascii="Times New Roman" w:eastAsia="Times New Roman" w:hAnsi="Times New Roman" w:cs="Times New Roman"/>
          <w:sz w:val="24"/>
          <w:szCs w:val="24"/>
          <w:highlight w:val="white"/>
        </w:rPr>
        <w:t xml:space="preserve"> properly (</w:t>
      </w:r>
      <w:r>
        <w:rPr>
          <w:rFonts w:ascii="Times New Roman" w:eastAsia="Times New Roman" w:hAnsi="Times New Roman" w:cs="Times New Roman"/>
          <w:color w:val="222222"/>
          <w:sz w:val="24"/>
          <w:szCs w:val="24"/>
          <w:highlight w:val="white"/>
        </w:rPr>
        <w:t xml:space="preserve">Kim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highlight w:val="white"/>
        </w:rPr>
        <w:t>). The project mainly seeks to convert useless spaces into sustainable ones to enhance urban biodiversity along with offering residents</w:t>
      </w:r>
      <w:r w:rsidR="0008322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accessible spaces for recreation and healthy living. Promotion of a sustainable environment and awareness within the community by designing urban green spaces can support the local wildlife to some extent along with introducing native plants. These can enhance the air quality while offering communal areas for social interaction and leisure activities as well. The project has another purpose to engage local communities in the entire project from planning to development, management, and sustainable measures followed by the closure stage as a whole. Through sustainable design and community collaboration, the project aims to create long-lasting social and environmental benefits to improve the well-being of urban residents and the environment.</w:t>
      </w:r>
    </w:p>
    <w:p w14:paraId="72DF7E2D" w14:textId="77777777" w:rsidR="00C20C29" w:rsidRDefault="00000000">
      <w:pPr>
        <w:pStyle w:val="Heading1"/>
      </w:pPr>
      <w:bookmarkStart w:id="2" w:name="_xsn7ovpp7jci" w:colFirst="0" w:colLast="0"/>
      <w:bookmarkStart w:id="3" w:name="_Toc190531020"/>
      <w:bookmarkEnd w:id="2"/>
      <w:r>
        <w:t>The aim, objectives and scope of the project</w:t>
      </w:r>
      <w:bookmarkEnd w:id="3"/>
      <w:r>
        <w:t xml:space="preserve"> </w:t>
      </w:r>
    </w:p>
    <w:p w14:paraId="02F88993" w14:textId="77777777" w:rsidR="00C20C29" w:rsidRDefault="00000000">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Aim</w:t>
      </w:r>
    </w:p>
    <w:p w14:paraId="13C27E62" w14:textId="77777777" w:rsidR="00C20C29"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w:t>
      </w:r>
      <w:r w:rsidR="00451899">
        <w:rPr>
          <w:rFonts w:ascii="Times New Roman" w:eastAsia="Times New Roman" w:hAnsi="Times New Roman" w:cs="Times New Roman"/>
          <w:sz w:val="24"/>
          <w:szCs w:val="24"/>
          <w:highlight w:val="white"/>
        </w:rPr>
        <w:t>Green Glory</w:t>
      </w:r>
      <w:r>
        <w:rPr>
          <w:rFonts w:ascii="Times New Roman" w:eastAsia="Times New Roman" w:hAnsi="Times New Roman" w:cs="Times New Roman"/>
          <w:sz w:val="24"/>
          <w:szCs w:val="24"/>
          <w:highlight w:val="white"/>
        </w:rPr>
        <w:t xml:space="preserve">” projects aim to revitalize the underutilized urban specs by transforming them into eco-friendly community parks to improve biodiversity coupled with accessible recreational areas. </w:t>
      </w:r>
    </w:p>
    <w:p w14:paraId="27772F00" w14:textId="77777777" w:rsidR="00C20C29" w:rsidRDefault="00000000">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Objectives</w:t>
      </w:r>
    </w:p>
    <w:p w14:paraId="2252E2BA" w14:textId="77777777" w:rsidR="00C20C29" w:rsidRDefault="00000000">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Environmental enhancement by introducing native flora to improve air quality</w:t>
      </w:r>
    </w:p>
    <w:p w14:paraId="60D0B73C" w14:textId="77777777" w:rsidR="00C20C29" w:rsidRDefault="00000000">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Involving residents in all project stages to foster a sense of ownership </w:t>
      </w:r>
      <w:r w:rsidR="00083226">
        <w:rPr>
          <w:rFonts w:ascii="Times New Roman" w:eastAsia="Times New Roman" w:hAnsi="Times New Roman" w:cs="Times New Roman"/>
          <w:sz w:val="24"/>
          <w:szCs w:val="24"/>
          <w:highlight w:val="white"/>
        </w:rPr>
        <w:t>t</w:t>
      </w:r>
      <w:r>
        <w:rPr>
          <w:rFonts w:ascii="Times New Roman" w:eastAsia="Times New Roman" w:hAnsi="Times New Roman" w:cs="Times New Roman"/>
          <w:sz w:val="24"/>
          <w:szCs w:val="24"/>
          <w:highlight w:val="white"/>
        </w:rPr>
        <w:t>o ensure community engagement for meeting project needs</w:t>
      </w:r>
    </w:p>
    <w:p w14:paraId="42126571" w14:textId="77777777" w:rsidR="00C20C29" w:rsidRDefault="00000000">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Incorporating green infrastructure to reduce urban heat effects </w:t>
      </w:r>
    </w:p>
    <w:p w14:paraId="56CA886D" w14:textId="77777777" w:rsidR="00C20C29" w:rsidRDefault="00000000">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Scope of the project</w:t>
      </w:r>
    </w:p>
    <w:p w14:paraId="32E09869" w14:textId="77777777" w:rsidR="00C20C29" w:rsidRDefault="00000000">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The scope of the project includes identification of the suitable underutilized urban spaces for environmental transformation and the designing of the parks while collaborating with the community, overseeing construction and establishing ongoing maintenance plans. By focusing on these areas, the project can seek to create some vibrant, sustainable green spaces that contribute to the well-being of the urban environments and their inhabitants.</w:t>
      </w:r>
    </w:p>
    <w:p w14:paraId="6D43D3AD" w14:textId="77777777" w:rsidR="00C20C29" w:rsidRDefault="00000000">
      <w:pPr>
        <w:pStyle w:val="Heading1"/>
      </w:pPr>
      <w:bookmarkStart w:id="4" w:name="_pd7kqnv4c7vm" w:colFirst="0" w:colLast="0"/>
      <w:bookmarkStart w:id="5" w:name="_Toc190531021"/>
      <w:bookmarkEnd w:id="4"/>
      <w:r>
        <w:lastRenderedPageBreak/>
        <w:t>Main body</w:t>
      </w:r>
      <w:bookmarkEnd w:id="5"/>
    </w:p>
    <w:p w14:paraId="5E1C8463" w14:textId="77777777" w:rsidR="00C20C29" w:rsidRDefault="00000000">
      <w:pPr>
        <w:pStyle w:val="Heading2"/>
      </w:pPr>
      <w:bookmarkStart w:id="6" w:name="_tgibcjqrhvvr" w:colFirst="0" w:colLast="0"/>
      <w:bookmarkStart w:id="7" w:name="_Toc190531022"/>
      <w:bookmarkEnd w:id="6"/>
      <w:r>
        <w:t>Listing the project outputs (deliverables and other direct results)</w:t>
      </w:r>
      <w:bookmarkEnd w:id="7"/>
    </w:p>
    <w:p w14:paraId="070FC394" w14:textId="77777777" w:rsidR="00C20C29"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potential project outputs include the following:</w:t>
      </w:r>
    </w:p>
    <w:p w14:paraId="02CEB0AD" w14:textId="77777777" w:rsidR="00C20C29" w:rsidRDefault="00000000">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Development of eco-friendly community parks featuring native plants, walking trails, seating areas and playgrounds to offer recreational areas to residents.</w:t>
      </w:r>
    </w:p>
    <w:p w14:paraId="4E5CA142" w14:textId="77777777" w:rsidR="00C20C29" w:rsidRDefault="00000000">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Green Infrastructure installation for managing urban heat island effects</w:t>
      </w:r>
    </w:p>
    <w:p w14:paraId="52A33499" w14:textId="77777777" w:rsidR="00C20C29" w:rsidRDefault="00000000">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Community engagement programs with tailored workshops and volunteer initiatives to involve local residents in the planning, development and park maintenance as a whole to foster a sense of community cohesion and ownership</w:t>
      </w:r>
    </w:p>
    <w:p w14:paraId="5A25B755" w14:textId="77777777" w:rsidR="00C20C29" w:rsidRDefault="00000000">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Installation of spaces for educating residents and visitors about the need for balancing local ecology, sustainable practices and the environmental benefits of green spaces for better education signage and facilities </w:t>
      </w:r>
    </w:p>
    <w:p w14:paraId="73F72B57" w14:textId="77777777" w:rsidR="00C20C29" w:rsidRDefault="00000000">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Development of structured maintenance schedules and assignment of responsibilities to ensure the safety, cleanliness and vibrant essence of the parks for long-term community use.</w:t>
      </w:r>
    </w:p>
    <w:p w14:paraId="6C46A549" w14:textId="77777777" w:rsidR="00C20C29"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deliverables collectively aim to improve urban diversity and promote environmental sustain</w:t>
      </w:r>
      <w:r w:rsidR="00083226">
        <w:rPr>
          <w:rFonts w:ascii="Times New Roman" w:eastAsia="Times New Roman" w:hAnsi="Times New Roman" w:cs="Times New Roman"/>
          <w:sz w:val="24"/>
          <w:szCs w:val="24"/>
          <w:highlight w:val="white"/>
        </w:rPr>
        <w:t>a</w:t>
      </w:r>
      <w:r>
        <w:rPr>
          <w:rFonts w:ascii="Times New Roman" w:eastAsia="Times New Roman" w:hAnsi="Times New Roman" w:cs="Times New Roman"/>
          <w:sz w:val="24"/>
          <w:szCs w:val="24"/>
          <w:highlight w:val="white"/>
        </w:rPr>
        <w:t>bility as a whole to improve the quality of living for the nearby residents by offering well-maintained and eco-friendly community space.</w:t>
      </w:r>
    </w:p>
    <w:p w14:paraId="6D3FC4F2" w14:textId="77777777" w:rsidR="00C20C29" w:rsidRDefault="00000000">
      <w:pPr>
        <w:pStyle w:val="Heading2"/>
      </w:pPr>
      <w:bookmarkStart w:id="8" w:name="_8dsezcajejao" w:colFirst="0" w:colLast="0"/>
      <w:bookmarkStart w:id="9" w:name="_Toc190531023"/>
      <w:bookmarkEnd w:id="8"/>
      <w:r>
        <w:t>Identification of the activities required to deliver the outputs</w:t>
      </w:r>
      <w:bookmarkEnd w:id="9"/>
      <w:r>
        <w:t xml:space="preserve"> </w:t>
      </w:r>
    </w:p>
    <w:p w14:paraId="4273799D" w14:textId="77777777" w:rsidR="00C20C29"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successful implementation of the “</w:t>
      </w:r>
      <w:r w:rsidR="00451899">
        <w:rPr>
          <w:rFonts w:ascii="Times New Roman" w:eastAsia="Times New Roman" w:hAnsi="Times New Roman" w:cs="Times New Roman"/>
          <w:sz w:val="24"/>
          <w:szCs w:val="24"/>
          <w:highlight w:val="white"/>
        </w:rPr>
        <w:t>Green Glory</w:t>
      </w:r>
      <w:r>
        <w:rPr>
          <w:rFonts w:ascii="Times New Roman" w:eastAsia="Times New Roman" w:hAnsi="Times New Roman" w:cs="Times New Roman"/>
          <w:sz w:val="24"/>
          <w:szCs w:val="24"/>
          <w:highlight w:val="white"/>
        </w:rPr>
        <w:t>” project entails transforming the underutilized urban areas into eco-friendly community parks demanding a detailed Work Breakdown Structure (WBS) which is essential. Work Breakdown Structure (WBS) divides the project into manageable activities while ensuring execution and clear accountability by highlighting the project opportunity (</w:t>
      </w:r>
      <w:r>
        <w:rPr>
          <w:rFonts w:ascii="Times New Roman" w:eastAsia="Times New Roman" w:hAnsi="Times New Roman" w:cs="Times New Roman"/>
          <w:color w:val="222222"/>
          <w:sz w:val="24"/>
          <w:szCs w:val="24"/>
          <w:highlight w:val="white"/>
        </w:rPr>
        <w:t xml:space="preserve">Cerezo-Narváez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highlight w:val="white"/>
        </w:rPr>
        <w:t xml:space="preserve">). </w:t>
      </w:r>
    </w:p>
    <w:p w14:paraId="630D660F" w14:textId="77777777" w:rsidR="00C20C29" w:rsidRDefault="00000000">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Project initiation and project planning</w:t>
      </w:r>
    </w:p>
    <w:p w14:paraId="1411281E" w14:textId="77777777" w:rsidR="00C20C29"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project initiation and project planning are the early stages of project management where it is significant to engage the key stakeholders by identification along with selecting suitable sites and feasibility.  Project management is effective</w:t>
      </w:r>
      <w:r w:rsidR="0008322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and it contributes to improving the satisfaction rates of project stakeholders by 80% (Haar, 2024). Stakeholder identification is significant to identify the </w:t>
      </w:r>
      <w:r w:rsidR="00451899">
        <w:rPr>
          <w:rFonts w:ascii="Times New Roman" w:eastAsia="Times New Roman" w:hAnsi="Times New Roman" w:cs="Times New Roman"/>
          <w:sz w:val="24"/>
          <w:szCs w:val="24"/>
          <w:highlight w:val="white"/>
        </w:rPr>
        <w:t>organizations</w:t>
      </w:r>
      <w:r>
        <w:rPr>
          <w:rFonts w:ascii="Times New Roman" w:eastAsia="Times New Roman" w:hAnsi="Times New Roman" w:cs="Times New Roman"/>
          <w:sz w:val="24"/>
          <w:szCs w:val="24"/>
          <w:highlight w:val="white"/>
        </w:rPr>
        <w:t xml:space="preserve"> and the individuals who have an interest in the project. For the particular project of the eco-friendly community park, it is important to involve the city hospitals, residents and environmental groups to align with the community needs and secure the necessary support. </w:t>
      </w:r>
      <w:r>
        <w:rPr>
          <w:rFonts w:ascii="Times New Roman" w:eastAsia="Times New Roman" w:hAnsi="Times New Roman" w:cs="Times New Roman"/>
          <w:sz w:val="24"/>
          <w:szCs w:val="24"/>
          <w:highlight w:val="white"/>
        </w:rPr>
        <w:lastRenderedPageBreak/>
        <w:t xml:space="preserve">However, </w:t>
      </w:r>
      <w:r>
        <w:rPr>
          <w:rFonts w:ascii="Times New Roman" w:eastAsia="Times New Roman" w:hAnsi="Times New Roman" w:cs="Times New Roman"/>
          <w:color w:val="222222"/>
          <w:sz w:val="24"/>
          <w:szCs w:val="24"/>
          <w:highlight w:val="white"/>
        </w:rPr>
        <w:t>Di Maddaloni and Davis (2018</w:t>
      </w:r>
      <w:r>
        <w:rPr>
          <w:rFonts w:ascii="Times New Roman" w:eastAsia="Times New Roman" w:hAnsi="Times New Roman" w:cs="Times New Roman"/>
          <w:sz w:val="24"/>
          <w:szCs w:val="24"/>
          <w:highlight w:val="white"/>
        </w:rPr>
        <w:t>), argued that extensive stakeholder involvement can lead to project delays. Despite the arguments</w:t>
      </w:r>
      <w:r w:rsidR="0008322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clear communication channels and a defined project scope ensure stakeholders' input without hindering progress. In conclusion, it can be stated that a well-structured initiation and planning phase plays a solid foundation for the success of the "</w:t>
      </w:r>
      <w:r w:rsidR="00451899">
        <w:rPr>
          <w:rFonts w:ascii="Times New Roman" w:eastAsia="Times New Roman" w:hAnsi="Times New Roman" w:cs="Times New Roman"/>
          <w:sz w:val="24"/>
          <w:szCs w:val="24"/>
          <w:highlight w:val="white"/>
        </w:rPr>
        <w:t>Green Glory</w:t>
      </w:r>
      <w:r>
        <w:rPr>
          <w:rFonts w:ascii="Times New Roman" w:eastAsia="Times New Roman" w:hAnsi="Times New Roman" w:cs="Times New Roman"/>
          <w:sz w:val="24"/>
          <w:szCs w:val="24"/>
          <w:highlight w:val="white"/>
        </w:rPr>
        <w:t>” project.</w:t>
      </w:r>
    </w:p>
    <w:p w14:paraId="713CB221" w14:textId="77777777" w:rsidR="00C20C29" w:rsidRDefault="00000000">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Design and development of the project</w:t>
      </w:r>
    </w:p>
    <w:p w14:paraId="408A94C6" w14:textId="77777777" w:rsidR="00C20C29"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design and development phase of the project focuses on park layouts and community engagement. Outdoor exercise delivers an estimated 2.3 billion euros in health benefits to adults in England every year, nearly 8 million people do weekly 30 minutes of exercise (BBC.com, 2016). The incorporation of eco-friendly materials and native plans helps to support biodiversity along with reducing maintenance costs. However, </w:t>
      </w:r>
      <w:r>
        <w:rPr>
          <w:rFonts w:ascii="Times New Roman" w:eastAsia="Times New Roman" w:hAnsi="Times New Roman" w:cs="Times New Roman"/>
          <w:color w:val="222222"/>
          <w:sz w:val="24"/>
          <w:szCs w:val="24"/>
          <w:highlight w:val="white"/>
        </w:rPr>
        <w:t>Di Maddaloni and Davis (2017</w:t>
      </w:r>
      <w:r>
        <w:rPr>
          <w:rFonts w:ascii="Times New Roman" w:eastAsia="Times New Roman" w:hAnsi="Times New Roman" w:cs="Times New Roman"/>
          <w:sz w:val="24"/>
          <w:szCs w:val="24"/>
          <w:highlight w:val="white"/>
        </w:rPr>
        <w:t>), argued that community involvement can complicate the stage processes of designs and extend the project timelines. Nonetheless, it is important to facilitate transparent decision-making along with inclusivity to foster community ownership and ensure meeting local needs. Ultimately, the development following insightful decisions plays a vital role in creating a functional project regarding the urban green space.</w:t>
      </w:r>
    </w:p>
    <w:p w14:paraId="1F7A4247" w14:textId="77777777" w:rsidR="00C20C29"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6DE9D0BD" wp14:editId="3DF9CC16">
            <wp:extent cx="5943600" cy="3149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149600"/>
                    </a:xfrm>
                    <a:prstGeom prst="rect">
                      <a:avLst/>
                    </a:prstGeom>
                    <a:ln w="12700">
                      <a:solidFill>
                        <a:srgbClr val="000000"/>
                      </a:solidFill>
                      <a:prstDash val="solid"/>
                    </a:ln>
                  </pic:spPr>
                </pic:pic>
              </a:graphicData>
            </a:graphic>
          </wp:inline>
        </w:drawing>
      </w:r>
    </w:p>
    <w:p w14:paraId="304D692C" w14:textId="77777777" w:rsidR="00C20C29" w:rsidRDefault="0000000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WBS structure</w:t>
      </w:r>
    </w:p>
    <w:p w14:paraId="24C88C7C" w14:textId="77777777" w:rsidR="00C20C29" w:rsidRDefault="0000000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(Source: Created by the learner)</w:t>
      </w:r>
    </w:p>
    <w:p w14:paraId="3CC2402C" w14:textId="77777777" w:rsidR="00C20C29" w:rsidRDefault="00000000">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Construction and implementation of the project</w:t>
      </w:r>
    </w:p>
    <w:p w14:paraId="0324AAA2" w14:textId="77777777" w:rsidR="00C20C29" w:rsidRDefault="00000000">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lastRenderedPageBreak/>
        <w:t xml:space="preserve">The project execution of “Green Glory” demands meticulous preparation of the site along with the development of infrastructure and landscaping as well. In 2014, City officials in Louisville, Kentucky awarded a $115,700 contract for helping with urban heat reduction and other concerns through the tree canopy (epa.gov, 2025). Plantation of native flora and implementation of permeable pathways can help to alleviate the environmental benefits and longevity of the urban park as well. As argued by </w:t>
      </w:r>
      <w:r>
        <w:rPr>
          <w:rFonts w:ascii="Times New Roman" w:eastAsia="Times New Roman" w:hAnsi="Times New Roman" w:cs="Times New Roman"/>
          <w:color w:val="222222"/>
          <w:sz w:val="24"/>
          <w:szCs w:val="24"/>
          <w:highlight w:val="white"/>
        </w:rPr>
        <w:t xml:space="preserve">Almalki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highlight w:val="white"/>
        </w:rPr>
        <w:t xml:space="preserve"> (2023), eco-friendly materials and methods take more time and initial costs which increase the complexities. Instead of this, it is evident that investigating sustainable construction results in long-term savings along with reducing environmental impacts, energy and maintenance costs. To conclude, it can be stated that, environmentally conscious practices are essential for the ensuring success of “</w:t>
      </w:r>
      <w:r w:rsidR="00451899">
        <w:rPr>
          <w:rFonts w:ascii="Times New Roman" w:eastAsia="Times New Roman" w:hAnsi="Times New Roman" w:cs="Times New Roman"/>
          <w:sz w:val="24"/>
          <w:szCs w:val="24"/>
          <w:highlight w:val="white"/>
        </w:rPr>
        <w:t>Green Glory</w:t>
      </w:r>
      <w:r>
        <w:rPr>
          <w:rFonts w:ascii="Times New Roman" w:eastAsia="Times New Roman" w:hAnsi="Times New Roman" w:cs="Times New Roman"/>
          <w:sz w:val="24"/>
          <w:szCs w:val="24"/>
          <w:highlight w:val="white"/>
        </w:rPr>
        <w:t xml:space="preserve">”. </w:t>
      </w:r>
    </w:p>
    <w:p w14:paraId="30B2C9BE" w14:textId="77777777" w:rsidR="00C20C29" w:rsidRDefault="00000000">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Community engagement and education</w:t>
      </w:r>
    </w:p>
    <w:p w14:paraId="55F23D0A" w14:textId="77777777" w:rsidR="00C20C29"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execution stage, active community engagement and education are crucial for the sustainable project initiative. Along with the current state of urbanization, 79% of estimated lawn areas in the United States by 2030 (Paudel and States, 2023). Recruitment and training of the local volunteers ensure the projects with ongoing upkeep and foster a sense of ownership. Community engagement and education of the associated people are quite significant. </w:t>
      </w:r>
      <w:r>
        <w:rPr>
          <w:rFonts w:ascii="Times New Roman" w:eastAsia="Times New Roman" w:hAnsi="Times New Roman" w:cs="Times New Roman"/>
          <w:color w:val="222222"/>
          <w:sz w:val="24"/>
          <w:szCs w:val="24"/>
          <w:highlight w:val="white"/>
        </w:rPr>
        <w:t xml:space="preserve">Alfes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highlight w:val="white"/>
        </w:rPr>
        <w:t>(2017), argued that relying on the volunteers solely can lead to inconsistent maintenance. Though there are arguments, structured programs with clear responsibilities and recognition can ensure reliability and commitment as well. In conclusion, community involvement and educational initiatives are quite instrumental in the sustainability measures and success of the project.</w:t>
      </w:r>
    </w:p>
    <w:p w14:paraId="491C9042" w14:textId="77777777" w:rsidR="00C20C29" w:rsidRDefault="00000000">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Maintenance and sustainability</w:t>
      </w:r>
    </w:p>
    <w:p w14:paraId="67D715D5" w14:textId="77777777" w:rsidR="00C20C29"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At the last and closure stage of the project, ensuring sustainability and maintenance is significant to necessitate the comprehensiveness of the plans. Sustainable green projects are significant for an organization such as Green Park which has collaborated with more than 4500 </w:t>
      </w:r>
      <w:r w:rsidR="00451899">
        <w:rPr>
          <w:rFonts w:ascii="Times New Roman" w:eastAsia="Times New Roman" w:hAnsi="Times New Roman" w:cs="Times New Roman"/>
          <w:sz w:val="24"/>
          <w:szCs w:val="24"/>
          <w:highlight w:val="white"/>
        </w:rPr>
        <w:t>organizations</w:t>
      </w:r>
      <w:r>
        <w:rPr>
          <w:rFonts w:ascii="Times New Roman" w:eastAsia="Times New Roman" w:hAnsi="Times New Roman" w:cs="Times New Roman"/>
          <w:sz w:val="24"/>
          <w:szCs w:val="24"/>
          <w:highlight w:val="white"/>
        </w:rPr>
        <w:t xml:space="preserve"> across the UK to find out impact-driven solutions (green-park.co.uk, 2019). Establishing a routine schedule for assessing the project outcomes with th</w:t>
      </w:r>
      <w:r w:rsidR="00083226">
        <w:rPr>
          <w:rFonts w:ascii="Times New Roman" w:eastAsia="Times New Roman" w:hAnsi="Times New Roman" w:cs="Times New Roman"/>
          <w:sz w:val="24"/>
          <w:szCs w:val="24"/>
          <w:highlight w:val="white"/>
        </w:rPr>
        <w:t>e</w:t>
      </w:r>
      <w:r>
        <w:rPr>
          <w:rFonts w:ascii="Times New Roman" w:eastAsia="Times New Roman" w:hAnsi="Times New Roman" w:cs="Times New Roman"/>
          <w:sz w:val="24"/>
          <w:szCs w:val="24"/>
          <w:highlight w:val="white"/>
        </w:rPr>
        <w:t xml:space="preserve"> presence of all the trained and responsible volunteers and staff helps to enhance the appeal and purpose of the park significantly. Effective discussion about the remaining resource balance is also a significant part of the project output. As argued by </w:t>
      </w:r>
      <w:r w:rsidR="00451899">
        <w:rPr>
          <w:rFonts w:ascii="Times New Roman" w:eastAsia="Times New Roman" w:hAnsi="Times New Roman" w:cs="Times New Roman"/>
          <w:color w:val="222222"/>
          <w:sz w:val="24"/>
          <w:szCs w:val="24"/>
          <w:highlight w:val="white"/>
        </w:rPr>
        <w:t>Rambha</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highlight w:val="white"/>
        </w:rPr>
        <w:t xml:space="preserve">(2024), maintenance of the green space is resource-intensive considering the sustainable approach. Besides the arguments, it is evident that efficient planting for transforming underutilized space into an urban one can be successful while maintaining </w:t>
      </w:r>
      <w:r>
        <w:rPr>
          <w:rFonts w:ascii="Times New Roman" w:eastAsia="Times New Roman" w:hAnsi="Times New Roman" w:cs="Times New Roman"/>
          <w:sz w:val="24"/>
          <w:szCs w:val="24"/>
          <w:highlight w:val="white"/>
        </w:rPr>
        <w:lastRenderedPageBreak/>
        <w:t xml:space="preserve">sustainability measures. In conclusion, it can be stated that sustainable practices, resource calculation and stringent maintenance can ensure the project's success. </w:t>
      </w:r>
    </w:p>
    <w:p w14:paraId="416D6EC3" w14:textId="77777777" w:rsidR="00451899" w:rsidRPr="00451899" w:rsidRDefault="00000000" w:rsidP="00451899">
      <w:pPr>
        <w:pStyle w:val="Heading2"/>
        <w:rPr>
          <w:highlight w:val="white"/>
          <w:lang w:val="en-IN"/>
        </w:rPr>
      </w:pPr>
      <w:bookmarkStart w:id="10" w:name="_Toc190531024"/>
      <w:r w:rsidRPr="00451899">
        <w:rPr>
          <w:highlight w:val="white"/>
          <w:lang w:val="en-IN"/>
        </w:rPr>
        <w:t>Work Breakdown Structure for the Green Glory Project</w:t>
      </w:r>
      <w:bookmarkEnd w:id="10"/>
    </w:p>
    <w:p w14:paraId="1E3EF546"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The Green Glory Project mainly aims to revitalize the underutilized urban areas by the process of transforming them into sustainable as well as eco-friendly community parks. The undertaking promotes environmental sustainability, biodiversity, and community engagement, ensuring that inexperienced spaces are on hand to all.</w:t>
      </w:r>
    </w:p>
    <w:p w14:paraId="70544E60"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To attain this, the project is based on more than one sub-initiative, each managed through a devoted expert overseeing unique obligations.</w:t>
      </w:r>
    </w:p>
    <w:p w14:paraId="6D4FB1CF"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Sub-Project: Project Initiation &amp; Planning</w:t>
      </w:r>
    </w:p>
    <w:p w14:paraId="256532A2"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Manager: Project Coordinator</w:t>
      </w:r>
    </w:p>
    <w:p w14:paraId="36544200"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The initiation and planning phase lays the foundation for the project by identifying key stakeholders, deciding on websites, and developing preliminary layout principles (Gobinath </w:t>
      </w:r>
      <w:r w:rsidRPr="00451899">
        <w:rPr>
          <w:rFonts w:ascii="Times New Roman" w:eastAsia="Times New Roman" w:hAnsi="Times New Roman" w:cs="Times New Roman"/>
          <w:bCs/>
          <w:i/>
          <w:iCs/>
          <w:sz w:val="24"/>
          <w:szCs w:val="24"/>
          <w:highlight w:val="white"/>
          <w:lang w:val="en-IN"/>
        </w:rPr>
        <w:t xml:space="preserve">et al., </w:t>
      </w:r>
      <w:r w:rsidRPr="00451899">
        <w:rPr>
          <w:rFonts w:ascii="Times New Roman" w:eastAsia="Times New Roman" w:hAnsi="Times New Roman" w:cs="Times New Roman"/>
          <w:bCs/>
          <w:sz w:val="24"/>
          <w:szCs w:val="24"/>
          <w:highlight w:val="white"/>
          <w:lang w:val="en-IN"/>
        </w:rPr>
        <w:t>2021). This segment guarantees that all factors of the mission are carefully taken into consideration earlier than stepping into the development section.</w:t>
      </w:r>
    </w:p>
    <w:p w14:paraId="5974C8F9"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Key Tasks:</w:t>
      </w:r>
    </w:p>
    <w:p w14:paraId="704EE387" w14:textId="77777777" w:rsidR="00451899" w:rsidRPr="00451899" w:rsidRDefault="00000000" w:rsidP="00451899">
      <w:pPr>
        <w:numPr>
          <w:ilvl w:val="0"/>
          <w:numId w:val="9"/>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
          <w:sz w:val="24"/>
          <w:szCs w:val="24"/>
          <w:highlight w:val="white"/>
          <w:lang w:val="en-IN"/>
        </w:rPr>
        <w:t>Stakeholder Engagement:</w:t>
      </w:r>
      <w:r w:rsidRPr="00451899">
        <w:rPr>
          <w:rFonts w:ascii="Times New Roman" w:eastAsia="Times New Roman" w:hAnsi="Times New Roman" w:cs="Times New Roman"/>
          <w:bCs/>
          <w:sz w:val="24"/>
          <w:szCs w:val="24"/>
          <w:highlight w:val="white"/>
          <w:lang w:val="en-IN"/>
        </w:rPr>
        <w:t xml:space="preserve"> Identifying as well as engaging local authorities, community groups, and environmental organizations in order to gather support and insights for the project.</w:t>
      </w:r>
    </w:p>
    <w:p w14:paraId="1D7BA18A" w14:textId="77777777" w:rsidR="00451899" w:rsidRPr="00451899" w:rsidRDefault="00000000" w:rsidP="00451899">
      <w:pPr>
        <w:numPr>
          <w:ilvl w:val="0"/>
          <w:numId w:val="9"/>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
          <w:sz w:val="24"/>
          <w:szCs w:val="24"/>
          <w:highlight w:val="white"/>
          <w:lang w:val="en-IN"/>
        </w:rPr>
        <w:t>Site Selection:</w:t>
      </w:r>
      <w:r w:rsidRPr="00451899">
        <w:rPr>
          <w:rFonts w:ascii="Times New Roman" w:eastAsia="Times New Roman" w:hAnsi="Times New Roman" w:cs="Times New Roman"/>
          <w:bCs/>
          <w:sz w:val="24"/>
          <w:szCs w:val="24"/>
          <w:highlight w:val="white"/>
          <w:lang w:val="en-IN"/>
        </w:rPr>
        <w:t xml:space="preserve"> Assessing potential locations to determine suitability based on size, accessibility, environmental factors, and community needs (Riffat </w:t>
      </w:r>
      <w:r w:rsidRPr="00451899">
        <w:rPr>
          <w:rFonts w:ascii="Times New Roman" w:eastAsia="Times New Roman" w:hAnsi="Times New Roman" w:cs="Times New Roman"/>
          <w:bCs/>
          <w:i/>
          <w:iCs/>
          <w:sz w:val="24"/>
          <w:szCs w:val="24"/>
          <w:highlight w:val="white"/>
          <w:lang w:val="en-IN"/>
        </w:rPr>
        <w:t xml:space="preserve">et al., </w:t>
      </w:r>
      <w:r w:rsidRPr="00451899">
        <w:rPr>
          <w:rFonts w:ascii="Times New Roman" w:eastAsia="Times New Roman" w:hAnsi="Times New Roman" w:cs="Times New Roman"/>
          <w:bCs/>
          <w:sz w:val="24"/>
          <w:szCs w:val="24"/>
          <w:highlight w:val="white"/>
          <w:lang w:val="en-IN"/>
        </w:rPr>
        <w:t>2021).</w:t>
      </w:r>
    </w:p>
    <w:p w14:paraId="2AF0E966"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p w14:paraId="7736C5B8" w14:textId="77777777" w:rsidR="00451899" w:rsidRPr="00451899" w:rsidRDefault="00000000" w:rsidP="00451899">
      <w:pPr>
        <w:pStyle w:val="ListParagraph"/>
        <w:numPr>
          <w:ilvl w:val="0"/>
          <w:numId w:val="9"/>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
          <w:sz w:val="24"/>
          <w:szCs w:val="24"/>
          <w:highlight w:val="white"/>
          <w:lang w:val="en-IN"/>
        </w:rPr>
        <w:t>Feasibility Study:</w:t>
      </w:r>
      <w:r w:rsidRPr="00451899">
        <w:rPr>
          <w:rFonts w:ascii="Times New Roman" w:eastAsia="Times New Roman" w:hAnsi="Times New Roman" w:cs="Times New Roman"/>
          <w:bCs/>
          <w:sz w:val="24"/>
          <w:szCs w:val="24"/>
          <w:highlight w:val="white"/>
          <w:lang w:val="en-IN"/>
        </w:rPr>
        <w:t xml:space="preserve"> Conducting environmental and economic analyses to assess the viability of each decided on website.</w:t>
      </w:r>
    </w:p>
    <w:p w14:paraId="0B4C119E" w14:textId="77777777" w:rsidR="00451899" w:rsidRPr="00451899" w:rsidRDefault="00000000" w:rsidP="00451899">
      <w:pPr>
        <w:pStyle w:val="ListParagraph"/>
        <w:numPr>
          <w:ilvl w:val="0"/>
          <w:numId w:val="9"/>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
          <w:sz w:val="24"/>
          <w:szCs w:val="24"/>
          <w:highlight w:val="white"/>
          <w:lang w:val="en-IN"/>
        </w:rPr>
        <w:t>Conceptual Design:</w:t>
      </w:r>
      <w:r w:rsidRPr="00451899">
        <w:rPr>
          <w:rFonts w:ascii="Times New Roman" w:eastAsia="Times New Roman" w:hAnsi="Times New Roman" w:cs="Times New Roman"/>
          <w:bCs/>
          <w:sz w:val="24"/>
          <w:szCs w:val="24"/>
          <w:highlight w:val="white"/>
          <w:lang w:val="en-IN"/>
        </w:rPr>
        <w:t xml:space="preserve"> Develop initial park design principles that incorporate sustainability, biodiversity, and network-pleasant features.</w:t>
      </w:r>
    </w:p>
    <w:p w14:paraId="004C91ED" w14:textId="77777777" w:rsidR="00451899" w:rsidRPr="00451899" w:rsidRDefault="00000000" w:rsidP="00451899">
      <w:pPr>
        <w:pStyle w:val="ListParagraph"/>
        <w:numPr>
          <w:ilvl w:val="0"/>
          <w:numId w:val="9"/>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
          <w:sz w:val="24"/>
          <w:szCs w:val="24"/>
          <w:highlight w:val="white"/>
          <w:lang w:val="en-IN"/>
        </w:rPr>
        <w:t>Detailed Design &amp; Resource Procurement:</w:t>
      </w:r>
      <w:r w:rsidRPr="00451899">
        <w:rPr>
          <w:rFonts w:ascii="Times New Roman" w:eastAsia="Times New Roman" w:hAnsi="Times New Roman" w:cs="Times New Roman"/>
          <w:bCs/>
          <w:sz w:val="24"/>
          <w:szCs w:val="24"/>
          <w:highlight w:val="white"/>
          <w:lang w:val="en-IN"/>
        </w:rPr>
        <w:t xml:space="preserve"> Creating the very last layout plans and obtaining the important resources, such as green creation substances and sustainable landscaping factors.</w:t>
      </w:r>
    </w:p>
    <w:p w14:paraId="1486D511"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p w14:paraId="13A8A7D9"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Sub-Project: Design &amp; Development</w:t>
      </w:r>
    </w:p>
    <w:p w14:paraId="483BFA4B"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lastRenderedPageBreak/>
        <w:t>Manager: Urban Planner</w:t>
      </w:r>
    </w:p>
    <w:p w14:paraId="3FFDDFB3"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This phase involves preparing the selected sites for construction by the process of developing infrastructure and landscaping elements that align with sustainability dreams.</w:t>
      </w:r>
    </w:p>
    <w:p w14:paraId="097BBAE2"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Key Tasks:</w:t>
      </w:r>
    </w:p>
    <w:p w14:paraId="6ABD364F" w14:textId="77777777" w:rsidR="00451899" w:rsidRPr="00451899" w:rsidRDefault="00000000" w:rsidP="00451899">
      <w:pPr>
        <w:numPr>
          <w:ilvl w:val="0"/>
          <w:numId w:val="10"/>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Site Preparation: Clearing and grading the land to mainly create a proper and suitable foundation for the infrastructure as well as landscaping.</w:t>
      </w:r>
    </w:p>
    <w:p w14:paraId="77D9561A" w14:textId="77777777" w:rsidR="00451899" w:rsidRPr="00451899" w:rsidRDefault="00000000" w:rsidP="00451899">
      <w:pPr>
        <w:numPr>
          <w:ilvl w:val="0"/>
          <w:numId w:val="10"/>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Infrastructure Development: Designing and properly constructing essential structures, such as walkways, lighting, seating areas, as well as recreational spaces</w:t>
      </w:r>
    </w:p>
    <w:p w14:paraId="67C928BE" w14:textId="77777777" w:rsidR="00451899" w:rsidRPr="00451899" w:rsidRDefault="00000000" w:rsidP="00451899">
      <w:pPr>
        <w:pStyle w:val="ListParagraph"/>
        <w:numPr>
          <w:ilvl w:val="0"/>
          <w:numId w:val="10"/>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Selection of Eco-Friendly Materials: Choosing sustainable constructing materials and strength-efficient answers to reduce the environmental impact (Jha </w:t>
      </w:r>
      <w:r w:rsidRPr="00451899">
        <w:rPr>
          <w:rFonts w:ascii="Times New Roman" w:eastAsia="Times New Roman" w:hAnsi="Times New Roman" w:cs="Times New Roman"/>
          <w:bCs/>
          <w:i/>
          <w:iCs/>
          <w:sz w:val="24"/>
          <w:szCs w:val="24"/>
          <w:highlight w:val="white"/>
          <w:lang w:val="en-IN"/>
        </w:rPr>
        <w:t xml:space="preserve">et al., </w:t>
      </w:r>
      <w:r w:rsidRPr="00451899">
        <w:rPr>
          <w:rFonts w:ascii="Times New Roman" w:eastAsia="Times New Roman" w:hAnsi="Times New Roman" w:cs="Times New Roman"/>
          <w:bCs/>
          <w:sz w:val="24"/>
          <w:szCs w:val="24"/>
          <w:highlight w:val="white"/>
          <w:lang w:val="en-IN"/>
        </w:rPr>
        <w:t>2022).</w:t>
      </w:r>
    </w:p>
    <w:p w14:paraId="2B2CE042" w14:textId="77777777" w:rsidR="00451899" w:rsidRPr="00451899" w:rsidRDefault="00000000" w:rsidP="00451899">
      <w:pPr>
        <w:pStyle w:val="ListParagraph"/>
        <w:numPr>
          <w:ilvl w:val="0"/>
          <w:numId w:val="10"/>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Greenery &amp; Landscaping: Planting native flora, bushes, and shrubs to beautify biodiversity and offer herbal shade and beauty.</w:t>
      </w:r>
    </w:p>
    <w:p w14:paraId="73A418A5"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Sub-Project: Construction &amp; Implementation</w:t>
      </w:r>
    </w:p>
    <w:p w14:paraId="79525585"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Manager: Construction Manager</w:t>
      </w:r>
    </w:p>
    <w:p w14:paraId="66A7B897"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Once the site design is mainly finalized, construction begins.  This segment ensures that the imagination and prescience for the green parks are translated into fact through proper execution of the design plans.</w:t>
      </w:r>
    </w:p>
    <w:p w14:paraId="4B615AA3"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Key Tasks:</w:t>
      </w:r>
    </w:p>
    <w:p w14:paraId="70DEFAA0" w14:textId="77777777" w:rsidR="00451899" w:rsidRPr="00451899" w:rsidRDefault="00000000" w:rsidP="00451899">
      <w:pPr>
        <w:numPr>
          <w:ilvl w:val="0"/>
          <w:numId w:val="11"/>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Land Clearing &amp; Levelling: Removing debris, grading the land, as well as preparing the soil for the purpose of planting and construction.</w:t>
      </w:r>
    </w:p>
    <w:p w14:paraId="3541BD0B"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p w14:paraId="35FE1EA5" w14:textId="77777777" w:rsidR="00451899" w:rsidRPr="00451899" w:rsidRDefault="00000000" w:rsidP="00451899">
      <w:pPr>
        <w:pStyle w:val="ListParagraph"/>
        <w:numPr>
          <w:ilvl w:val="0"/>
          <w:numId w:val="11"/>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Installation of Pathways &amp; Seating: Constructing paved walkways, benches, picnic regions, and shaded seating spaces for public use (Azam </w:t>
      </w:r>
      <w:r w:rsidRPr="00451899">
        <w:rPr>
          <w:rFonts w:ascii="Times New Roman" w:eastAsia="Times New Roman" w:hAnsi="Times New Roman" w:cs="Times New Roman"/>
          <w:bCs/>
          <w:i/>
          <w:iCs/>
          <w:sz w:val="24"/>
          <w:szCs w:val="24"/>
          <w:highlight w:val="white"/>
          <w:lang w:val="en-IN"/>
        </w:rPr>
        <w:t xml:space="preserve">et al., </w:t>
      </w:r>
      <w:r w:rsidRPr="00451899">
        <w:rPr>
          <w:rFonts w:ascii="Times New Roman" w:eastAsia="Times New Roman" w:hAnsi="Times New Roman" w:cs="Times New Roman"/>
          <w:bCs/>
          <w:sz w:val="24"/>
          <w:szCs w:val="24"/>
          <w:highlight w:val="white"/>
          <w:lang w:val="en-IN"/>
        </w:rPr>
        <w:t>2021).</w:t>
      </w:r>
    </w:p>
    <w:p w14:paraId="70EA7D00" w14:textId="77777777" w:rsidR="00451899" w:rsidRPr="00451899" w:rsidRDefault="00000000" w:rsidP="00451899">
      <w:pPr>
        <w:pStyle w:val="ListParagraph"/>
        <w:numPr>
          <w:ilvl w:val="0"/>
          <w:numId w:val="11"/>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Tree &amp; Plant Plantation: Implementing the landscaping plan by means of planting bushes, shrubs, and other vegetation to promote biodiversity.</w:t>
      </w:r>
    </w:p>
    <w:p w14:paraId="6ECA59C4" w14:textId="77777777" w:rsidR="00451899" w:rsidRPr="00451899" w:rsidRDefault="00000000" w:rsidP="00451899">
      <w:pPr>
        <w:pStyle w:val="ListParagraph"/>
        <w:numPr>
          <w:ilvl w:val="0"/>
          <w:numId w:val="11"/>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Water Management System Setup: Installing irrigation structures, rainwater harvesting answers, and drainage infrastructure to make certain sustainable water utilization.</w:t>
      </w:r>
    </w:p>
    <w:p w14:paraId="63E29C47"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Sub-Project: Community Engagement &amp; Education</w:t>
      </w:r>
    </w:p>
    <w:p w14:paraId="0792352D"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Manager: Community Engagement Officer</w:t>
      </w:r>
    </w:p>
    <w:p w14:paraId="0F0EA99C"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lastRenderedPageBreak/>
        <w:t xml:space="preserve">Community involvement is very much crucial to the actual success of the Green Glory project (Xie </w:t>
      </w:r>
      <w:r w:rsidRPr="00451899">
        <w:rPr>
          <w:rFonts w:ascii="Times New Roman" w:eastAsia="Times New Roman" w:hAnsi="Times New Roman" w:cs="Times New Roman"/>
          <w:bCs/>
          <w:i/>
          <w:iCs/>
          <w:sz w:val="24"/>
          <w:szCs w:val="24"/>
          <w:highlight w:val="white"/>
          <w:lang w:val="en-IN"/>
        </w:rPr>
        <w:t xml:space="preserve">et al., </w:t>
      </w:r>
      <w:r w:rsidRPr="00451899">
        <w:rPr>
          <w:rFonts w:ascii="Times New Roman" w:eastAsia="Times New Roman" w:hAnsi="Times New Roman" w:cs="Times New Roman"/>
          <w:bCs/>
          <w:sz w:val="24"/>
          <w:szCs w:val="24"/>
          <w:highlight w:val="white"/>
          <w:lang w:val="en-IN"/>
        </w:rPr>
        <w:t>2021). This section focuses on elevating attention and encouraging energetic participation in the upkeep and improvement of the parks.</w:t>
      </w:r>
    </w:p>
    <w:p w14:paraId="408D8A3B"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Key Tasks:</w:t>
      </w:r>
    </w:p>
    <w:p w14:paraId="10FCDAFE" w14:textId="77777777" w:rsidR="00451899" w:rsidRPr="00451899" w:rsidRDefault="00000000" w:rsidP="00451899">
      <w:pPr>
        <w:numPr>
          <w:ilvl w:val="0"/>
          <w:numId w:val="12"/>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Volunteer Recruitment: Engaging local residents, schools, as well as organizations to mainly participate in the park-building and maintenance efforts.</w:t>
      </w:r>
    </w:p>
    <w:p w14:paraId="4F6A08C8" w14:textId="77777777" w:rsidR="00451899" w:rsidRPr="00451899" w:rsidRDefault="00000000" w:rsidP="00451899">
      <w:pPr>
        <w:pStyle w:val="ListParagraph"/>
        <w:numPr>
          <w:ilvl w:val="0"/>
          <w:numId w:val="12"/>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Public Awareness Campaigns: Organizing educational initiatives, social media campaigns, and network occasions to sell environmental conservation.</w:t>
      </w:r>
    </w:p>
    <w:p w14:paraId="31DFB793" w14:textId="77777777" w:rsidR="00451899" w:rsidRPr="00451899" w:rsidRDefault="00000000" w:rsidP="00451899">
      <w:pPr>
        <w:pStyle w:val="ListParagraph"/>
        <w:numPr>
          <w:ilvl w:val="0"/>
          <w:numId w:val="12"/>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Educational Initiatives on Sustainability: Hosting workshops, seminars, and guided tours to educate site visitors approximately green practices and biodiversity conservation.</w:t>
      </w:r>
    </w:p>
    <w:p w14:paraId="6E9250DA" w14:textId="77777777" w:rsidR="00451899" w:rsidRPr="00451899" w:rsidRDefault="00000000" w:rsidP="00451899">
      <w:pPr>
        <w:pStyle w:val="ListParagraph"/>
        <w:numPr>
          <w:ilvl w:val="0"/>
          <w:numId w:val="12"/>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Community Feedback &amp; Participation: Gathering public input on park design and activities, ensuring the distance meets the wishes of the nearby populace.</w:t>
      </w:r>
    </w:p>
    <w:p w14:paraId="7E349BD9"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Sub-Project: Maintenance &amp; Sustainability</w:t>
      </w:r>
    </w:p>
    <w:p w14:paraId="434BE053"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Manager: Sustainability Officer</w:t>
      </w:r>
    </w:p>
    <w:p w14:paraId="50E999CE"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Ensuring the long-term success of the various parks requires a proper and robust maintenance strategy as well as sustainable funding models (RODRIGUEZ </w:t>
      </w:r>
      <w:r w:rsidRPr="00451899">
        <w:rPr>
          <w:rFonts w:ascii="Times New Roman" w:eastAsia="Times New Roman" w:hAnsi="Times New Roman" w:cs="Times New Roman"/>
          <w:bCs/>
          <w:i/>
          <w:iCs/>
          <w:sz w:val="24"/>
          <w:szCs w:val="24"/>
          <w:highlight w:val="white"/>
          <w:lang w:val="en-IN"/>
        </w:rPr>
        <w:t xml:space="preserve">et al., </w:t>
      </w:r>
      <w:r w:rsidRPr="00451899">
        <w:rPr>
          <w:rFonts w:ascii="Times New Roman" w:eastAsia="Times New Roman" w:hAnsi="Times New Roman" w:cs="Times New Roman"/>
          <w:bCs/>
          <w:sz w:val="24"/>
          <w:szCs w:val="24"/>
          <w:highlight w:val="white"/>
          <w:lang w:val="en-IN"/>
        </w:rPr>
        <w:t>2021). This section specializes in retaining the parks smooth, purposeful, and environmentally pleasant.</w:t>
      </w:r>
    </w:p>
    <w:p w14:paraId="2CBE62E2"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Key Tasks:</w:t>
      </w:r>
    </w:p>
    <w:p w14:paraId="1EE432EC" w14:textId="77777777" w:rsidR="00451899" w:rsidRPr="00451899" w:rsidRDefault="00000000" w:rsidP="00451899">
      <w:pPr>
        <w:numPr>
          <w:ilvl w:val="0"/>
          <w:numId w:val="13"/>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Routine Park Maintenance &amp; Cleanups: Conducting regular inspections, waste management, as well as upkeep of park facilities.</w:t>
      </w:r>
    </w:p>
    <w:p w14:paraId="338251C4" w14:textId="77777777" w:rsidR="00451899" w:rsidRPr="00451899" w:rsidRDefault="00000000" w:rsidP="00451899">
      <w:pPr>
        <w:pStyle w:val="ListParagraph"/>
        <w:numPr>
          <w:ilvl w:val="0"/>
          <w:numId w:val="13"/>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Training Local Residents in Upkeep Practices: Teaching community members sustainable park protection strategies, which include composting, native plant care, and water conservation.</w:t>
      </w:r>
    </w:p>
    <w:p w14:paraId="2987915D" w14:textId="77777777" w:rsidR="00451899" w:rsidRPr="00451899" w:rsidRDefault="00000000" w:rsidP="00451899">
      <w:pPr>
        <w:pStyle w:val="ListParagraph"/>
        <w:numPr>
          <w:ilvl w:val="0"/>
          <w:numId w:val="13"/>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Organizing Volunteer-Led Maintenance Drives: Encouraging ongoing network participation in keeping the parks smooth and nicely-maintained.</w:t>
      </w:r>
    </w:p>
    <w:p w14:paraId="50E0695C" w14:textId="77777777" w:rsidR="00451899" w:rsidRPr="00451899" w:rsidRDefault="00000000" w:rsidP="00451899">
      <w:pPr>
        <w:pStyle w:val="ListParagraph"/>
        <w:numPr>
          <w:ilvl w:val="0"/>
          <w:numId w:val="13"/>
        </w:num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Establishing Long-Term Funding &amp; Partnerships: Securing sponsorships, authorities present, and partnerships with environmental companies to ensure sustainable financial support.</w:t>
      </w:r>
    </w:p>
    <w:p w14:paraId="4C36E0B0"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p w14:paraId="705699D9"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p w14:paraId="455918D6" w14:textId="77777777" w:rsidR="00451899" w:rsidRPr="00451899" w:rsidRDefault="00000000" w:rsidP="00451899">
      <w:pPr>
        <w:spacing w:line="360" w:lineRule="auto"/>
        <w:jc w:val="center"/>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noProof/>
          <w:sz w:val="24"/>
          <w:szCs w:val="24"/>
          <w:highlight w:val="white"/>
          <w:lang w:val="en-IN"/>
        </w:rPr>
        <w:lastRenderedPageBreak/>
        <w:drawing>
          <wp:inline distT="0" distB="0" distL="0" distR="0" wp14:anchorId="33173159" wp14:editId="1BCCF681">
            <wp:extent cx="5943600" cy="4000500"/>
            <wp:effectExtent l="0" t="0" r="0" b="0"/>
            <wp:docPr id="19487434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743475" name="Picture 6"/>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943600" cy="4000500"/>
                    </a:xfrm>
                    <a:prstGeom prst="rect">
                      <a:avLst/>
                    </a:prstGeom>
                    <a:noFill/>
                    <a:ln>
                      <a:noFill/>
                    </a:ln>
                  </pic:spPr>
                </pic:pic>
              </a:graphicData>
            </a:graphic>
          </wp:inline>
        </w:drawing>
      </w:r>
    </w:p>
    <w:p w14:paraId="061A9F17" w14:textId="77777777" w:rsidR="00451899" w:rsidRPr="00451899" w:rsidRDefault="00000000" w:rsidP="00451899">
      <w:pPr>
        <w:spacing w:line="360" w:lineRule="auto"/>
        <w:jc w:val="center"/>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Figure</w:t>
      </w:r>
      <w:r>
        <w:rPr>
          <w:rFonts w:ascii="Times New Roman" w:eastAsia="Times New Roman" w:hAnsi="Times New Roman" w:cs="Times New Roman"/>
          <w:b/>
          <w:sz w:val="24"/>
          <w:szCs w:val="24"/>
          <w:highlight w:val="white"/>
          <w:lang w:val="en-IN"/>
        </w:rPr>
        <w:t xml:space="preserve"> 2</w:t>
      </w:r>
      <w:r w:rsidRPr="00451899">
        <w:rPr>
          <w:rFonts w:ascii="Times New Roman" w:eastAsia="Times New Roman" w:hAnsi="Times New Roman" w:cs="Times New Roman"/>
          <w:b/>
          <w:sz w:val="24"/>
          <w:szCs w:val="24"/>
          <w:highlight w:val="white"/>
          <w:lang w:val="en-IN"/>
        </w:rPr>
        <w:t>: Work Breakdown structure for the Green Glory Project</w:t>
      </w:r>
    </w:p>
    <w:p w14:paraId="4655E48F" w14:textId="77777777" w:rsidR="00451899" w:rsidRPr="00451899" w:rsidRDefault="00000000" w:rsidP="00451899">
      <w:pPr>
        <w:spacing w:line="360" w:lineRule="auto"/>
        <w:jc w:val="center"/>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(Source: Self-created)</w:t>
      </w:r>
    </w:p>
    <w:p w14:paraId="682E2C6C" w14:textId="77777777" w:rsidR="00451899" w:rsidRPr="00451899" w:rsidRDefault="00000000" w:rsidP="00451899">
      <w:pPr>
        <w:pStyle w:val="Heading2"/>
        <w:rPr>
          <w:highlight w:val="white"/>
          <w:lang w:val="en-IN"/>
        </w:rPr>
      </w:pPr>
      <w:bookmarkStart w:id="11" w:name="_Toc190531025"/>
      <w:r w:rsidRPr="00451899">
        <w:rPr>
          <w:highlight w:val="white"/>
          <w:lang w:val="en-IN"/>
        </w:rPr>
        <w:t xml:space="preserve">Identifying the deliverable and milestone(s) of </w:t>
      </w:r>
      <w:r w:rsidRPr="00451899">
        <w:rPr>
          <w:highlight w:val="white"/>
        </w:rPr>
        <w:t>each</w:t>
      </w:r>
      <w:r w:rsidRPr="00451899">
        <w:rPr>
          <w:highlight w:val="white"/>
          <w:lang w:val="en-IN"/>
        </w:rPr>
        <w:t xml:space="preserve"> task (timeline to complete)</w:t>
      </w:r>
      <w:bookmarkEnd w:id="11"/>
      <w:r w:rsidRPr="00451899">
        <w:rPr>
          <w:highlight w:val="white"/>
          <w:lang w:val="en-IN"/>
        </w:rPr>
        <w:t xml:space="preserve"> </w:t>
      </w:r>
    </w:p>
    <w:tbl>
      <w:tblPr>
        <w:tblW w:w="9360" w:type="dxa"/>
        <w:tblCellMar>
          <w:top w:w="15" w:type="dxa"/>
          <w:left w:w="15" w:type="dxa"/>
          <w:bottom w:w="15" w:type="dxa"/>
          <w:right w:w="15" w:type="dxa"/>
        </w:tblCellMar>
        <w:tblLook w:val="04A0" w:firstRow="1" w:lastRow="0" w:firstColumn="1" w:lastColumn="0" w:noHBand="0" w:noVBand="1"/>
      </w:tblPr>
      <w:tblGrid>
        <w:gridCol w:w="2107"/>
        <w:gridCol w:w="2031"/>
        <w:gridCol w:w="2040"/>
        <w:gridCol w:w="1860"/>
        <w:gridCol w:w="1322"/>
      </w:tblGrid>
      <w:tr w:rsidR="008E21E7" w14:paraId="4F65550B"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B0958"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Sub-Project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525433"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Task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752390"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Deliverable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E208AE"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Milestone(s)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3CBFC"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Timeline</w:t>
            </w:r>
          </w:p>
        </w:tc>
      </w:tr>
      <w:tr w:rsidR="008E21E7" w14:paraId="10933EFC"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7C604F"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Project Initiation &amp; Planning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87A452"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Stakeholder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B7ADBD"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Stakeholder agreements &amp; engagement report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90FE3B"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Key stakeholders identified &amp; engaged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75FDB7"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1-3</w:t>
            </w:r>
          </w:p>
        </w:tc>
      </w:tr>
      <w:tr w:rsidR="008E21E7" w14:paraId="3F0F31D5"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3F36E"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FEB167"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Site Selection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8B2BB"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List of selected sites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1D8295"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Finalized site(s) for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274F04"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2-4</w:t>
            </w:r>
          </w:p>
        </w:tc>
      </w:tr>
      <w:tr w:rsidR="008E21E7" w14:paraId="7A6382A3"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F78900"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4FAFEC"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tbl>
            <w:tblPr>
              <w:tblW w:w="0" w:type="auto"/>
              <w:tblCellMar>
                <w:top w:w="15" w:type="dxa"/>
                <w:left w:w="15" w:type="dxa"/>
                <w:bottom w:w="15" w:type="dxa"/>
                <w:right w:w="15" w:type="dxa"/>
              </w:tblCellMar>
              <w:tblLook w:val="04A0" w:firstRow="1" w:lastRow="0" w:firstColumn="1" w:lastColumn="0" w:noHBand="0" w:noVBand="1"/>
            </w:tblPr>
            <w:tblGrid>
              <w:gridCol w:w="206"/>
            </w:tblGrid>
            <w:tr w:rsidR="008E21E7" w14:paraId="27BC4DC1" w14:textId="77777777">
              <w:trPr>
                <w:trHeight w:val="230"/>
              </w:trPr>
              <w:tc>
                <w:tcPr>
                  <w:tcW w:w="0" w:type="auto"/>
                  <w:tcMar>
                    <w:top w:w="100" w:type="dxa"/>
                    <w:left w:w="100" w:type="dxa"/>
                    <w:bottom w:w="100" w:type="dxa"/>
                    <w:right w:w="100" w:type="dxa"/>
                  </w:tcMar>
                  <w:hideMark/>
                </w:tcPr>
                <w:p w14:paraId="771CD24A"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tc>
            </w:tr>
          </w:tbl>
          <w:p w14:paraId="7DFFBC1A"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tbl>
            <w:tblPr>
              <w:tblW w:w="0" w:type="auto"/>
              <w:tblCellMar>
                <w:top w:w="15" w:type="dxa"/>
                <w:left w:w="15" w:type="dxa"/>
                <w:bottom w:w="15" w:type="dxa"/>
                <w:right w:w="15" w:type="dxa"/>
              </w:tblCellMar>
              <w:tblLook w:val="04A0" w:firstRow="1" w:lastRow="0" w:firstColumn="1" w:lastColumn="0" w:noHBand="0" w:noVBand="1"/>
            </w:tblPr>
            <w:tblGrid>
              <w:gridCol w:w="1831"/>
            </w:tblGrid>
            <w:tr w:rsidR="008E21E7" w14:paraId="7133E69B" w14:textId="77777777">
              <w:trPr>
                <w:trHeight w:val="515"/>
              </w:trPr>
              <w:tc>
                <w:tcPr>
                  <w:tcW w:w="0" w:type="auto"/>
                  <w:tcMar>
                    <w:top w:w="100" w:type="dxa"/>
                    <w:left w:w="100" w:type="dxa"/>
                    <w:bottom w:w="100" w:type="dxa"/>
                    <w:right w:w="100" w:type="dxa"/>
                  </w:tcMar>
                  <w:hideMark/>
                </w:tcPr>
                <w:p w14:paraId="56E02D3A"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Feasibility Study</w:t>
                  </w:r>
                </w:p>
              </w:tc>
            </w:tr>
          </w:tbl>
          <w:p w14:paraId="6F22AEA8"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36808"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Feasibility report on environmental &amp; financial aspects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0ABE44"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Site feasibility confirmed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321BDC"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3-5</w:t>
            </w:r>
          </w:p>
        </w:tc>
      </w:tr>
      <w:tr w:rsidR="008E21E7" w14:paraId="31A6FC06"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79E80"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8807A"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Conceptual Design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5571FC"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Draft Park layout &amp; designs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0283B9"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Approval of conceptual designs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842C5E"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4-6</w:t>
            </w:r>
          </w:p>
        </w:tc>
      </w:tr>
      <w:tr w:rsidR="008E21E7" w14:paraId="41F39536"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1F3EE7"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BD241F"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Detailed Design &amp; Resource Procurement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1F8B02"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Finalized Park blueprints &amp; material procurement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24AC16"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Resources &amp; design finalized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A921A"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6-8</w:t>
            </w:r>
          </w:p>
        </w:tc>
      </w:tr>
      <w:tr w:rsidR="008E21E7" w14:paraId="3FE7EC5B"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B00113"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260DA4"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E64150"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49A1E"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934B6"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tc>
      </w:tr>
      <w:tr w:rsidR="008E21E7" w14:paraId="44730A98"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63286A"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Design &amp;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23DAD"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Site Preparation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D50784"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Cleared and levelled land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8E1B7B"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Site ready for construction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1374B"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8-10</w:t>
            </w:r>
          </w:p>
        </w:tc>
      </w:tr>
      <w:tr w:rsidR="008E21E7" w14:paraId="33149CF3"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6A349A"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0A114"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Infrastructure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071C1"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Installed pathways, seating &amp; lighting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78CBC3"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Completion of basic infrastructure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2DB8BA"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10-14</w:t>
            </w:r>
          </w:p>
        </w:tc>
      </w:tr>
      <w:tr w:rsidR="008E21E7" w14:paraId="22BC5F66"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D5E6E7"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7F07B"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Infrastructure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A159E1"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Procurement of sustainable materials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01D33F"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All materials sourced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11FA4E"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9-12</w:t>
            </w:r>
          </w:p>
        </w:tc>
      </w:tr>
      <w:tr w:rsidR="008E21E7" w14:paraId="06F9DF49"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A49676"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2CEE81"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Greenery &amp; Landscaping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C6A933"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Planted trees, shrubs, and native flora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55D74E"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Completion of landscaping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3193A5"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12-16</w:t>
            </w:r>
          </w:p>
        </w:tc>
      </w:tr>
      <w:tr w:rsidR="008E21E7" w14:paraId="2D278D18"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F7ABCB"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Construction &amp; Implementation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864E08"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Land Clearing &amp; Levelling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C6718"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Cleared and graded the site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BBC38E"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Site prepared for construction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4A157F"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10-12</w:t>
            </w:r>
          </w:p>
        </w:tc>
      </w:tr>
      <w:tr w:rsidR="008E21E7" w14:paraId="5AF30740"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5C9108"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34CC67"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Installation of Pathways &amp; Seating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9265DA"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Built pathways, benches &amp; relaxation areas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5A659D"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Completion of visitor infrastructure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F916F8"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12-16</w:t>
            </w:r>
          </w:p>
        </w:tc>
      </w:tr>
      <w:tr w:rsidR="008E21E7" w14:paraId="170CB38E"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A1651"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E6E2C3"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Tree &amp; Plant Plantation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963BAB"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Trees and plants installed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7BC705"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Completion of greenery </w:t>
            </w:r>
            <w:r w:rsidRPr="00451899">
              <w:rPr>
                <w:rFonts w:ascii="Times New Roman" w:eastAsia="Times New Roman" w:hAnsi="Times New Roman" w:cs="Times New Roman"/>
                <w:bCs/>
                <w:sz w:val="24"/>
                <w:szCs w:val="24"/>
                <w:highlight w:val="white"/>
                <w:lang w:val="en-IN"/>
              </w:rPr>
              <w:lastRenderedPageBreak/>
              <w:t xml:space="preserve">(Ghimire </w:t>
            </w:r>
            <w:r w:rsidRPr="00451899">
              <w:rPr>
                <w:rFonts w:ascii="Times New Roman" w:eastAsia="Times New Roman" w:hAnsi="Times New Roman" w:cs="Times New Roman"/>
                <w:bCs/>
                <w:i/>
                <w:iCs/>
                <w:sz w:val="24"/>
                <w:szCs w:val="24"/>
                <w:highlight w:val="white"/>
                <w:lang w:val="en-IN"/>
              </w:rPr>
              <w:t xml:space="preserve">et al., </w:t>
            </w:r>
            <w:r w:rsidRPr="00451899">
              <w:rPr>
                <w:rFonts w:ascii="Times New Roman" w:eastAsia="Times New Roman" w:hAnsi="Times New Roman" w:cs="Times New Roman"/>
                <w:bCs/>
                <w:sz w:val="24"/>
                <w:szCs w:val="24"/>
                <w:highlight w:val="white"/>
                <w:lang w:val="en-IN"/>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8ED1A0"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lastRenderedPageBreak/>
              <w:t>Week 14-18</w:t>
            </w:r>
          </w:p>
        </w:tc>
      </w:tr>
      <w:tr w:rsidR="008E21E7" w14:paraId="4DAB34B8"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510C8D"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B5F62"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Water Management System Setup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6E422"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Installed irrigation &amp; drainage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4AA24D"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Water system is fully functional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41356B"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15-18</w:t>
            </w:r>
          </w:p>
        </w:tc>
      </w:tr>
      <w:tr w:rsidR="008E21E7" w14:paraId="078787D3"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12516F"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Community Engagement &amp; Education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AD9F4"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Volunteer Recruitment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183C2E"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Recruited &amp; trained volunteers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C9A90C"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Volunteer program established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670069"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14-17</w:t>
            </w:r>
          </w:p>
        </w:tc>
      </w:tr>
      <w:tr w:rsidR="008E21E7" w14:paraId="6F8790A9"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726EA9"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C2E66"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Public Awareness Campaigns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CD332"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Posters, social media &amp; local event campaigns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F24B1"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Community awareness raised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CF79FC"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16-20</w:t>
            </w:r>
          </w:p>
        </w:tc>
      </w:tr>
      <w:tr w:rsidR="008E21E7" w14:paraId="2036379A"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C5949D"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E31032"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Educational Initiatives on Sustainability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F11ABD"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Conducted workshops &amp; outreach programs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9BB6ED"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The first community workshop held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C57C16"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18-22</w:t>
            </w:r>
          </w:p>
        </w:tc>
      </w:tr>
      <w:tr w:rsidR="008E21E7" w14:paraId="7E81C1F0"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FFE017"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4C7B2"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Community Feedback &amp; Participation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ADBC5F"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Feedback reports &amp; surveys collected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207801"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Adjustments made based on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A8A2FE"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20-24</w:t>
            </w:r>
          </w:p>
        </w:tc>
      </w:tr>
      <w:tr w:rsidR="008E21E7" w14:paraId="0A2ED1F9"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A01F5" w14:textId="77777777" w:rsidR="00451899" w:rsidRPr="00451899" w:rsidRDefault="00000000" w:rsidP="00451899">
            <w:pPr>
              <w:spacing w:line="360" w:lineRule="auto"/>
              <w:jc w:val="both"/>
              <w:rPr>
                <w:rFonts w:ascii="Times New Roman" w:eastAsia="Times New Roman" w:hAnsi="Times New Roman" w:cs="Times New Roman"/>
                <w:b/>
                <w:sz w:val="24"/>
                <w:szCs w:val="24"/>
                <w:highlight w:val="white"/>
                <w:lang w:val="en-IN"/>
              </w:rPr>
            </w:pPr>
            <w:r w:rsidRPr="00451899">
              <w:rPr>
                <w:rFonts w:ascii="Times New Roman" w:eastAsia="Times New Roman" w:hAnsi="Times New Roman" w:cs="Times New Roman"/>
                <w:b/>
                <w:sz w:val="24"/>
                <w:szCs w:val="24"/>
                <w:highlight w:val="white"/>
                <w:lang w:val="en-IN"/>
              </w:rPr>
              <w:t>Maintenance &amp; Sustainability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29F1E3"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Routine Park Maintenance &amp; Cleanups (Vaziri </w:t>
            </w:r>
            <w:r w:rsidRPr="00451899">
              <w:rPr>
                <w:rFonts w:ascii="Times New Roman" w:eastAsia="Times New Roman" w:hAnsi="Times New Roman" w:cs="Times New Roman"/>
                <w:bCs/>
                <w:i/>
                <w:iCs/>
                <w:sz w:val="24"/>
                <w:szCs w:val="24"/>
                <w:highlight w:val="white"/>
                <w:lang w:val="en-IN"/>
              </w:rPr>
              <w:t xml:space="preserve">et al., </w:t>
            </w:r>
            <w:r w:rsidRPr="00451899">
              <w:rPr>
                <w:rFonts w:ascii="Times New Roman" w:eastAsia="Times New Roman" w:hAnsi="Times New Roman" w:cs="Times New Roman"/>
                <w:bCs/>
                <w:sz w:val="24"/>
                <w:szCs w:val="24"/>
                <w:highlight w:val="white"/>
                <w:lang w:val="en-IN"/>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318228"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Regular maintenance schedule implemented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5B1991"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First Park maintenance check completed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F08BC5"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20+ (Ongoing)</w:t>
            </w:r>
          </w:p>
        </w:tc>
      </w:tr>
      <w:tr w:rsidR="008E21E7" w14:paraId="5BAEA6C3"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39E2EC"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C34AAE"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Training Local Residents in Upkeep Practices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14D1F9"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Community members trained in maintenance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C8125A"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The first training session held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74D8D1"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22+ (Ongoing)</w:t>
            </w:r>
          </w:p>
        </w:tc>
      </w:tr>
      <w:tr w:rsidR="008E21E7" w14:paraId="05024C92"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062B3"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176163"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Organizing Volunteer-Led Maintenance Drives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00168A"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Volunteer-led cleaning and upkeep initiatives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6D847A"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The first community cleanup completed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FF5B7"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24+ (Ongoing)</w:t>
            </w:r>
          </w:p>
        </w:tc>
      </w:tr>
      <w:tr w:rsidR="008E21E7" w14:paraId="43A990A4" w14:textId="77777777" w:rsidTr="0045189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028DF"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6CD6D0"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Establishing Long-Term Funding &amp; Partnerships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79E7AB"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Grants, sponsorships &amp; funding agreements secured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B95993"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Sustainable funding strategy in place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AE16B2"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Week 22-28</w:t>
            </w:r>
          </w:p>
        </w:tc>
      </w:tr>
    </w:tbl>
    <w:p w14:paraId="5B1EC595" w14:textId="77777777" w:rsidR="00451899" w:rsidRPr="00451899" w:rsidRDefault="00451899" w:rsidP="00451899">
      <w:pPr>
        <w:spacing w:line="360" w:lineRule="auto"/>
        <w:jc w:val="both"/>
        <w:rPr>
          <w:rFonts w:ascii="Times New Roman" w:eastAsia="Times New Roman" w:hAnsi="Times New Roman" w:cs="Times New Roman"/>
          <w:bCs/>
          <w:sz w:val="24"/>
          <w:szCs w:val="24"/>
          <w:highlight w:val="white"/>
          <w:lang w:val="en-IN"/>
        </w:rPr>
      </w:pPr>
    </w:p>
    <w:p w14:paraId="468ED572"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p w14:paraId="709F5AF7"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p w14:paraId="2C71ACCB" w14:textId="77777777" w:rsidR="00451899" w:rsidRPr="00451899" w:rsidRDefault="00451899" w:rsidP="00451899">
      <w:pPr>
        <w:spacing w:line="360" w:lineRule="auto"/>
        <w:jc w:val="both"/>
        <w:rPr>
          <w:rFonts w:ascii="Times New Roman" w:eastAsia="Times New Roman" w:hAnsi="Times New Roman" w:cs="Times New Roman"/>
          <w:b/>
          <w:sz w:val="24"/>
          <w:szCs w:val="24"/>
          <w:highlight w:val="white"/>
          <w:lang w:val="en-IN"/>
        </w:rPr>
      </w:pPr>
    </w:p>
    <w:p w14:paraId="1FFEB35A" w14:textId="77777777" w:rsidR="00C20C29" w:rsidRDefault="00000000">
      <w:pPr>
        <w:pStyle w:val="Heading2"/>
      </w:pPr>
      <w:bookmarkStart w:id="12" w:name="_se6uupuuos9s" w:colFirst="0" w:colLast="0"/>
      <w:bookmarkStart w:id="13" w:name="_Toc190531026"/>
      <w:bookmarkEnd w:id="12"/>
      <w:r>
        <w:t>Usage of the resources (personnel and material) required to complete each task</w:t>
      </w:r>
      <w:bookmarkEnd w:id="13"/>
    </w:p>
    <w:p w14:paraId="093341BD" w14:textId="77777777" w:rsidR="00C20C29"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successful execution of the projects demands strategic allocation of both personal resources and materials in different phases. These are as follows:</w:t>
      </w:r>
    </w:p>
    <w:p w14:paraId="0E6DB26D" w14:textId="77777777" w:rsidR="00C20C29"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Project managers, urban planners and community outreach coordinators for stakeholder engagement (</w:t>
      </w:r>
      <w:r>
        <w:rPr>
          <w:rFonts w:ascii="Times New Roman" w:eastAsia="Times New Roman" w:hAnsi="Times New Roman" w:cs="Times New Roman"/>
          <w:color w:val="222222"/>
          <w:sz w:val="24"/>
          <w:szCs w:val="24"/>
          <w:highlight w:val="white"/>
        </w:rPr>
        <w:t xml:space="preserve">Urbinati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highlight w:val="white"/>
        </w:rPr>
        <w:t>)</w:t>
      </w:r>
    </w:p>
    <w:p w14:paraId="2162AD02" w14:textId="77777777" w:rsidR="00C20C29"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Landscape architects, engineers and community liaisons for sustainable design</w:t>
      </w:r>
    </w:p>
    <w:p w14:paraId="6193DC0C" w14:textId="77777777" w:rsidR="00C20C29"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Construction workers, educators and volunteers for project execution and training activities</w:t>
      </w:r>
    </w:p>
    <w:p w14:paraId="006DACA7" w14:textId="77777777" w:rsidR="00C20C29"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Staff, groundskeepers for maintenance and sustainability consultants</w:t>
      </w:r>
    </w:p>
    <w:p w14:paraId="0A85328D" w14:textId="77777777" w:rsidR="00C20C29"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Communication aids, survey tools and sustainable construction materials</w:t>
      </w:r>
    </w:p>
    <w:p w14:paraId="32F10153" w14:textId="77777777" w:rsidR="00C20C29"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Design software, native plant catalogues and plants</w:t>
      </w:r>
    </w:p>
    <w:p w14:paraId="62CC91AC" w14:textId="77777777" w:rsidR="00C20C29"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Educational resources, maintenance tools and necessary equipment</w:t>
      </w:r>
    </w:p>
    <w:p w14:paraId="5CFD64BD" w14:textId="77777777" w:rsidR="00C20C29" w:rsidRDefault="00C20C29">
      <w:pPr>
        <w:spacing w:line="360" w:lineRule="auto"/>
        <w:jc w:val="both"/>
        <w:rPr>
          <w:rFonts w:ascii="Times New Roman" w:eastAsia="Times New Roman" w:hAnsi="Times New Roman" w:cs="Times New Roman"/>
          <w:sz w:val="24"/>
          <w:szCs w:val="24"/>
          <w:highlight w:val="white"/>
        </w:rPr>
      </w:pPr>
    </w:p>
    <w:p w14:paraId="000E8260" w14:textId="77777777" w:rsidR="00451899" w:rsidRPr="00451899" w:rsidRDefault="00000000" w:rsidP="00451899">
      <w:pPr>
        <w:pStyle w:val="Heading1"/>
        <w:rPr>
          <w:highlight w:val="white"/>
          <w:lang w:val="en-IN"/>
        </w:rPr>
      </w:pPr>
      <w:bookmarkStart w:id="14" w:name="_Toc190531027"/>
      <w:r w:rsidRPr="00451899">
        <w:rPr>
          <w:highlight w:val="white"/>
          <w:lang w:val="en-IN"/>
        </w:rPr>
        <w:t>Conclusion</w:t>
      </w:r>
      <w:bookmarkEnd w:id="14"/>
    </w:p>
    <w:p w14:paraId="47AC5CF0" w14:textId="77777777" w:rsid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The Green Glory Project is a main transformative initiative which is aimed at revitalizing underutilized urban spaces into various eco-friendly community parks. Through a properly structured Work Breakdown Structure (WBS), the project ensures green planning, execution, and sustainability. Each segment, from Project Initiation &amp; Planning to Maintenance &amp; Sustainability, </w:t>
      </w:r>
      <w:r w:rsidRPr="00451899">
        <w:rPr>
          <w:rFonts w:ascii="Times New Roman" w:eastAsia="Times New Roman" w:hAnsi="Times New Roman" w:cs="Times New Roman"/>
          <w:bCs/>
          <w:sz w:val="24"/>
          <w:szCs w:val="24"/>
          <w:highlight w:val="white"/>
          <w:lang w:val="en-IN"/>
        </w:rPr>
        <w:lastRenderedPageBreak/>
        <w:t xml:space="preserve">is meticulously designed to gain key milestones and deliverables inside a set timeline. By attracting stakeholders early, conducting feasibility research, and developing conceptual and certain designs, the project sets a strong basis for successful implementation. The Design &amp; Development phase makes a speciality of sustainable infrastructure, eco-friendly cloth selection, and biodiversity enhancement. </w:t>
      </w:r>
    </w:p>
    <w:p w14:paraId="3A7648A4" w14:textId="77777777" w:rsidR="00451899" w:rsidRDefault="00000000">
      <w:pPr>
        <w:rPr>
          <w:rFonts w:ascii="Times New Roman" w:eastAsia="Times New Roman" w:hAnsi="Times New Roman" w:cs="Times New Roman"/>
          <w:bCs/>
          <w:sz w:val="24"/>
          <w:szCs w:val="24"/>
          <w:highlight w:val="white"/>
          <w:lang w:val="en-IN"/>
        </w:rPr>
      </w:pPr>
      <w:r>
        <w:rPr>
          <w:rFonts w:ascii="Times New Roman" w:eastAsia="Times New Roman" w:hAnsi="Times New Roman" w:cs="Times New Roman"/>
          <w:bCs/>
          <w:sz w:val="24"/>
          <w:szCs w:val="24"/>
          <w:highlight w:val="white"/>
          <w:lang w:val="en-IN"/>
        </w:rPr>
        <w:br w:type="page"/>
      </w:r>
    </w:p>
    <w:p w14:paraId="66CDA0CE" w14:textId="77777777" w:rsidR="00C20C29" w:rsidRDefault="00C20C29" w:rsidP="00451899">
      <w:pPr>
        <w:spacing w:line="360" w:lineRule="auto"/>
        <w:jc w:val="both"/>
        <w:rPr>
          <w:rFonts w:ascii="Times New Roman" w:eastAsia="Times New Roman" w:hAnsi="Times New Roman" w:cs="Times New Roman"/>
          <w:sz w:val="24"/>
          <w:szCs w:val="24"/>
        </w:rPr>
      </w:pPr>
    </w:p>
    <w:p w14:paraId="799EE7E2" w14:textId="77777777" w:rsidR="00C20C29" w:rsidRDefault="00000000">
      <w:pPr>
        <w:pStyle w:val="Heading1"/>
      </w:pPr>
      <w:bookmarkStart w:id="15" w:name="_kdpfav9f18r" w:colFirst="0" w:colLast="0"/>
      <w:bookmarkStart w:id="16" w:name="_Toc190531028"/>
      <w:bookmarkEnd w:id="15"/>
      <w:r>
        <w:t>Reference List</w:t>
      </w:r>
      <w:bookmarkEnd w:id="16"/>
    </w:p>
    <w:p w14:paraId="6032BC44" w14:textId="77777777" w:rsidR="00451899" w:rsidRDefault="00000000">
      <w:pPr>
        <w:spacing w:before="240" w:after="240"/>
        <w:jc w:val="both"/>
        <w:rPr>
          <w:rFonts w:ascii="Times New Roman" w:eastAsia="Times New Roman" w:hAnsi="Times New Roman" w:cs="Times New Roman"/>
          <w:sz w:val="24"/>
          <w:szCs w:val="24"/>
        </w:rPr>
      </w:pPr>
      <w:bookmarkStart w:id="17" w:name="_Hlk191072125"/>
      <w:r>
        <w:rPr>
          <w:rFonts w:ascii="Times New Roman" w:eastAsia="Times New Roman" w:hAnsi="Times New Roman" w:cs="Times New Roman"/>
          <w:color w:val="222222"/>
          <w:sz w:val="24"/>
          <w:szCs w:val="24"/>
          <w:highlight w:val="white"/>
        </w:rPr>
        <w:t xml:space="preserve">Alfes, K., Antunes, B. and Shantz, A.D., 2017. The management of volunteers–what can human resources do? A review and research agenda. </w:t>
      </w:r>
      <w:r>
        <w:rPr>
          <w:rFonts w:ascii="Times New Roman" w:eastAsia="Times New Roman" w:hAnsi="Times New Roman" w:cs="Times New Roman"/>
          <w:i/>
          <w:sz w:val="24"/>
          <w:szCs w:val="24"/>
        </w:rPr>
        <w:t>The International Journal of human resource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28</w:t>
      </w:r>
      <w:r>
        <w:rPr>
          <w:rFonts w:ascii="Times New Roman" w:eastAsia="Times New Roman" w:hAnsi="Times New Roman" w:cs="Times New Roman"/>
          <w:sz w:val="24"/>
          <w:szCs w:val="24"/>
        </w:rPr>
        <w:t>(1), pp.62-97.</w:t>
      </w:r>
    </w:p>
    <w:p w14:paraId="156D5D97"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Almalki, F.A., Alami, S.H., Sahal, R., Hassan, J., Harbani, A., Rajput, N.S., Saif, A., Morgan, J. and Breslin, J., 2023. Green IoT for eco-friendly and sustainable smart cities: future directions and opportunities. </w:t>
      </w:r>
      <w:r>
        <w:rPr>
          <w:rFonts w:ascii="Times New Roman" w:eastAsia="Times New Roman" w:hAnsi="Times New Roman" w:cs="Times New Roman"/>
          <w:i/>
          <w:sz w:val="24"/>
          <w:szCs w:val="24"/>
        </w:rPr>
        <w:t>Mobile Networks and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28</w:t>
      </w:r>
      <w:r>
        <w:rPr>
          <w:rFonts w:ascii="Times New Roman" w:eastAsia="Times New Roman" w:hAnsi="Times New Roman" w:cs="Times New Roman"/>
          <w:sz w:val="24"/>
          <w:szCs w:val="24"/>
        </w:rPr>
        <w:t>(1), pp.178-202.</w:t>
      </w:r>
    </w:p>
    <w:p w14:paraId="1FAC1803"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Azam, B., 2023. Innovative Approaches to Urban Redevelopment.</w:t>
      </w:r>
    </w:p>
    <w:p w14:paraId="282200BC"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BBC.com (2016) </w:t>
      </w:r>
      <w:r>
        <w:rPr>
          <w:rFonts w:ascii="Times New Roman" w:eastAsia="Times New Roman" w:hAnsi="Times New Roman" w:cs="Times New Roman"/>
          <w:i/>
          <w:sz w:val="24"/>
          <w:szCs w:val="24"/>
        </w:rPr>
        <w:t>Green spaces worth £2.2bn to public health in England</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BBC News</w:t>
      </w:r>
      <w:r>
        <w:rPr>
          <w:rFonts w:ascii="Times New Roman" w:eastAsia="Times New Roman" w:hAnsi="Times New Roman" w:cs="Times New Roman"/>
          <w:sz w:val="24"/>
          <w:szCs w:val="24"/>
        </w:rPr>
        <w:t>. BBC. Available at: https://www.bbc.com/news/science-environment-37403915 (Accessed: 15 February 2025).</w:t>
      </w:r>
    </w:p>
    <w:p w14:paraId="3B82F760"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Cerezo-Narváez, A., Pastor-Fernández, A., Otero-Mateo, M. and Ballesteros-Pérez, P., 2020. Integration of cost and work breakdown structures in the management of construction projects. </w:t>
      </w:r>
      <w:r>
        <w:rPr>
          <w:rFonts w:ascii="Times New Roman" w:eastAsia="Times New Roman" w:hAnsi="Times New Roman" w:cs="Times New Roman"/>
          <w:i/>
          <w:sz w:val="24"/>
          <w:szCs w:val="24"/>
        </w:rPr>
        <w:t>Applied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(4), p.1386.</w:t>
      </w:r>
    </w:p>
    <w:p w14:paraId="2A58F7DE"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Di Maddaloni, F. and Davis, K., 2017. The influence of local community stakeholders in megaprojects: Rethinking their inclusiveness to improve project performance. </w:t>
      </w:r>
      <w:r>
        <w:rPr>
          <w:rFonts w:ascii="Times New Roman" w:eastAsia="Times New Roman" w:hAnsi="Times New Roman" w:cs="Times New Roman"/>
          <w:i/>
          <w:sz w:val="24"/>
          <w:szCs w:val="24"/>
        </w:rPr>
        <w:t>International journal of project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35</w:t>
      </w:r>
      <w:r>
        <w:rPr>
          <w:rFonts w:ascii="Times New Roman" w:eastAsia="Times New Roman" w:hAnsi="Times New Roman" w:cs="Times New Roman"/>
          <w:sz w:val="24"/>
          <w:szCs w:val="24"/>
        </w:rPr>
        <w:t>(8), pp.1537-1556.</w:t>
      </w:r>
    </w:p>
    <w:p w14:paraId="3229B8E5"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Di Maddaloni, F. and Davis, K., 2018. Project manager's perception of the local communities' stakeholders in megaprojects. An empirical investigation in the UK. </w:t>
      </w:r>
      <w:r>
        <w:rPr>
          <w:rFonts w:ascii="Times New Roman" w:eastAsia="Times New Roman" w:hAnsi="Times New Roman" w:cs="Times New Roman"/>
          <w:i/>
          <w:sz w:val="24"/>
          <w:szCs w:val="24"/>
        </w:rPr>
        <w:t>International journal of project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36</w:t>
      </w:r>
      <w:r>
        <w:rPr>
          <w:rFonts w:ascii="Times New Roman" w:eastAsia="Times New Roman" w:hAnsi="Times New Roman" w:cs="Times New Roman"/>
          <w:sz w:val="24"/>
          <w:szCs w:val="24"/>
        </w:rPr>
        <w:t>(3), pp.542-565.</w:t>
      </w:r>
    </w:p>
    <w:p w14:paraId="05A6FA58"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epa.gov (2025) </w:t>
      </w:r>
      <w:r>
        <w:rPr>
          <w:rFonts w:ascii="Times New Roman" w:eastAsia="Times New Roman" w:hAnsi="Times New Roman" w:cs="Times New Roman"/>
          <w:i/>
          <w:sz w:val="24"/>
          <w:szCs w:val="24"/>
        </w:rPr>
        <w:t>EPA</w:t>
      </w:r>
      <w:r>
        <w:rPr>
          <w:rFonts w:ascii="Times New Roman" w:eastAsia="Times New Roman" w:hAnsi="Times New Roman" w:cs="Times New Roman"/>
          <w:sz w:val="24"/>
          <w:szCs w:val="24"/>
        </w:rPr>
        <w:t>. Environmental Protection Agency. Available at: https://www.epa.gov/green-infrastructure/reduce-heat-islands (Accessed: 15 February 2025).</w:t>
      </w:r>
    </w:p>
    <w:p w14:paraId="71DEAA94"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Ghimire, B.J., 2024. Role of Urban Agriculture in Promoting Food Security and Sustainable Cities. </w:t>
      </w:r>
      <w:r w:rsidRPr="00451899">
        <w:rPr>
          <w:rFonts w:ascii="Times New Roman" w:eastAsia="Times New Roman" w:hAnsi="Times New Roman" w:cs="Times New Roman"/>
          <w:bCs/>
          <w:i/>
          <w:iCs/>
          <w:sz w:val="24"/>
          <w:szCs w:val="24"/>
          <w:highlight w:val="white"/>
          <w:lang w:val="en-IN"/>
        </w:rPr>
        <w:t>Journal of Research and Development</w:t>
      </w:r>
      <w:r w:rsidRPr="00451899">
        <w:rPr>
          <w:rFonts w:ascii="Times New Roman" w:eastAsia="Times New Roman" w:hAnsi="Times New Roman" w:cs="Times New Roman"/>
          <w:bCs/>
          <w:sz w:val="24"/>
          <w:szCs w:val="24"/>
          <w:highlight w:val="white"/>
          <w:lang w:val="en-IN"/>
        </w:rPr>
        <w:t xml:space="preserve">, </w:t>
      </w:r>
      <w:r w:rsidRPr="00451899">
        <w:rPr>
          <w:rFonts w:ascii="Times New Roman" w:eastAsia="Times New Roman" w:hAnsi="Times New Roman" w:cs="Times New Roman"/>
          <w:bCs/>
          <w:i/>
          <w:iCs/>
          <w:sz w:val="24"/>
          <w:szCs w:val="24"/>
          <w:highlight w:val="white"/>
          <w:lang w:val="en-IN"/>
        </w:rPr>
        <w:t>7</w:t>
      </w:r>
      <w:r w:rsidRPr="00451899">
        <w:rPr>
          <w:rFonts w:ascii="Times New Roman" w:eastAsia="Times New Roman" w:hAnsi="Times New Roman" w:cs="Times New Roman"/>
          <w:bCs/>
          <w:sz w:val="24"/>
          <w:szCs w:val="24"/>
          <w:highlight w:val="white"/>
          <w:lang w:val="en-IN"/>
        </w:rPr>
        <w:t>(01), pp.42-49.</w:t>
      </w:r>
    </w:p>
    <w:p w14:paraId="0642DAD8"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Gobinath, R., Ganapathy, G.P., Gayathiri, E., Kirgiz, M.S., Anigbogu, N., de Sousa Galdino, A.G. and Khatib, J., 2024. Sustainable Ecosystem Development and Landscaping for Urban and Peri-Urban Areas. In </w:t>
      </w:r>
      <w:r w:rsidRPr="00451899">
        <w:rPr>
          <w:rFonts w:ascii="Times New Roman" w:eastAsia="Times New Roman" w:hAnsi="Times New Roman" w:cs="Times New Roman"/>
          <w:bCs/>
          <w:i/>
          <w:iCs/>
          <w:sz w:val="24"/>
          <w:szCs w:val="24"/>
          <w:highlight w:val="white"/>
          <w:lang w:val="en-IN"/>
        </w:rPr>
        <w:t>Sustainability of Natural Resources</w:t>
      </w:r>
      <w:r w:rsidRPr="00451899">
        <w:rPr>
          <w:rFonts w:ascii="Times New Roman" w:eastAsia="Times New Roman" w:hAnsi="Times New Roman" w:cs="Times New Roman"/>
          <w:bCs/>
          <w:sz w:val="24"/>
          <w:szCs w:val="24"/>
          <w:highlight w:val="white"/>
          <w:lang w:val="en-IN"/>
        </w:rPr>
        <w:t xml:space="preserve"> (pp. 61-74). CRC Press.</w:t>
      </w:r>
    </w:p>
    <w:p w14:paraId="4DD2334F"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green-park.co.uk (2019) </w:t>
      </w:r>
      <w:r>
        <w:rPr>
          <w:rFonts w:ascii="Times New Roman" w:eastAsia="Times New Roman" w:hAnsi="Times New Roman" w:cs="Times New Roman"/>
          <w:i/>
          <w:sz w:val="24"/>
          <w:szCs w:val="24"/>
        </w:rPr>
        <w:t>Green Park</w:t>
      </w:r>
      <w:r>
        <w:rPr>
          <w:rFonts w:ascii="Times New Roman" w:eastAsia="Times New Roman" w:hAnsi="Times New Roman" w:cs="Times New Roman"/>
          <w:sz w:val="24"/>
          <w:szCs w:val="24"/>
        </w:rPr>
        <w:t>. Available at: https://www.green-park.co.uk/sustainable-impact/ (Accessed: 15 February 2025).</w:t>
      </w:r>
    </w:p>
    <w:p w14:paraId="1407494D"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Haar, K., 2024. Impact of Stakeholder Engagement Strategies on Project Success in Cameroon. </w:t>
      </w:r>
      <w:r>
        <w:rPr>
          <w:rFonts w:ascii="Times New Roman" w:eastAsia="Times New Roman" w:hAnsi="Times New Roman" w:cs="Times New Roman"/>
          <w:i/>
          <w:sz w:val="24"/>
          <w:szCs w:val="24"/>
        </w:rPr>
        <w:t>International Journal of Project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(2), pp.14-25.</w:t>
      </w:r>
    </w:p>
    <w:p w14:paraId="7693BC27"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Jha, P., Joy, M.S., Yadav, P.K., Begam, S. and Bansal, T., 2024. Detecting the role of urban green parks in thermal comfort and public health for sustainable urban planning in Delhi. </w:t>
      </w:r>
      <w:r w:rsidRPr="00451899">
        <w:rPr>
          <w:rFonts w:ascii="Times New Roman" w:eastAsia="Times New Roman" w:hAnsi="Times New Roman" w:cs="Times New Roman"/>
          <w:bCs/>
          <w:i/>
          <w:iCs/>
          <w:sz w:val="24"/>
          <w:szCs w:val="24"/>
          <w:highlight w:val="white"/>
          <w:lang w:val="en-IN"/>
        </w:rPr>
        <w:t>Discover Public Health</w:t>
      </w:r>
      <w:r w:rsidRPr="00451899">
        <w:rPr>
          <w:rFonts w:ascii="Times New Roman" w:eastAsia="Times New Roman" w:hAnsi="Times New Roman" w:cs="Times New Roman"/>
          <w:bCs/>
          <w:sz w:val="24"/>
          <w:szCs w:val="24"/>
          <w:highlight w:val="white"/>
          <w:lang w:val="en-IN"/>
        </w:rPr>
        <w:t xml:space="preserve">, </w:t>
      </w:r>
      <w:r w:rsidRPr="00451899">
        <w:rPr>
          <w:rFonts w:ascii="Times New Roman" w:eastAsia="Times New Roman" w:hAnsi="Times New Roman" w:cs="Times New Roman"/>
          <w:bCs/>
          <w:i/>
          <w:iCs/>
          <w:sz w:val="24"/>
          <w:szCs w:val="24"/>
          <w:highlight w:val="white"/>
          <w:lang w:val="en-IN"/>
        </w:rPr>
        <w:t>21</w:t>
      </w:r>
      <w:r w:rsidRPr="00451899">
        <w:rPr>
          <w:rFonts w:ascii="Times New Roman" w:eastAsia="Times New Roman" w:hAnsi="Times New Roman" w:cs="Times New Roman"/>
          <w:bCs/>
          <w:sz w:val="24"/>
          <w:szCs w:val="24"/>
          <w:highlight w:val="white"/>
          <w:lang w:val="en-IN"/>
        </w:rPr>
        <w:t>(1), pp.1-21.</w:t>
      </w:r>
    </w:p>
    <w:p w14:paraId="1CA61251"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Kim, G., Newman, G. and Jiang, B., 2020. Urban regeneration: Community engagement process for vacant land in declining cities. </w:t>
      </w:r>
      <w:r>
        <w:rPr>
          <w:rFonts w:ascii="Times New Roman" w:eastAsia="Times New Roman" w:hAnsi="Times New Roman" w:cs="Times New Roman"/>
          <w:i/>
          <w:sz w:val="24"/>
          <w:szCs w:val="24"/>
        </w:rPr>
        <w:t>Cities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102</w:t>
      </w:r>
      <w:r>
        <w:rPr>
          <w:rFonts w:ascii="Times New Roman" w:eastAsia="Times New Roman" w:hAnsi="Times New Roman" w:cs="Times New Roman"/>
          <w:sz w:val="24"/>
          <w:szCs w:val="24"/>
        </w:rPr>
        <w:t>, p.102730.</w:t>
      </w:r>
    </w:p>
    <w:p w14:paraId="2A196181"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Paudel, S. and States, S.L., 2023. Urban green spaces and sustainability: Exploring the ecosystem services and disservices of grassy lawns versus floral meadows. </w:t>
      </w:r>
      <w:r>
        <w:rPr>
          <w:rFonts w:ascii="Times New Roman" w:eastAsia="Times New Roman" w:hAnsi="Times New Roman" w:cs="Times New Roman"/>
          <w:i/>
          <w:sz w:val="24"/>
          <w:szCs w:val="24"/>
        </w:rPr>
        <w:t>Urban Forestry &amp; Urban Greening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84</w:t>
      </w:r>
      <w:r>
        <w:rPr>
          <w:rFonts w:ascii="Times New Roman" w:eastAsia="Times New Roman" w:hAnsi="Times New Roman" w:cs="Times New Roman"/>
          <w:sz w:val="24"/>
          <w:szCs w:val="24"/>
        </w:rPr>
        <w:t>, p.127932.</w:t>
      </w:r>
    </w:p>
    <w:p w14:paraId="2ABE4E8F"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Rambha, M., Volk, R., Risman chi, B., Winter, S. and Schulman, F., 2024. Prioritizing urban green spaces in resource constrained scenarios. </w:t>
      </w:r>
      <w:r>
        <w:rPr>
          <w:rFonts w:ascii="Times New Roman" w:eastAsia="Times New Roman" w:hAnsi="Times New Roman" w:cs="Times New Roman"/>
          <w:i/>
          <w:sz w:val="24"/>
          <w:szCs w:val="24"/>
        </w:rPr>
        <w:t>Resources, Environment and 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 p.100150.</w:t>
      </w:r>
    </w:p>
    <w:p w14:paraId="61D87C5E"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Riffat, S., Ahmad, M.I. and Shakir, A., 2024. Eco-Cities: Sustainable Urban Living. In </w:t>
      </w:r>
      <w:r w:rsidRPr="00451899">
        <w:rPr>
          <w:rFonts w:ascii="Times New Roman" w:eastAsia="Times New Roman" w:hAnsi="Times New Roman" w:cs="Times New Roman"/>
          <w:bCs/>
          <w:i/>
          <w:iCs/>
          <w:sz w:val="24"/>
          <w:szCs w:val="24"/>
          <w:highlight w:val="white"/>
          <w:lang w:val="en-IN"/>
        </w:rPr>
        <w:t>Sustainable Energy Technologies and Low Carbon Buildings</w:t>
      </w:r>
      <w:r w:rsidRPr="00451899">
        <w:rPr>
          <w:rFonts w:ascii="Times New Roman" w:eastAsia="Times New Roman" w:hAnsi="Times New Roman" w:cs="Times New Roman"/>
          <w:bCs/>
          <w:sz w:val="24"/>
          <w:szCs w:val="24"/>
          <w:highlight w:val="white"/>
          <w:lang w:val="en-IN"/>
        </w:rPr>
        <w:t xml:space="preserve"> (pp. 259-309). Cham: Springer Nature Switzerland.</w:t>
      </w:r>
    </w:p>
    <w:p w14:paraId="492819BC"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RODRIGUEZ, M., 2024. HUMAN-CENTRED URBAN DESIGN: SMALL INTERVENTIONS, BIG IMPACT FOR HABITABLE CITIES. </w:t>
      </w:r>
      <w:r w:rsidRPr="00451899">
        <w:rPr>
          <w:rFonts w:ascii="Times New Roman" w:eastAsia="Times New Roman" w:hAnsi="Times New Roman" w:cs="Times New Roman"/>
          <w:bCs/>
          <w:i/>
          <w:iCs/>
          <w:sz w:val="24"/>
          <w:szCs w:val="24"/>
          <w:highlight w:val="white"/>
          <w:lang w:val="en-IN"/>
        </w:rPr>
        <w:t>WIT Transactions on Ecology and the Environment</w:t>
      </w:r>
      <w:r w:rsidRPr="00451899">
        <w:rPr>
          <w:rFonts w:ascii="Times New Roman" w:eastAsia="Times New Roman" w:hAnsi="Times New Roman" w:cs="Times New Roman"/>
          <w:bCs/>
          <w:sz w:val="24"/>
          <w:szCs w:val="24"/>
          <w:highlight w:val="white"/>
          <w:lang w:val="en-IN"/>
        </w:rPr>
        <w:t xml:space="preserve">, </w:t>
      </w:r>
      <w:r w:rsidRPr="00451899">
        <w:rPr>
          <w:rFonts w:ascii="Times New Roman" w:eastAsia="Times New Roman" w:hAnsi="Times New Roman" w:cs="Times New Roman"/>
          <w:bCs/>
          <w:i/>
          <w:iCs/>
          <w:sz w:val="24"/>
          <w:szCs w:val="24"/>
          <w:highlight w:val="white"/>
          <w:lang w:val="en-IN"/>
        </w:rPr>
        <w:t>262</w:t>
      </w:r>
      <w:r w:rsidRPr="00451899">
        <w:rPr>
          <w:rFonts w:ascii="Times New Roman" w:eastAsia="Times New Roman" w:hAnsi="Times New Roman" w:cs="Times New Roman"/>
          <w:bCs/>
          <w:sz w:val="24"/>
          <w:szCs w:val="24"/>
          <w:highlight w:val="white"/>
          <w:lang w:val="en-IN"/>
        </w:rPr>
        <w:t>, pp.177-186.</w:t>
      </w:r>
    </w:p>
    <w:p w14:paraId="2270173E" w14:textId="77777777" w:rsidR="00451899"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Urbinati, A., Landoni, P., Concoction, F. and De Giudici, L., 2021. Stakeholder management in open innovation projects: a multiple case study analysis. </w:t>
      </w:r>
      <w:r>
        <w:rPr>
          <w:rFonts w:ascii="Times New Roman" w:eastAsia="Times New Roman" w:hAnsi="Times New Roman" w:cs="Times New Roman"/>
          <w:i/>
          <w:sz w:val="24"/>
          <w:szCs w:val="24"/>
        </w:rPr>
        <w:t>European Journal of innovation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(5), pp.1595-1624.</w:t>
      </w:r>
    </w:p>
    <w:p w14:paraId="4138661D"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Vaziri, M.M., 2024. Developing Innovative Green Spaces to Tackle Urban Health Risks.</w:t>
      </w:r>
    </w:p>
    <w:p w14:paraId="2BB2300B" w14:textId="77777777" w:rsidR="00451899" w:rsidRPr="00451899" w:rsidRDefault="00000000" w:rsidP="00451899">
      <w:pPr>
        <w:spacing w:line="360" w:lineRule="auto"/>
        <w:jc w:val="both"/>
        <w:rPr>
          <w:rFonts w:ascii="Times New Roman" w:eastAsia="Times New Roman" w:hAnsi="Times New Roman" w:cs="Times New Roman"/>
          <w:bCs/>
          <w:sz w:val="24"/>
          <w:szCs w:val="24"/>
          <w:highlight w:val="white"/>
          <w:lang w:val="en-IN"/>
        </w:rPr>
      </w:pPr>
      <w:r w:rsidRPr="00451899">
        <w:rPr>
          <w:rFonts w:ascii="Times New Roman" w:eastAsia="Times New Roman" w:hAnsi="Times New Roman" w:cs="Times New Roman"/>
          <w:bCs/>
          <w:sz w:val="24"/>
          <w:szCs w:val="24"/>
          <w:highlight w:val="white"/>
          <w:lang w:val="en-IN"/>
        </w:rPr>
        <w:t xml:space="preserve">Xie, C., 2023. The symbiotic development of urban waterfront spaces and regional culture: unleashing potentials, innovative design, and sustainable development. </w:t>
      </w:r>
      <w:r w:rsidRPr="00451899">
        <w:rPr>
          <w:rFonts w:ascii="Times New Roman" w:eastAsia="Times New Roman" w:hAnsi="Times New Roman" w:cs="Times New Roman"/>
          <w:bCs/>
          <w:i/>
          <w:iCs/>
          <w:sz w:val="24"/>
          <w:szCs w:val="24"/>
          <w:highlight w:val="white"/>
          <w:lang w:val="en-IN"/>
        </w:rPr>
        <w:t>Journal of Innovation and Development</w:t>
      </w:r>
      <w:r w:rsidRPr="00451899">
        <w:rPr>
          <w:rFonts w:ascii="Times New Roman" w:eastAsia="Times New Roman" w:hAnsi="Times New Roman" w:cs="Times New Roman"/>
          <w:bCs/>
          <w:sz w:val="24"/>
          <w:szCs w:val="24"/>
          <w:highlight w:val="white"/>
          <w:lang w:val="en-IN"/>
        </w:rPr>
        <w:t xml:space="preserve">, </w:t>
      </w:r>
      <w:r w:rsidRPr="00451899">
        <w:rPr>
          <w:rFonts w:ascii="Times New Roman" w:eastAsia="Times New Roman" w:hAnsi="Times New Roman" w:cs="Times New Roman"/>
          <w:bCs/>
          <w:i/>
          <w:iCs/>
          <w:sz w:val="24"/>
          <w:szCs w:val="24"/>
          <w:highlight w:val="white"/>
          <w:lang w:val="en-IN"/>
        </w:rPr>
        <w:t>3</w:t>
      </w:r>
      <w:r w:rsidRPr="00451899">
        <w:rPr>
          <w:rFonts w:ascii="Times New Roman" w:eastAsia="Times New Roman" w:hAnsi="Times New Roman" w:cs="Times New Roman"/>
          <w:bCs/>
          <w:sz w:val="24"/>
          <w:szCs w:val="24"/>
          <w:highlight w:val="white"/>
          <w:lang w:val="en-IN"/>
        </w:rPr>
        <w:t>(2), pp.26-30.</w:t>
      </w:r>
      <w:bookmarkEnd w:id="17"/>
    </w:p>
    <w:sectPr w:rsidR="00451899" w:rsidRPr="00451899" w:rsidSect="00451899">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B60E6" w14:textId="77777777" w:rsidR="008E5644" w:rsidRDefault="008E5644">
      <w:pPr>
        <w:spacing w:line="240" w:lineRule="auto"/>
      </w:pPr>
      <w:r>
        <w:separator/>
      </w:r>
    </w:p>
  </w:endnote>
  <w:endnote w:type="continuationSeparator" w:id="0">
    <w:p w14:paraId="5794CFE7" w14:textId="77777777" w:rsidR="008E5644" w:rsidRDefault="008E56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6611989"/>
      <w:docPartObj>
        <w:docPartGallery w:val="Page Numbers (Bottom of Page)"/>
        <w:docPartUnique/>
      </w:docPartObj>
    </w:sdtPr>
    <w:sdtEndPr>
      <w:rPr>
        <w:noProof/>
      </w:rPr>
    </w:sdtEndPr>
    <w:sdtContent>
      <w:p w14:paraId="7D53B413" w14:textId="77777777" w:rsidR="0045189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303D42" w14:textId="77777777" w:rsidR="00451899" w:rsidRDefault="004518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77B182" w14:textId="77777777" w:rsidR="008E5644" w:rsidRDefault="008E5644">
      <w:pPr>
        <w:spacing w:line="240" w:lineRule="auto"/>
      </w:pPr>
      <w:r>
        <w:separator/>
      </w:r>
    </w:p>
  </w:footnote>
  <w:footnote w:type="continuationSeparator" w:id="0">
    <w:p w14:paraId="25B1FEC7" w14:textId="77777777" w:rsidR="008E5644" w:rsidRDefault="008E56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B0110"/>
    <w:multiLevelType w:val="multilevel"/>
    <w:tmpl w:val="D7BE4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3966A0"/>
    <w:multiLevelType w:val="multilevel"/>
    <w:tmpl w:val="C7D4B1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396F00"/>
    <w:multiLevelType w:val="hybridMultilevel"/>
    <w:tmpl w:val="330C9BC4"/>
    <w:lvl w:ilvl="0" w:tplc="0E1236E8">
      <w:start w:val="1"/>
      <w:numFmt w:val="decimal"/>
      <w:lvlText w:val="%1."/>
      <w:lvlJc w:val="left"/>
      <w:pPr>
        <w:ind w:left="720" w:hanging="360"/>
      </w:pPr>
    </w:lvl>
    <w:lvl w:ilvl="1" w:tplc="D2385CC6" w:tentative="1">
      <w:start w:val="1"/>
      <w:numFmt w:val="lowerLetter"/>
      <w:lvlText w:val="%2."/>
      <w:lvlJc w:val="left"/>
      <w:pPr>
        <w:ind w:left="1440" w:hanging="360"/>
      </w:pPr>
    </w:lvl>
    <w:lvl w:ilvl="2" w:tplc="69DA4622" w:tentative="1">
      <w:start w:val="1"/>
      <w:numFmt w:val="lowerRoman"/>
      <w:lvlText w:val="%3."/>
      <w:lvlJc w:val="right"/>
      <w:pPr>
        <w:ind w:left="2160" w:hanging="180"/>
      </w:pPr>
    </w:lvl>
    <w:lvl w:ilvl="3" w:tplc="EEE2101E" w:tentative="1">
      <w:start w:val="1"/>
      <w:numFmt w:val="decimal"/>
      <w:lvlText w:val="%4."/>
      <w:lvlJc w:val="left"/>
      <w:pPr>
        <w:ind w:left="2880" w:hanging="360"/>
      </w:pPr>
    </w:lvl>
    <w:lvl w:ilvl="4" w:tplc="C26AE4C6" w:tentative="1">
      <w:start w:val="1"/>
      <w:numFmt w:val="lowerLetter"/>
      <w:lvlText w:val="%5."/>
      <w:lvlJc w:val="left"/>
      <w:pPr>
        <w:ind w:left="3600" w:hanging="360"/>
      </w:pPr>
    </w:lvl>
    <w:lvl w:ilvl="5" w:tplc="399EE40E" w:tentative="1">
      <w:start w:val="1"/>
      <w:numFmt w:val="lowerRoman"/>
      <w:lvlText w:val="%6."/>
      <w:lvlJc w:val="right"/>
      <w:pPr>
        <w:ind w:left="4320" w:hanging="180"/>
      </w:pPr>
    </w:lvl>
    <w:lvl w:ilvl="6" w:tplc="A7781906" w:tentative="1">
      <w:start w:val="1"/>
      <w:numFmt w:val="decimal"/>
      <w:lvlText w:val="%7."/>
      <w:lvlJc w:val="left"/>
      <w:pPr>
        <w:ind w:left="5040" w:hanging="360"/>
      </w:pPr>
    </w:lvl>
    <w:lvl w:ilvl="7" w:tplc="5DA01E02" w:tentative="1">
      <w:start w:val="1"/>
      <w:numFmt w:val="lowerLetter"/>
      <w:lvlText w:val="%8."/>
      <w:lvlJc w:val="left"/>
      <w:pPr>
        <w:ind w:left="5760" w:hanging="360"/>
      </w:pPr>
    </w:lvl>
    <w:lvl w:ilvl="8" w:tplc="9B884558" w:tentative="1">
      <w:start w:val="1"/>
      <w:numFmt w:val="lowerRoman"/>
      <w:lvlText w:val="%9."/>
      <w:lvlJc w:val="right"/>
      <w:pPr>
        <w:ind w:left="6480" w:hanging="180"/>
      </w:pPr>
    </w:lvl>
  </w:abstractNum>
  <w:abstractNum w:abstractNumId="3" w15:restartNumberingAfterBreak="0">
    <w:nsid w:val="2A6F2AC6"/>
    <w:multiLevelType w:val="hybridMultilevel"/>
    <w:tmpl w:val="3ECC8B4A"/>
    <w:lvl w:ilvl="0" w:tplc="D7FEB41C">
      <w:start w:val="1"/>
      <w:numFmt w:val="decimal"/>
      <w:lvlText w:val="%1."/>
      <w:lvlJc w:val="left"/>
      <w:pPr>
        <w:ind w:left="720" w:hanging="360"/>
      </w:pPr>
    </w:lvl>
    <w:lvl w:ilvl="1" w:tplc="17B4A754" w:tentative="1">
      <w:start w:val="1"/>
      <w:numFmt w:val="lowerLetter"/>
      <w:lvlText w:val="%2."/>
      <w:lvlJc w:val="left"/>
      <w:pPr>
        <w:ind w:left="1440" w:hanging="360"/>
      </w:pPr>
    </w:lvl>
    <w:lvl w:ilvl="2" w:tplc="AF90D6AA" w:tentative="1">
      <w:start w:val="1"/>
      <w:numFmt w:val="lowerRoman"/>
      <w:lvlText w:val="%3."/>
      <w:lvlJc w:val="right"/>
      <w:pPr>
        <w:ind w:left="2160" w:hanging="180"/>
      </w:pPr>
    </w:lvl>
    <w:lvl w:ilvl="3" w:tplc="BD167870" w:tentative="1">
      <w:start w:val="1"/>
      <w:numFmt w:val="decimal"/>
      <w:lvlText w:val="%4."/>
      <w:lvlJc w:val="left"/>
      <w:pPr>
        <w:ind w:left="2880" w:hanging="360"/>
      </w:pPr>
    </w:lvl>
    <w:lvl w:ilvl="4" w:tplc="FAE0F9F4" w:tentative="1">
      <w:start w:val="1"/>
      <w:numFmt w:val="lowerLetter"/>
      <w:lvlText w:val="%5."/>
      <w:lvlJc w:val="left"/>
      <w:pPr>
        <w:ind w:left="3600" w:hanging="360"/>
      </w:pPr>
    </w:lvl>
    <w:lvl w:ilvl="5" w:tplc="B5D43312" w:tentative="1">
      <w:start w:val="1"/>
      <w:numFmt w:val="lowerRoman"/>
      <w:lvlText w:val="%6."/>
      <w:lvlJc w:val="right"/>
      <w:pPr>
        <w:ind w:left="4320" w:hanging="180"/>
      </w:pPr>
    </w:lvl>
    <w:lvl w:ilvl="6" w:tplc="874CF740" w:tentative="1">
      <w:start w:val="1"/>
      <w:numFmt w:val="decimal"/>
      <w:lvlText w:val="%7."/>
      <w:lvlJc w:val="left"/>
      <w:pPr>
        <w:ind w:left="5040" w:hanging="360"/>
      </w:pPr>
    </w:lvl>
    <w:lvl w:ilvl="7" w:tplc="DA38365C" w:tentative="1">
      <w:start w:val="1"/>
      <w:numFmt w:val="lowerLetter"/>
      <w:lvlText w:val="%8."/>
      <w:lvlJc w:val="left"/>
      <w:pPr>
        <w:ind w:left="5760" w:hanging="360"/>
      </w:pPr>
    </w:lvl>
    <w:lvl w:ilvl="8" w:tplc="E29629CC" w:tentative="1">
      <w:start w:val="1"/>
      <w:numFmt w:val="lowerRoman"/>
      <w:lvlText w:val="%9."/>
      <w:lvlJc w:val="right"/>
      <w:pPr>
        <w:ind w:left="6480" w:hanging="180"/>
      </w:pPr>
    </w:lvl>
  </w:abstractNum>
  <w:abstractNum w:abstractNumId="4" w15:restartNumberingAfterBreak="0">
    <w:nsid w:val="34350A55"/>
    <w:multiLevelType w:val="multilevel"/>
    <w:tmpl w:val="2EDC25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681B69"/>
    <w:multiLevelType w:val="multilevel"/>
    <w:tmpl w:val="9CFC1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DC4126"/>
    <w:multiLevelType w:val="multilevel"/>
    <w:tmpl w:val="0C821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DB4159E"/>
    <w:multiLevelType w:val="multilevel"/>
    <w:tmpl w:val="0B7C1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E8A1955"/>
    <w:multiLevelType w:val="hybridMultilevel"/>
    <w:tmpl w:val="145A34C0"/>
    <w:lvl w:ilvl="0" w:tplc="72F6B4CC">
      <w:start w:val="1"/>
      <w:numFmt w:val="decimal"/>
      <w:lvlText w:val="%1."/>
      <w:lvlJc w:val="left"/>
      <w:pPr>
        <w:ind w:left="720" w:hanging="360"/>
      </w:pPr>
    </w:lvl>
    <w:lvl w:ilvl="1" w:tplc="84C045F2" w:tentative="1">
      <w:start w:val="1"/>
      <w:numFmt w:val="lowerLetter"/>
      <w:lvlText w:val="%2."/>
      <w:lvlJc w:val="left"/>
      <w:pPr>
        <w:ind w:left="1440" w:hanging="360"/>
      </w:pPr>
    </w:lvl>
    <w:lvl w:ilvl="2" w:tplc="B8C01642" w:tentative="1">
      <w:start w:val="1"/>
      <w:numFmt w:val="lowerRoman"/>
      <w:lvlText w:val="%3."/>
      <w:lvlJc w:val="right"/>
      <w:pPr>
        <w:ind w:left="2160" w:hanging="180"/>
      </w:pPr>
    </w:lvl>
    <w:lvl w:ilvl="3" w:tplc="3FC6D8F2" w:tentative="1">
      <w:start w:val="1"/>
      <w:numFmt w:val="decimal"/>
      <w:lvlText w:val="%4."/>
      <w:lvlJc w:val="left"/>
      <w:pPr>
        <w:ind w:left="2880" w:hanging="360"/>
      </w:pPr>
    </w:lvl>
    <w:lvl w:ilvl="4" w:tplc="65ACE334" w:tentative="1">
      <w:start w:val="1"/>
      <w:numFmt w:val="lowerLetter"/>
      <w:lvlText w:val="%5."/>
      <w:lvlJc w:val="left"/>
      <w:pPr>
        <w:ind w:left="3600" w:hanging="360"/>
      </w:pPr>
    </w:lvl>
    <w:lvl w:ilvl="5" w:tplc="F656D85E" w:tentative="1">
      <w:start w:val="1"/>
      <w:numFmt w:val="lowerRoman"/>
      <w:lvlText w:val="%6."/>
      <w:lvlJc w:val="right"/>
      <w:pPr>
        <w:ind w:left="4320" w:hanging="180"/>
      </w:pPr>
    </w:lvl>
    <w:lvl w:ilvl="6" w:tplc="24E01922" w:tentative="1">
      <w:start w:val="1"/>
      <w:numFmt w:val="decimal"/>
      <w:lvlText w:val="%7."/>
      <w:lvlJc w:val="left"/>
      <w:pPr>
        <w:ind w:left="5040" w:hanging="360"/>
      </w:pPr>
    </w:lvl>
    <w:lvl w:ilvl="7" w:tplc="6C5A56F2" w:tentative="1">
      <w:start w:val="1"/>
      <w:numFmt w:val="lowerLetter"/>
      <w:lvlText w:val="%8."/>
      <w:lvlJc w:val="left"/>
      <w:pPr>
        <w:ind w:left="5760" w:hanging="360"/>
      </w:pPr>
    </w:lvl>
    <w:lvl w:ilvl="8" w:tplc="DD5004BC" w:tentative="1">
      <w:start w:val="1"/>
      <w:numFmt w:val="lowerRoman"/>
      <w:lvlText w:val="%9."/>
      <w:lvlJc w:val="right"/>
      <w:pPr>
        <w:ind w:left="6480" w:hanging="180"/>
      </w:pPr>
    </w:lvl>
  </w:abstractNum>
  <w:abstractNum w:abstractNumId="9" w15:restartNumberingAfterBreak="0">
    <w:nsid w:val="683639A6"/>
    <w:multiLevelType w:val="multilevel"/>
    <w:tmpl w:val="B4908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1A3A25"/>
    <w:multiLevelType w:val="multilevel"/>
    <w:tmpl w:val="DF58E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CE12229"/>
    <w:multiLevelType w:val="hybridMultilevel"/>
    <w:tmpl w:val="524218EA"/>
    <w:lvl w:ilvl="0" w:tplc="1390EF1C">
      <w:start w:val="1"/>
      <w:numFmt w:val="decimal"/>
      <w:lvlText w:val="%1."/>
      <w:lvlJc w:val="left"/>
      <w:pPr>
        <w:ind w:left="720" w:hanging="360"/>
      </w:pPr>
    </w:lvl>
    <w:lvl w:ilvl="1" w:tplc="CAC8E330" w:tentative="1">
      <w:start w:val="1"/>
      <w:numFmt w:val="lowerLetter"/>
      <w:lvlText w:val="%2."/>
      <w:lvlJc w:val="left"/>
      <w:pPr>
        <w:ind w:left="1440" w:hanging="360"/>
      </w:pPr>
    </w:lvl>
    <w:lvl w:ilvl="2" w:tplc="277C1C26" w:tentative="1">
      <w:start w:val="1"/>
      <w:numFmt w:val="lowerRoman"/>
      <w:lvlText w:val="%3."/>
      <w:lvlJc w:val="right"/>
      <w:pPr>
        <w:ind w:left="2160" w:hanging="180"/>
      </w:pPr>
    </w:lvl>
    <w:lvl w:ilvl="3" w:tplc="2842E82C" w:tentative="1">
      <w:start w:val="1"/>
      <w:numFmt w:val="decimal"/>
      <w:lvlText w:val="%4."/>
      <w:lvlJc w:val="left"/>
      <w:pPr>
        <w:ind w:left="2880" w:hanging="360"/>
      </w:pPr>
    </w:lvl>
    <w:lvl w:ilvl="4" w:tplc="84CC1B84" w:tentative="1">
      <w:start w:val="1"/>
      <w:numFmt w:val="lowerLetter"/>
      <w:lvlText w:val="%5."/>
      <w:lvlJc w:val="left"/>
      <w:pPr>
        <w:ind w:left="3600" w:hanging="360"/>
      </w:pPr>
    </w:lvl>
    <w:lvl w:ilvl="5" w:tplc="07B03DF6" w:tentative="1">
      <w:start w:val="1"/>
      <w:numFmt w:val="lowerRoman"/>
      <w:lvlText w:val="%6."/>
      <w:lvlJc w:val="right"/>
      <w:pPr>
        <w:ind w:left="4320" w:hanging="180"/>
      </w:pPr>
    </w:lvl>
    <w:lvl w:ilvl="6" w:tplc="623C37A8" w:tentative="1">
      <w:start w:val="1"/>
      <w:numFmt w:val="decimal"/>
      <w:lvlText w:val="%7."/>
      <w:lvlJc w:val="left"/>
      <w:pPr>
        <w:ind w:left="5040" w:hanging="360"/>
      </w:pPr>
    </w:lvl>
    <w:lvl w:ilvl="7" w:tplc="8FCCF0AC" w:tentative="1">
      <w:start w:val="1"/>
      <w:numFmt w:val="lowerLetter"/>
      <w:lvlText w:val="%8."/>
      <w:lvlJc w:val="left"/>
      <w:pPr>
        <w:ind w:left="5760" w:hanging="360"/>
      </w:pPr>
    </w:lvl>
    <w:lvl w:ilvl="8" w:tplc="BD086880" w:tentative="1">
      <w:start w:val="1"/>
      <w:numFmt w:val="lowerRoman"/>
      <w:lvlText w:val="%9."/>
      <w:lvlJc w:val="right"/>
      <w:pPr>
        <w:ind w:left="6480" w:hanging="180"/>
      </w:pPr>
    </w:lvl>
  </w:abstractNum>
  <w:abstractNum w:abstractNumId="12" w15:restartNumberingAfterBreak="0">
    <w:nsid w:val="7D0F07E4"/>
    <w:multiLevelType w:val="hybridMultilevel"/>
    <w:tmpl w:val="D28AADEA"/>
    <w:lvl w:ilvl="0" w:tplc="D4707C1C">
      <w:start w:val="1"/>
      <w:numFmt w:val="decimal"/>
      <w:lvlText w:val="%1."/>
      <w:lvlJc w:val="left"/>
      <w:pPr>
        <w:ind w:left="720" w:hanging="360"/>
      </w:pPr>
    </w:lvl>
    <w:lvl w:ilvl="1" w:tplc="DB9C76DA" w:tentative="1">
      <w:start w:val="1"/>
      <w:numFmt w:val="lowerLetter"/>
      <w:lvlText w:val="%2."/>
      <w:lvlJc w:val="left"/>
      <w:pPr>
        <w:ind w:left="1440" w:hanging="360"/>
      </w:pPr>
    </w:lvl>
    <w:lvl w:ilvl="2" w:tplc="2C88A8B6" w:tentative="1">
      <w:start w:val="1"/>
      <w:numFmt w:val="lowerRoman"/>
      <w:lvlText w:val="%3."/>
      <w:lvlJc w:val="right"/>
      <w:pPr>
        <w:ind w:left="2160" w:hanging="180"/>
      </w:pPr>
    </w:lvl>
    <w:lvl w:ilvl="3" w:tplc="E59663B6" w:tentative="1">
      <w:start w:val="1"/>
      <w:numFmt w:val="decimal"/>
      <w:lvlText w:val="%4."/>
      <w:lvlJc w:val="left"/>
      <w:pPr>
        <w:ind w:left="2880" w:hanging="360"/>
      </w:pPr>
    </w:lvl>
    <w:lvl w:ilvl="4" w:tplc="DB40B810" w:tentative="1">
      <w:start w:val="1"/>
      <w:numFmt w:val="lowerLetter"/>
      <w:lvlText w:val="%5."/>
      <w:lvlJc w:val="left"/>
      <w:pPr>
        <w:ind w:left="3600" w:hanging="360"/>
      </w:pPr>
    </w:lvl>
    <w:lvl w:ilvl="5" w:tplc="F606E208" w:tentative="1">
      <w:start w:val="1"/>
      <w:numFmt w:val="lowerRoman"/>
      <w:lvlText w:val="%6."/>
      <w:lvlJc w:val="right"/>
      <w:pPr>
        <w:ind w:left="4320" w:hanging="180"/>
      </w:pPr>
    </w:lvl>
    <w:lvl w:ilvl="6" w:tplc="FA228750" w:tentative="1">
      <w:start w:val="1"/>
      <w:numFmt w:val="decimal"/>
      <w:lvlText w:val="%7."/>
      <w:lvlJc w:val="left"/>
      <w:pPr>
        <w:ind w:left="5040" w:hanging="360"/>
      </w:pPr>
    </w:lvl>
    <w:lvl w:ilvl="7" w:tplc="7D46553A" w:tentative="1">
      <w:start w:val="1"/>
      <w:numFmt w:val="lowerLetter"/>
      <w:lvlText w:val="%8."/>
      <w:lvlJc w:val="left"/>
      <w:pPr>
        <w:ind w:left="5760" w:hanging="360"/>
      </w:pPr>
    </w:lvl>
    <w:lvl w:ilvl="8" w:tplc="27DA5BE2" w:tentative="1">
      <w:start w:val="1"/>
      <w:numFmt w:val="lowerRoman"/>
      <w:lvlText w:val="%9."/>
      <w:lvlJc w:val="right"/>
      <w:pPr>
        <w:ind w:left="6480" w:hanging="180"/>
      </w:pPr>
    </w:lvl>
  </w:abstractNum>
  <w:num w:numId="1" w16cid:durableId="1982423402">
    <w:abstractNumId w:val="1"/>
  </w:num>
  <w:num w:numId="2" w16cid:durableId="174199432">
    <w:abstractNumId w:val="4"/>
  </w:num>
  <w:num w:numId="3" w16cid:durableId="19476682">
    <w:abstractNumId w:val="10"/>
  </w:num>
  <w:num w:numId="4" w16cid:durableId="1757630367">
    <w:abstractNumId w:val="9"/>
  </w:num>
  <w:num w:numId="5" w16cid:durableId="425080190">
    <w:abstractNumId w:val="6"/>
  </w:num>
  <w:num w:numId="6" w16cid:durableId="952325076">
    <w:abstractNumId w:val="7"/>
  </w:num>
  <w:num w:numId="7" w16cid:durableId="659163699">
    <w:abstractNumId w:val="5"/>
  </w:num>
  <w:num w:numId="8" w16cid:durableId="1823933153">
    <w:abstractNumId w:val="0"/>
  </w:num>
  <w:num w:numId="9" w16cid:durableId="2145615328">
    <w:abstractNumId w:val="8"/>
  </w:num>
  <w:num w:numId="10" w16cid:durableId="1759012169">
    <w:abstractNumId w:val="11"/>
  </w:num>
  <w:num w:numId="11" w16cid:durableId="376660158">
    <w:abstractNumId w:val="3"/>
  </w:num>
  <w:num w:numId="12" w16cid:durableId="46686308">
    <w:abstractNumId w:val="2"/>
  </w:num>
  <w:num w:numId="13" w16cid:durableId="18959707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C29"/>
    <w:rsid w:val="00083226"/>
    <w:rsid w:val="00121EB3"/>
    <w:rsid w:val="001E2A0D"/>
    <w:rsid w:val="00382B0F"/>
    <w:rsid w:val="00451899"/>
    <w:rsid w:val="007D6EBD"/>
    <w:rsid w:val="008E21E7"/>
    <w:rsid w:val="008E5644"/>
    <w:rsid w:val="0093167F"/>
    <w:rsid w:val="00962750"/>
    <w:rsid w:val="00A43428"/>
    <w:rsid w:val="00B16EDC"/>
    <w:rsid w:val="00C20C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A0DAF"/>
  <w15:docId w15:val="{34AEF9E2-0DC6-4FA8-9152-BD3717B60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382B0F"/>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82B0F"/>
    <w:pPr>
      <w:spacing w:after="100"/>
    </w:pPr>
  </w:style>
  <w:style w:type="paragraph" w:styleId="TOC2">
    <w:name w:val="toc 2"/>
    <w:basedOn w:val="Normal"/>
    <w:next w:val="Normal"/>
    <w:autoRedefine/>
    <w:uiPriority w:val="39"/>
    <w:unhideWhenUsed/>
    <w:rsid w:val="00382B0F"/>
    <w:pPr>
      <w:spacing w:after="100"/>
      <w:ind w:left="220"/>
    </w:pPr>
  </w:style>
  <w:style w:type="character" w:styleId="Hyperlink">
    <w:name w:val="Hyperlink"/>
    <w:basedOn w:val="DefaultParagraphFont"/>
    <w:uiPriority w:val="99"/>
    <w:unhideWhenUsed/>
    <w:rsid w:val="00382B0F"/>
    <w:rPr>
      <w:color w:val="0000FF" w:themeColor="hyperlink"/>
      <w:u w:val="single"/>
    </w:rPr>
  </w:style>
  <w:style w:type="paragraph" w:styleId="ListParagraph">
    <w:name w:val="List Paragraph"/>
    <w:basedOn w:val="Normal"/>
    <w:uiPriority w:val="34"/>
    <w:qFormat/>
    <w:rsid w:val="00451899"/>
    <w:pPr>
      <w:ind w:left="720"/>
      <w:contextualSpacing/>
    </w:pPr>
  </w:style>
  <w:style w:type="paragraph" w:styleId="Header">
    <w:name w:val="header"/>
    <w:basedOn w:val="Normal"/>
    <w:link w:val="HeaderChar"/>
    <w:uiPriority w:val="99"/>
    <w:unhideWhenUsed/>
    <w:rsid w:val="00451899"/>
    <w:pPr>
      <w:tabs>
        <w:tab w:val="center" w:pos="4513"/>
        <w:tab w:val="right" w:pos="9026"/>
      </w:tabs>
      <w:spacing w:line="240" w:lineRule="auto"/>
    </w:pPr>
  </w:style>
  <w:style w:type="character" w:customStyle="1" w:styleId="HeaderChar">
    <w:name w:val="Header Char"/>
    <w:basedOn w:val="DefaultParagraphFont"/>
    <w:link w:val="Header"/>
    <w:uiPriority w:val="99"/>
    <w:rsid w:val="00451899"/>
  </w:style>
  <w:style w:type="paragraph" w:styleId="Footer">
    <w:name w:val="footer"/>
    <w:basedOn w:val="Normal"/>
    <w:link w:val="FooterChar"/>
    <w:uiPriority w:val="99"/>
    <w:unhideWhenUsed/>
    <w:rsid w:val="00451899"/>
    <w:pPr>
      <w:tabs>
        <w:tab w:val="center" w:pos="4513"/>
        <w:tab w:val="right" w:pos="9026"/>
      </w:tabs>
      <w:spacing w:line="240" w:lineRule="auto"/>
    </w:pPr>
  </w:style>
  <w:style w:type="character" w:customStyle="1" w:styleId="FooterChar">
    <w:name w:val="Footer Char"/>
    <w:basedOn w:val="DefaultParagraphFont"/>
    <w:link w:val="Footer"/>
    <w:uiPriority w:val="99"/>
    <w:rsid w:val="004518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46600-404C-4C1F-95FA-2C68C99BF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3621</Words>
  <Characters>20645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Neagu (2107401)</cp:lastModifiedBy>
  <cp:revision>2</cp:revision>
  <dcterms:created xsi:type="dcterms:W3CDTF">2025-02-21T23:17:00Z</dcterms:created>
  <dcterms:modified xsi:type="dcterms:W3CDTF">2025-02-21T23:17:00Z</dcterms:modified>
</cp:coreProperties>
</file>