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492F33B" w:rsidP="64AA8313" w:rsidRDefault="7492F33B" w14:paraId="63F017AE" w14:textId="6F368581">
      <w:pPr>
        <w:jc w:val="center"/>
      </w:pPr>
      <w:r w:rsidRPr="64AA8313" w:rsidR="7492F33B">
        <w:rPr>
          <w:rFonts w:ascii="Arial" w:hAnsi="Arial" w:eastAsia="Arial" w:cs="Arial"/>
          <w:b w:val="1"/>
          <w:bCs w:val="1"/>
          <w:noProof w:val="0"/>
          <w:color w:val="000000" w:themeColor="text1" w:themeTint="FF" w:themeShade="FF"/>
          <w:sz w:val="28"/>
          <w:szCs w:val="28"/>
          <w:lang w:val="en-GB"/>
        </w:rPr>
        <w:t xml:space="preserve">Postgraduate/Distance Learning </w:t>
      </w:r>
    </w:p>
    <w:p w:rsidR="7492F33B" w:rsidP="64AA8313" w:rsidRDefault="7492F33B" w14:paraId="616EFAF2" w14:textId="6F7D07E4">
      <w:pPr>
        <w:jc w:val="center"/>
      </w:pPr>
      <w:r w:rsidRPr="64AA8313" w:rsidR="7492F33B">
        <w:rPr>
          <w:rFonts w:ascii="Arial" w:hAnsi="Arial" w:eastAsia="Arial" w:cs="Arial"/>
          <w:b w:val="1"/>
          <w:bCs w:val="1"/>
          <w:noProof w:val="0"/>
          <w:color w:val="000000" w:themeColor="text1" w:themeTint="FF" w:themeShade="FF"/>
          <w:sz w:val="28"/>
          <w:szCs w:val="28"/>
          <w:lang w:val="en-GB"/>
        </w:rPr>
        <w:t>Assignment coversheet &amp; feedback form</w:t>
      </w:r>
    </w:p>
    <w:p w:rsidR="7492F33B" w:rsidP="64AA8313" w:rsidRDefault="7492F33B" w14:paraId="5DF2788E" w14:textId="777EEBC7">
      <w:pPr>
        <w:jc w:val="center"/>
      </w:pPr>
      <w:r w:rsidRPr="64AA8313" w:rsidR="7492F33B">
        <w:rPr>
          <w:rFonts w:ascii="Arial" w:hAnsi="Arial" w:eastAsia="Arial" w:cs="Arial"/>
          <w:noProof w:val="0"/>
          <w:color w:val="000000" w:themeColor="text1" w:themeTint="FF" w:themeShade="FF"/>
          <w:sz w:val="28"/>
          <w:szCs w:val="28"/>
          <w:lang w:val="en-GB"/>
        </w:rPr>
        <w:t xml:space="preserve"> </w:t>
      </w:r>
    </w:p>
    <w:p w:rsidR="7492F33B" w:rsidP="64AA8313" w:rsidRDefault="7492F33B" w14:paraId="3AE578CE" w14:textId="7C84B907">
      <w:pPr>
        <w:pStyle w:val="Heading3"/>
      </w:pPr>
      <w:r w:rsidRPr="64AA8313" w:rsidR="7492F33B">
        <w:rPr>
          <w:rFonts w:ascii="Tahoma" w:hAnsi="Tahoma" w:eastAsia="Tahoma" w:cs="Tahoma"/>
          <w:b w:val="1"/>
          <w:bCs w:val="1"/>
          <w:noProof w:val="0"/>
          <w:sz w:val="20"/>
          <w:szCs w:val="20"/>
          <w:lang w:val="en-GB"/>
        </w:rPr>
        <w:t xml:space="preserve">THIS SHEET MUST BE THE FIRST PAGE OF THE ASSIGNMENT YOU ARE </w:t>
      </w:r>
      <w:r w:rsidRPr="64AA8313" w:rsidR="7492F33B">
        <w:rPr>
          <w:rFonts w:ascii="Tahoma" w:hAnsi="Tahoma" w:eastAsia="Tahoma" w:cs="Tahoma"/>
          <w:b w:val="1"/>
          <w:bCs w:val="1"/>
          <w:noProof w:val="0"/>
          <w:sz w:val="20"/>
          <w:szCs w:val="20"/>
          <w:lang w:val="en-GB"/>
        </w:rPr>
        <w:t>SUBMITTING  (</w:t>
      </w:r>
      <w:r w:rsidRPr="64AA8313" w:rsidR="7492F33B">
        <w:rPr>
          <w:rFonts w:ascii="Tahoma" w:hAnsi="Tahoma" w:eastAsia="Tahoma" w:cs="Tahoma"/>
          <w:b w:val="1"/>
          <w:bCs w:val="1"/>
          <w:noProof w:val="0"/>
          <w:sz w:val="20"/>
          <w:szCs w:val="20"/>
          <w:lang w:val="en-GB"/>
        </w:rPr>
        <w:t>DO NOT SEND AS A SEPARATE FILE)</w:t>
      </w:r>
    </w:p>
    <w:p w:rsidR="7492F33B" w:rsidP="64AA8313" w:rsidRDefault="7492F33B" w14:paraId="183AB1B0" w14:textId="04431EA9">
      <w:pPr>
        <w:pStyle w:val="Heading3"/>
      </w:pPr>
      <w:r w:rsidRPr="64AA8313" w:rsidR="7492F33B">
        <w:rPr>
          <w:rFonts w:ascii="Trebuchet MS" w:hAnsi="Trebuchet MS" w:eastAsia="Trebuchet MS" w:cs="Trebuchet MS"/>
          <w:b w:val="1"/>
          <w:bCs w:val="1"/>
          <w:noProof w:val="0"/>
          <w:sz w:val="20"/>
          <w:szCs w:val="20"/>
          <w:lang w:val="en-GB"/>
        </w:rPr>
        <w:t xml:space="preserve"> </w:t>
      </w:r>
    </w:p>
    <w:tbl>
      <w:tblPr>
        <w:tblStyle w:val="TableNormal"/>
        <w:tblW w:w="0" w:type="auto"/>
        <w:tblLayout w:type="fixed"/>
        <w:tblLook w:val="04A0" w:firstRow="1" w:lastRow="0" w:firstColumn="1" w:lastColumn="0" w:noHBand="0" w:noVBand="1"/>
      </w:tblPr>
      <w:tblGrid>
        <w:gridCol w:w="4785"/>
        <w:gridCol w:w="420"/>
        <w:gridCol w:w="1560"/>
        <w:gridCol w:w="285"/>
        <w:gridCol w:w="1800"/>
      </w:tblGrid>
      <w:tr w:rsidR="64AA8313" w:rsidTr="64AA8313" w14:paraId="37387863">
        <w:trPr>
          <w:trHeight w:val="61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2DD40AF5" w14:textId="380B8E56">
            <w:r w:rsidRPr="64AA8313" w:rsidR="64AA8313">
              <w:rPr>
                <w:rFonts w:ascii="Arial" w:hAnsi="Arial" w:eastAsia="Arial" w:cs="Arial"/>
                <w:b w:val="1"/>
                <w:bCs w:val="1"/>
                <w:color w:val="000000" w:themeColor="text1" w:themeTint="FF" w:themeShade="FF"/>
                <w:sz w:val="22"/>
                <w:szCs w:val="22"/>
              </w:rPr>
              <w:t>For completion by the student</w:t>
            </w:r>
            <w:r w:rsidRPr="64AA8313" w:rsidR="64AA8313">
              <w:rPr>
                <w:rFonts w:ascii="Arial" w:hAnsi="Arial" w:eastAsia="Arial" w:cs="Arial"/>
                <w:color w:val="000000" w:themeColor="text1" w:themeTint="FF" w:themeShade="FF"/>
                <w:sz w:val="22"/>
                <w:szCs w:val="22"/>
              </w:rPr>
              <w:t>:</w:t>
            </w:r>
          </w:p>
        </w:tc>
      </w:tr>
      <w:tr w:rsidR="64AA8313" w:rsidTr="64AA8313" w14:paraId="5F49AFD8">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6253BA76" w14:textId="479E0CB5">
            <w:r w:rsidRPr="64AA8313" w:rsidR="64AA8313">
              <w:rPr>
                <w:rFonts w:ascii="Arial" w:hAnsi="Arial" w:eastAsia="Arial" w:cs="Arial"/>
                <w:color w:val="000000" w:themeColor="text1" w:themeTint="FF" w:themeShade="FF"/>
                <w:sz w:val="22"/>
                <w:szCs w:val="22"/>
              </w:rPr>
              <w:t>Student Name:</w:t>
            </w:r>
            <w:r w:rsidRPr="64AA8313" w:rsidR="55680E4C">
              <w:rPr>
                <w:rFonts w:ascii="Arial" w:hAnsi="Arial" w:eastAsia="Arial" w:cs="Arial"/>
                <w:color w:val="000000" w:themeColor="text1" w:themeTint="FF" w:themeShade="FF"/>
                <w:sz w:val="22"/>
                <w:szCs w:val="22"/>
              </w:rPr>
              <w:t xml:space="preserve"> Karen Hanson</w:t>
            </w:r>
          </w:p>
          <w:p w:rsidR="64AA8313" w:rsidRDefault="64AA8313" w14:paraId="09DAB7F8" w14:textId="2661AB90">
            <w:r w:rsidRPr="64AA8313" w:rsidR="64AA8313">
              <w:rPr>
                <w:rFonts w:ascii="Arial" w:hAnsi="Arial" w:eastAsia="Arial" w:cs="Arial"/>
                <w:color w:val="000000" w:themeColor="text1" w:themeTint="FF" w:themeShade="FF"/>
                <w:sz w:val="22"/>
                <w:szCs w:val="22"/>
              </w:rPr>
              <w:t xml:space="preserve"> </w:t>
            </w:r>
          </w:p>
          <w:p w:rsidR="64AA8313" w:rsidRDefault="64AA8313" w14:paraId="745F54E6" w14:textId="405B5915">
            <w:r w:rsidRPr="64AA8313" w:rsidR="64AA8313">
              <w:rPr>
                <w:rFonts w:ascii="Arial" w:hAnsi="Arial" w:eastAsia="Arial" w:cs="Arial"/>
                <w:color w:val="000000" w:themeColor="text1" w:themeTint="FF" w:themeShade="FF"/>
                <w:sz w:val="22"/>
                <w:szCs w:val="22"/>
              </w:rPr>
              <w:t xml:space="preserve">Student </w:t>
            </w:r>
            <w:r w:rsidRPr="64AA8313" w:rsidR="64AA8313">
              <w:rPr>
                <w:rFonts w:ascii="Arial" w:hAnsi="Arial" w:eastAsia="Arial" w:cs="Arial"/>
                <w:b w:val="1"/>
                <w:bCs w:val="1"/>
                <w:color w:val="000000" w:themeColor="text1" w:themeTint="FF" w:themeShade="FF"/>
                <w:sz w:val="22"/>
                <w:szCs w:val="22"/>
                <w:u w:val="single"/>
              </w:rPr>
              <w:t>University</w:t>
            </w:r>
            <w:r w:rsidRPr="64AA8313" w:rsidR="64AA8313">
              <w:rPr>
                <w:rFonts w:ascii="Arial" w:hAnsi="Arial" w:eastAsia="Arial" w:cs="Arial"/>
                <w:color w:val="000000" w:themeColor="text1" w:themeTint="FF" w:themeShade="FF"/>
                <w:sz w:val="22"/>
                <w:szCs w:val="22"/>
                <w:u w:val="single"/>
              </w:rPr>
              <w:t xml:space="preserve"> </w:t>
            </w:r>
            <w:r w:rsidRPr="64AA8313" w:rsidR="64AA8313">
              <w:rPr>
                <w:rFonts w:ascii="Arial" w:hAnsi="Arial" w:eastAsia="Arial" w:cs="Arial"/>
                <w:color w:val="000000" w:themeColor="text1" w:themeTint="FF" w:themeShade="FF"/>
                <w:sz w:val="22"/>
                <w:szCs w:val="22"/>
              </w:rPr>
              <w:t xml:space="preserve">Email: </w:t>
            </w:r>
            <w:r w:rsidRPr="64AA8313" w:rsidR="34BA80E5">
              <w:rPr>
                <w:rFonts w:ascii="Arial" w:hAnsi="Arial" w:eastAsia="Arial" w:cs="Arial"/>
                <w:color w:val="000000" w:themeColor="text1" w:themeTint="FF" w:themeShade="FF"/>
                <w:sz w:val="22"/>
                <w:szCs w:val="22"/>
              </w:rPr>
              <w:t>2113844@student.uwtsd.ac.uk</w:t>
            </w:r>
          </w:p>
        </w:tc>
      </w:tr>
      <w:tr w:rsidR="64AA8313" w:rsidTr="64AA8313" w14:paraId="05C6BBDC">
        <w:trPr>
          <w:trHeight w:val="855"/>
        </w:trPr>
        <w:tc>
          <w:tcPr>
            <w:tcW w:w="47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1EAC615D" w14:textId="4074AFAF">
            <w:r w:rsidRPr="64AA8313" w:rsidR="64AA8313">
              <w:rPr>
                <w:rFonts w:ascii="Arial" w:hAnsi="Arial" w:eastAsia="Arial" w:cs="Arial"/>
                <w:color w:val="000000" w:themeColor="text1" w:themeTint="FF" w:themeShade="FF"/>
                <w:sz w:val="22"/>
                <w:szCs w:val="22"/>
              </w:rPr>
              <w:t xml:space="preserve">Module </w:t>
            </w:r>
            <w:r w:rsidRPr="64AA8313" w:rsidR="64AA8313">
              <w:rPr>
                <w:rFonts w:ascii="Arial" w:hAnsi="Arial" w:eastAsia="Arial" w:cs="Arial"/>
                <w:color w:val="000000" w:themeColor="text1" w:themeTint="FF" w:themeShade="FF"/>
                <w:sz w:val="22"/>
                <w:szCs w:val="22"/>
              </w:rPr>
              <w:t>code:</w:t>
            </w:r>
            <w:r w:rsidRPr="64AA8313" w:rsidR="1A7389E2">
              <w:rPr>
                <w:rFonts w:ascii="Arial" w:hAnsi="Arial" w:eastAsia="Arial" w:cs="Arial"/>
                <w:color w:val="000000" w:themeColor="text1" w:themeTint="FF" w:themeShade="FF"/>
                <w:sz w:val="22"/>
                <w:szCs w:val="22"/>
              </w:rPr>
              <w:t>HPCA</w:t>
            </w:r>
            <w:r w:rsidRPr="64AA8313" w:rsidR="1A7389E2">
              <w:rPr>
                <w:rFonts w:ascii="Arial" w:hAnsi="Arial" w:eastAsia="Arial" w:cs="Arial"/>
                <w:color w:val="000000" w:themeColor="text1" w:themeTint="FF" w:themeShade="FF"/>
                <w:sz w:val="22"/>
                <w:szCs w:val="22"/>
              </w:rPr>
              <w:t>7015</w:t>
            </w:r>
          </w:p>
          <w:p w:rsidR="64AA8313" w:rsidRDefault="64AA8313" w14:paraId="01C60AD6" w14:textId="7FBA9DAC">
            <w:r w:rsidRPr="64AA8313" w:rsidR="64AA8313">
              <w:rPr>
                <w:rFonts w:ascii="Arial" w:hAnsi="Arial" w:eastAsia="Arial" w:cs="Arial"/>
                <w:color w:val="000000" w:themeColor="text1" w:themeTint="FF" w:themeShade="FF"/>
                <w:sz w:val="22"/>
                <w:szCs w:val="22"/>
              </w:rPr>
              <w:t xml:space="preserve"> </w:t>
            </w:r>
          </w:p>
          <w:p w:rsidR="64AA8313" w:rsidRDefault="64AA8313" w14:paraId="75E0EDB6" w14:textId="3C1F8E84">
            <w:r w:rsidRPr="64AA8313" w:rsidR="64AA8313">
              <w:rPr>
                <w:rFonts w:ascii="Arial" w:hAnsi="Arial" w:eastAsia="Arial" w:cs="Arial"/>
                <w:color w:val="000000" w:themeColor="text1" w:themeTint="FF" w:themeShade="FF"/>
                <w:sz w:val="22"/>
                <w:szCs w:val="22"/>
              </w:rPr>
              <w:t>Module title:</w:t>
            </w:r>
            <w:r w:rsidRPr="64AA8313" w:rsidR="011324A8">
              <w:rPr>
                <w:rFonts w:ascii="Arial" w:hAnsi="Arial" w:eastAsia="Arial" w:cs="Arial"/>
                <w:color w:val="000000" w:themeColor="text1" w:themeTint="FF" w:themeShade="FF"/>
                <w:sz w:val="22"/>
                <w:szCs w:val="22"/>
              </w:rPr>
              <w:t xml:space="preserve"> Foundations in Cultural Astronomy and Astrology </w:t>
            </w:r>
          </w:p>
          <w:p w:rsidR="64AA8313" w:rsidRDefault="64AA8313" w14:paraId="64EB8331" w14:textId="170907D5">
            <w:r w:rsidRPr="64AA8313" w:rsidR="64AA8313">
              <w:rPr>
                <w:rFonts w:ascii="Arial" w:hAnsi="Arial" w:eastAsia="Arial" w:cs="Arial"/>
                <w:color w:val="000000" w:themeColor="text1" w:themeTint="FF" w:themeShade="FF"/>
                <w:sz w:val="22"/>
                <w:szCs w:val="22"/>
              </w:rPr>
              <w:t xml:space="preserve"> </w:t>
            </w:r>
          </w:p>
          <w:p w:rsidR="64AA8313" w:rsidRDefault="64AA8313" w14:paraId="7BF1CF1A" w14:textId="53D674B4">
            <w:r w:rsidRPr="64AA8313" w:rsidR="64AA8313">
              <w:rPr>
                <w:rFonts w:ascii="Arial" w:hAnsi="Arial" w:eastAsia="Arial" w:cs="Arial"/>
                <w:color w:val="000000" w:themeColor="text1" w:themeTint="FF" w:themeShade="FF"/>
                <w:sz w:val="22"/>
                <w:szCs w:val="22"/>
              </w:rPr>
              <w:t xml:space="preserve"> </w:t>
            </w:r>
          </w:p>
        </w:tc>
        <w:tc>
          <w:tcPr>
            <w:tcW w:w="226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458784E2" w14:textId="68AFDBF7">
            <w:r w:rsidRPr="64AA8313" w:rsidR="64AA8313">
              <w:rPr>
                <w:rFonts w:ascii="Arial" w:hAnsi="Arial" w:eastAsia="Arial" w:cs="Arial"/>
                <w:color w:val="000000" w:themeColor="text1" w:themeTint="FF" w:themeShade="FF"/>
                <w:sz w:val="22"/>
                <w:szCs w:val="22"/>
              </w:rPr>
              <w:t>Student ID number:</w:t>
            </w:r>
          </w:p>
          <w:p w:rsidR="2055EE24" w:rsidP="64AA8313" w:rsidRDefault="2055EE24" w14:paraId="3A4A2C0B" w14:textId="75D5BCE1">
            <w:pPr>
              <w:pStyle w:val="Normal"/>
              <w:rPr>
                <w:rFonts w:ascii="Arial" w:hAnsi="Arial" w:eastAsia="Arial" w:cs="Arial"/>
                <w:color w:val="000000" w:themeColor="text1" w:themeTint="FF" w:themeShade="FF"/>
                <w:sz w:val="22"/>
                <w:szCs w:val="22"/>
              </w:rPr>
            </w:pPr>
            <w:r w:rsidRPr="64AA8313" w:rsidR="2055EE24">
              <w:rPr>
                <w:rFonts w:ascii="Arial" w:hAnsi="Arial" w:eastAsia="Arial" w:cs="Arial"/>
                <w:color w:val="000000" w:themeColor="text1" w:themeTint="FF" w:themeShade="FF"/>
                <w:sz w:val="22"/>
                <w:szCs w:val="22"/>
              </w:rPr>
              <w:t>2113844</w:t>
            </w:r>
          </w:p>
        </w:tc>
        <w:tc>
          <w:tcPr>
            <w:tcW w:w="1800" w:type="dxa"/>
            <w:tcBorders>
              <w:top w:val="nil" w:color="000000" w:themeColor="text1" w:sz="8"/>
              <w:left w:val="nil"/>
              <w:bottom w:val="single" w:color="000000" w:themeColor="text1" w:sz="8"/>
              <w:right w:val="single" w:color="000000" w:themeColor="text1" w:sz="8"/>
            </w:tcBorders>
            <w:tcMar/>
            <w:vAlign w:val="top"/>
          </w:tcPr>
          <w:p w:rsidR="64AA8313" w:rsidRDefault="64AA8313" w14:paraId="6E24BCD2" w14:textId="4DA153A7">
            <w:r w:rsidRPr="64AA8313" w:rsidR="64AA8313">
              <w:rPr>
                <w:rFonts w:ascii="Arial" w:hAnsi="Arial" w:eastAsia="Arial" w:cs="Arial"/>
                <w:color w:val="000000" w:themeColor="text1" w:themeTint="FF" w:themeShade="FF"/>
                <w:sz w:val="22"/>
                <w:szCs w:val="22"/>
              </w:rPr>
              <w:t>Educational support needs:</w:t>
            </w:r>
          </w:p>
          <w:p w:rsidR="64AA8313" w:rsidRDefault="64AA8313" w14:paraId="76DD2840" w14:textId="68CF5E19">
            <w:r w:rsidRPr="64AA8313" w:rsidR="64AA8313">
              <w:rPr>
                <w:rFonts w:ascii="Arial" w:hAnsi="Arial" w:eastAsia="Arial" w:cs="Arial"/>
                <w:color w:val="000000" w:themeColor="text1" w:themeTint="FF" w:themeShade="FF"/>
                <w:sz w:val="22"/>
                <w:szCs w:val="22"/>
              </w:rPr>
              <w:t>No</w:t>
            </w:r>
          </w:p>
        </w:tc>
      </w:tr>
      <w:tr w:rsidR="64AA8313" w:rsidTr="64AA8313" w14:paraId="0F2657AC">
        <w:trPr>
          <w:trHeight w:val="114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61E74A69" w14:textId="6E0D7F3A">
            <w:r w:rsidRPr="64AA8313" w:rsidR="64AA8313">
              <w:rPr>
                <w:rFonts w:ascii="Arial" w:hAnsi="Arial" w:eastAsia="Arial" w:cs="Arial"/>
                <w:color w:val="000000" w:themeColor="text1" w:themeTint="FF" w:themeShade="FF"/>
                <w:sz w:val="22"/>
                <w:szCs w:val="22"/>
              </w:rPr>
              <w:t>Assignment title:</w:t>
            </w:r>
            <w:r w:rsidRPr="64AA8313" w:rsidR="71AA645F">
              <w:rPr>
                <w:rFonts w:ascii="Arial" w:hAnsi="Arial" w:eastAsia="Arial" w:cs="Arial"/>
                <w:color w:val="000000" w:themeColor="text1" w:themeTint="FF" w:themeShade="FF"/>
                <w:sz w:val="22"/>
                <w:szCs w:val="22"/>
              </w:rPr>
              <w:t xml:space="preserve"> Essay based on a Sky Journal</w:t>
            </w:r>
          </w:p>
          <w:p w:rsidR="64AA8313" w:rsidRDefault="64AA8313" w14:paraId="6C1D0FE0" w14:textId="51B92529">
            <w:r w:rsidRPr="64AA8313" w:rsidR="64AA8313">
              <w:rPr>
                <w:rFonts w:ascii="Arial" w:hAnsi="Arial" w:eastAsia="Arial" w:cs="Arial"/>
                <w:color w:val="000000" w:themeColor="text1" w:themeTint="FF" w:themeShade="FF"/>
                <w:sz w:val="22"/>
                <w:szCs w:val="22"/>
              </w:rPr>
              <w:t xml:space="preserve"> </w:t>
            </w:r>
          </w:p>
          <w:p w:rsidR="64AA8313" w:rsidRDefault="64AA8313" w14:paraId="4C27B19F" w14:textId="445D5BBA">
            <w:r w:rsidRPr="64AA8313" w:rsidR="64AA8313">
              <w:rPr>
                <w:rFonts w:ascii="Arial" w:hAnsi="Arial" w:eastAsia="Arial" w:cs="Arial"/>
                <w:color w:val="000000" w:themeColor="text1" w:themeTint="FF" w:themeShade="FF"/>
                <w:sz w:val="22"/>
                <w:szCs w:val="22"/>
              </w:rPr>
              <w:t xml:space="preserve"> </w:t>
            </w:r>
          </w:p>
          <w:p w:rsidR="64AA8313" w:rsidRDefault="64AA8313" w14:paraId="26BBA44F" w14:textId="025FEC8F">
            <w:r w:rsidRPr="64AA8313" w:rsidR="64AA8313">
              <w:rPr>
                <w:rFonts w:ascii="Arial" w:hAnsi="Arial" w:eastAsia="Arial" w:cs="Arial"/>
                <w:color w:val="000000" w:themeColor="text1" w:themeTint="FF" w:themeShade="FF"/>
                <w:sz w:val="22"/>
                <w:szCs w:val="22"/>
              </w:rPr>
              <w:t>Assignment due date:</w:t>
            </w:r>
            <w:r w:rsidRPr="64AA8313" w:rsidR="3144160A">
              <w:rPr>
                <w:rFonts w:ascii="Arial" w:hAnsi="Arial" w:eastAsia="Arial" w:cs="Arial"/>
                <w:color w:val="000000" w:themeColor="text1" w:themeTint="FF" w:themeShade="FF"/>
                <w:sz w:val="22"/>
                <w:szCs w:val="22"/>
              </w:rPr>
              <w:t xml:space="preserve"> </w:t>
            </w:r>
            <w:r w:rsidRPr="64AA8313" w:rsidR="7CF22B1F">
              <w:rPr>
                <w:rFonts w:ascii="Arial" w:hAnsi="Arial" w:eastAsia="Arial" w:cs="Arial"/>
                <w:color w:val="000000" w:themeColor="text1" w:themeTint="FF" w:themeShade="FF"/>
                <w:sz w:val="22"/>
                <w:szCs w:val="22"/>
              </w:rPr>
              <w:t>2</w:t>
            </w:r>
            <w:r w:rsidRPr="64AA8313" w:rsidR="7CF22B1F">
              <w:rPr>
                <w:rFonts w:ascii="Arial" w:hAnsi="Arial" w:eastAsia="Arial" w:cs="Arial"/>
                <w:color w:val="000000" w:themeColor="text1" w:themeTint="FF" w:themeShade="FF"/>
                <w:sz w:val="22"/>
                <w:szCs w:val="22"/>
                <w:vertAlign w:val="superscript"/>
              </w:rPr>
              <w:t>nd</w:t>
            </w:r>
            <w:r w:rsidRPr="64AA8313" w:rsidR="7CF22B1F">
              <w:rPr>
                <w:rFonts w:ascii="Arial" w:hAnsi="Arial" w:eastAsia="Arial" w:cs="Arial"/>
                <w:color w:val="000000" w:themeColor="text1" w:themeTint="FF" w:themeShade="FF"/>
                <w:sz w:val="22"/>
                <w:szCs w:val="22"/>
              </w:rPr>
              <w:t xml:space="preserve"> December 2021</w:t>
            </w:r>
          </w:p>
        </w:tc>
      </w:tr>
      <w:tr w:rsidR="64AA8313" w:rsidTr="64AA8313" w14:paraId="041B3C24">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22604861" w14:textId="6EE234F2">
            <w:r w:rsidRPr="64AA8313" w:rsidR="64AA8313">
              <w:rPr>
                <w:rFonts w:ascii="Arial" w:hAnsi="Arial" w:eastAsia="Arial" w:cs="Arial"/>
                <w:color w:val="000000" w:themeColor="text1" w:themeTint="FF" w:themeShade="FF"/>
                <w:sz w:val="22"/>
                <w:szCs w:val="22"/>
              </w:rPr>
              <w:t>This assignment is for the       2</w:t>
            </w:r>
            <w:r w:rsidRPr="64AA8313" w:rsidR="64AA8313">
              <w:rPr>
                <w:rFonts w:ascii="Arial" w:hAnsi="Arial" w:eastAsia="Arial" w:cs="Arial"/>
                <w:color w:val="000000" w:themeColor="text1" w:themeTint="FF" w:themeShade="FF"/>
                <w:sz w:val="22"/>
                <w:szCs w:val="22"/>
                <w:vertAlign w:val="superscript"/>
              </w:rPr>
              <w:t>nd</w:t>
            </w:r>
            <w:r w:rsidRPr="64AA8313" w:rsidR="64AA8313">
              <w:rPr>
                <w:rFonts w:ascii="Arial" w:hAnsi="Arial" w:eastAsia="Arial" w:cs="Arial"/>
                <w:b w:val="1"/>
                <w:bCs w:val="1"/>
                <w:color w:val="000000" w:themeColor="text1" w:themeTint="FF" w:themeShade="FF"/>
                <w:sz w:val="22"/>
                <w:szCs w:val="22"/>
              </w:rPr>
              <w:t xml:space="preserve">  </w:t>
            </w:r>
            <w:r w:rsidRPr="64AA8313" w:rsidR="64AA8313">
              <w:rPr>
                <w:rFonts w:ascii="Arial" w:hAnsi="Arial" w:eastAsia="Arial" w:cs="Arial"/>
                <w:color w:val="000000" w:themeColor="text1" w:themeTint="FF" w:themeShade="FF"/>
                <w:sz w:val="22"/>
                <w:szCs w:val="22"/>
              </w:rPr>
              <w:t>module</w:t>
            </w:r>
            <w:r w:rsidRPr="64AA8313" w:rsidR="64AA8313">
              <w:rPr>
                <w:rFonts w:ascii="Arial" w:hAnsi="Arial" w:eastAsia="Arial" w:cs="Arial"/>
                <w:color w:val="000000" w:themeColor="text1" w:themeTint="FF" w:themeShade="FF"/>
                <w:sz w:val="22"/>
                <w:szCs w:val="22"/>
              </w:rPr>
              <w:t xml:space="preserve"> of the degree</w:t>
            </w:r>
          </w:p>
        </w:tc>
      </w:tr>
      <w:tr w:rsidR="64AA8313" w:rsidTr="64AA8313" w14:paraId="653D6C54">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64AA8313" w:rsidRDefault="64AA8313" w14:paraId="27221632" w14:textId="7A81499A">
            <w:r w:rsidRPr="64AA8313" w:rsidR="64AA8313">
              <w:rPr>
                <w:rFonts w:ascii="Arial" w:hAnsi="Arial" w:eastAsia="Arial" w:cs="Arial"/>
                <w:color w:val="000000" w:themeColor="text1" w:themeTint="FF" w:themeShade="FF"/>
                <w:sz w:val="22"/>
                <w:szCs w:val="22"/>
              </w:rPr>
              <w:t>I confirm that this is my original work and that I have adhered to the University policy on plagiarism.</w:t>
            </w:r>
          </w:p>
          <w:p w:rsidR="64AA8313" w:rsidRDefault="64AA8313" w14:paraId="34CBF621" w14:textId="05E1D905">
            <w:r w:rsidRPr="64AA8313" w:rsidR="64AA8313">
              <w:rPr>
                <w:rFonts w:ascii="Arial" w:hAnsi="Arial" w:eastAsia="Arial" w:cs="Arial"/>
                <w:color w:val="000000" w:themeColor="text1" w:themeTint="FF" w:themeShade="FF"/>
                <w:sz w:val="22"/>
                <w:szCs w:val="22"/>
              </w:rPr>
              <w:t>Signed ………………</w:t>
            </w:r>
            <w:r w:rsidRPr="64AA8313" w:rsidR="0FA1BC2A">
              <w:rPr>
                <w:rFonts w:ascii="Arial" w:hAnsi="Arial" w:eastAsia="Arial" w:cs="Arial"/>
                <w:color w:val="000000" w:themeColor="text1" w:themeTint="FF" w:themeShade="FF"/>
                <w:sz w:val="22"/>
                <w:szCs w:val="22"/>
              </w:rPr>
              <w:t>Karen Hanson</w:t>
            </w:r>
            <w:r w:rsidRPr="64AA8313" w:rsidR="64AA8313">
              <w:rPr>
                <w:rFonts w:ascii="Arial" w:hAnsi="Arial" w:eastAsia="Arial" w:cs="Arial"/>
                <w:color w:val="000000" w:themeColor="text1" w:themeTint="FF" w:themeShade="FF"/>
                <w:sz w:val="22"/>
                <w:szCs w:val="22"/>
              </w:rPr>
              <w:t>……………………………………………</w:t>
            </w:r>
          </w:p>
          <w:p w:rsidR="64AA8313" w:rsidRDefault="64AA8313" w14:paraId="6FA96316" w14:textId="4459D21E">
            <w:r w:rsidRPr="64AA8313" w:rsidR="64AA8313">
              <w:rPr>
                <w:rFonts w:ascii="Calibri" w:hAnsi="Calibri" w:eastAsia="Calibri" w:cs="Calibri"/>
                <w:b w:val="1"/>
                <w:bCs w:val="1"/>
                <w:color w:val="000000" w:themeColor="text1" w:themeTint="FF" w:themeShade="FF"/>
                <w:sz w:val="24"/>
                <w:szCs w:val="24"/>
              </w:rPr>
              <w:t xml:space="preserve">Email submission:if you are submitting this form via email, please tick this box </w:t>
            </w:r>
            <w:r w:rsidRPr="64AA8313" w:rsidR="64AA8313">
              <w:rPr>
                <w:rFonts w:ascii="Calibri" w:hAnsi="Calibri" w:eastAsia="Calibri" w:cs="Calibri"/>
                <w:b w:val="1"/>
                <w:bCs w:val="1"/>
                <w:color w:val="000000" w:themeColor="text1" w:themeTint="FF" w:themeShade="FF"/>
                <w:sz w:val="44"/>
                <w:szCs w:val="44"/>
              </w:rPr>
              <w:t>□</w:t>
            </w:r>
          </w:p>
          <w:p w:rsidR="64AA8313" w:rsidRDefault="64AA8313" w14:paraId="32392C00" w14:textId="15D83044">
            <w:r w:rsidRPr="64AA8313" w:rsidR="64AA8313">
              <w:rPr>
                <w:rFonts w:ascii="Calibri" w:hAnsi="Calibri" w:eastAsia="Calibri" w:cs="Calibri"/>
                <w:b w:val="1"/>
                <w:bCs w:val="1"/>
                <w:color w:val="000000" w:themeColor="text1" w:themeTint="FF" w:themeShade="FF"/>
                <w:sz w:val="24"/>
                <w:szCs w:val="24"/>
              </w:rPr>
              <w:t>(</w:t>
            </w:r>
            <w:r w:rsidRPr="64AA8313" w:rsidR="64AA8313">
              <w:rPr>
                <w:rFonts w:ascii="Calibri" w:hAnsi="Calibri" w:eastAsia="Calibri" w:cs="Calibri"/>
                <w:b w:val="1"/>
                <w:bCs w:val="1"/>
                <w:color w:val="000000" w:themeColor="text1" w:themeTint="FF" w:themeShade="FF"/>
                <w:sz w:val="24"/>
                <w:szCs w:val="24"/>
              </w:rPr>
              <w:t>as</w:t>
            </w:r>
            <w:r w:rsidRPr="64AA8313" w:rsidR="64AA8313">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w:rsidR="64AA8313" w:rsidTr="64AA8313" w14:paraId="3E54D0BF">
        <w:trPr>
          <w:trHeight w:val="3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2F355DCA" w14:textId="5A46E1F3">
            <w:r w:rsidRPr="64AA8313" w:rsidR="64AA8313">
              <w:rPr>
                <w:rFonts w:ascii="Arial" w:hAnsi="Arial" w:eastAsia="Arial" w:cs="Arial"/>
                <w:b w:val="1"/>
                <w:bCs w:val="1"/>
                <w:color w:val="000000" w:themeColor="text1" w:themeTint="FF" w:themeShade="FF"/>
                <w:sz w:val="21"/>
                <w:szCs w:val="21"/>
              </w:rPr>
              <w:t xml:space="preserve"> </w:t>
            </w:r>
          </w:p>
          <w:p w:rsidR="64AA8313" w:rsidRDefault="64AA8313" w14:paraId="53EF0FDB" w14:textId="1225FFF5">
            <w:r w:rsidRPr="64AA8313" w:rsidR="64AA8313">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6975"/>
              <w:gridCol w:w="1665"/>
            </w:tblGrid>
            <w:tr w:rsidR="64AA8313" w:rsidTr="64AA8313" w14:paraId="7A108556">
              <w:tc>
                <w:tcPr>
                  <w:tcW w:w="6975" w:type="dxa"/>
                  <w:tcBorders>
                    <w:top w:val="single" w:sz="8"/>
                    <w:left w:val="single" w:sz="8"/>
                    <w:bottom w:val="single" w:sz="8"/>
                    <w:right w:val="single" w:sz="8"/>
                  </w:tcBorders>
                  <w:tcMar/>
                  <w:vAlign w:val="top"/>
                </w:tcPr>
                <w:p w:rsidR="64AA8313" w:rsidRDefault="64AA8313" w14:paraId="169B9F91" w14:textId="566D0794">
                  <w:r w:rsidRPr="64AA8313" w:rsidR="64AA8313">
                    <w:rPr>
                      <w:rFonts w:ascii="Arial" w:hAnsi="Arial" w:eastAsia="Arial" w:cs="Arial"/>
                      <w:color w:val="000000" w:themeColor="text1" w:themeTint="FF" w:themeShade="FF"/>
                      <w:sz w:val="20"/>
                      <w:szCs w:val="20"/>
                    </w:rPr>
                    <w:t xml:space="preserve"> </w:t>
                  </w:r>
                </w:p>
                <w:p w:rsidR="64AA8313" w:rsidRDefault="64AA8313" w14:paraId="7A4AF37E" w14:textId="393CA50F">
                  <w:r w:rsidRPr="64AA8313" w:rsidR="64AA8313">
                    <w:rPr>
                      <w:rFonts w:ascii="Arial" w:hAnsi="Arial" w:eastAsia="Arial" w:cs="Arial"/>
                      <w:color w:val="000000" w:themeColor="text1" w:themeTint="FF" w:themeShade="FF"/>
                      <w:sz w:val="20"/>
                      <w:szCs w:val="20"/>
                    </w:rPr>
                    <w:t>1</w:t>
                  </w:r>
                  <w:r w:rsidRPr="64AA8313" w:rsidR="64AA8313">
                    <w:rPr>
                      <w:rFonts w:ascii="Arial" w:hAnsi="Arial" w:eastAsia="Arial" w:cs="Arial"/>
                      <w:color w:val="000000" w:themeColor="text1" w:themeTint="FF" w:themeShade="FF"/>
                      <w:sz w:val="20"/>
                      <w:szCs w:val="20"/>
                      <w:vertAlign w:val="superscript"/>
                    </w:rPr>
                    <w:t>st</w:t>
                  </w:r>
                  <w:r w:rsidRPr="64AA8313" w:rsidR="64AA8313">
                    <w:rPr>
                      <w:rFonts w:ascii="Arial" w:hAnsi="Arial" w:eastAsia="Arial" w:cs="Arial"/>
                      <w:color w:val="000000" w:themeColor="text1" w:themeTint="FF" w:themeShade="FF"/>
                      <w:sz w:val="20"/>
                      <w:szCs w:val="20"/>
                    </w:rPr>
                    <w:t xml:space="preserve"> Marker’s Provisional mark</w:t>
                  </w:r>
                </w:p>
              </w:tc>
              <w:tc>
                <w:tcPr>
                  <w:tcW w:w="1665" w:type="dxa"/>
                  <w:tcBorders>
                    <w:top w:val="single" w:sz="8"/>
                    <w:left w:val="single" w:sz="8"/>
                    <w:bottom w:val="single" w:sz="8"/>
                    <w:right w:val="single" w:sz="8"/>
                  </w:tcBorders>
                  <w:tcMar/>
                  <w:vAlign w:val="top"/>
                </w:tcPr>
                <w:p w:rsidR="64AA8313" w:rsidRDefault="64AA8313" w14:paraId="495445E6" w14:textId="0197739C">
                  <w:r w:rsidRPr="64AA8313" w:rsidR="64AA8313">
                    <w:rPr>
                      <w:rFonts w:ascii="Arial" w:hAnsi="Arial" w:eastAsia="Arial" w:cs="Arial"/>
                      <w:color w:val="000000" w:themeColor="text1" w:themeTint="FF" w:themeShade="FF"/>
                      <w:sz w:val="20"/>
                      <w:szCs w:val="20"/>
                    </w:rPr>
                    <w:t xml:space="preserve"> </w:t>
                  </w:r>
                </w:p>
              </w:tc>
            </w:tr>
            <w:tr w:rsidR="64AA8313" w:rsidTr="64AA8313" w14:paraId="64C6361A">
              <w:tc>
                <w:tcPr>
                  <w:tcW w:w="6975" w:type="dxa"/>
                  <w:tcBorders>
                    <w:top w:val="single" w:sz="8"/>
                    <w:left w:val="single" w:sz="8"/>
                    <w:bottom w:val="single" w:sz="8"/>
                    <w:right w:val="single" w:sz="8"/>
                  </w:tcBorders>
                  <w:tcMar/>
                  <w:vAlign w:val="top"/>
                </w:tcPr>
                <w:p w:rsidR="64AA8313" w:rsidRDefault="64AA8313" w14:paraId="00E2956B" w14:textId="685F8EA1">
                  <w:r w:rsidRPr="64AA8313" w:rsidR="64AA8313">
                    <w:rPr>
                      <w:rFonts w:ascii="Arial" w:hAnsi="Arial" w:eastAsia="Arial" w:cs="Arial"/>
                      <w:color w:val="000000" w:themeColor="text1" w:themeTint="FF" w:themeShade="FF"/>
                      <w:sz w:val="20"/>
                      <w:szCs w:val="20"/>
                    </w:rPr>
                    <w:t xml:space="preserve"> </w:t>
                  </w:r>
                </w:p>
                <w:p w:rsidR="64AA8313" w:rsidRDefault="64AA8313" w14:paraId="6EBBCDE8" w14:textId="1A05E0AC">
                  <w:r w:rsidRPr="64AA8313" w:rsidR="64AA8313">
                    <w:rPr>
                      <w:rFonts w:ascii="Arial" w:hAnsi="Arial" w:eastAsia="Arial" w:cs="Arial"/>
                      <w:color w:val="000000" w:themeColor="text1" w:themeTint="FF" w:themeShade="FF"/>
                      <w:sz w:val="20"/>
                      <w:szCs w:val="20"/>
                    </w:rPr>
                    <w:t>2</w:t>
                  </w:r>
                  <w:r w:rsidRPr="64AA8313" w:rsidR="64AA8313">
                    <w:rPr>
                      <w:rFonts w:ascii="Arial" w:hAnsi="Arial" w:eastAsia="Arial" w:cs="Arial"/>
                      <w:color w:val="000000" w:themeColor="text1" w:themeTint="FF" w:themeShade="FF"/>
                      <w:sz w:val="20"/>
                      <w:szCs w:val="20"/>
                      <w:vertAlign w:val="superscript"/>
                    </w:rPr>
                    <w:t>nd</w:t>
                  </w:r>
                  <w:r w:rsidRPr="64AA8313" w:rsidR="64AA8313">
                    <w:rPr>
                      <w:rFonts w:ascii="Arial" w:hAnsi="Arial" w:eastAsia="Arial" w:cs="Arial"/>
                      <w:color w:val="000000" w:themeColor="text1" w:themeTint="FF" w:themeShade="FF"/>
                      <w:sz w:val="20"/>
                      <w:szCs w:val="20"/>
                    </w:rPr>
                    <w:t xml:space="preserve"> Marker’s/Moderator’s provisional mark</w:t>
                  </w:r>
                </w:p>
              </w:tc>
              <w:tc>
                <w:tcPr>
                  <w:tcW w:w="1665" w:type="dxa"/>
                  <w:tcBorders>
                    <w:top w:val="single" w:sz="8"/>
                    <w:left w:val="single" w:sz="8"/>
                    <w:bottom w:val="single" w:sz="8"/>
                    <w:right w:val="single" w:sz="8"/>
                  </w:tcBorders>
                  <w:tcMar/>
                  <w:vAlign w:val="top"/>
                </w:tcPr>
                <w:p w:rsidR="64AA8313" w:rsidRDefault="64AA8313" w14:paraId="110EA86A" w14:textId="6B2851BD">
                  <w:r w:rsidRPr="64AA8313" w:rsidR="64AA8313">
                    <w:rPr>
                      <w:rFonts w:ascii="Arial" w:hAnsi="Arial" w:eastAsia="Arial" w:cs="Arial"/>
                      <w:color w:val="000000" w:themeColor="text1" w:themeTint="FF" w:themeShade="FF"/>
                      <w:sz w:val="20"/>
                      <w:szCs w:val="20"/>
                    </w:rPr>
                    <w:t xml:space="preserve"> </w:t>
                  </w:r>
                </w:p>
              </w:tc>
            </w:tr>
            <w:tr w:rsidR="64AA8313" w:rsidTr="64AA8313" w14:paraId="23E1CC7B">
              <w:tc>
                <w:tcPr>
                  <w:tcW w:w="6975" w:type="dxa"/>
                  <w:tcBorders>
                    <w:top w:val="single" w:sz="8"/>
                    <w:left w:val="single" w:sz="8"/>
                    <w:bottom w:val="single" w:sz="8"/>
                    <w:right w:val="single" w:sz="8"/>
                  </w:tcBorders>
                  <w:tcMar/>
                  <w:vAlign w:val="top"/>
                </w:tcPr>
                <w:p w:rsidR="64AA8313" w:rsidRDefault="64AA8313" w14:paraId="336D641A" w14:textId="072880E2">
                  <w:r w:rsidRPr="64AA8313" w:rsidR="64AA8313">
                    <w:rPr>
                      <w:rFonts w:ascii="Arial" w:hAnsi="Arial" w:eastAsia="Arial" w:cs="Arial"/>
                      <w:color w:val="000000" w:themeColor="text1" w:themeTint="FF" w:themeShade="FF"/>
                      <w:sz w:val="20"/>
                      <w:szCs w:val="20"/>
                    </w:rPr>
                    <w:t xml:space="preserve"> </w:t>
                  </w:r>
                </w:p>
                <w:p w:rsidR="64AA8313" w:rsidRDefault="64AA8313" w14:paraId="631B2CFE" w14:textId="2B291D03">
                  <w:r w:rsidRPr="64AA8313" w:rsidR="64AA8313">
                    <w:rPr>
                      <w:rFonts w:ascii="Arial" w:hAnsi="Arial" w:eastAsia="Arial" w:cs="Arial"/>
                      <w:color w:val="000000" w:themeColor="text1" w:themeTint="FF" w:themeShade="FF"/>
                      <w:sz w:val="20"/>
                      <w:szCs w:val="20"/>
                    </w:rPr>
                    <w:t>External Examiner’s mark (if relevant)</w:t>
                  </w:r>
                </w:p>
              </w:tc>
              <w:tc>
                <w:tcPr>
                  <w:tcW w:w="1665" w:type="dxa"/>
                  <w:tcBorders>
                    <w:top w:val="single" w:sz="8"/>
                    <w:left w:val="single" w:sz="8"/>
                    <w:bottom w:val="single" w:sz="8"/>
                    <w:right w:val="single" w:sz="8"/>
                  </w:tcBorders>
                  <w:tcMar/>
                  <w:vAlign w:val="top"/>
                </w:tcPr>
                <w:p w:rsidR="64AA8313" w:rsidRDefault="64AA8313" w14:paraId="0B092EA9" w14:textId="56F9870D">
                  <w:r w:rsidRPr="64AA8313" w:rsidR="64AA8313">
                    <w:rPr>
                      <w:rFonts w:ascii="Arial" w:hAnsi="Arial" w:eastAsia="Arial" w:cs="Arial"/>
                      <w:color w:val="000000" w:themeColor="text1" w:themeTint="FF" w:themeShade="FF"/>
                      <w:sz w:val="20"/>
                      <w:szCs w:val="20"/>
                    </w:rPr>
                    <w:t xml:space="preserve"> </w:t>
                  </w:r>
                </w:p>
              </w:tc>
            </w:tr>
            <w:tr w:rsidR="64AA8313" w:rsidTr="64AA8313" w14:paraId="1368D6A9">
              <w:tc>
                <w:tcPr>
                  <w:tcW w:w="6975" w:type="dxa"/>
                  <w:tcBorders>
                    <w:top w:val="single" w:sz="8"/>
                    <w:left w:val="single" w:sz="8"/>
                    <w:bottom w:val="single" w:sz="8"/>
                    <w:right w:val="single" w:sz="8"/>
                  </w:tcBorders>
                  <w:tcMar/>
                  <w:vAlign w:val="top"/>
                </w:tcPr>
                <w:p w:rsidR="64AA8313" w:rsidRDefault="64AA8313" w14:paraId="63B4888A" w14:textId="4FCA1268">
                  <w:r w:rsidRPr="64AA8313" w:rsidR="64AA8313">
                    <w:rPr>
                      <w:rFonts w:ascii="Arial" w:hAnsi="Arial" w:eastAsia="Arial" w:cs="Arial"/>
                      <w:color w:val="000000" w:themeColor="text1" w:themeTint="FF" w:themeShade="FF"/>
                      <w:sz w:val="20"/>
                      <w:szCs w:val="20"/>
                    </w:rPr>
                    <w:t xml:space="preserve"> </w:t>
                  </w:r>
                </w:p>
                <w:p w:rsidR="64AA8313" w:rsidRDefault="64AA8313" w14:paraId="51DC1836" w14:textId="433AC3C4">
                  <w:r w:rsidRPr="64AA8313" w:rsidR="64AA8313">
                    <w:rPr>
                      <w:rFonts w:ascii="Arial" w:hAnsi="Arial" w:eastAsia="Arial" w:cs="Arial"/>
                      <w:b w:val="1"/>
                      <w:bCs w:val="1"/>
                      <w:color w:val="000000" w:themeColor="text1" w:themeTint="FF" w:themeShade="FF"/>
                      <w:sz w:val="20"/>
                      <w:szCs w:val="20"/>
                    </w:rPr>
                    <w:t>Final Mark</w:t>
                  </w:r>
                </w:p>
                <w:p w:rsidR="64AA8313" w:rsidRDefault="64AA8313" w14:paraId="7FC6DE25" w14:textId="203C9051">
                  <w:r w:rsidRPr="64AA8313" w:rsidR="64AA8313">
                    <w:rPr>
                      <w:rFonts w:ascii="Arial" w:hAnsi="Arial" w:eastAsia="Arial" w:cs="Arial"/>
                      <w:color w:val="000000" w:themeColor="text1" w:themeTint="FF" w:themeShade="FF"/>
                      <w:sz w:val="20"/>
                      <w:szCs w:val="20"/>
                    </w:rPr>
                    <w:t xml:space="preserve"> </w:t>
                  </w:r>
                </w:p>
              </w:tc>
              <w:tc>
                <w:tcPr>
                  <w:tcW w:w="1665" w:type="dxa"/>
                  <w:tcBorders>
                    <w:top w:val="single" w:sz="8"/>
                    <w:left w:val="single" w:sz="8"/>
                    <w:bottom w:val="single" w:sz="8"/>
                    <w:right w:val="single" w:sz="8"/>
                  </w:tcBorders>
                  <w:tcMar/>
                  <w:vAlign w:val="top"/>
                </w:tcPr>
                <w:p w:rsidR="64AA8313" w:rsidRDefault="64AA8313" w14:paraId="5979BCC1" w14:textId="74AB4677">
                  <w:r w:rsidRPr="64AA8313" w:rsidR="64AA8313">
                    <w:rPr>
                      <w:rFonts w:ascii="Arial" w:hAnsi="Arial" w:eastAsia="Arial" w:cs="Arial"/>
                      <w:color w:val="000000" w:themeColor="text1" w:themeTint="FF" w:themeShade="FF"/>
                      <w:sz w:val="20"/>
                      <w:szCs w:val="20"/>
                    </w:rPr>
                    <w:t xml:space="preserve"> </w:t>
                  </w:r>
                </w:p>
              </w:tc>
            </w:tr>
          </w:tbl>
          <w:p w:rsidR="64AA8313" w:rsidRDefault="64AA8313" w14:paraId="47456EB4" w14:textId="3F422851">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6B244C5B" w14:textId="4A90A1B8">
            <w:r w:rsidRPr="64AA8313" w:rsidR="64AA8313">
              <w:rPr>
                <w:rFonts w:ascii="Arial" w:hAnsi="Arial" w:eastAsia="Arial" w:cs="Arial"/>
                <w:b w:val="1"/>
                <w:bCs w:val="1"/>
                <w:color w:val="000000" w:themeColor="text1" w:themeTint="FF" w:themeShade="FF"/>
                <w:sz w:val="22"/>
                <w:szCs w:val="22"/>
              </w:rPr>
              <w:t>NB.</w:t>
            </w:r>
            <w:r w:rsidRPr="64AA8313" w:rsidR="64AA8313">
              <w:rPr>
                <w:rFonts w:ascii="Arial" w:hAnsi="Arial" w:eastAsia="Arial" w:cs="Arial"/>
                <w:color w:val="000000" w:themeColor="text1" w:themeTint="FF" w:themeShade="FF"/>
                <w:sz w:val="22"/>
                <w:szCs w:val="22"/>
              </w:rPr>
              <w:t xml:space="preserve">  All marks are provisional until confirmed by the Final Examination Board.</w:t>
            </w:r>
          </w:p>
          <w:p w:rsidR="64AA8313" w:rsidRDefault="64AA8313" w14:paraId="48DDE948" w14:textId="5FC24FC4">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01AFCFD7" w14:textId="309AC99A">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5D7AAB02" w14:textId="532890E8">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606DF346" w14:textId="0972A867">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119C31B8" w14:textId="05B65015">
            <w:r w:rsidRPr="64AA8313" w:rsidR="64AA8313">
              <w:rPr>
                <w:rFonts w:ascii="Arial" w:hAnsi="Arial" w:eastAsia="Arial" w:cs="Arial"/>
                <w:b w:val="1"/>
                <w:bCs w:val="1"/>
                <w:color w:val="000000" w:themeColor="text1" w:themeTint="FF" w:themeShade="FF"/>
                <w:sz w:val="22"/>
                <w:szCs w:val="22"/>
              </w:rPr>
              <w:t xml:space="preserve"> </w:t>
            </w:r>
          </w:p>
          <w:p w:rsidR="64AA8313" w:rsidP="64AA8313" w:rsidRDefault="64AA8313" w14:paraId="15569117" w14:textId="4311DDC7">
            <w:pPr>
              <w:rPr>
                <w:rFonts w:ascii="Arial" w:hAnsi="Arial" w:eastAsia="Arial" w:cs="Arial"/>
                <w:b w:val="1"/>
                <w:bCs w:val="1"/>
                <w:color w:val="000000" w:themeColor="text1" w:themeTint="FF" w:themeShade="FF"/>
                <w:sz w:val="22"/>
                <w:szCs w:val="22"/>
              </w:rPr>
            </w:pPr>
            <w:r w:rsidRPr="64AA8313" w:rsidR="64AA8313">
              <w:rPr>
                <w:rFonts w:ascii="Arial" w:hAnsi="Arial" w:eastAsia="Arial" w:cs="Arial"/>
                <w:b w:val="1"/>
                <w:bCs w:val="1"/>
                <w:color w:val="000000" w:themeColor="text1" w:themeTint="FF" w:themeShade="FF"/>
                <w:sz w:val="22"/>
                <w:szCs w:val="22"/>
              </w:rPr>
              <w:t xml:space="preserve">For completion by Marker </w:t>
            </w:r>
            <w:r w:rsidRPr="64AA8313" w:rsidR="64AA8313">
              <w:rPr>
                <w:rFonts w:ascii="Arial" w:hAnsi="Arial" w:eastAsia="Arial" w:cs="Arial"/>
                <w:b w:val="1"/>
                <w:bCs w:val="1"/>
                <w:color w:val="000000" w:themeColor="text1" w:themeTint="FF" w:themeShade="FF"/>
                <w:sz w:val="22"/>
                <w:szCs w:val="22"/>
              </w:rPr>
              <w:t>1 :</w:t>
            </w:r>
          </w:p>
          <w:p w:rsidR="64AA8313" w:rsidRDefault="64AA8313" w14:paraId="2E3E9CDB" w14:textId="47C22856">
            <w:r w:rsidRPr="64AA8313" w:rsidR="64AA8313">
              <w:rPr>
                <w:rFonts w:ascii="Arial" w:hAnsi="Arial" w:eastAsia="Arial" w:cs="Arial"/>
                <w:color w:val="000000" w:themeColor="text1" w:themeTint="FF" w:themeShade="FF"/>
                <w:sz w:val="22"/>
                <w:szCs w:val="22"/>
              </w:rPr>
              <w:t>Comments:</w:t>
            </w:r>
          </w:p>
          <w:p w:rsidR="64AA8313" w:rsidRDefault="64AA8313" w14:paraId="5C3061D3" w14:textId="5E0F8A07">
            <w:r w:rsidRPr="64AA8313" w:rsidR="64AA8313">
              <w:rPr>
                <w:rFonts w:ascii="Arial" w:hAnsi="Arial" w:eastAsia="Arial" w:cs="Arial"/>
                <w:color w:val="000000" w:themeColor="text1" w:themeTint="FF" w:themeShade="FF"/>
                <w:sz w:val="22"/>
                <w:szCs w:val="22"/>
              </w:rPr>
              <w:t xml:space="preserve"> </w:t>
            </w:r>
          </w:p>
        </w:tc>
      </w:tr>
      <w:tr w:rsidR="64AA8313" w:rsidTr="64AA8313" w14:paraId="749FAE60">
        <w:trPr>
          <w:trHeight w:val="495"/>
        </w:trPr>
        <w:tc>
          <w:tcPr>
            <w:tcW w:w="676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0951EF73" w14:textId="42933A50">
            <w:r w:rsidRPr="64AA8313" w:rsidR="64AA8313">
              <w:rPr>
                <w:rFonts w:ascii="Arial" w:hAnsi="Arial" w:eastAsia="Arial" w:cs="Arial"/>
                <w:color w:val="000000" w:themeColor="text1" w:themeTint="FF" w:themeShade="FF"/>
                <w:sz w:val="22"/>
                <w:szCs w:val="22"/>
              </w:rPr>
              <w:t>Marker’s signature:</w:t>
            </w:r>
          </w:p>
        </w:tc>
        <w:tc>
          <w:tcPr>
            <w:tcW w:w="2085" w:type="dxa"/>
            <w:gridSpan w:val="2"/>
            <w:tcBorders>
              <w:top w:val="nil" w:color="000000" w:themeColor="text1" w:sz="8"/>
              <w:left w:val="nil"/>
              <w:bottom w:val="single" w:color="000000" w:themeColor="text1" w:sz="8"/>
              <w:right w:val="single" w:color="000000" w:themeColor="text1" w:sz="8"/>
            </w:tcBorders>
            <w:tcMar/>
            <w:vAlign w:val="top"/>
          </w:tcPr>
          <w:p w:rsidR="64AA8313" w:rsidRDefault="64AA8313" w14:paraId="04BC78CD" w14:textId="4A538BCF">
            <w:r w:rsidRPr="64AA8313" w:rsidR="64AA8313">
              <w:rPr>
                <w:rFonts w:ascii="Arial" w:hAnsi="Arial" w:eastAsia="Arial" w:cs="Arial"/>
                <w:color w:val="000000" w:themeColor="text1" w:themeTint="FF" w:themeShade="FF"/>
                <w:sz w:val="22"/>
                <w:szCs w:val="22"/>
              </w:rPr>
              <w:t>Date:</w:t>
            </w:r>
          </w:p>
        </w:tc>
      </w:tr>
      <w:tr w:rsidR="64AA8313" w:rsidTr="64AA8313" w14:paraId="7533A780">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3A53B8FB" w14:textId="74AD7A7A">
            <w:r w:rsidRPr="64AA8313" w:rsidR="64AA8313">
              <w:rPr>
                <w:rFonts w:ascii="Arial" w:hAnsi="Arial" w:eastAsia="Arial" w:cs="Arial"/>
                <w:i w:val="1"/>
                <w:iCs w:val="1"/>
                <w:color w:val="000000" w:themeColor="text1" w:themeTint="FF" w:themeShade="FF"/>
                <w:sz w:val="22"/>
                <w:szCs w:val="22"/>
              </w:rPr>
              <w:t xml:space="preserve"> </w:t>
            </w:r>
          </w:p>
          <w:p w:rsidR="64AA8313" w:rsidRDefault="64AA8313" w14:paraId="0AA70629" w14:textId="408961A5">
            <w:r w:rsidRPr="64AA8313" w:rsidR="64AA8313">
              <w:rPr>
                <w:rFonts w:ascii="Arial" w:hAnsi="Arial" w:eastAsia="Arial" w:cs="Arial"/>
                <w:b w:val="1"/>
                <w:bCs w:val="1"/>
                <w:color w:val="000000" w:themeColor="text1" w:themeTint="FF" w:themeShade="FF"/>
                <w:sz w:val="22"/>
                <w:szCs w:val="22"/>
              </w:rPr>
              <w:t>For completion by Marker 2/Moderator:</w:t>
            </w:r>
          </w:p>
          <w:p w:rsidR="64AA8313" w:rsidRDefault="64AA8313" w14:paraId="51502D04" w14:textId="2A1CBD10">
            <w:r w:rsidRPr="64AA8313" w:rsidR="64AA8313">
              <w:rPr>
                <w:rFonts w:ascii="Arial" w:hAnsi="Arial" w:eastAsia="Arial" w:cs="Arial"/>
                <w:b w:val="1"/>
                <w:bCs w:val="1"/>
                <w:color w:val="000000" w:themeColor="text1" w:themeTint="FF" w:themeShade="FF"/>
                <w:sz w:val="22"/>
                <w:szCs w:val="22"/>
              </w:rPr>
              <w:t xml:space="preserve"> </w:t>
            </w:r>
          </w:p>
          <w:p w:rsidR="64AA8313" w:rsidRDefault="64AA8313" w14:paraId="6F33CA36" w14:textId="45008F08">
            <w:r w:rsidRPr="64AA8313" w:rsidR="64AA8313">
              <w:rPr>
                <w:rFonts w:ascii="Arial" w:hAnsi="Arial" w:eastAsia="Arial" w:cs="Arial"/>
                <w:color w:val="000000" w:themeColor="text1" w:themeTint="FF" w:themeShade="FF"/>
                <w:sz w:val="22"/>
                <w:szCs w:val="22"/>
              </w:rPr>
              <w:t>Comments:</w:t>
            </w:r>
          </w:p>
          <w:p w:rsidR="64AA8313" w:rsidRDefault="64AA8313" w14:paraId="45DBBC98" w14:textId="15327DBC">
            <w:r w:rsidRPr="64AA8313" w:rsidR="64AA8313">
              <w:rPr>
                <w:rFonts w:ascii="Arial" w:hAnsi="Arial" w:eastAsia="Arial" w:cs="Arial"/>
                <w:color w:val="000000" w:themeColor="text1" w:themeTint="FF" w:themeShade="FF"/>
                <w:sz w:val="22"/>
                <w:szCs w:val="22"/>
              </w:rPr>
              <w:t xml:space="preserve"> </w:t>
            </w:r>
          </w:p>
          <w:p w:rsidR="64AA8313" w:rsidRDefault="64AA8313" w14:paraId="3BBBE2E1" w14:textId="428D80CA">
            <w:r w:rsidRPr="64AA8313" w:rsidR="64AA8313">
              <w:rPr>
                <w:rFonts w:ascii="Arial" w:hAnsi="Arial" w:eastAsia="Arial" w:cs="Arial"/>
                <w:color w:val="000000" w:themeColor="text1" w:themeTint="FF" w:themeShade="FF"/>
                <w:sz w:val="22"/>
                <w:szCs w:val="22"/>
              </w:rPr>
              <w:t xml:space="preserve"> </w:t>
            </w:r>
          </w:p>
          <w:p w:rsidR="64AA8313" w:rsidRDefault="64AA8313" w14:paraId="61963208" w14:textId="1BBCF724">
            <w:r w:rsidRPr="64AA8313" w:rsidR="64AA8313">
              <w:rPr>
                <w:rFonts w:ascii="Arial" w:hAnsi="Arial" w:eastAsia="Arial" w:cs="Arial"/>
                <w:color w:val="000000" w:themeColor="text1" w:themeTint="FF" w:themeShade="FF"/>
                <w:sz w:val="22"/>
                <w:szCs w:val="22"/>
              </w:rPr>
              <w:t xml:space="preserve"> </w:t>
            </w:r>
          </w:p>
          <w:p w:rsidR="64AA8313" w:rsidRDefault="64AA8313" w14:paraId="3BC1AFA9" w14:textId="71F236BA">
            <w:r w:rsidRPr="64AA8313" w:rsidR="64AA8313">
              <w:rPr>
                <w:rFonts w:ascii="Arial" w:hAnsi="Arial" w:eastAsia="Arial" w:cs="Arial"/>
                <w:color w:val="000000" w:themeColor="text1" w:themeTint="FF" w:themeShade="FF"/>
                <w:sz w:val="22"/>
                <w:szCs w:val="22"/>
              </w:rPr>
              <w:t xml:space="preserve"> </w:t>
            </w:r>
          </w:p>
          <w:p w:rsidR="64AA8313" w:rsidRDefault="64AA8313" w14:paraId="78FA9966" w14:textId="620AF9A6">
            <w:r w:rsidRPr="64AA8313" w:rsidR="64AA8313">
              <w:rPr>
                <w:rFonts w:ascii="Arial" w:hAnsi="Arial" w:eastAsia="Arial" w:cs="Arial"/>
                <w:color w:val="000000" w:themeColor="text1" w:themeTint="FF" w:themeShade="FF"/>
                <w:sz w:val="22"/>
                <w:szCs w:val="22"/>
              </w:rPr>
              <w:t xml:space="preserve"> </w:t>
            </w:r>
          </w:p>
          <w:p w:rsidR="64AA8313" w:rsidRDefault="64AA8313" w14:paraId="6CF35100" w14:textId="2FB5FFA3">
            <w:r w:rsidRPr="64AA8313" w:rsidR="64AA8313">
              <w:rPr>
                <w:rFonts w:ascii="Arial" w:hAnsi="Arial" w:eastAsia="Arial" w:cs="Arial"/>
                <w:color w:val="000000" w:themeColor="text1" w:themeTint="FF" w:themeShade="FF"/>
                <w:sz w:val="22"/>
                <w:szCs w:val="22"/>
              </w:rPr>
              <w:t xml:space="preserve"> </w:t>
            </w:r>
          </w:p>
          <w:p w:rsidR="64AA8313" w:rsidRDefault="64AA8313" w14:paraId="1093EF8F" w14:textId="05F43B9C">
            <w:r w:rsidRPr="64AA8313" w:rsidR="64AA8313">
              <w:rPr>
                <w:rFonts w:ascii="Arial" w:hAnsi="Arial" w:eastAsia="Arial" w:cs="Arial"/>
                <w:color w:val="000000" w:themeColor="text1" w:themeTint="FF" w:themeShade="FF"/>
                <w:sz w:val="22"/>
                <w:szCs w:val="22"/>
              </w:rPr>
              <w:t xml:space="preserve"> </w:t>
            </w:r>
          </w:p>
          <w:p w:rsidR="64AA8313" w:rsidRDefault="64AA8313" w14:paraId="1D509546" w14:textId="26BAB50B">
            <w:r w:rsidRPr="64AA8313" w:rsidR="64AA8313">
              <w:rPr>
                <w:rFonts w:ascii="Arial" w:hAnsi="Arial" w:eastAsia="Arial" w:cs="Arial"/>
                <w:color w:val="000000" w:themeColor="text1" w:themeTint="FF" w:themeShade="FF"/>
                <w:sz w:val="22"/>
                <w:szCs w:val="22"/>
              </w:rPr>
              <w:t xml:space="preserve"> </w:t>
            </w:r>
          </w:p>
          <w:p w:rsidR="64AA8313" w:rsidRDefault="64AA8313" w14:paraId="5300357C" w14:textId="6CD7FF56">
            <w:r w:rsidRPr="64AA8313" w:rsidR="64AA8313">
              <w:rPr>
                <w:rFonts w:ascii="Arial" w:hAnsi="Arial" w:eastAsia="Arial" w:cs="Arial"/>
                <w:color w:val="000000" w:themeColor="text1" w:themeTint="FF" w:themeShade="FF"/>
                <w:sz w:val="22"/>
                <w:szCs w:val="22"/>
              </w:rPr>
              <w:t xml:space="preserve"> </w:t>
            </w:r>
          </w:p>
          <w:p w:rsidR="64AA8313" w:rsidRDefault="64AA8313" w14:paraId="170CF69F" w14:textId="1CD26704">
            <w:r w:rsidRPr="64AA8313" w:rsidR="64AA8313">
              <w:rPr>
                <w:rFonts w:ascii="Arial" w:hAnsi="Arial" w:eastAsia="Arial" w:cs="Arial"/>
                <w:color w:val="000000" w:themeColor="text1" w:themeTint="FF" w:themeShade="FF"/>
                <w:sz w:val="22"/>
                <w:szCs w:val="22"/>
              </w:rPr>
              <w:t xml:space="preserve"> </w:t>
            </w:r>
          </w:p>
          <w:p w:rsidR="64AA8313" w:rsidRDefault="64AA8313" w14:paraId="4BB8EB47" w14:textId="13840503">
            <w:r w:rsidRPr="64AA8313" w:rsidR="64AA8313">
              <w:rPr>
                <w:rFonts w:ascii="Arial" w:hAnsi="Arial" w:eastAsia="Arial" w:cs="Arial"/>
                <w:color w:val="000000" w:themeColor="text1" w:themeTint="FF" w:themeShade="FF"/>
                <w:sz w:val="22"/>
                <w:szCs w:val="22"/>
              </w:rPr>
              <w:t xml:space="preserve"> </w:t>
            </w:r>
          </w:p>
          <w:p w:rsidR="64AA8313" w:rsidRDefault="64AA8313" w14:paraId="5BB795E2" w14:textId="05D0E315">
            <w:r w:rsidRPr="64AA8313" w:rsidR="64AA8313">
              <w:rPr>
                <w:rFonts w:ascii="Arial" w:hAnsi="Arial" w:eastAsia="Arial" w:cs="Arial"/>
                <w:color w:val="000000" w:themeColor="text1" w:themeTint="FF" w:themeShade="FF"/>
                <w:sz w:val="22"/>
                <w:szCs w:val="22"/>
              </w:rPr>
              <w:t xml:space="preserve"> </w:t>
            </w:r>
          </w:p>
        </w:tc>
      </w:tr>
      <w:tr w:rsidR="64AA8313" w:rsidTr="64AA8313" w14:paraId="1EA5C43E">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760A96FD" w14:textId="3500E963">
            <w:r w:rsidRPr="64AA8313" w:rsidR="64AA8313">
              <w:rPr>
                <w:rFonts w:ascii="Arial" w:hAnsi="Arial" w:eastAsia="Arial" w:cs="Arial"/>
                <w:color w:val="000000" w:themeColor="text1" w:themeTint="FF" w:themeShade="FF"/>
                <w:sz w:val="22"/>
                <w:szCs w:val="22"/>
              </w:rPr>
              <w:t>Marker’s Signature:</w:t>
            </w:r>
          </w:p>
        </w:tc>
        <w:tc>
          <w:tcPr>
            <w:tcW w:w="3645" w:type="dxa"/>
            <w:gridSpan w:val="3"/>
            <w:tcBorders>
              <w:top w:val="nil" w:color="000000" w:themeColor="text1" w:sz="8"/>
              <w:left w:val="nil"/>
              <w:bottom w:val="single" w:color="000000" w:themeColor="text1" w:sz="8"/>
              <w:right w:val="single" w:color="000000" w:themeColor="text1" w:sz="8"/>
            </w:tcBorders>
            <w:tcMar/>
            <w:vAlign w:val="top"/>
          </w:tcPr>
          <w:p w:rsidR="64AA8313" w:rsidRDefault="64AA8313" w14:paraId="44A1DD66" w14:textId="16E9F9F2">
            <w:r w:rsidRPr="64AA8313" w:rsidR="64AA8313">
              <w:rPr>
                <w:rFonts w:ascii="Arial" w:hAnsi="Arial" w:eastAsia="Arial" w:cs="Arial"/>
                <w:color w:val="000000" w:themeColor="text1" w:themeTint="FF" w:themeShade="FF"/>
                <w:sz w:val="22"/>
                <w:szCs w:val="22"/>
              </w:rPr>
              <w:t>Date:</w:t>
            </w:r>
          </w:p>
        </w:tc>
      </w:tr>
      <w:tr w:rsidR="64AA8313" w:rsidTr="64AA8313" w14:paraId="5B579C61">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052EBCD9" w14:textId="4743C87A">
            <w:r w:rsidRPr="64AA8313" w:rsidR="64AA8313">
              <w:rPr>
                <w:rFonts w:ascii="Arial" w:hAnsi="Arial" w:eastAsia="Arial" w:cs="Arial"/>
                <w:b w:val="1"/>
                <w:bCs w:val="1"/>
                <w:color w:val="000000" w:themeColor="text1" w:themeTint="FF" w:themeShade="FF"/>
                <w:sz w:val="22"/>
                <w:szCs w:val="22"/>
              </w:rPr>
              <w:t>External Examiner’s comments (if relevant)</w:t>
            </w:r>
          </w:p>
          <w:p w:rsidR="64AA8313" w:rsidRDefault="64AA8313" w14:paraId="622C9790" w14:textId="597218B7">
            <w:r w:rsidRPr="64AA8313" w:rsidR="64AA8313">
              <w:rPr>
                <w:rFonts w:ascii="Arial" w:hAnsi="Arial" w:eastAsia="Arial" w:cs="Arial"/>
                <w:color w:val="000000" w:themeColor="text1" w:themeTint="FF" w:themeShade="FF"/>
                <w:sz w:val="22"/>
                <w:szCs w:val="22"/>
              </w:rPr>
              <w:t xml:space="preserve"> </w:t>
            </w:r>
          </w:p>
          <w:p w:rsidR="64AA8313" w:rsidRDefault="64AA8313" w14:paraId="42066D21" w14:textId="7B5C3211">
            <w:r w:rsidRPr="64AA8313" w:rsidR="64AA8313">
              <w:rPr>
                <w:rFonts w:ascii="Arial" w:hAnsi="Arial" w:eastAsia="Arial" w:cs="Arial"/>
                <w:color w:val="000000" w:themeColor="text1" w:themeTint="FF" w:themeShade="FF"/>
                <w:sz w:val="22"/>
                <w:szCs w:val="22"/>
              </w:rPr>
              <w:t xml:space="preserve"> </w:t>
            </w:r>
          </w:p>
          <w:p w:rsidR="64AA8313" w:rsidRDefault="64AA8313" w14:paraId="27E5F889" w14:textId="398C0DAA">
            <w:r w:rsidRPr="64AA8313" w:rsidR="64AA8313">
              <w:rPr>
                <w:rFonts w:ascii="Arial" w:hAnsi="Arial" w:eastAsia="Arial" w:cs="Arial"/>
                <w:color w:val="000000" w:themeColor="text1" w:themeTint="FF" w:themeShade="FF"/>
                <w:sz w:val="22"/>
                <w:szCs w:val="22"/>
              </w:rPr>
              <w:t xml:space="preserve"> </w:t>
            </w:r>
          </w:p>
          <w:p w:rsidR="64AA8313" w:rsidRDefault="64AA8313" w14:paraId="1C89A49C" w14:textId="51BA81B9">
            <w:r w:rsidRPr="64AA8313" w:rsidR="64AA8313">
              <w:rPr>
                <w:rFonts w:ascii="Arial" w:hAnsi="Arial" w:eastAsia="Arial" w:cs="Arial"/>
                <w:color w:val="000000" w:themeColor="text1" w:themeTint="FF" w:themeShade="FF"/>
                <w:sz w:val="22"/>
                <w:szCs w:val="22"/>
              </w:rPr>
              <w:t xml:space="preserve"> </w:t>
            </w:r>
          </w:p>
          <w:p w:rsidR="64AA8313" w:rsidRDefault="64AA8313" w14:paraId="2EB7E54B" w14:textId="43927FA2">
            <w:r w:rsidRPr="64AA8313" w:rsidR="64AA8313">
              <w:rPr>
                <w:rFonts w:ascii="Arial" w:hAnsi="Arial" w:eastAsia="Arial" w:cs="Arial"/>
                <w:color w:val="000000" w:themeColor="text1" w:themeTint="FF" w:themeShade="FF"/>
                <w:sz w:val="22"/>
                <w:szCs w:val="22"/>
              </w:rPr>
              <w:t xml:space="preserve"> </w:t>
            </w:r>
          </w:p>
          <w:p w:rsidR="64AA8313" w:rsidRDefault="64AA8313" w14:paraId="202A00A2" w14:textId="072BBA03">
            <w:r w:rsidRPr="64AA8313" w:rsidR="64AA8313">
              <w:rPr>
                <w:rFonts w:ascii="Arial" w:hAnsi="Arial" w:eastAsia="Arial" w:cs="Arial"/>
                <w:color w:val="000000" w:themeColor="text1" w:themeTint="FF" w:themeShade="FF"/>
                <w:sz w:val="22"/>
                <w:szCs w:val="22"/>
              </w:rPr>
              <w:t xml:space="preserve"> </w:t>
            </w:r>
          </w:p>
          <w:p w:rsidR="64AA8313" w:rsidRDefault="64AA8313" w14:paraId="6D8CCB0A" w14:textId="548F5341">
            <w:r w:rsidRPr="64AA8313" w:rsidR="64AA8313">
              <w:rPr>
                <w:rFonts w:ascii="Arial" w:hAnsi="Arial" w:eastAsia="Arial" w:cs="Arial"/>
                <w:color w:val="000000" w:themeColor="text1" w:themeTint="FF" w:themeShade="FF"/>
                <w:sz w:val="22"/>
                <w:szCs w:val="22"/>
              </w:rPr>
              <w:t xml:space="preserve"> </w:t>
            </w:r>
          </w:p>
          <w:p w:rsidR="64AA8313" w:rsidRDefault="64AA8313" w14:paraId="76D3453E" w14:textId="0199FCA8">
            <w:r w:rsidRPr="64AA8313" w:rsidR="64AA8313">
              <w:rPr>
                <w:rFonts w:ascii="Arial" w:hAnsi="Arial" w:eastAsia="Arial" w:cs="Arial"/>
                <w:color w:val="000000" w:themeColor="text1" w:themeTint="FF" w:themeShade="FF"/>
                <w:sz w:val="22"/>
                <w:szCs w:val="22"/>
              </w:rPr>
              <w:t xml:space="preserve"> </w:t>
            </w:r>
          </w:p>
          <w:p w:rsidR="64AA8313" w:rsidRDefault="64AA8313" w14:paraId="0CE15DB2" w14:textId="5BBA57AA">
            <w:r w:rsidRPr="64AA8313" w:rsidR="64AA8313">
              <w:rPr>
                <w:rFonts w:ascii="Arial" w:hAnsi="Arial" w:eastAsia="Arial" w:cs="Arial"/>
                <w:color w:val="000000" w:themeColor="text1" w:themeTint="FF" w:themeShade="FF"/>
                <w:sz w:val="22"/>
                <w:szCs w:val="22"/>
              </w:rPr>
              <w:t xml:space="preserve"> </w:t>
            </w:r>
          </w:p>
          <w:p w:rsidR="64AA8313" w:rsidRDefault="64AA8313" w14:paraId="006C6927" w14:textId="20355A05">
            <w:r w:rsidRPr="64AA8313" w:rsidR="64AA8313">
              <w:rPr>
                <w:rFonts w:ascii="Arial" w:hAnsi="Arial" w:eastAsia="Arial" w:cs="Arial"/>
                <w:color w:val="000000" w:themeColor="text1" w:themeTint="FF" w:themeShade="FF"/>
                <w:sz w:val="22"/>
                <w:szCs w:val="22"/>
              </w:rPr>
              <w:t xml:space="preserve"> </w:t>
            </w:r>
          </w:p>
          <w:p w:rsidR="64AA8313" w:rsidRDefault="64AA8313" w14:paraId="4E4DB2AF" w14:textId="0A6FC7CA">
            <w:r w:rsidRPr="64AA8313" w:rsidR="64AA8313">
              <w:rPr>
                <w:rFonts w:ascii="Arial" w:hAnsi="Arial" w:eastAsia="Arial" w:cs="Arial"/>
                <w:color w:val="000000" w:themeColor="text1" w:themeTint="FF" w:themeShade="FF"/>
                <w:sz w:val="22"/>
                <w:szCs w:val="22"/>
              </w:rPr>
              <w:t xml:space="preserve"> </w:t>
            </w:r>
          </w:p>
        </w:tc>
      </w:tr>
      <w:tr w:rsidR="64AA8313" w:rsidTr="64AA8313" w14:paraId="4812C21C">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4AA8313" w:rsidRDefault="64AA8313" w14:paraId="66F75913" w14:textId="5527BDB6">
            <w:r w:rsidRPr="64AA8313" w:rsidR="64AA8313">
              <w:rPr>
                <w:rFonts w:ascii="Arial" w:hAnsi="Arial" w:eastAsia="Arial" w:cs="Arial"/>
                <w:color w:val="000000" w:themeColor="text1" w:themeTint="FF" w:themeShade="FF"/>
                <w:sz w:val="22"/>
                <w:szCs w:val="22"/>
              </w:rPr>
              <w:t>External Examiner’s Signature:</w:t>
            </w:r>
          </w:p>
        </w:tc>
        <w:tc>
          <w:tcPr>
            <w:tcW w:w="3645" w:type="dxa"/>
            <w:gridSpan w:val="3"/>
            <w:tcBorders>
              <w:top w:val="nil" w:color="000000" w:themeColor="text1" w:sz="8"/>
              <w:left w:val="nil"/>
              <w:bottom w:val="single" w:color="000000" w:themeColor="text1" w:sz="8"/>
              <w:right w:val="single" w:color="000000" w:themeColor="text1" w:sz="8"/>
            </w:tcBorders>
            <w:tcMar/>
            <w:vAlign w:val="top"/>
          </w:tcPr>
          <w:p w:rsidR="64AA8313" w:rsidRDefault="64AA8313" w14:paraId="61993CBE" w14:textId="34ED2AE1">
            <w:r w:rsidRPr="64AA8313" w:rsidR="64AA8313">
              <w:rPr>
                <w:rFonts w:ascii="Arial" w:hAnsi="Arial" w:eastAsia="Arial" w:cs="Arial"/>
                <w:color w:val="000000" w:themeColor="text1" w:themeTint="FF" w:themeShade="FF"/>
                <w:sz w:val="22"/>
                <w:szCs w:val="22"/>
              </w:rPr>
              <w:t>Date:</w:t>
            </w:r>
          </w:p>
        </w:tc>
      </w:tr>
      <w:tr w:rsidR="64AA8313" w:rsidTr="64AA8313" w14:paraId="2994AF76">
        <w:tc>
          <w:tcPr>
            <w:tcW w:w="4785" w:type="dxa"/>
            <w:tcBorders>
              <w:top w:val="single" w:color="000000" w:themeColor="text1" w:sz="8"/>
              <w:left w:val="nil" w:color="000000" w:themeColor="text1" w:sz="8"/>
              <w:bottom w:val="nil" w:color="000000" w:themeColor="text1" w:sz="8"/>
              <w:right w:val="nil" w:color="000000" w:themeColor="text1" w:sz="8"/>
            </w:tcBorders>
            <w:tcMar/>
            <w:vAlign w:val="center"/>
          </w:tcPr>
          <w:p w:rsidR="64AA8313" w:rsidRDefault="64AA8313" w14:paraId="780AE2F6" w14:textId="3791B2A6"/>
        </w:tc>
        <w:tc>
          <w:tcPr>
            <w:tcW w:w="420" w:type="dxa"/>
            <w:tcBorders>
              <w:top w:val="nil" w:color="000000" w:themeColor="text1" w:sz="8"/>
              <w:left w:val="nil"/>
              <w:bottom w:val="nil" w:color="000000" w:themeColor="text1" w:sz="8"/>
              <w:right w:val="nil" w:color="000000" w:themeColor="text1" w:sz="8"/>
            </w:tcBorders>
            <w:tcMar/>
            <w:vAlign w:val="center"/>
          </w:tcPr>
          <w:p w:rsidR="64AA8313" w:rsidRDefault="64AA8313" w14:paraId="673BA060" w14:textId="3B0FA448"/>
        </w:tc>
        <w:tc>
          <w:tcPr>
            <w:tcW w:w="1560" w:type="dxa"/>
            <w:tcBorders>
              <w:top w:val="single" w:color="000000" w:themeColor="text1" w:sz="8"/>
              <w:left w:val="nil"/>
              <w:bottom w:val="nil" w:color="000000" w:themeColor="text1" w:sz="8"/>
              <w:right w:val="nil" w:color="000000" w:themeColor="text1" w:sz="8"/>
            </w:tcBorders>
            <w:tcMar/>
            <w:vAlign w:val="center"/>
          </w:tcPr>
          <w:p w:rsidR="64AA8313" w:rsidRDefault="64AA8313" w14:paraId="7240CB35" w14:textId="6B0AC495"/>
        </w:tc>
        <w:tc>
          <w:tcPr>
            <w:tcW w:w="285" w:type="dxa"/>
            <w:tcBorders>
              <w:top w:val="nil"/>
              <w:left w:val="nil"/>
              <w:bottom w:val="nil" w:color="000000" w:themeColor="text1" w:sz="8"/>
              <w:right w:val="nil"/>
            </w:tcBorders>
            <w:tcMar/>
            <w:vAlign w:val="center"/>
          </w:tcPr>
          <w:p w:rsidR="64AA8313" w:rsidRDefault="64AA8313" w14:paraId="26D816A5" w14:textId="36CEDD20"/>
        </w:tc>
        <w:tc>
          <w:tcPr>
            <w:tcW w:w="1800" w:type="dxa"/>
            <w:tcBorders>
              <w:top w:val="nil"/>
              <w:left w:val="nil"/>
              <w:bottom w:val="nil" w:color="000000" w:themeColor="text1" w:sz="8"/>
              <w:right w:val="nil" w:color="000000" w:themeColor="text1" w:sz="8"/>
            </w:tcBorders>
            <w:tcMar/>
            <w:vAlign w:val="center"/>
          </w:tcPr>
          <w:p w:rsidR="64AA8313" w:rsidRDefault="64AA8313" w14:paraId="4B3A32FF" w14:textId="5F6B482D"/>
        </w:tc>
      </w:tr>
    </w:tbl>
    <w:p w:rsidR="64AA8313" w:rsidP="64AA8313" w:rsidRDefault="64AA8313" w14:paraId="7778E789" w14:textId="1F6BA2DE">
      <w:pPr>
        <w:jc w:val="center"/>
        <w:rPr>
          <w:rFonts w:ascii="Trebuchet MS" w:hAnsi="Trebuchet MS" w:eastAsia="Trebuchet MS" w:cs="Trebuchet MS"/>
          <w:noProof w:val="0"/>
          <w:color w:val="000000" w:themeColor="text1" w:themeTint="FF" w:themeShade="FF"/>
          <w:sz w:val="24"/>
          <w:szCs w:val="24"/>
          <w:lang w:val="en-GB"/>
        </w:rPr>
      </w:pPr>
    </w:p>
    <w:p w:rsidR="64AA8313" w:rsidP="64AA8313" w:rsidRDefault="64AA8313" w14:paraId="48E00D42" w14:textId="53AFD278">
      <w:pPr>
        <w:pStyle w:val="Normal"/>
        <w:jc w:val="center"/>
      </w:pPr>
    </w:p>
    <w:p w:rsidR="64AA8313" w:rsidP="64AA8313" w:rsidRDefault="64AA8313" w14:paraId="6EFFC08A" w14:textId="374FDA1D">
      <w:pPr>
        <w:jc w:val="center"/>
      </w:pPr>
    </w:p>
    <w:p w:rsidR="64AA8313" w:rsidP="64AA8313" w:rsidRDefault="64AA8313" w14:paraId="45404B85" w14:textId="3DE98949">
      <w:pPr>
        <w:jc w:val="center"/>
      </w:pPr>
    </w:p>
    <w:p w:rsidR="64AA8313" w:rsidP="64AA8313" w:rsidRDefault="64AA8313" w14:paraId="62334991" w14:textId="4ED609E3">
      <w:pPr>
        <w:jc w:val="center"/>
      </w:pPr>
    </w:p>
    <w:p w:rsidR="64AA8313" w:rsidP="64AA8313" w:rsidRDefault="64AA8313" w14:paraId="72AF8C99" w14:textId="60E38CF2">
      <w:pPr>
        <w:jc w:val="center"/>
      </w:pPr>
    </w:p>
    <w:p w:rsidR="64AA8313" w:rsidP="64AA8313" w:rsidRDefault="64AA8313" w14:paraId="11FF9D66" w14:textId="6549C515">
      <w:pPr>
        <w:jc w:val="center"/>
      </w:pPr>
    </w:p>
    <w:p w:rsidR="64AA8313" w:rsidP="64AA8313" w:rsidRDefault="64AA8313" w14:paraId="0D815514" w14:textId="6D72E3BB">
      <w:pPr>
        <w:jc w:val="center"/>
      </w:pPr>
    </w:p>
    <w:p w:rsidR="64AA8313" w:rsidP="64AA8313" w:rsidRDefault="64AA8313" w14:paraId="114D50AA" w14:textId="3A783A19">
      <w:pPr>
        <w:jc w:val="center"/>
      </w:pPr>
    </w:p>
    <w:p w:rsidR="00B25330" w:rsidP="0536292E" w:rsidRDefault="356764D6" w14:paraId="78117B23" w14:textId="14DFCBB6">
      <w:pPr>
        <w:jc w:val="center"/>
      </w:pPr>
      <w:bookmarkStart w:name="_GoBack" w:id="0"/>
      <w:bookmarkEnd w:id="0"/>
      <w:r>
        <w:t xml:space="preserve">Essay based on a Sky Journal </w:t>
      </w:r>
    </w:p>
    <w:p w:rsidR="00B25330" w:rsidP="3C85ACAF" w:rsidRDefault="356764D6" w14:paraId="64B1C9DA" w14:textId="58A64749">
      <w:r>
        <w:t xml:space="preserve"> </w:t>
      </w:r>
    </w:p>
    <w:p w:rsidR="00B25330" w:rsidP="0536292E" w:rsidRDefault="356764D6" w14:paraId="7ED9A4D5" w14:textId="2CA5299D">
      <w:pPr>
        <w:jc w:val="both"/>
      </w:pPr>
      <w:r w:rsidR="356764D6">
        <w:rPr/>
        <w:t>This essay explores a Sky Journal I kept over twenty consecutive nights in relation to Van Gogh's statement, 'Be clearly aware of the stars and infinity on high.</w:t>
      </w:r>
      <w:r w:rsidR="356764D6">
        <w:rPr/>
        <w:t xml:space="preserve"> Then life seems almost enchanted after all'</w:t>
      </w:r>
      <w:r w:rsidRPr="0536292E" w:rsidR="00C53468">
        <w:rPr>
          <w:rStyle w:val="FootnoteReference"/>
        </w:rPr>
        <w:footnoteReference w:id="2"/>
      </w:r>
      <w:r w:rsidR="356764D6">
        <w:rPr/>
        <w:t xml:space="preserve">. Drawing on cultural and cosmological viewpoints to consider the themes that </w:t>
      </w:r>
      <w:r w:rsidR="356764D6">
        <w:rPr/>
        <w:t>emerged</w:t>
      </w:r>
      <w:r w:rsidR="356764D6">
        <w:rPr/>
        <w:t xml:space="preserve"> from my sky journal, this essay will further examine the reflexive experience of documenting a journal as well as using an autoethnographic approach to create a personal narrative with the sky. I did not use a telescope when recording in the Sky Journal</w:t>
      </w:r>
      <w:r w:rsidR="2B515993">
        <w:rPr/>
        <w:t>, noting</w:t>
      </w:r>
      <w:r w:rsidR="356764D6">
        <w:rPr/>
        <w:t xml:space="preserve"> the importance of naked eye observation</w:t>
      </w:r>
      <w:r w:rsidR="6E41F06B">
        <w:rPr/>
        <w:t xml:space="preserve"> as Schaaf asserts,</w:t>
      </w:r>
      <w:r w:rsidR="356764D6">
        <w:rPr/>
        <w:t xml:space="preserve"> 'the eye is where you enter the starry room of the universe'</w:t>
      </w:r>
      <w:r w:rsidRPr="0536292E" w:rsidR="00C53468">
        <w:rPr>
          <w:rStyle w:val="FootnoteReference"/>
        </w:rPr>
        <w:footnoteReference w:id="3"/>
      </w:r>
      <w:r w:rsidR="356764D6">
        <w:rPr/>
        <w:t>. Drawing upon the works of Annalies Moors</w:t>
      </w:r>
      <w:r w:rsidRPr="0536292E" w:rsidR="00C53468">
        <w:rPr>
          <w:rStyle w:val="FootnoteReference"/>
        </w:rPr>
        <w:footnoteReference w:id="4"/>
      </w:r>
      <w:r w:rsidR="356764D6">
        <w:rPr/>
        <w:t xml:space="preserve">, I </w:t>
      </w:r>
      <w:r w:rsidR="356764D6">
        <w:rPr/>
        <w:t xml:space="preserve">sought</w:t>
      </w:r>
      <w:r w:rsidR="356764D6">
        <w:rPr/>
        <w:t xml:space="preserve"> to question the personal narrative I brought to the nightly observation and the </w:t>
      </w:r>
      <w:r w:rsidR="356764D6">
        <w:rPr/>
        <w:t xml:space="preserve">subsequent</w:t>
      </w:r>
      <w:r w:rsidR="356764D6">
        <w:rPr/>
        <w:t xml:space="preserve"> realisation that I was seeing with more than the peripheral vision will be explored further within this paper. </w:t>
      </w:r>
    </w:p>
    <w:p w:rsidR="00B25330" w:rsidP="64AA8313" w:rsidRDefault="356764D6" w14:paraId="20C38E18" w14:textId="206C72C9">
      <w:pPr>
        <w:pStyle w:val="Normal"/>
        <w:bidi w:val="0"/>
        <w:spacing w:before="0" w:beforeAutospacing="off" w:after="160" w:afterAutospacing="off" w:line="259" w:lineRule="auto"/>
        <w:ind w:left="0" w:right="0"/>
        <w:jc w:val="both"/>
      </w:pPr>
      <w:r w:rsidR="35A22A43">
        <w:rPr/>
        <w:t>As put forward by Porter, t</w:t>
      </w:r>
      <w:r w:rsidR="356764D6">
        <w:rPr/>
        <w:t xml:space="preserve">he posthumous fame of Vincent Van Gogh is arguably attributed to </w:t>
      </w:r>
      <w:r w:rsidR="6B2A4373">
        <w:rPr/>
        <w:t>the</w:t>
      </w:r>
      <w:r w:rsidR="356764D6">
        <w:rPr/>
        <w:t xml:space="preserve"> paintings</w:t>
      </w:r>
      <w:r w:rsidR="1BBCAA9B">
        <w:rPr/>
        <w:t xml:space="preserve"> </w:t>
      </w:r>
      <w:r w:rsidR="356764D6">
        <w:rPr/>
        <w:t>rather than the</w:t>
      </w:r>
      <w:r w:rsidR="32EBF4A6">
        <w:rPr/>
        <w:t xml:space="preserve"> </w:t>
      </w:r>
      <w:r w:rsidR="6311AA3E">
        <w:rPr/>
        <w:t>correspondence sent</w:t>
      </w:r>
      <w:r w:rsidR="356764D6">
        <w:rPr/>
        <w:t xml:space="preserve"> to his brother Theo within the Victorian period</w:t>
      </w:r>
      <w:r w:rsidR="356764D6">
        <w:rPr/>
        <w:t xml:space="preserve"> convey</w:t>
      </w:r>
      <w:r w:rsidR="43A026A0">
        <w:rPr/>
        <w:t xml:space="preserve">ing </w:t>
      </w:r>
      <w:r w:rsidR="356764D6">
        <w:rPr/>
        <w:t>the social issues at the time and reflect</w:t>
      </w:r>
      <w:r w:rsidR="4AF9318A">
        <w:rPr/>
        <w:t>ing</w:t>
      </w:r>
      <w:r w:rsidR="356764D6">
        <w:rPr/>
        <w:t xml:space="preserve"> </w:t>
      </w:r>
      <w:r w:rsidR="61977E6A">
        <w:rPr/>
        <w:t>Van Gogh's</w:t>
      </w:r>
      <w:r w:rsidR="356764D6">
        <w:rPr/>
        <w:t xml:space="preserve"> own troubled state of m</w:t>
      </w:r>
      <w:r w:rsidR="40E9F103">
        <w:rPr/>
        <w:t>in</w:t>
      </w:r>
      <w:r w:rsidR="2C855E42">
        <w:rPr/>
        <w:t>d</w:t>
      </w:r>
      <w:r w:rsidR="40E9F103">
        <w:rPr/>
        <w:t xml:space="preserve"> </w:t>
      </w:r>
      <w:r w:rsidRPr="0536292E" w:rsidR="00C53468">
        <w:rPr>
          <w:rStyle w:val="FootnoteReference"/>
        </w:rPr>
        <w:footnoteReference w:id="5"/>
      </w:r>
      <w:r w:rsidR="42215120">
        <w:rPr/>
        <w:t xml:space="preserve">. Van </w:t>
      </w:r>
      <w:r w:rsidR="356764D6">
        <w:rPr/>
        <w:t>Gogh's painting "Starry Night", demonstrates how it 'feels like to be under to the stars and affords us the means to dwell upon it'</w:t>
      </w:r>
      <w:r w:rsidRPr="0536292E" w:rsidR="00C53468">
        <w:rPr>
          <w:rStyle w:val="FootnoteReference"/>
        </w:rPr>
        <w:footnoteReference w:id="6"/>
      </w:r>
      <w:r w:rsidR="356764D6">
        <w:rPr/>
        <w:t xml:space="preserve"> and this is reasserted in his aphorism, 'Be clearly aware of the stars and infinity on high. Then life seems almost enchanted after all'</w:t>
      </w:r>
      <w:r w:rsidRPr="0536292E" w:rsidR="00C53468">
        <w:rPr>
          <w:rStyle w:val="FootnoteReference"/>
        </w:rPr>
        <w:footnoteReference w:id="7"/>
      </w:r>
      <w:r w:rsidR="45EF3901">
        <w:rPr/>
        <w:t>.</w:t>
      </w:r>
      <w:r w:rsidR="356764D6">
        <w:rPr/>
        <w:t xml:space="preserve"> </w:t>
      </w:r>
    </w:p>
    <w:p w:rsidR="00B25330" w:rsidP="0536292E" w:rsidRDefault="356764D6" w14:paraId="40FCE8E1" w14:textId="217DD984">
      <w:pPr>
        <w:jc w:val="both"/>
      </w:pPr>
      <w:r w:rsidR="356764D6">
        <w:rPr/>
        <w:t>Turning now to the Sky Journal I kept in respect to Van Gogh's statement</w:t>
      </w:r>
      <w:r w:rsidRPr="0536292E" w:rsidR="00C53468">
        <w:rPr>
          <w:rStyle w:val="FootnoteReference"/>
        </w:rPr>
        <w:footnoteReference w:id="8"/>
      </w:r>
      <w:r w:rsidR="356764D6">
        <w:rPr/>
        <w:t xml:space="preserve">. Throughout human history, the sky has represented the cyclical pattern of life. </w:t>
      </w:r>
      <w:r w:rsidR="356764D6">
        <w:rPr/>
        <w:t xml:space="preserve">The sun rising and the full moon gradually waning afforded a stable cosmos that </w:t>
      </w:r>
      <w:r w:rsidR="3618234B">
        <w:rPr/>
        <w:t xml:space="preserve">according to Campion, </w:t>
      </w:r>
      <w:r w:rsidR="356764D6">
        <w:rPr/>
        <w:t>provided</w:t>
      </w:r>
      <w:r w:rsidR="356764D6">
        <w:rPr/>
        <w:t xml:space="preserve"> measurements of time and calendrical output</w:t>
      </w:r>
      <w:r w:rsidRPr="0536292E" w:rsidR="00C53468">
        <w:rPr>
          <w:rStyle w:val="FootnoteReference"/>
        </w:rPr>
        <w:footnoteReference w:id="9"/>
      </w:r>
      <w:r w:rsidR="2E64DEA8">
        <w:rPr/>
        <w:t>, w</w:t>
      </w:r>
      <w:r w:rsidR="356764D6">
        <w:rPr/>
        <w:t>hilst the heavenly spheres</w:t>
      </w:r>
      <w:r w:rsidR="356764D6">
        <w:rPr/>
        <w:t xml:space="preserve"> </w:t>
      </w:r>
      <w:r w:rsidR="356764D6">
        <w:rPr/>
        <w:t>provide</w:t>
      </w:r>
      <w:r w:rsidR="356764D6">
        <w:rPr/>
        <w:t>d</w:t>
      </w:r>
      <w:r w:rsidR="356764D6">
        <w:rPr/>
        <w:t xml:space="preserve"> a theatrical backdrop in which the relationships between man and the celestial deities played out</w:t>
      </w:r>
      <w:r w:rsidRPr="0536292E" w:rsidR="00C53468">
        <w:rPr>
          <w:rStyle w:val="FootnoteReference"/>
        </w:rPr>
        <w:footnoteReference w:id="10"/>
      </w:r>
      <w:r w:rsidR="356764D6">
        <w:rPr/>
        <w:t>. Though this interpretation of the ubiquitous sky is now seen as anachronistic in contemporary times</w:t>
      </w:r>
      <w:r w:rsidRPr="0536292E" w:rsidR="00C53468">
        <w:rPr>
          <w:rStyle w:val="FootnoteReference"/>
        </w:rPr>
        <w:footnoteReference w:id="11"/>
      </w:r>
      <w:r w:rsidR="356764D6">
        <w:rPr/>
        <w:t>, the Sky Journal I kept called for a relationship with the sky that would eventuate into a deeper internal and external awareness</w:t>
      </w:r>
      <w:r w:rsidR="6E567218">
        <w:rPr/>
        <w:t xml:space="preserve"> </w:t>
      </w:r>
      <w:r w:rsidR="6E567218">
        <w:rPr/>
        <w:t xml:space="preserve">as Gunzburg </w:t>
      </w:r>
      <w:r w:rsidR="43F992FA">
        <w:rPr/>
        <w:t xml:space="preserve">affirms, to </w:t>
      </w:r>
      <w:r w:rsidR="356764D6">
        <w:rPr/>
        <w:t>thereby, 'locate ourselves externally and internally, physically and symbolically, by the sky'</w:t>
      </w:r>
      <w:r w:rsidRPr="0536292E" w:rsidR="00C53468">
        <w:rPr>
          <w:rStyle w:val="FootnoteReference"/>
        </w:rPr>
        <w:footnoteReference w:id="12"/>
      </w:r>
      <w:r w:rsidR="356764D6">
        <w:rPr/>
        <w:t>. Starting my Sky Journal on 9th October, my awareness is purely external. I note the retrograde positions of Saturn and Jupiter and how the waxing crescent moon is coming into view. The observation takes place objectively without any sense of expansiveness and firmly within the raw</w:t>
      </w:r>
      <w:r w:rsidR="356764D6">
        <w:rPr/>
        <w:t xml:space="preserve"> </w:t>
      </w:r>
      <w:r w:rsidR="356764D6">
        <w:rPr/>
        <w:t>perception</w:t>
      </w:r>
      <w:r w:rsidR="356764D6">
        <w:rPr/>
        <w:t>s</w:t>
      </w:r>
      <w:r w:rsidR="356764D6">
        <w:rPr/>
        <w:t xml:space="preserve"> of the five senses. My doors of</w:t>
      </w:r>
      <w:r w:rsidR="356764D6">
        <w:rPr/>
        <w:t xml:space="preserve"> </w:t>
      </w:r>
      <w:r w:rsidR="356764D6">
        <w:rPr/>
        <w:t>perceptio</w:t>
      </w:r>
      <w:r w:rsidR="356764D6">
        <w:rPr/>
        <w:t>n</w:t>
      </w:r>
      <w:r w:rsidR="6467D219">
        <w:rPr/>
        <w:t xml:space="preserve">, as Blake symbolised, </w:t>
      </w:r>
      <w:r w:rsidR="356764D6">
        <w:rPr/>
        <w:t>have not yet been cleansed</w:t>
      </w:r>
      <w:r w:rsidRPr="0536292E" w:rsidR="00C53468">
        <w:rPr>
          <w:rStyle w:val="FootnoteReference"/>
        </w:rPr>
        <w:footnoteReference w:id="13"/>
      </w:r>
      <w:r w:rsidR="356764D6">
        <w:rPr/>
        <w:t xml:space="preserve"> and infinity cannot be seen. </w:t>
      </w:r>
    </w:p>
    <w:p w:rsidR="00B25330" w:rsidP="0536292E" w:rsidRDefault="356764D6" w14:paraId="08267A1F" w14:textId="46DDB416">
      <w:pPr>
        <w:jc w:val="both"/>
      </w:pPr>
      <w:r w:rsidR="356764D6">
        <w:rPr/>
        <w:t>The following entries continue in the same manner. 'Saturn is stationing direct and low on the ecliptic in the constellation Capricornus'. My active participation and awareness with</w:t>
      </w:r>
      <w:r w:rsidR="0EA605B0">
        <w:rPr/>
        <w:t>in</w:t>
      </w:r>
      <w:r w:rsidR="356764D6">
        <w:rPr/>
        <w:t xml:space="preserve"> the cosmos are still lacking</w:t>
      </w:r>
      <w:r w:rsidR="2C9D5D7A">
        <w:rPr/>
        <w:t>;</w:t>
      </w:r>
      <w:r w:rsidR="64DF8B3B">
        <w:rPr/>
        <w:t xml:space="preserve"> what</w:t>
      </w:r>
      <w:r w:rsidR="79BD40CC">
        <w:rPr/>
        <w:t xml:space="preserve"> Campion refers to</w:t>
      </w:r>
      <w:r w:rsidR="4D4AEAE1">
        <w:rPr/>
        <w:t>,</w:t>
      </w:r>
      <w:r w:rsidR="79BD40CC">
        <w:rPr/>
        <w:t xml:space="preserve"> as </w:t>
      </w:r>
      <w:r w:rsidR="356764D6">
        <w:rPr/>
        <w:t>that 'deeper desire to connect with something bigger, a sense of cosmic purpose and personal meaning, of enchantment'</w:t>
      </w:r>
      <w:r w:rsidRPr="0536292E" w:rsidR="00C53468">
        <w:rPr>
          <w:rStyle w:val="FootnoteReference"/>
        </w:rPr>
        <w:footnoteReference w:id="14"/>
      </w:r>
      <w:r w:rsidR="356764D6">
        <w:rPr/>
        <w:t xml:space="preserve">. I am aware of this within my journal, and I consider, 'How do I loosen the earthly bonds of preconceived scientific and philosophical thoughts regarding the cosmos?', to actively </w:t>
      </w:r>
      <w:r w:rsidR="356764D6">
        <w:rPr/>
        <w:t>participate</w:t>
      </w:r>
      <w:r w:rsidR="356764D6">
        <w:rPr/>
        <w:t xml:space="preserve"> within the narrative of the sky and be clearly aware</w:t>
      </w:r>
      <w:r w:rsidRPr="0536292E" w:rsidR="00C53468">
        <w:rPr>
          <w:rStyle w:val="FootnoteReference"/>
        </w:rPr>
        <w:footnoteReference w:id="15"/>
      </w:r>
      <w:r w:rsidR="356764D6">
        <w:rPr/>
        <w:t xml:space="preserve">. I am more comfortable initially, in objectively </w:t>
      </w:r>
      <w:r w:rsidR="356764D6">
        <w:rPr/>
        <w:t>observing</w:t>
      </w:r>
      <w:r w:rsidR="356764D6">
        <w:rPr/>
        <w:t xml:space="preserve"> the sky and like Kafka's protagonist</w:t>
      </w:r>
      <w:r w:rsidRPr="0536292E" w:rsidR="00C53468">
        <w:rPr>
          <w:rStyle w:val="FootnoteReference"/>
        </w:rPr>
        <w:footnoteReference w:id="16"/>
      </w:r>
      <w:r w:rsidR="356764D6">
        <w:rPr/>
        <w:t xml:space="preserve">, I must suspend disbelief and overcome the logical, rational thinking mind to </w:t>
      </w:r>
      <w:r w:rsidR="356764D6">
        <w:rPr/>
        <w:t>participate</w:t>
      </w:r>
      <w:r w:rsidR="356764D6">
        <w:rPr/>
        <w:t xml:space="preserve"> directly with the cosmos; as Lucien Levy-Bruhl would term "Participation Mystique"</w:t>
      </w:r>
      <w:r w:rsidRPr="0536292E" w:rsidR="00C53468">
        <w:rPr>
          <w:rStyle w:val="FootnoteReference"/>
        </w:rPr>
        <w:footnoteReference w:id="17"/>
      </w:r>
      <w:r w:rsidR="356764D6">
        <w:rPr/>
        <w:t xml:space="preserve">. Rather than viewing the sky as a remote and separate entity, a stoic sense of inter-connectedness is </w:t>
      </w:r>
      <w:r w:rsidR="356764D6">
        <w:rPr/>
        <w:t xml:space="preserve">required</w:t>
      </w:r>
      <w:r w:rsidR="356764D6">
        <w:rPr/>
        <w:t xml:space="preserve">. </w:t>
      </w:r>
    </w:p>
    <w:p w:rsidR="00B25330" w:rsidP="0536292E" w:rsidRDefault="356764D6" w14:paraId="2F5DCD5B" w14:textId="4C5BF0DE">
      <w:pPr>
        <w:jc w:val="both"/>
      </w:pPr>
      <w:r w:rsidR="356764D6">
        <w:rPr/>
        <w:t xml:space="preserve">On 12th October, the awareness that Van Gogh contemplates, finally </w:t>
      </w:r>
      <w:r w:rsidR="356764D6">
        <w:rPr/>
        <w:t>emerges</w:t>
      </w:r>
      <w:r w:rsidR="356764D6">
        <w:rPr/>
        <w:t xml:space="preserve">. I note that, 'the sky is very dark, almost black.' The backdrop of the mill and chimney </w:t>
      </w:r>
      <w:r w:rsidR="356764D6">
        <w:rPr/>
        <w:t>adjacent to</w:t>
      </w:r>
      <w:r w:rsidR="356764D6">
        <w:rPr/>
        <w:t xml:space="preserve"> the canal below, lie in darkness. 'There is a joy', I discern, 'in observing Saturn and Jupiter resplendent in the dark sky</w:t>
      </w:r>
      <w:r w:rsidR="56597DC8">
        <w:rPr/>
        <w:t xml:space="preserve"> and a</w:t>
      </w:r>
      <w:r w:rsidR="695367ED">
        <w:rPr/>
        <w:t xml:space="preserve">s </w:t>
      </w:r>
      <w:r w:rsidR="2191B6BB">
        <w:rPr/>
        <w:t xml:space="preserve">Gerard </w:t>
      </w:r>
      <w:r w:rsidR="695367ED">
        <w:rPr/>
        <w:t xml:space="preserve">Manley Hopkins triumphantly declares</w:t>
      </w:r>
      <w:r w:rsidR="12566677">
        <w:rPr/>
        <w:t xml:space="preserve">,</w:t>
      </w:r>
      <w:r w:rsidR="695367ED">
        <w:rPr/>
        <w:t xml:space="preserve"> </w:t>
      </w:r>
      <w:r w:rsidR="356764D6">
        <w:rPr/>
        <w:t>'Look at the Stars! Look, look up at the skies!'</w:t>
      </w:r>
      <w:r w:rsidRPr="0536292E" w:rsidR="00C53468">
        <w:rPr>
          <w:rStyle w:val="FootnoteReference"/>
        </w:rPr>
        <w:footnoteReference w:id="18"/>
      </w:r>
      <w:r w:rsidR="356764D6">
        <w:rPr/>
        <w:t xml:space="preserve"> Looking back at photos from the previous night, I noted the light pollution advancing upwards. 'The brighter earth becomes, the fewer stars are seen' and </w:t>
      </w:r>
      <w:r w:rsidR="2304A5F5">
        <w:rPr/>
        <w:t xml:space="preserve">Duriscoe postulates that </w:t>
      </w:r>
      <w:r w:rsidR="356764D6">
        <w:rPr/>
        <w:t xml:space="preserve">this is how we lose the 'unfettered view of the universe on a dark, clear, moonless night'</w:t>
      </w:r>
      <w:r w:rsidRPr="0536292E" w:rsidR="00C53468">
        <w:rPr>
          <w:rStyle w:val="FootnoteReference"/>
        </w:rPr>
        <w:footnoteReference w:id="19"/>
      </w:r>
      <w:r w:rsidR="356764D6">
        <w:rPr/>
        <w:t>. 'The dark sky holds enchantment over the industrial city lights below and without the obfuscation of the imposing glow below', I can now 'be clearly aware of the stars'</w:t>
      </w:r>
      <w:r w:rsidRPr="0536292E" w:rsidR="00C53468">
        <w:rPr>
          <w:rStyle w:val="FootnoteReference"/>
        </w:rPr>
        <w:footnoteReference w:id="20"/>
      </w:r>
      <w:r w:rsidR="356764D6">
        <w:rPr/>
        <w:t>. I can envision the primitives of Levy-Bruhl</w:t>
      </w:r>
      <w:r w:rsidRPr="0536292E" w:rsidR="00C53468">
        <w:rPr>
          <w:rStyle w:val="FootnoteReference"/>
        </w:rPr>
        <w:footnoteReference w:id="21"/>
      </w:r>
      <w:r w:rsidR="356764D6">
        <w:rPr/>
        <w:t>, glancing up at the blackened sphere above that stretched into infinity, with the luminous jewels of planets and stars glowing in the expansive skies and experiencing that integration of self and cosmos</w:t>
      </w:r>
      <w:r w:rsidR="2FC98C1F">
        <w:rPr/>
        <w:t>,</w:t>
      </w:r>
      <w:r w:rsidR="0EA01334">
        <w:rPr/>
        <w:t xml:space="preserve"> as Campion notes,</w:t>
      </w:r>
      <w:r w:rsidR="356764D6">
        <w:rPr/>
        <w:t xml:space="preserve"> so elusive to the modern mind</w:t>
      </w:r>
      <w:r w:rsidRPr="0536292E" w:rsidR="00C53468">
        <w:rPr>
          <w:rStyle w:val="FootnoteReference"/>
        </w:rPr>
        <w:footnoteReference w:id="22"/>
      </w:r>
      <w:r w:rsidR="1A208C41">
        <w:rPr/>
        <w:t xml:space="preserve">. </w:t>
      </w:r>
    </w:p>
    <w:p w:rsidR="00B25330" w:rsidP="0536292E" w:rsidRDefault="356764D6" w14:paraId="104187E5" w14:textId="286AB2B8">
      <w:pPr>
        <w:jc w:val="both"/>
      </w:pPr>
      <w:r w:rsidR="356764D6">
        <w:rPr/>
        <w:t xml:space="preserve">I questioned whether 'the light polluted sky had clouded my vision, like dust obscuring the lens to the night sky' as </w:t>
      </w:r>
      <w:r w:rsidR="46DE6201">
        <w:rPr/>
        <w:t xml:space="preserve">Nordgren believes, </w:t>
      </w:r>
      <w:r w:rsidR="356764D6">
        <w:rPr/>
        <w:t>'glare robs us of stars through its effect on our sight'</w:t>
      </w:r>
      <w:r w:rsidRPr="0536292E" w:rsidR="00C53468">
        <w:rPr>
          <w:rStyle w:val="FootnoteReference"/>
        </w:rPr>
        <w:footnoteReference w:id="23"/>
      </w:r>
      <w:r w:rsidR="356764D6">
        <w:rPr/>
        <w:t>. Our ancestors had wondered</w:t>
      </w:r>
      <w:r w:rsidR="44282C64">
        <w:rPr/>
        <w:t xml:space="preserve">, </w:t>
      </w:r>
      <w:r w:rsidR="53AB8EC9">
        <w:rPr/>
        <w:t xml:space="preserve">as discussed by </w:t>
      </w:r>
      <w:r w:rsidR="598DF30B">
        <w:rPr/>
        <w:t xml:space="preserve">Alvarez and </w:t>
      </w:r>
      <w:r w:rsidR="610D6CBA">
        <w:rPr/>
        <w:t>Crawford, at</w:t>
      </w:r>
      <w:r w:rsidR="0D59E5A8">
        <w:rPr/>
        <w:t xml:space="preserve"> </w:t>
      </w:r>
      <w:r w:rsidR="356764D6">
        <w:rPr/>
        <w:t>the piercingly dark s</w:t>
      </w:r>
      <w:r w:rsidR="0BE9DD97">
        <w:rPr/>
        <w:t xml:space="preserve">ky with </w:t>
      </w:r>
      <w:r w:rsidR="356764D6">
        <w:rPr/>
        <w:t>the scattering of stars inspiring and connecting</w:t>
      </w:r>
      <w:r w:rsidRPr="0536292E" w:rsidR="00C53468">
        <w:rPr>
          <w:rStyle w:val="FootnoteReference"/>
        </w:rPr>
        <w:footnoteReference w:id="24"/>
      </w:r>
      <w:r w:rsidR="356764D6">
        <w:rPr/>
        <w:t xml:space="preserve"> therefore, to envision a world devoid of perceivable stars, must be, as Dante symbolised, the idea of Hell. </w:t>
      </w:r>
    </w:p>
    <w:p w:rsidR="00B25330" w:rsidP="64AA8313" w:rsidRDefault="356764D6" w14:paraId="28B1A033" w14:textId="2414CF00">
      <w:pPr>
        <w:spacing w:after="0"/>
        <w:ind w:left="1440" w:firstLine="720"/>
        <w:jc w:val="both"/>
      </w:pPr>
      <w:r w:rsidR="356764D6">
        <w:rPr/>
        <w:t xml:space="preserve">Til on our view the beautiful lights of heav'n </w:t>
      </w:r>
    </w:p>
    <w:p w:rsidR="00B25330" w:rsidP="64AA8313" w:rsidRDefault="356764D6" w14:paraId="25D31163" w14:textId="0C8B5D7E">
      <w:pPr>
        <w:spacing w:after="0"/>
        <w:ind w:left="1440" w:firstLine="720"/>
        <w:jc w:val="both"/>
      </w:pPr>
      <w:r w:rsidR="356764D6">
        <w:rPr/>
        <w:t>Dawn'd</w:t>
      </w:r>
      <w:r w:rsidR="356764D6">
        <w:rPr/>
        <w:t xml:space="preserve"> through a circular opening in the cave: </w:t>
      </w:r>
    </w:p>
    <w:p w:rsidR="00B25330" w:rsidP="64AA8313" w:rsidRDefault="356764D6" w14:paraId="4A857C85" w14:textId="6E08E954">
      <w:pPr>
        <w:ind w:left="1440" w:firstLine="720"/>
        <w:jc w:val="both"/>
      </w:pPr>
      <w:r w:rsidR="356764D6">
        <w:rPr/>
        <w:t>Thus</w:t>
      </w:r>
      <w:r w:rsidR="356764D6">
        <w:rPr/>
        <w:t xml:space="preserve"> issuing we again beheld the stars</w:t>
      </w:r>
      <w:r w:rsidRPr="0536292E" w:rsidR="00C53468">
        <w:rPr>
          <w:rStyle w:val="FootnoteReference"/>
        </w:rPr>
        <w:footnoteReference w:id="25"/>
      </w:r>
      <w:r w:rsidR="36726323">
        <w:rPr/>
        <w:t>.</w:t>
      </w:r>
      <w:r w:rsidR="356764D6">
        <w:rPr/>
        <w:t xml:space="preserve"> </w:t>
      </w:r>
    </w:p>
    <w:p w:rsidR="00B25330" w:rsidP="0536292E" w:rsidRDefault="356764D6" w14:paraId="31ACA315" w14:textId="0F9A6279">
      <w:pPr>
        <w:jc w:val="both"/>
      </w:pPr>
      <w:r w:rsidR="356764D6">
        <w:rPr/>
        <w:t>I completed my entry on the 12th of October; 'To be clearly aware of the stars</w:t>
      </w:r>
      <w:r w:rsidRPr="0536292E" w:rsidR="00C53468">
        <w:rPr>
          <w:rStyle w:val="FootnoteReference"/>
        </w:rPr>
        <w:footnoteReference w:id="26"/>
      </w:r>
      <w:r w:rsidR="356764D6">
        <w:rPr/>
        <w:t xml:space="preserve">, a dark stage is essential to contrast the stars, </w:t>
      </w:r>
      <w:r w:rsidR="49B12437">
        <w:rPr/>
        <w:t>comparable with</w:t>
      </w:r>
      <w:r w:rsidR="356764D6">
        <w:rPr/>
        <w:t xml:space="preserve"> a chiaroscuro painting'. The disparity between light and darkness</w:t>
      </w:r>
      <w:r w:rsidR="685AF406">
        <w:rPr/>
        <w:t xml:space="preserve">, as discussed by Sovick, </w:t>
      </w:r>
      <w:r w:rsidR="356764D6">
        <w:rPr/>
        <w:t>allows for deeper and more reflective thoug</w:t>
      </w:r>
      <w:r w:rsidR="3D3C8EB6">
        <w:rPr/>
        <w:t>ht.</w:t>
      </w:r>
      <w:r w:rsidR="356764D6">
        <w:rPr/>
        <w:t xml:space="preserve">' </w:t>
      </w:r>
      <w:r w:rsidRPr="0536292E" w:rsidR="00C53468">
        <w:rPr>
          <w:rStyle w:val="FootnoteReference"/>
        </w:rPr>
        <w:footnoteReference w:id="27"/>
      </w:r>
    </w:p>
    <w:p w:rsidR="00B25330" w:rsidP="0536292E" w:rsidRDefault="356764D6" w14:paraId="2B5CC1D5" w14:textId="28453FCF">
      <w:pPr>
        <w:jc w:val="both"/>
      </w:pPr>
      <w:r w:rsidR="356764D6">
        <w:rPr/>
        <w:t>The following two nights saw 'heavy cloud cover and rain dominating the night, eradicating any clear perception of the infinite sky'. I questioned whether I needed 'to see the stars to be clearly aware of their presence or if the cloud does indeed act like a buffer preventing clear seeing of infinity'. I felt the cloud to be oppressive and was overly frustrated with its presence, '… a dismal rack of clouds'</w:t>
      </w:r>
      <w:r w:rsidRPr="0536292E" w:rsidR="00C53468">
        <w:rPr>
          <w:rStyle w:val="FootnoteReference"/>
        </w:rPr>
        <w:footnoteReference w:id="28"/>
      </w:r>
      <w:r w:rsidR="356764D6">
        <w:rPr/>
        <w:t xml:space="preserve"> as Keats utters. Alexander Harris considers how sombre clouds can lower the mood</w:t>
      </w:r>
      <w:r w:rsidRPr="0536292E" w:rsidR="00C53468">
        <w:rPr>
          <w:rStyle w:val="FootnoteReference"/>
        </w:rPr>
        <w:footnoteReference w:id="29"/>
      </w:r>
      <w:r w:rsidR="356764D6">
        <w:rPr/>
        <w:t xml:space="preserve"> and I contemplated how 'Saturn and Jupiter are so much bigger and infinite than the overhead clouds yet from an earthly viewpoint, the clouds can obscure even a nebula or a galaxy'. The Latin term for cloudy is </w:t>
      </w:r>
      <w:r w:rsidR="2BBFA992">
        <w:rPr/>
        <w:t xml:space="preserve">"obnubilate" </w:t>
      </w:r>
      <w:r w:rsidR="356764D6">
        <w:rPr/>
        <w:t xml:space="preserve">which translates as </w:t>
      </w:r>
      <w:r w:rsidR="593A63C1">
        <w:rPr/>
        <w:t xml:space="preserve">beclouding</w:t>
      </w:r>
      <w:r w:rsidR="356764D6">
        <w:rPr/>
        <w:t xml:space="preserve"> and obscurity</w:t>
      </w:r>
      <w:r w:rsidRPr="0536292E" w:rsidR="00C53468">
        <w:rPr>
          <w:rStyle w:val="FootnoteReference"/>
        </w:rPr>
        <w:footnoteReference w:id="30"/>
      </w:r>
      <w:r w:rsidR="356764D6">
        <w:rPr/>
        <w:t xml:space="preserve">. The etymology is interesting as I felt 'the clouds were obscuring my vision and preventing clear seeing' and as such, I wanted to 'peel back the clouds and reveal the infinite sky above'. </w:t>
      </w:r>
    </w:p>
    <w:p w:rsidR="00B25330" w:rsidP="0536292E" w:rsidRDefault="356764D6" w14:paraId="1D0DC90A" w14:textId="6C3E8B3E">
      <w:pPr>
        <w:jc w:val="both"/>
      </w:pPr>
      <w:r>
        <w:t>Cloud cover returns on October 22nd but rather than feeling the inevitable frustration, I began to observe the clouds. 'There is an enchantment in the clouds. The clouds move, unaware of the forms they take, only I, as the observer, can perceive the innumerable forms they create'. Arthur Schopenhauer suggests that the essence of a cloud, 'the idea', is quite different to the physical form that is only for the observer to see</w:t>
      </w:r>
      <w:r w:rsidRPr="0536292E" w:rsidR="00C53468">
        <w:rPr>
          <w:rStyle w:val="FootnoteReference"/>
        </w:rPr>
        <w:footnoteReference w:id="31"/>
      </w:r>
      <w:r>
        <w:t>. From an ontological perspective, the clouds exist but that existence is once again observed by my limited perceptions which perceives from only the phenomenological viewpoint. I consider the primitives within Levy-Bruhl's text for whom the rocks and clouds provided an enchanted animism</w:t>
      </w:r>
      <w:r w:rsidRPr="0536292E" w:rsidR="00C53468">
        <w:rPr>
          <w:rStyle w:val="FootnoteReference"/>
        </w:rPr>
        <w:footnoteReference w:id="32"/>
      </w:r>
      <w:r>
        <w:t xml:space="preserve"> while my entry for that day reads, 'I feel frustrated that I cannot feel the aliveness and unity of being with the clouds that I am observing'. </w:t>
      </w:r>
    </w:p>
    <w:p w:rsidR="00B25330" w:rsidP="0536292E" w:rsidRDefault="356764D6" w14:paraId="136B9ECB" w14:textId="29EE59AA">
      <w:pPr>
        <w:jc w:val="both"/>
      </w:pPr>
      <w:r w:rsidR="356764D6">
        <w:rPr/>
        <w:t>Within my journal entry on the 23rd of October, I begin to examine my own reflexive biases that have prevented clear seeing. The concept of 'the sky can be a window or a mirror that I look through' began to emerge,</w:t>
      </w:r>
      <w:r w:rsidR="02CD1196">
        <w:rPr/>
        <w:t xml:space="preserve"> and I contemplated Ramanujan's assertion that</w:t>
      </w:r>
      <w:r w:rsidR="356764D6">
        <w:rPr/>
        <w:t xml:space="preserve"> </w:t>
      </w:r>
      <w:r w:rsidR="356764D6">
        <w:rPr/>
        <w:t>'Reflexivity takes many forms, awareness of self and other, mirroring, distorted mirroring</w:t>
      </w:r>
      <w:r w:rsidRPr="0536292E" w:rsidR="00C53468">
        <w:rPr>
          <w:rStyle w:val="FootnoteReference"/>
        </w:rPr>
        <w:footnoteReference w:id="33"/>
      </w:r>
      <w:r w:rsidR="356764D6">
        <w:rPr/>
        <w:t xml:space="preserve">. Only by </w:t>
      </w:r>
      <w:r w:rsidR="356764D6">
        <w:rPr/>
        <w:t>identifying</w:t>
      </w:r>
      <w:r w:rsidR="356764D6">
        <w:rPr/>
        <w:t xml:space="preserve"> and reflecting upon my own conscious and subconscious beliefs and prejudices, </w:t>
      </w:r>
      <w:r w:rsidR="68861A92">
        <w:rPr/>
        <w:t xml:space="preserve">as Ruggles points out, </w:t>
      </w:r>
      <w:r w:rsidR="356764D6">
        <w:rPr/>
        <w:t xml:space="preserve">could I outwardly </w:t>
      </w:r>
      <w:r w:rsidR="356764D6">
        <w:rPr/>
        <w:t>observe</w:t>
      </w:r>
      <w:r w:rsidR="356764D6">
        <w:rPr/>
        <w:t xml:space="preserve"> physical phenomena within my Sky Journal in a clear and open-minded way</w:t>
      </w:r>
      <w:r w:rsidRPr="0536292E" w:rsidR="00C53468">
        <w:rPr>
          <w:rStyle w:val="FootnoteReference"/>
        </w:rPr>
        <w:footnoteReference w:id="34"/>
      </w:r>
      <w:r w:rsidR="356764D6">
        <w:rPr/>
        <w:t>. I wrote, 'Using the sky as a mirror, I am reflecting what I perceive I already know about the sky and therefore reflecting back my culture and belief patterns that are familiar and trusted'. Jennifer Robertson notes how the analogy of a mirror when held up, can deepen the understanding we have of ourselves</w:t>
      </w:r>
      <w:r w:rsidRPr="0536292E" w:rsidR="00C53468">
        <w:rPr>
          <w:rStyle w:val="FootnoteReference"/>
        </w:rPr>
        <w:footnoteReference w:id="35"/>
      </w:r>
      <w:r w:rsidR="356764D6">
        <w:rPr/>
        <w:t xml:space="preserve"> whilst Charlotte Aull Davies postulates that reflexivity requires, 'a turning back on oneself, a process of self-reference'</w:t>
      </w:r>
      <w:r w:rsidRPr="0536292E" w:rsidR="00C53468">
        <w:rPr>
          <w:rStyle w:val="FootnoteReference"/>
        </w:rPr>
        <w:footnoteReference w:id="36"/>
      </w:r>
      <w:r w:rsidR="356764D6">
        <w:rPr/>
        <w:t xml:space="preserve">. To </w:t>
      </w:r>
      <w:r w:rsidR="78963CD0">
        <w:rPr/>
        <w:t>enter into</w:t>
      </w:r>
      <w:r w:rsidR="356764D6">
        <w:rPr/>
        <w:t xml:space="preserve"> a dialogue with the sky is also to examine the self-dialogue within. </w:t>
      </w:r>
    </w:p>
    <w:p w:rsidR="00B25330" w:rsidP="0536292E" w:rsidRDefault="356764D6" w14:paraId="324F8359" w14:textId="58FA812A">
      <w:pPr>
        <w:jc w:val="both"/>
      </w:pPr>
      <w:r w:rsidR="356764D6">
        <w:rPr/>
        <w:t>We all have a personal cosmolo</w:t>
      </w:r>
      <w:r w:rsidR="20C46960">
        <w:rPr/>
        <w:t>gy according to Campion</w:t>
      </w:r>
      <w:r w:rsidRPr="0536292E" w:rsidR="00C53468">
        <w:rPr>
          <w:rStyle w:val="FootnoteReference"/>
        </w:rPr>
        <w:footnoteReference w:id="37"/>
      </w:r>
      <w:r w:rsidR="356764D6">
        <w:rPr/>
        <w:t xml:space="preserve"> and on October 24th, I contemplated 'the countless cultures through the major epochs who turned their eyes to the heavens to answer the most fundamental questions; who am I? What is my place in the cosmos?' While Clive Ruggles postulates on an 'unprecedented level of indifference to modern cosmology compared with what was true in past cultures'</w:t>
      </w:r>
      <w:r w:rsidRPr="0536292E" w:rsidR="00C53468">
        <w:rPr>
          <w:rStyle w:val="FootnoteReference"/>
        </w:rPr>
        <w:footnoteReference w:id="38"/>
      </w:r>
      <w:r w:rsidR="3F56BA1D">
        <w:rPr/>
        <w:t>,</w:t>
      </w:r>
      <w:r w:rsidR="356764D6">
        <w:rPr/>
        <w:t xml:space="preserve"> I considered if 'the influx of scientific knowledge in recent times, had </w:t>
      </w:r>
      <w:r w:rsidR="356764D6">
        <w:rPr/>
        <w:t xml:space="preserve">impacted</w:t>
      </w:r>
      <w:r w:rsidR="356764D6">
        <w:rPr/>
        <w:t xml:space="preserve"> modern society' meaning that </w:t>
      </w:r>
      <w:r w:rsidR="7DDDA81F">
        <w:rPr/>
        <w:t xml:space="preserve">Levy-Bruhl's</w:t>
      </w:r>
      <w:r w:rsidR="356764D6">
        <w:rPr/>
        <w:t xml:space="preserve"> term, "participation mystique'</w:t>
      </w:r>
      <w:r w:rsidRPr="0536292E" w:rsidR="00C53468">
        <w:rPr>
          <w:rStyle w:val="FootnoteReference"/>
        </w:rPr>
        <w:footnoteReference w:id="39"/>
      </w:r>
      <w:r w:rsidR="62B88D28">
        <w:rPr/>
        <w:t>,</w:t>
      </w:r>
      <w:r w:rsidR="356764D6">
        <w:rPr/>
        <w:t xml:space="preserve"> h</w:t>
      </w:r>
      <w:r w:rsidR="03DE0391">
        <w:rPr/>
        <w:t xml:space="preserve">olds</w:t>
      </w:r>
      <w:r w:rsidR="356764D6">
        <w:rPr/>
        <w:t xml:space="preserve"> little relevance </w:t>
      </w:r>
      <w:r w:rsidR="0920DF01">
        <w:rPr/>
        <w:t xml:space="preserve">with the </w:t>
      </w:r>
      <w:r w:rsidR="356764D6">
        <w:rPr/>
        <w:t xml:space="preserve">cultural limitations of contemporary belief. I had 'viewed Saturn and Jupiter for fifteen nights with the naked eye and with no aid from a telescope, astrolabe, or Antikythera Mechanism, just like the early </w:t>
      </w:r>
      <w:r w:rsidR="34B2F68E">
        <w:rPr/>
        <w:t xml:space="preserve">astronomers</w:t>
      </w:r>
      <w:r w:rsidR="356764D6">
        <w:rPr/>
        <w:t xml:space="preserve">.</w:t>
      </w:r>
      <w:r w:rsidR="5F694E91">
        <w:rPr/>
        <w:t xml:space="preserve">'</w:t>
      </w:r>
      <w:r w:rsidR="356764D6">
        <w:rPr/>
        <w:t xml:space="preserve"> The sky</w:t>
      </w:r>
      <w:r w:rsidR="31237DCF">
        <w:rPr/>
        <w:t xml:space="preserve">, as asserted by Gunzburg,</w:t>
      </w:r>
      <w:r w:rsidR="356764D6">
        <w:rPr/>
        <w:t xml:space="preserve"> was my primary source</w:t>
      </w:r>
      <w:r w:rsidRPr="0536292E" w:rsidR="00C53468">
        <w:rPr>
          <w:rStyle w:val="FootnoteReference"/>
        </w:rPr>
        <w:footnoteReference w:id="40"/>
      </w:r>
      <w:r w:rsidR="356764D6">
        <w:rPr/>
        <w:t xml:space="preserve">, my 'connection to who I am and my place in the cosmos'. Only when I lost the preconceived notions of engrained culture and beliefs, could the sky become a window of clear seeing once again. </w:t>
      </w:r>
    </w:p>
    <w:p w:rsidR="00B25330" w:rsidP="0536292E" w:rsidRDefault="356764D6" w14:paraId="132D64D9" w14:textId="2E71F3DE">
      <w:pPr>
        <w:jc w:val="both"/>
      </w:pPr>
      <w:r w:rsidR="356764D6">
        <w:rPr/>
        <w:t xml:space="preserve">Taking this further, on October 28th, I experimented with not attaching names to any celestial object I </w:t>
      </w:r>
      <w:r w:rsidR="356764D6">
        <w:rPr/>
        <w:t>observe</w:t>
      </w:r>
      <w:r w:rsidR="5EEE0C6C">
        <w:rPr/>
        <w:t xml:space="preserve"> to</w:t>
      </w:r>
      <w:r w:rsidR="37895017">
        <w:rPr/>
        <w:t>,</w:t>
      </w:r>
      <w:r w:rsidR="5EEE0C6C">
        <w:rPr/>
        <w:t xml:space="preserve"> as Blake denotes, </w:t>
      </w:r>
      <w:r w:rsidR="356764D6">
        <w:rPr/>
        <w:t xml:space="preserve">cleanse the doors of </w:t>
      </w:r>
      <w:r w:rsidR="356764D6">
        <w:rPr/>
        <w:t>perception</w:t>
      </w:r>
      <w:r w:rsidRPr="0536292E" w:rsidR="00C53468">
        <w:rPr>
          <w:rStyle w:val="FootnoteReference"/>
        </w:rPr>
        <w:footnoteReference w:id="41"/>
      </w:r>
      <w:r w:rsidR="356764D6">
        <w:rPr/>
        <w:t xml:space="preserve">. 'By looking afresh, without my own judgements and codified knowledge, I no longer limited my experience in observing the sky. Having labelled Saturn, </w:t>
      </w:r>
      <w:r w:rsidR="4B88EDF2">
        <w:rPr/>
        <w:t xml:space="preserve">as Greene signifies, </w:t>
      </w:r>
      <w:r w:rsidR="356764D6">
        <w:rPr/>
        <w:t>I perceived only the pejorative and malefic concepts of the planet</w:t>
      </w:r>
      <w:r w:rsidRPr="0536292E" w:rsidR="00C53468">
        <w:rPr>
          <w:rStyle w:val="FootnoteReference"/>
        </w:rPr>
        <w:footnoteReference w:id="42"/>
      </w:r>
      <w:r w:rsidR="356764D6">
        <w:rPr/>
        <w:t xml:space="preserve">, and per contra, </w:t>
      </w:r>
      <w:r w:rsidR="10103766">
        <w:rPr/>
        <w:t xml:space="preserve">as Brennan postulates, </w:t>
      </w:r>
      <w:r w:rsidR="356764D6">
        <w:rPr/>
        <w:t>I perceived Jupiter as the twinkling, jovial benefic</w:t>
      </w:r>
      <w:r w:rsidRPr="0536292E" w:rsidR="00C53468">
        <w:rPr>
          <w:rStyle w:val="FootnoteReference"/>
        </w:rPr>
        <w:footnoteReference w:id="43"/>
      </w:r>
      <w:r w:rsidR="356764D6">
        <w:rPr/>
        <w:t xml:space="preserve">'. 'By naming the planets, the sky was no longer a looking glass but had returned to a mirror, reflecting my prejudices, and obfuscating clear awareness.' Rather than codifying knowledge when</w:t>
      </w:r>
      <w:r w:rsidR="356764D6">
        <w:rPr/>
        <w:t xml:space="preserve"> </w:t>
      </w:r>
      <w:r w:rsidR="356764D6">
        <w:rPr/>
        <w:t xml:space="preserve">observin</w:t>
      </w:r>
      <w:r w:rsidR="356764D6">
        <w:rPr/>
        <w:t xml:space="preserve">g</w:t>
      </w:r>
      <w:r w:rsidR="356764D6">
        <w:rPr/>
        <w:t xml:space="preserve"> the sky, I had to experience tacit knowledge in which insights and intuition could be experienced innately before I could begin to formalise in written language. </w:t>
      </w:r>
    </w:p>
    <w:p w:rsidR="00B25330" w:rsidP="0536292E" w:rsidRDefault="356764D6" w14:paraId="241432B3" w14:textId="2ECC1F0C">
      <w:pPr>
        <w:jc w:val="both"/>
      </w:pPr>
      <w:r w:rsidR="356764D6">
        <w:rPr/>
        <w:t>Building on Donald Schön's theory of reflective practice</w:t>
      </w:r>
      <w:r w:rsidRPr="0536292E" w:rsidR="00C53468">
        <w:rPr>
          <w:rStyle w:val="FootnoteReference"/>
        </w:rPr>
        <w:footnoteReference w:id="44"/>
      </w:r>
      <w:r w:rsidR="356764D6">
        <w:rPr/>
        <w:t>, I was able to put into action a process of understanding and identifying the cultural dichotomies that exist within and the incessant need to label the celestial sky without. Clive Ruggles confirms my tendency to observe the sky in a detached and disconnected manner, 'from a Western perspective, it is tempting to see the immutable cycles of the sky as a passive backdrop'</w:t>
      </w:r>
      <w:r w:rsidRPr="0536292E" w:rsidR="00C53468">
        <w:rPr>
          <w:rStyle w:val="FootnoteReference"/>
        </w:rPr>
        <w:footnoteReference w:id="45"/>
      </w:r>
      <w:r w:rsidR="356764D6">
        <w:rPr/>
        <w:t xml:space="preserve">. As I noted, 'Once I have labelled Saturn and Jupiter, I no longer experience the enchantment of the planets but rather, I see a mental construct built on past experiences, cultural conditioning and tendencies. </w:t>
      </w:r>
    </w:p>
    <w:p w:rsidR="00B25330" w:rsidP="0536292E" w:rsidRDefault="356764D6" w14:paraId="41BA5776" w14:textId="2BA7D154">
      <w:pPr>
        <w:jc w:val="both"/>
      </w:pPr>
      <w:r>
        <w:t>The last entries into my Sky Journal, affirm an emerging interconnection with the infinite night sky. Events unfolded on the stage of the ubiquitous cosmos. 'As Jupiter appeared in the Western skies, food would be prepared whilst Saturn disappearing behind the adjacent mill, would indicate my son's bedtime.' The window I looked out to the sky was becoming increasingly less distorted whereby I became aware of an 'increasing sense of enchantment in my perception.' I ruminated on the elusive term "enchantment". I ask, 'How then to speak of this experience, this sense of wonder and enchantment?' Language is limited when attempting to accurately convey my participation with the night sky; an innate experience cannot always be sufficiently elucidated</w:t>
      </w:r>
      <w:r w:rsidR="7E94ED8B">
        <w:t xml:space="preserve">. </w:t>
      </w:r>
    </w:p>
    <w:p w:rsidR="00B25330" w:rsidP="0536292E" w:rsidRDefault="356764D6" w14:paraId="7FDA6341" w14:textId="0BA90847">
      <w:pPr>
        <w:jc w:val="both"/>
      </w:pPr>
      <w:r w:rsidR="356764D6">
        <w:rPr/>
        <w:t xml:space="preserve">On October 30th, I question, 'Is the enchantment within me or what I perceive?' Just as an artist is not a passive observer of what she paints but </w:t>
      </w:r>
      <w:r w:rsidR="356764D6">
        <w:rPr/>
        <w:t>rather calls</w:t>
      </w:r>
      <w:r w:rsidR="356764D6">
        <w:rPr/>
        <w:t xml:space="preserve"> into existence its form which is permeated with her own an</w:t>
      </w:r>
      <w:r w:rsidR="484E8633">
        <w:rPr/>
        <w:t>ima, much akin to Levy-Bruhl's primitives</w:t>
      </w:r>
      <w:r w:rsidRPr="0536292E" w:rsidR="00C53468">
        <w:rPr>
          <w:rStyle w:val="FootnoteReference"/>
        </w:rPr>
        <w:footnoteReference w:id="46"/>
      </w:r>
      <w:r w:rsidR="356764D6">
        <w:rPr/>
        <w:t>, do I therefore create and partake in the enchantment of this connection? Patrick Curry proposes that, 'In terms of (re) Enchantment, its closest affinities are with popular animism'</w:t>
      </w:r>
      <w:r w:rsidRPr="0536292E" w:rsidR="00C53468">
        <w:rPr>
          <w:rStyle w:val="FootnoteReference"/>
        </w:rPr>
        <w:footnoteReference w:id="47"/>
      </w:r>
      <w:r w:rsidR="356764D6">
        <w:rPr/>
        <w:t xml:space="preserve">. The sky is intimately connected to who I am</w:t>
      </w:r>
      <w:r w:rsidR="070C78B2">
        <w:rPr/>
        <w:t xml:space="preserve"> </w:t>
      </w:r>
      <w:r w:rsidR="4BD2DB25">
        <w:rPr/>
        <w:t xml:space="preserve">and </w:t>
      </w:r>
      <w:r w:rsidR="70AF9B4C">
        <w:rPr/>
        <w:t>the</w:t>
      </w:r>
      <w:r w:rsidR="356764D6">
        <w:rPr/>
        <w:t xml:space="preserve"> result of innately experiencing t</w:t>
      </w:r>
      <w:r w:rsidR="4ECE29E4">
        <w:rPr/>
        <w:t xml:space="preserve">his</w:t>
      </w:r>
      <w:r w:rsidR="356764D6">
        <w:rPr/>
        <w:t xml:space="preserve"> connection </w:t>
      </w:r>
      <w:r w:rsidR="5D9B1E2E">
        <w:rPr/>
        <w:t xml:space="preserve">is</w:t>
      </w:r>
      <w:r w:rsidR="356764D6">
        <w:rPr/>
        <w:t xml:space="preserve"> not </w:t>
      </w:r>
      <w:r w:rsidR="0B086E17">
        <w:rPr/>
        <w:t xml:space="preserve">achieved </w:t>
      </w:r>
      <w:r w:rsidR="356764D6">
        <w:rPr/>
        <w:t xml:space="preserve">through epistemological logic. </w:t>
      </w:r>
      <w:r w:rsidR="4EB51C97">
        <w:rPr/>
        <w:t xml:space="preserve">Masahide </w:t>
      </w:r>
      <w:r w:rsidR="5E2A45E2">
        <w:rPr/>
        <w:t xml:space="preserve">perfectly </w:t>
      </w:r>
      <w:r w:rsidR="4EB51C97">
        <w:rPr/>
        <w:t xml:space="preserve">encapsulates m</w:t>
      </w:r>
      <w:r w:rsidR="4B7AB4D8">
        <w:rPr/>
        <w:t xml:space="preserve">y experience, </w:t>
      </w:r>
      <w:r w:rsidR="356764D6">
        <w:rPr/>
        <w:t xml:space="preserve">'</w:t>
      </w:r>
      <w:r w:rsidR="356764D6">
        <w:rPr/>
        <w:t xml:space="preserve">Barn's</w:t>
      </w:r>
      <w:r w:rsidR="356764D6">
        <w:rPr/>
        <w:t xml:space="preserve"> </w:t>
      </w:r>
      <w:r w:rsidR="23E71882">
        <w:rPr/>
        <w:t xml:space="preserve">b</w:t>
      </w:r>
      <w:r w:rsidR="356764D6">
        <w:rPr/>
        <w:t xml:space="preserve">urnt down – now I can see the moon'</w:t>
      </w:r>
      <w:r w:rsidRPr="0536292E" w:rsidR="00C53468">
        <w:rPr>
          <w:rStyle w:val="FootnoteReference"/>
        </w:rPr>
        <w:footnoteReference w:id="48"/>
      </w:r>
      <w:r w:rsidR="356764D6">
        <w:rPr/>
        <w:t>. Having cleared the dust from my lens, the cosmos is no longer disconnected and that is truly enchanting</w:t>
      </w:r>
      <w:r w:rsidR="25993EB4">
        <w:rPr/>
        <w:t xml:space="preserve">. </w:t>
      </w:r>
    </w:p>
    <w:p w:rsidR="00B25330" w:rsidP="0536292E" w:rsidRDefault="356764D6" w14:paraId="73180BD8" w14:textId="3858FD72">
      <w:pPr>
        <w:jc w:val="both"/>
      </w:pPr>
      <w:r>
        <w:t xml:space="preserve">To sum up, I found that the autotelic process of keeping a Sky Journal brought about an increased awareness of the cosmos beyond preconceived, cultural concepts. Only by engaging with the night sky, could I actively participate in a cosmos that is both within and without. The sky, I found, can be the perfect mirror or window according to the perceptions from which the seer looks through. </w:t>
      </w:r>
    </w:p>
    <w:p w:rsidR="00B25330" w:rsidP="0536292E" w:rsidRDefault="356764D6" w14:paraId="5E5787A5" w14:textId="29DAB241">
      <w:pPr>
        <w:jc w:val="both"/>
      </w:pPr>
      <w:r w:rsidR="356764D6">
        <w:rPr/>
        <w:t>This allows the conclusion that keeping a Sky Journal is not a passive act and merely the recording of rhythms and cycles in a distant and elusive night sky. When I became clearly aware and interconnected with the night sky, a vibrant and enchanted cosmos burst forth and I saw myself as complete and infinite as the universe itself.</w:t>
      </w:r>
    </w:p>
    <w:p w:rsidR="64AA8313" w:rsidP="64AA8313" w:rsidRDefault="64AA8313" w14:paraId="4FA7AE34" w14:textId="70CA5BB5">
      <w:pPr>
        <w:pStyle w:val="Normal"/>
        <w:jc w:val="both"/>
      </w:pPr>
    </w:p>
    <w:p w:rsidR="64AA8313" w:rsidP="64AA8313" w:rsidRDefault="64AA8313" w14:paraId="045D52DB" w14:textId="5B712FFB">
      <w:pPr>
        <w:pStyle w:val="Normal"/>
        <w:jc w:val="both"/>
      </w:pPr>
    </w:p>
    <w:p w:rsidR="64AA8313" w:rsidP="64AA8313" w:rsidRDefault="64AA8313" w14:paraId="0F3677BD" w14:textId="718CFFF8">
      <w:pPr>
        <w:pStyle w:val="Normal"/>
        <w:jc w:val="both"/>
      </w:pPr>
    </w:p>
    <w:p w:rsidR="64AA8313" w:rsidP="64AA8313" w:rsidRDefault="64AA8313" w14:paraId="1AA3244F" w14:textId="0EC3E528">
      <w:pPr>
        <w:pStyle w:val="Normal"/>
        <w:jc w:val="both"/>
      </w:pPr>
    </w:p>
    <w:p w:rsidR="64AA8313" w:rsidP="64AA8313" w:rsidRDefault="64AA8313" w14:paraId="790EAB5C" w14:textId="2067F4B3">
      <w:pPr>
        <w:pStyle w:val="Normal"/>
        <w:jc w:val="both"/>
      </w:pPr>
    </w:p>
    <w:p w:rsidR="64AA8313" w:rsidP="64AA8313" w:rsidRDefault="64AA8313" w14:paraId="7E573A42" w14:textId="0773D6AB">
      <w:pPr>
        <w:pStyle w:val="Normal"/>
        <w:jc w:val="both"/>
      </w:pPr>
    </w:p>
    <w:p w:rsidR="64AA8313" w:rsidP="64AA8313" w:rsidRDefault="64AA8313" w14:paraId="7E0799A3" w14:textId="510FF9A8">
      <w:pPr>
        <w:pStyle w:val="Normal"/>
        <w:jc w:val="both"/>
      </w:pPr>
    </w:p>
    <w:p w:rsidR="64AA8313" w:rsidP="64AA8313" w:rsidRDefault="64AA8313" w14:paraId="2D6BECFA" w14:textId="0D9BC848">
      <w:pPr>
        <w:pStyle w:val="Normal"/>
        <w:jc w:val="both"/>
      </w:pPr>
    </w:p>
    <w:p w:rsidR="64AA8313" w:rsidP="64AA8313" w:rsidRDefault="64AA8313" w14:paraId="190D4D94" w14:textId="078707B2">
      <w:pPr>
        <w:pStyle w:val="Normal"/>
        <w:jc w:val="both"/>
      </w:pPr>
    </w:p>
    <w:p w:rsidR="64AA8313" w:rsidP="64AA8313" w:rsidRDefault="64AA8313" w14:paraId="4E3D0C32" w14:textId="19146E98">
      <w:pPr>
        <w:pStyle w:val="Normal"/>
        <w:jc w:val="both"/>
      </w:pPr>
    </w:p>
    <w:p w:rsidR="64AA8313" w:rsidP="64AA8313" w:rsidRDefault="64AA8313" w14:paraId="3703B025" w14:textId="3483980F">
      <w:pPr>
        <w:pStyle w:val="Normal"/>
        <w:jc w:val="both"/>
      </w:pPr>
    </w:p>
    <w:p w:rsidR="64AA8313" w:rsidP="64AA8313" w:rsidRDefault="64AA8313" w14:paraId="662ACE91" w14:textId="1DC75C55">
      <w:pPr>
        <w:pStyle w:val="Normal"/>
        <w:jc w:val="both"/>
      </w:pPr>
    </w:p>
    <w:p w:rsidR="64AA8313" w:rsidP="64AA8313" w:rsidRDefault="64AA8313" w14:paraId="2BD7EAA7" w14:textId="4313F021">
      <w:pPr>
        <w:pStyle w:val="Normal"/>
        <w:jc w:val="both"/>
      </w:pPr>
    </w:p>
    <w:p w:rsidR="64AA8313" w:rsidP="64AA8313" w:rsidRDefault="64AA8313" w14:paraId="11A66476" w14:textId="60614F65">
      <w:pPr>
        <w:pStyle w:val="Normal"/>
        <w:jc w:val="both"/>
      </w:pPr>
    </w:p>
    <w:p w:rsidR="64AA8313" w:rsidP="64AA8313" w:rsidRDefault="64AA8313" w14:paraId="55CBBD2D" w14:textId="3A39F331">
      <w:pPr>
        <w:pStyle w:val="Normal"/>
        <w:jc w:val="both"/>
      </w:pPr>
    </w:p>
    <w:p w:rsidR="64AA8313" w:rsidP="64AA8313" w:rsidRDefault="64AA8313" w14:paraId="2E31D086" w14:textId="62D946A7">
      <w:pPr>
        <w:pStyle w:val="Normal"/>
        <w:jc w:val="both"/>
      </w:pPr>
    </w:p>
    <w:p w:rsidR="64AA8313" w:rsidP="64AA8313" w:rsidRDefault="64AA8313" w14:paraId="535E2451" w14:textId="6B53381F">
      <w:pPr>
        <w:pStyle w:val="Normal"/>
        <w:jc w:val="both"/>
      </w:pPr>
    </w:p>
    <w:p w:rsidR="64AA8313" w:rsidP="64AA8313" w:rsidRDefault="64AA8313" w14:paraId="5E833507" w14:textId="18849783">
      <w:pPr>
        <w:pStyle w:val="Normal"/>
        <w:jc w:val="both"/>
      </w:pPr>
    </w:p>
    <w:p w:rsidR="64AA8313" w:rsidP="64AA8313" w:rsidRDefault="64AA8313" w14:paraId="335FC750" w14:textId="624F6BEF">
      <w:pPr>
        <w:pStyle w:val="Normal"/>
        <w:jc w:val="both"/>
      </w:pPr>
    </w:p>
    <w:p w:rsidR="64AA8313" w:rsidP="64AA8313" w:rsidRDefault="64AA8313" w14:paraId="44787143" w14:textId="15980FFF">
      <w:pPr>
        <w:pStyle w:val="Normal"/>
        <w:jc w:val="both"/>
      </w:pPr>
    </w:p>
    <w:p w:rsidR="64AA8313" w:rsidP="64AA8313" w:rsidRDefault="64AA8313" w14:paraId="4F4370D3" w14:textId="7179BACC">
      <w:pPr>
        <w:pStyle w:val="Normal"/>
        <w:jc w:val="both"/>
      </w:pPr>
    </w:p>
    <w:p w:rsidR="64AA8313" w:rsidP="64AA8313" w:rsidRDefault="64AA8313" w14:paraId="7AA92841" w14:textId="7CDB5C20">
      <w:pPr>
        <w:pStyle w:val="Normal"/>
        <w:jc w:val="both"/>
      </w:pPr>
    </w:p>
    <w:p w:rsidR="64AA8313" w:rsidP="64AA8313" w:rsidRDefault="64AA8313" w14:paraId="1BA8F2E3" w14:textId="507C8BE4">
      <w:pPr>
        <w:pStyle w:val="Normal"/>
        <w:jc w:val="both"/>
      </w:pPr>
    </w:p>
    <w:p w:rsidR="64AA8313" w:rsidP="64AA8313" w:rsidRDefault="64AA8313" w14:paraId="0B372B20" w14:textId="472851DB">
      <w:pPr>
        <w:pStyle w:val="Normal"/>
        <w:jc w:val="both"/>
      </w:pPr>
    </w:p>
    <w:p w:rsidR="64AA8313" w:rsidP="64AA8313" w:rsidRDefault="64AA8313" w14:paraId="377CD18B" w14:textId="2157E179">
      <w:pPr>
        <w:pStyle w:val="Normal"/>
        <w:jc w:val="both"/>
      </w:pPr>
    </w:p>
    <w:p w:rsidR="64AA8313" w:rsidP="64AA8313" w:rsidRDefault="64AA8313" w14:paraId="62A12F2E" w14:textId="27102E09">
      <w:pPr>
        <w:pStyle w:val="Normal"/>
        <w:jc w:val="both"/>
      </w:pPr>
    </w:p>
    <w:p w:rsidR="64AA8313" w:rsidP="64AA8313" w:rsidRDefault="64AA8313" w14:paraId="4925EDAB" w14:textId="104CD850">
      <w:pPr>
        <w:pStyle w:val="Normal"/>
        <w:jc w:val="both"/>
      </w:pPr>
    </w:p>
    <w:p w:rsidR="64AA8313" w:rsidP="64AA8313" w:rsidRDefault="64AA8313" w14:paraId="1BB66AE3" w14:textId="7BCF1229">
      <w:pPr>
        <w:pStyle w:val="Normal"/>
        <w:jc w:val="both"/>
      </w:pPr>
    </w:p>
    <w:p w:rsidR="64AA8313" w:rsidP="64AA8313" w:rsidRDefault="64AA8313" w14:paraId="2B87C89D" w14:textId="49677EED">
      <w:pPr>
        <w:pStyle w:val="Normal"/>
        <w:jc w:val="both"/>
      </w:pPr>
    </w:p>
    <w:p w:rsidR="64AA8313" w:rsidP="64AA8313" w:rsidRDefault="64AA8313" w14:paraId="249EFA8A" w14:textId="48508C57">
      <w:pPr>
        <w:pStyle w:val="Normal"/>
        <w:jc w:val="both"/>
      </w:pPr>
    </w:p>
    <w:p w:rsidR="2A4DAEE6" w:rsidP="64AA8313" w:rsidRDefault="2A4DAEE6" w14:paraId="308719E0" w14:textId="562AE78D">
      <w:pPr>
        <w:pStyle w:val="Normal"/>
        <w:jc w:val="both"/>
        <w:rPr>
          <w:b w:val="1"/>
          <w:bCs w:val="1"/>
          <w:u w:val="single"/>
        </w:rPr>
      </w:pPr>
      <w:r w:rsidRPr="64AA8313" w:rsidR="2A4DAEE6">
        <w:rPr>
          <w:b w:val="1"/>
          <w:bCs w:val="1"/>
          <w:u w:val="single"/>
        </w:rPr>
        <w:t>Bibliography</w:t>
      </w:r>
    </w:p>
    <w:p w:rsidR="64AA8313" w:rsidP="64AA8313" w:rsidRDefault="64AA8313" w14:paraId="2E9EC252" w14:textId="11657377">
      <w:pPr>
        <w:pStyle w:val="Normal"/>
        <w:jc w:val="both"/>
        <w:rPr>
          <w:b w:val="1"/>
          <w:bCs w:val="1"/>
          <w:u w:val="none"/>
        </w:rPr>
      </w:pPr>
    </w:p>
    <w:p w:rsidR="4AADA828" w:rsidP="64AA8313" w:rsidRDefault="4AADA828" w14:paraId="21818022" w14:textId="43D8A08F">
      <w:pPr>
        <w:pStyle w:val="Normal"/>
        <w:jc w:val="both"/>
        <w:rPr>
          <w:b w:val="0"/>
          <w:bCs w:val="0"/>
          <w:sz w:val="22"/>
          <w:szCs w:val="22"/>
          <w:u w:val="single"/>
        </w:rPr>
      </w:pPr>
      <w:r w:rsidRPr="64AA8313" w:rsidR="4AADA828">
        <w:rPr>
          <w:b w:val="0"/>
          <w:bCs w:val="0"/>
          <w:sz w:val="22"/>
          <w:szCs w:val="22"/>
          <w:u w:val="single"/>
        </w:rPr>
        <w:t>Primary Sources</w:t>
      </w:r>
    </w:p>
    <w:p w:rsidR="72D9EE4B" w:rsidP="64AA8313" w:rsidRDefault="72D9EE4B" w14:paraId="0B2A5BC7" w14:textId="7682A7BC">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Aligieri, Dante, The</w:t>
      </w:r>
      <w:r w:rsidRPr="64AA8313"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Vision of Hell: The Inferno, trans.</w:t>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The Rev. H. F. Cary M.A., (London, Paris and </w:t>
      </w:r>
      <w:r>
        <w:tab/>
      </w:r>
      <w:r>
        <w:tab/>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Melbourne: Cassell &amp; Company, 1892), Canto XXXIV</w:t>
      </w:r>
    </w:p>
    <w:p w:rsidR="64AA8313" w:rsidP="64AA8313" w:rsidRDefault="64AA8313" w14:paraId="216B8727" w14:textId="1E460BF7">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72D9EE4B" w:rsidP="64AA8313" w:rsidRDefault="72D9EE4B" w14:paraId="3FFC4C8E" w14:textId="22993F5B">
      <w:pPr>
        <w:pStyle w:val="Normal"/>
        <w:spacing w:after="0" w:afterAutospacing="off"/>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Blake, William, </w:t>
      </w:r>
      <w:r w:rsidRPr="64AA8313"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The Marriage of Heaven and Hell</w:t>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(Boston: John W. Luce and Company, 1906) 26 </w:t>
      </w:r>
      <w:r>
        <w:tab/>
      </w:r>
      <w:r>
        <w:tab/>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cited in Project Gutenberg's eBook, </w:t>
      </w:r>
    </w:p>
    <w:p w:rsidR="72D9EE4B" w:rsidP="64AA8313" w:rsidRDefault="72D9EE4B" w14:paraId="250C58DF" w14:textId="2A69020B">
      <w:pPr>
        <w:pStyle w:val="Normal"/>
        <w:ind w:firstLine="720"/>
        <w:jc w:val="both"/>
        <w:rPr>
          <w:rFonts w:ascii="Calibri" w:hAnsi="Calibri" w:eastAsia="Calibri" w:cs="Calibri" w:asciiTheme="minorAscii" w:hAnsiTheme="minorAscii" w:eastAsiaTheme="minorAscii" w:cstheme="minorAscii"/>
          <w:color w:val="000000" w:themeColor="text1" w:themeTint="FF" w:themeShade="FF"/>
          <w:sz w:val="22"/>
          <w:szCs w:val="22"/>
        </w:rPr>
      </w:pPr>
      <w:hyperlink r:id="R63f59f99ef814113">
        <w:r w:rsidRPr="64AA8313" w:rsidR="72D9EE4B">
          <w:rPr>
            <w:rStyle w:val="Hyperlink"/>
            <w:rFonts w:ascii="Calibri" w:hAnsi="Calibri" w:eastAsia="Calibri" w:cs="Calibri" w:asciiTheme="minorAscii" w:hAnsiTheme="minorAscii" w:eastAsiaTheme="minorAscii" w:cstheme="minorAscii"/>
            <w:sz w:val="22"/>
            <w:szCs w:val="22"/>
          </w:rPr>
          <w:t>https://www.gutenberg.org/cache/epub/pg45315-images.html</w:t>
        </w:r>
      </w:hyperlink>
    </w:p>
    <w:p w:rsidR="72D9EE4B" w:rsidP="64AA8313" w:rsidRDefault="72D9EE4B" w14:paraId="0A0ECA60" w14:textId="33BB55EC">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Fred Schaaf, Fred, </w:t>
      </w:r>
      <w:r w:rsidRPr="64AA8313"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The Starry Room: Naked Eye Astronomy in the Intimate Universe</w:t>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(New York: </w:t>
      </w:r>
      <w:r>
        <w:tab/>
      </w:r>
      <w:r>
        <w:tab/>
      </w:r>
      <w:r w:rsidRPr="64AA8313" w:rsidR="72D9EE4B">
        <w:rPr>
          <w:rFonts w:ascii="Calibri" w:hAnsi="Calibri" w:eastAsia="Calibri" w:cs="Calibri" w:asciiTheme="minorAscii" w:hAnsiTheme="minorAscii" w:eastAsiaTheme="minorAscii" w:cstheme="minorAscii"/>
          <w:color w:val="000000" w:themeColor="text1" w:themeTint="FF" w:themeShade="FF"/>
          <w:sz w:val="22"/>
          <w:szCs w:val="22"/>
        </w:rPr>
        <w:t>Wiley Science Editions, 1990)</w:t>
      </w:r>
    </w:p>
    <w:p w:rsidR="1DD94CC9" w:rsidP="64AA8313" w:rsidRDefault="1DD94CC9" w14:paraId="1BFA92D6" w14:textId="0B330F86">
      <w:pPr>
        <w:pStyle w:val="FootnoteText"/>
        <w:spacing w:after="160" w:afterAutospacing="off"/>
        <w:rPr>
          <w:rFonts w:ascii="Calibri" w:hAnsi="Calibri" w:eastAsia="Calibri" w:cs="Calibri" w:asciiTheme="minorAscii" w:hAnsiTheme="minorAscii" w:eastAsiaTheme="minorAscii" w:cstheme="minorAscii"/>
          <w:sz w:val="22"/>
          <w:szCs w:val="22"/>
        </w:rPr>
      </w:pPr>
      <w:r w:rsidRPr="64AA8313"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Hopkins, </w:t>
      </w:r>
      <w:r w:rsidRPr="64AA8313" w:rsidR="1DD94CC9">
        <w:rPr>
          <w:rFonts w:ascii="Calibri" w:hAnsi="Calibri" w:eastAsia="Calibri" w:cs="Calibri"/>
          <w:b w:val="0"/>
          <w:bCs w:val="0"/>
          <w:i w:val="0"/>
          <w:iCs w:val="0"/>
          <w:caps w:val="0"/>
          <w:smallCaps w:val="0"/>
          <w:noProof w:val="0"/>
          <w:color w:val="000000" w:themeColor="text1" w:themeTint="FF" w:themeShade="FF"/>
          <w:sz w:val="22"/>
          <w:szCs w:val="22"/>
          <w:lang w:val="en-GB"/>
        </w:rPr>
        <w:t>Gera</w:t>
      </w:r>
      <w:r w:rsidRPr="64AA8313" w:rsidR="17BCDF35">
        <w:rPr>
          <w:rFonts w:ascii="Calibri" w:hAnsi="Calibri" w:eastAsia="Calibri" w:cs="Calibri"/>
          <w:b w:val="0"/>
          <w:bCs w:val="0"/>
          <w:i w:val="0"/>
          <w:iCs w:val="0"/>
          <w:caps w:val="0"/>
          <w:smallCaps w:val="0"/>
          <w:noProof w:val="0"/>
          <w:color w:val="000000" w:themeColor="text1" w:themeTint="FF" w:themeShade="FF"/>
          <w:sz w:val="22"/>
          <w:szCs w:val="22"/>
          <w:lang w:val="en-GB"/>
        </w:rPr>
        <w:t>r</w:t>
      </w:r>
      <w:r w:rsidRPr="64AA8313" w:rsidR="1DD94CC9">
        <w:rPr>
          <w:rFonts w:ascii="Calibri" w:hAnsi="Calibri" w:eastAsia="Calibri" w:cs="Calibri"/>
          <w:b w:val="0"/>
          <w:bCs w:val="0"/>
          <w:i w:val="0"/>
          <w:iCs w:val="0"/>
          <w:caps w:val="0"/>
          <w:smallCaps w:val="0"/>
          <w:noProof w:val="0"/>
          <w:color w:val="000000" w:themeColor="text1" w:themeTint="FF" w:themeShade="FF"/>
          <w:sz w:val="22"/>
          <w:szCs w:val="22"/>
          <w:lang w:val="en-GB"/>
        </w:rPr>
        <w:t>d Manley,</w:t>
      </w:r>
      <w:r w:rsidRPr="64AA8313"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1DD94CC9">
        <w:rPr>
          <w:rFonts w:ascii="Calibri" w:hAnsi="Calibri" w:eastAsia="Calibri" w:cs="Calibri" w:asciiTheme="minorAscii" w:hAnsiTheme="minorAscii" w:eastAsiaTheme="minorAscii" w:cstheme="minorAscii"/>
          <w:i w:val="1"/>
          <w:iCs w:val="1"/>
          <w:color w:val="000000" w:themeColor="text1" w:themeTint="FF" w:themeShade="FF"/>
          <w:sz w:val="22"/>
          <w:szCs w:val="22"/>
        </w:rPr>
        <w:t>Gera</w:t>
      </w:r>
      <w:r w:rsidRPr="64AA8313" w:rsidR="4A34D5F5">
        <w:rPr>
          <w:rFonts w:ascii="Calibri" w:hAnsi="Calibri" w:eastAsia="Calibri" w:cs="Calibri" w:asciiTheme="minorAscii" w:hAnsiTheme="minorAscii" w:eastAsiaTheme="minorAscii" w:cstheme="minorAscii"/>
          <w:i w:val="1"/>
          <w:iCs w:val="1"/>
          <w:color w:val="000000" w:themeColor="text1" w:themeTint="FF" w:themeShade="FF"/>
          <w:sz w:val="22"/>
          <w:szCs w:val="22"/>
        </w:rPr>
        <w:t>r</w:t>
      </w:r>
      <w:r w:rsidRPr="64AA8313" w:rsidR="1DD94CC9">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d Manley Hopkins –Poems- </w:t>
      </w:r>
      <w:r w:rsidRPr="64AA8313" w:rsidR="1DD94CC9">
        <w:rPr>
          <w:rFonts w:ascii="Calibri" w:hAnsi="Calibri" w:eastAsia="Calibri" w:cs="Calibri" w:asciiTheme="minorAscii" w:hAnsiTheme="minorAscii" w:eastAsiaTheme="minorAscii" w:cstheme="minorAscii"/>
          <w:color w:val="000000" w:themeColor="text1" w:themeTint="FF" w:themeShade="FF"/>
          <w:sz w:val="22"/>
          <w:szCs w:val="22"/>
        </w:rPr>
        <w:t>(</w:t>
      </w:r>
      <w:proofErr w:type="spellStart"/>
      <w:r w:rsidRPr="64AA8313" w:rsidR="1DD94CC9">
        <w:rPr>
          <w:rFonts w:ascii="Calibri" w:hAnsi="Calibri" w:eastAsia="Calibri" w:cs="Calibri" w:asciiTheme="minorAscii" w:hAnsiTheme="minorAscii" w:eastAsiaTheme="minorAscii" w:cstheme="minorAscii"/>
          <w:color w:val="000000" w:themeColor="text1" w:themeTint="FF" w:themeShade="FF"/>
          <w:sz w:val="22"/>
          <w:szCs w:val="22"/>
        </w:rPr>
        <w:t>Poemhunter</w:t>
      </w:r>
      <w:proofErr w:type="spellEnd"/>
      <w:r w:rsidRPr="64AA8313"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.com, 2012) </w:t>
      </w:r>
      <w:r>
        <w:tab/>
      </w:r>
      <w:r>
        <w:tab/>
      </w:r>
      <w:r>
        <w:tab/>
      </w:r>
      <w:hyperlink r:id="R3226936f31254edb">
        <w:r w:rsidRPr="64AA8313" w:rsidR="1DD94CC9">
          <w:rPr>
            <w:rStyle w:val="Hyperlink"/>
            <w:rFonts w:ascii="Calibri" w:hAnsi="Calibri" w:eastAsia="Calibri" w:cs="Calibri" w:asciiTheme="minorAscii" w:hAnsiTheme="minorAscii" w:eastAsiaTheme="minorAscii" w:cstheme="minorAscii"/>
            <w:strike w:val="0"/>
            <w:dstrike w:val="0"/>
            <w:noProof w:val="0"/>
            <w:sz w:val="22"/>
            <w:szCs w:val="22"/>
            <w:lang w:val="en-GB"/>
          </w:rPr>
          <w:t>https://www.poemhunter.com/i/ebooks/pdf/gerard_manley_hopkins_2012_6.pdf</w:t>
        </w:r>
      </w:hyperlink>
    </w:p>
    <w:p w:rsidR="41FDA6B5" w:rsidP="64AA8313" w:rsidRDefault="41FDA6B5" w14:paraId="740E8A71" w14:textId="0E31DB2D">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5D5D3932">
        <w:rPr>
          <w:rFonts w:ascii="Calibri" w:hAnsi="Calibri" w:eastAsia="Calibri" w:cs="Calibri" w:asciiTheme="minorAscii" w:hAnsiTheme="minorAscii" w:eastAsiaTheme="minorAscii" w:cstheme="minorAscii"/>
          <w:color w:val="000000" w:themeColor="text1" w:themeTint="FF" w:themeShade="FF"/>
          <w:sz w:val="22"/>
          <w:szCs w:val="22"/>
        </w:rPr>
        <w:t>Kafka</w:t>
      </w:r>
      <w:r w:rsidRPr="64AA8313" w:rsidR="2B2F7D78">
        <w:rPr>
          <w:rFonts w:ascii="Calibri" w:hAnsi="Calibri" w:eastAsia="Calibri" w:cs="Calibri" w:asciiTheme="minorAscii" w:hAnsiTheme="minorAscii" w:eastAsiaTheme="minorAscii" w:cstheme="minorAscii"/>
          <w:color w:val="000000" w:themeColor="text1" w:themeTint="FF" w:themeShade="FF"/>
          <w:sz w:val="22"/>
          <w:szCs w:val="22"/>
        </w:rPr>
        <w:t>, Franz, The</w:t>
      </w:r>
      <w:r w:rsidRPr="64AA8313" w:rsidR="5D5D3932">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Complete Stories</w:t>
      </w:r>
      <w:r w:rsidRPr="64AA8313" w:rsidR="5D5D3932">
        <w:rPr>
          <w:rFonts w:ascii="Calibri" w:hAnsi="Calibri" w:eastAsia="Calibri" w:cs="Calibri" w:asciiTheme="minorAscii" w:hAnsiTheme="minorAscii" w:eastAsiaTheme="minorAscii" w:cstheme="minorAscii"/>
          <w:color w:val="000000" w:themeColor="text1" w:themeTint="FF" w:themeShade="FF"/>
          <w:sz w:val="22"/>
          <w:szCs w:val="22"/>
        </w:rPr>
        <w:t xml:space="preserve">, trans. Willa and Edwin Muir, (New York: Schocken Books, 1971) </w:t>
      </w:r>
      <w:r>
        <w:tab/>
      </w:r>
    </w:p>
    <w:p w:rsidR="2380D720" w:rsidP="64AA8313" w:rsidRDefault="2380D720" w14:paraId="14FD40A2" w14:textId="12E12F2A">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2380D720">
        <w:rPr>
          <w:rFonts w:ascii="Calibri" w:hAnsi="Calibri" w:eastAsia="Calibri" w:cs="Calibri" w:asciiTheme="minorAscii" w:hAnsiTheme="minorAscii" w:eastAsiaTheme="minorAscii" w:cstheme="minorAscii"/>
          <w:color w:val="000000" w:themeColor="text1" w:themeTint="FF" w:themeShade="FF"/>
          <w:sz w:val="22"/>
          <w:szCs w:val="22"/>
        </w:rPr>
        <w:t xml:space="preserve">Keats, John, </w:t>
      </w:r>
      <w:r w:rsidRPr="64AA8313" w:rsidR="2380D720">
        <w:rPr>
          <w:rFonts w:ascii="Calibri" w:hAnsi="Calibri" w:eastAsia="Calibri" w:cs="Calibri" w:asciiTheme="minorAscii" w:hAnsiTheme="minorAscii" w:eastAsiaTheme="minorAscii" w:cstheme="minorAscii"/>
          <w:i w:val="1"/>
          <w:iCs w:val="1"/>
          <w:color w:val="000000" w:themeColor="text1" w:themeTint="FF" w:themeShade="FF"/>
          <w:sz w:val="22"/>
          <w:szCs w:val="22"/>
        </w:rPr>
        <w:t>The Poetical Works of John Keats</w:t>
      </w:r>
      <w:r w:rsidRPr="64AA8313" w:rsidR="2380D720">
        <w:rPr>
          <w:rFonts w:ascii="Calibri" w:hAnsi="Calibri" w:eastAsia="Calibri" w:cs="Calibri" w:asciiTheme="minorAscii" w:hAnsiTheme="minorAscii" w:eastAsiaTheme="minorAscii" w:cstheme="minorAscii"/>
          <w:color w:val="000000" w:themeColor="text1" w:themeTint="FF" w:themeShade="FF"/>
          <w:sz w:val="22"/>
          <w:szCs w:val="22"/>
        </w:rPr>
        <w:t>, (London, New York: Frederick Warne and Co., 1887)</w:t>
      </w:r>
    </w:p>
    <w:p w:rsidR="64AA8313" w:rsidP="64AA8313" w:rsidRDefault="64AA8313" w14:paraId="1A77F515" w14:textId="1D357A48">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5D5D3932" w:rsidP="64AA8313" w:rsidRDefault="5D5D3932" w14:paraId="7D3A8568" w14:textId="77BEA41C">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5D5D3932">
        <w:rPr>
          <w:rFonts w:ascii="Calibri" w:hAnsi="Calibri" w:eastAsia="Calibri" w:cs="Calibri" w:asciiTheme="minorAscii" w:hAnsiTheme="minorAscii" w:eastAsiaTheme="minorAscii" w:cstheme="minorAscii"/>
          <w:color w:val="000000" w:themeColor="text1" w:themeTint="FF" w:themeShade="FF"/>
          <w:sz w:val="22"/>
          <w:szCs w:val="22"/>
        </w:rPr>
        <w:t>Levy-Bruhl</w:t>
      </w:r>
      <w:r w:rsidRPr="64AA8313" w:rsidR="27DBFE26">
        <w:rPr>
          <w:rFonts w:ascii="Calibri" w:hAnsi="Calibri" w:eastAsia="Calibri" w:cs="Calibri" w:asciiTheme="minorAscii" w:hAnsiTheme="minorAscii" w:eastAsiaTheme="minorAscii" w:cstheme="minorAscii"/>
          <w:color w:val="000000" w:themeColor="text1" w:themeTint="FF" w:themeShade="FF"/>
          <w:sz w:val="22"/>
          <w:szCs w:val="22"/>
        </w:rPr>
        <w:t>, Lucien,</w:t>
      </w:r>
      <w:r w:rsidRPr="64AA8313" w:rsidR="5D5D3932">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5D5D3932">
        <w:rPr>
          <w:rFonts w:ascii="Calibri" w:hAnsi="Calibri" w:eastAsia="Calibri" w:cs="Calibri" w:asciiTheme="minorAscii" w:hAnsiTheme="minorAscii" w:eastAsiaTheme="minorAscii" w:cstheme="minorAscii"/>
          <w:i w:val="1"/>
          <w:iCs w:val="1"/>
          <w:color w:val="000000" w:themeColor="text1" w:themeTint="FF" w:themeShade="FF"/>
          <w:sz w:val="22"/>
          <w:szCs w:val="22"/>
        </w:rPr>
        <w:t>How Natives Think</w:t>
      </w:r>
      <w:r w:rsidRPr="64AA8313" w:rsidR="5D5D3932">
        <w:rPr>
          <w:rFonts w:ascii="Calibri" w:hAnsi="Calibri" w:eastAsia="Calibri" w:cs="Calibri" w:asciiTheme="minorAscii" w:hAnsiTheme="minorAscii" w:eastAsiaTheme="minorAscii" w:cstheme="minorAscii"/>
          <w:color w:val="000000" w:themeColor="text1" w:themeTint="FF" w:themeShade="FF"/>
          <w:sz w:val="22"/>
          <w:szCs w:val="22"/>
        </w:rPr>
        <w:t>, (Princeton: Princeton University Press, 1985)</w:t>
      </w:r>
    </w:p>
    <w:p w:rsidR="64AA8313" w:rsidP="64AA8313" w:rsidRDefault="64AA8313" w14:paraId="1D40B558" w14:textId="6F1B69ED">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19DFD8FD" w:rsidP="64AA8313" w:rsidRDefault="19DFD8FD" w14:paraId="2D4CF9A9" w14:textId="62547B18">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Masahide,</w:t>
      </w:r>
      <w:r w:rsidRPr="64AA8313" w:rsidR="19DFD8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Mizatua,</w:t>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cited in Zen</w:t>
      </w:r>
      <w:r w:rsidRPr="64AA8313" w:rsidR="19DFD8F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Poetry: Let the Spring Breeze Enter</w:t>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trans. Lucien Stryk and Takashi </w:t>
      </w:r>
      <w:r>
        <w:tab/>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Ikemoto, (New York: Grove Press, 1995),</w:t>
      </w:r>
      <w:r w:rsidRPr="64AA8313" w:rsidR="7CB5C659">
        <w:rPr>
          <w:rFonts w:ascii="Calibri" w:hAnsi="Calibri" w:eastAsia="Calibri" w:cs="Calibri" w:asciiTheme="minorAscii" w:hAnsiTheme="minorAscii" w:eastAsiaTheme="minorAscii" w:cstheme="minorAscii"/>
          <w:color w:val="000000" w:themeColor="text1" w:themeTint="FF" w:themeShade="FF"/>
          <w:sz w:val="22"/>
          <w:szCs w:val="22"/>
        </w:rPr>
        <w:t xml:space="preserve"> h</w:t>
      </w:r>
      <w:hyperlink r:id="R86c85586729c45c7">
        <w:r w:rsidRPr="64AA8313" w:rsidR="19DFD8FD">
          <w:rPr>
            <w:rStyle w:val="Hyperlink"/>
            <w:rFonts w:ascii="Calibri" w:hAnsi="Calibri" w:eastAsia="Calibri" w:cs="Calibri" w:asciiTheme="minorAscii" w:hAnsiTheme="minorAscii" w:eastAsiaTheme="minorAscii" w:cstheme="minorAscii"/>
            <w:sz w:val="22"/>
            <w:szCs w:val="22"/>
          </w:rPr>
          <w:t>ttps://terebess.hu/zen/mesterek/breeze.pdf</w:t>
        </w:r>
      </w:hyperlink>
    </w:p>
    <w:p w:rsidR="64AA8313" w:rsidP="64AA8313" w:rsidRDefault="64AA8313" w14:paraId="3458B653" w14:textId="702DDF04">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19DFD8FD" w:rsidP="64AA8313" w:rsidRDefault="19DFD8FD" w14:paraId="554932E1" w14:textId="29FFC698">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Ruggles, Clive, Indigenous</w:t>
      </w:r>
      <w:r w:rsidRPr="64AA8313" w:rsidR="19DFD8F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Astronomies and Progress in Modern Astronomy</w:t>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(Leicester: Proceedings </w:t>
      </w:r>
      <w:r>
        <w:tab/>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of </w:t>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Science</w:t>
      </w:r>
      <w:r w:rsidRPr="64AA8313" w:rsidR="19DFD8FD">
        <w:rPr>
          <w:rFonts w:ascii="Calibri" w:hAnsi="Calibri" w:eastAsia="Calibri" w:cs="Calibri" w:asciiTheme="minorAscii" w:hAnsiTheme="minorAscii" w:eastAsiaTheme="minorAscii" w:cstheme="minorAscii"/>
          <w:color w:val="000000" w:themeColor="text1" w:themeTint="FF" w:themeShade="FF"/>
          <w:sz w:val="22"/>
          <w:szCs w:val="22"/>
        </w:rPr>
        <w:t>, 2010)</w:t>
      </w:r>
    </w:p>
    <w:p w:rsidR="17CDC5BF" w:rsidP="64AA8313" w:rsidRDefault="17CDC5BF" w14:paraId="00D67B47" w14:textId="29126FEE">
      <w:pPr>
        <w:pStyle w:val="Normal"/>
        <w:jc w:val="both"/>
        <w:rPr>
          <w:rFonts w:ascii="Calibri" w:hAnsi="Calibri" w:eastAsia="Calibri" w:cs="Calibri" w:asciiTheme="minorAscii" w:hAnsiTheme="minorAscii" w:eastAsiaTheme="minorAscii" w:cstheme="minorAscii"/>
          <w:sz w:val="22"/>
          <w:szCs w:val="22"/>
        </w:rPr>
      </w:pPr>
      <w:r w:rsidRPr="64AA8313" w:rsidR="17CDC5BF">
        <w:rPr>
          <w:rFonts w:ascii="Calibri" w:hAnsi="Calibri" w:eastAsia="Calibri" w:cs="Calibri" w:asciiTheme="minorAscii" w:hAnsiTheme="minorAscii" w:eastAsiaTheme="minorAscii" w:cstheme="minorAscii"/>
          <w:sz w:val="22"/>
          <w:szCs w:val="22"/>
        </w:rPr>
        <w:t>S</w:t>
      </w:r>
      <w:r w:rsidRPr="64AA8313" w:rsidR="5DD3323A">
        <w:rPr>
          <w:rFonts w:ascii="Calibri" w:hAnsi="Calibri" w:eastAsia="Calibri" w:cs="Calibri" w:asciiTheme="minorAscii" w:hAnsiTheme="minorAscii" w:eastAsiaTheme="minorAscii" w:cstheme="minorAscii"/>
          <w:sz w:val="22"/>
          <w:szCs w:val="22"/>
        </w:rPr>
        <w:t>chopenhauer</w:t>
      </w:r>
      <w:r w:rsidRPr="64AA8313" w:rsidR="13AC6263">
        <w:rPr>
          <w:rFonts w:ascii="Calibri" w:hAnsi="Calibri" w:eastAsia="Calibri" w:cs="Calibri" w:asciiTheme="minorAscii" w:hAnsiTheme="minorAscii" w:eastAsiaTheme="minorAscii" w:cstheme="minorAscii"/>
          <w:sz w:val="22"/>
          <w:szCs w:val="22"/>
        </w:rPr>
        <w:t>, Arthur,</w:t>
      </w:r>
      <w:r w:rsidRPr="64AA8313" w:rsidR="5DD3323A">
        <w:rPr>
          <w:rFonts w:ascii="Calibri" w:hAnsi="Calibri" w:eastAsia="Calibri" w:cs="Calibri" w:asciiTheme="minorAscii" w:hAnsiTheme="minorAscii" w:eastAsiaTheme="minorAscii" w:cstheme="minorAscii"/>
          <w:sz w:val="22"/>
          <w:szCs w:val="22"/>
        </w:rPr>
        <w:t xml:space="preserve"> </w:t>
      </w:r>
      <w:r w:rsidRPr="64AA8313" w:rsidR="5DD3323A">
        <w:rPr>
          <w:rFonts w:ascii="Calibri" w:hAnsi="Calibri" w:eastAsia="Calibri" w:cs="Calibri" w:asciiTheme="minorAscii" w:hAnsiTheme="minorAscii" w:eastAsiaTheme="minorAscii" w:cstheme="minorAscii"/>
          <w:i w:val="1"/>
          <w:iCs w:val="1"/>
          <w:sz w:val="22"/>
          <w:szCs w:val="22"/>
        </w:rPr>
        <w:t>The World as Will and Idea</w:t>
      </w:r>
      <w:r w:rsidRPr="64AA8313" w:rsidR="5DD3323A">
        <w:rPr>
          <w:rFonts w:ascii="Calibri" w:hAnsi="Calibri" w:eastAsia="Calibri" w:cs="Calibri" w:asciiTheme="minorAscii" w:hAnsiTheme="minorAscii" w:eastAsiaTheme="minorAscii" w:cstheme="minorAscii"/>
          <w:sz w:val="22"/>
          <w:szCs w:val="22"/>
        </w:rPr>
        <w:t xml:space="preserve">, 7th Edition, trans by R. B. Haldone and J.Kemp, </w:t>
      </w:r>
      <w:r>
        <w:tab/>
      </w:r>
      <w:r w:rsidRPr="64AA8313" w:rsidR="5DD3323A">
        <w:rPr>
          <w:rFonts w:ascii="Calibri" w:hAnsi="Calibri" w:eastAsia="Calibri" w:cs="Calibri" w:asciiTheme="minorAscii" w:hAnsiTheme="minorAscii" w:eastAsiaTheme="minorAscii" w:cstheme="minorAscii"/>
          <w:sz w:val="22"/>
          <w:szCs w:val="22"/>
        </w:rPr>
        <w:t>(London: Kegan Paul, Trench, Trübner and Co., 1909)</w:t>
      </w:r>
    </w:p>
    <w:p w:rsidR="799E88BA" w:rsidP="64AA8313" w:rsidRDefault="799E88BA" w14:paraId="67946322" w14:textId="679B49D3">
      <w:pPr>
        <w:pStyle w:val="Normal"/>
        <w:jc w:val="both"/>
        <w:rPr>
          <w:rFonts w:ascii="Calibri" w:hAnsi="Calibri" w:eastAsia="Calibri" w:cs="Calibri" w:asciiTheme="minorAscii" w:hAnsiTheme="minorAscii" w:eastAsiaTheme="minorAscii" w:cstheme="minorAscii"/>
          <w:i w:val="1"/>
          <w:iCs w:val="1"/>
          <w:color w:val="000000" w:themeColor="text1" w:themeTint="FF" w:themeShade="FF"/>
          <w:sz w:val="22"/>
          <w:szCs w:val="22"/>
        </w:rPr>
      </w:pPr>
      <w:r w:rsidRPr="64AA8313" w:rsidR="799E88BA">
        <w:rPr>
          <w:rFonts w:ascii="Calibri" w:hAnsi="Calibri" w:eastAsia="Calibri" w:cs="Calibri" w:asciiTheme="minorAscii" w:hAnsiTheme="minorAscii" w:eastAsiaTheme="minorAscii" w:cstheme="minorAscii"/>
          <w:color w:val="000000" w:themeColor="text1" w:themeTint="FF" w:themeShade="FF"/>
          <w:sz w:val="22"/>
          <w:szCs w:val="22"/>
        </w:rPr>
        <w:t xml:space="preserve">Van Gogh, Vincent and Ronald de Leeuw, </w:t>
      </w:r>
      <w:r w:rsidRPr="64AA8313" w:rsidR="799E88BA">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The Letters of Vincent Van Gogh, (London: Penguin Books, </w:t>
      </w:r>
      <w:r>
        <w:tab/>
      </w:r>
      <w:r w:rsidRPr="64AA8313" w:rsidR="799E88BA">
        <w:rPr>
          <w:rFonts w:ascii="Calibri" w:hAnsi="Calibri" w:eastAsia="Calibri" w:cs="Calibri" w:asciiTheme="minorAscii" w:hAnsiTheme="minorAscii" w:eastAsiaTheme="minorAscii" w:cstheme="minorAscii"/>
          <w:i w:val="1"/>
          <w:iCs w:val="1"/>
          <w:color w:val="000000" w:themeColor="text1" w:themeTint="FF" w:themeShade="FF"/>
          <w:sz w:val="22"/>
          <w:szCs w:val="22"/>
        </w:rPr>
        <w:t>1997)</w:t>
      </w:r>
    </w:p>
    <w:p w:rsidR="5D5D3932" w:rsidP="64AA8313" w:rsidRDefault="5D5D3932" w14:paraId="7FD75485" w14:textId="6CD2C936">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pPr>
      <w:r w:rsidRPr="64AA8313" w:rsidR="5D5D3932">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t>JSTOR Papers</w:t>
      </w:r>
    </w:p>
    <w:p w:rsidR="75DC6695" w:rsidP="64AA8313" w:rsidRDefault="75DC6695" w14:paraId="7AB07410" w14:textId="426A253D">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Alvarez, </w:t>
      </w:r>
      <w:r w:rsidRPr="64AA8313" w:rsidR="75DC66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Elizabeth M. </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and Crawford, </w:t>
      </w:r>
      <w:r w:rsidRPr="64AA8313" w:rsidR="75DC66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David L., </w:t>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The Value of Dark Skies and of High-Quality Night </w:t>
      </w:r>
      <w:r>
        <w:tab/>
      </w:r>
      <w:r>
        <w:tab/>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Lighting – Building Public Awareness</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The George Wright Forum, vol. 18, no. 4, (George </w:t>
      </w:r>
      <w:r>
        <w:tab/>
      </w:r>
      <w:r>
        <w:tab/>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Wright Society, 2001), p. 20</w:t>
      </w:r>
      <w:r w:rsidRPr="64AA8313" w:rsidR="7CE8F38E">
        <w:rPr>
          <w:rFonts w:ascii="Calibri" w:hAnsi="Calibri" w:eastAsia="Calibri" w:cs="Calibri" w:asciiTheme="minorAscii" w:hAnsiTheme="minorAscii" w:eastAsiaTheme="minorAscii" w:cstheme="minorAscii"/>
          <w:color w:val="000000" w:themeColor="text1" w:themeTint="FF" w:themeShade="FF"/>
          <w:sz w:val="22"/>
          <w:szCs w:val="22"/>
        </w:rPr>
        <w:t xml:space="preserve">-24, </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ee3094c278b6498b">
        <w:r w:rsidRPr="64AA8313" w:rsidR="75DC6695">
          <w:rPr>
            <w:rStyle w:val="Hyperlink"/>
            <w:rFonts w:ascii="Calibri" w:hAnsi="Calibri" w:eastAsia="Calibri" w:cs="Calibri" w:asciiTheme="minorAscii" w:hAnsiTheme="minorAscii" w:eastAsiaTheme="minorAscii" w:cstheme="minorAscii"/>
            <w:sz w:val="22"/>
            <w:szCs w:val="22"/>
          </w:rPr>
          <w:t>https://jstor.org/stable/43597769</w:t>
        </w:r>
      </w:hyperlink>
    </w:p>
    <w:p w:rsidR="64AA8313" w:rsidP="64AA8313" w:rsidRDefault="64AA8313" w14:paraId="06FABE15" w14:textId="5C888A2A">
      <w:pPr>
        <w:pStyle w:val="FootnoteText"/>
        <w:rPr>
          <w:rFonts w:ascii="Calibri" w:hAnsi="Calibri" w:eastAsia="Calibri" w:cs="Calibri" w:asciiTheme="minorAscii" w:hAnsiTheme="minorAscii" w:eastAsiaTheme="minorAscii" w:cstheme="minorAscii"/>
          <w:sz w:val="20"/>
          <w:szCs w:val="20"/>
        </w:rPr>
      </w:pPr>
    </w:p>
    <w:p w:rsidR="75DC6695" w:rsidP="64AA8313" w:rsidRDefault="75DC6695" w14:paraId="2DC65EAA" w14:textId="7F61372D">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Curry, Patrick, </w:t>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MAGIC vs. ENCHANTMENT,</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Mallorn: The Journal of the Tolkien Society, no. 38, </w:t>
      </w:r>
      <w:r>
        <w:tab/>
      </w:r>
      <w:r>
        <w:tab/>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Tolkien  Society</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2001), p. </w:t>
      </w:r>
      <w:r w:rsidRPr="64AA8313" w:rsidR="03B1270D">
        <w:rPr>
          <w:rFonts w:ascii="Calibri" w:hAnsi="Calibri" w:eastAsia="Calibri" w:cs="Calibri" w:asciiTheme="minorAscii" w:hAnsiTheme="minorAscii" w:eastAsiaTheme="minorAscii" w:cstheme="minorAscii"/>
          <w:color w:val="000000" w:themeColor="text1" w:themeTint="FF" w:themeShade="FF"/>
          <w:sz w:val="22"/>
          <w:szCs w:val="22"/>
        </w:rPr>
        <w:t>5-</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10</w:t>
      </w:r>
      <w:r w:rsidRPr="64AA8313" w:rsidR="1822E55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754f72f543434d74">
        <w:r w:rsidRPr="64AA8313" w:rsidR="75DC6695">
          <w:rPr>
            <w:rStyle w:val="Hyperlink"/>
            <w:rFonts w:ascii="Calibri" w:hAnsi="Calibri" w:eastAsia="Calibri" w:cs="Calibri" w:asciiTheme="minorAscii" w:hAnsiTheme="minorAscii" w:eastAsiaTheme="minorAscii" w:cstheme="minorAscii"/>
            <w:sz w:val="22"/>
            <w:szCs w:val="22"/>
          </w:rPr>
          <w:t>https://jstor.org/stable/45321702</w:t>
        </w:r>
      </w:hyperlink>
    </w:p>
    <w:p w:rsidR="75DC6695" w:rsidP="64AA8313" w:rsidRDefault="75DC6695" w14:paraId="4CA2FE02" w14:textId="0545D949">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Duriscoe, Dan, </w:t>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Preserving Pristine Night Skies in National </w:t>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Parks</w:t>
      </w:r>
      <w:r w:rsidRPr="64AA8313"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and the Wilderness Ethnic</w:t>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The </w:t>
      </w:r>
      <w:r>
        <w:tab/>
      </w:r>
      <w:r>
        <w:tab/>
      </w:r>
      <w:r w:rsidRPr="64AA8313" w:rsidR="75DC6695">
        <w:rPr>
          <w:rFonts w:ascii="Calibri" w:hAnsi="Calibri" w:eastAsia="Calibri" w:cs="Calibri" w:asciiTheme="minorAscii" w:hAnsiTheme="minorAscii" w:eastAsiaTheme="minorAscii" w:cstheme="minorAscii"/>
          <w:color w:val="000000" w:themeColor="text1" w:themeTint="FF" w:themeShade="FF"/>
          <w:sz w:val="22"/>
          <w:szCs w:val="22"/>
        </w:rPr>
        <w:t>George Wright forum, vol. 18, no. 4, (George Wright Society, 2001) p.30</w:t>
      </w:r>
      <w:r w:rsidRPr="64AA8313" w:rsidR="631F72D0">
        <w:rPr>
          <w:rFonts w:ascii="Calibri" w:hAnsi="Calibri" w:eastAsia="Calibri" w:cs="Calibri" w:asciiTheme="minorAscii" w:hAnsiTheme="minorAscii" w:eastAsiaTheme="minorAscii" w:cstheme="minorAscii"/>
          <w:color w:val="000000" w:themeColor="text1" w:themeTint="FF" w:themeShade="FF"/>
          <w:sz w:val="22"/>
          <w:szCs w:val="22"/>
        </w:rPr>
        <w:t>-36,</w:t>
      </w:r>
      <w:r>
        <w:tab/>
      </w:r>
      <w:r>
        <w:tab/>
      </w:r>
      <w:r>
        <w:tab/>
      </w:r>
      <w:hyperlink r:id="R92d32245648043b4">
        <w:r w:rsidRPr="64AA8313" w:rsidR="75DC6695">
          <w:rPr>
            <w:rStyle w:val="Hyperlink"/>
            <w:rFonts w:ascii="Calibri" w:hAnsi="Calibri" w:eastAsia="Calibri" w:cs="Calibri" w:asciiTheme="minorAscii" w:hAnsiTheme="minorAscii" w:eastAsiaTheme="minorAscii" w:cstheme="minorAscii"/>
            <w:sz w:val="22"/>
            <w:szCs w:val="22"/>
          </w:rPr>
          <w:t>https://www.jstor.org/stable/43597771</w:t>
        </w:r>
      </w:hyperlink>
    </w:p>
    <w:p w:rsidR="64AA8313" w:rsidP="64AA8313" w:rsidRDefault="64AA8313" w14:paraId="283666FF" w14:textId="27FE8212">
      <w:pPr>
        <w:pStyle w:val="FootnoteText"/>
        <w:rPr>
          <w:rFonts w:ascii="Calibri" w:hAnsi="Calibri" w:eastAsia="Calibri" w:cs="Calibri" w:asciiTheme="minorAscii" w:hAnsiTheme="minorAscii" w:eastAsiaTheme="minorAscii" w:cstheme="minorAscii"/>
          <w:sz w:val="20"/>
          <w:szCs w:val="20"/>
        </w:rPr>
      </w:pPr>
    </w:p>
    <w:p w:rsidR="562F435A" w:rsidP="64AA8313" w:rsidRDefault="562F435A" w14:paraId="6D1D914B" w14:textId="5AB5659B">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562F435A">
        <w:rPr>
          <w:rFonts w:ascii="Calibri" w:hAnsi="Calibri" w:eastAsia="Calibri" w:cs="Calibri" w:asciiTheme="minorAscii" w:hAnsiTheme="minorAscii" w:eastAsiaTheme="minorAscii" w:cstheme="minorAscii"/>
          <w:color w:val="000000" w:themeColor="text1" w:themeTint="FF" w:themeShade="FF"/>
          <w:sz w:val="22"/>
          <w:szCs w:val="22"/>
        </w:rPr>
        <w:t xml:space="preserve">Moors, </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Annelies</w:t>
      </w:r>
      <w:r w:rsidRPr="64AA8313" w:rsidR="7D86CEBB">
        <w:rPr>
          <w:rFonts w:ascii="Calibri" w:hAnsi="Calibri" w:eastAsia="Calibri" w:cs="Calibri" w:asciiTheme="minorAscii" w:hAnsiTheme="minorAscii" w:eastAsiaTheme="minorAscii" w:cstheme="minorAscii"/>
          <w:color w:val="000000" w:themeColor="text1" w:themeTint="FF" w:themeShade="FF"/>
          <w:sz w:val="22"/>
          <w:szCs w:val="22"/>
        </w:rPr>
        <w:t>,</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41FDA6B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On Autoethnography, </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Ethnography, vol. 18, no. 3, (Sage Publications, 2017) pp. </w:t>
      </w:r>
      <w:r>
        <w:tab/>
      </w:r>
      <w:r>
        <w:tab/>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387-89</w:t>
      </w:r>
      <w:r w:rsidRPr="64AA8313" w:rsidR="565901E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ca8cf138695042bd">
        <w:r w:rsidRPr="64AA8313" w:rsidR="41FDA6B5">
          <w:rPr>
            <w:rStyle w:val="Hyperlink"/>
            <w:rFonts w:ascii="Calibri" w:hAnsi="Calibri" w:eastAsia="Calibri" w:cs="Calibri" w:asciiTheme="minorAscii" w:hAnsiTheme="minorAscii" w:eastAsiaTheme="minorAscii" w:cstheme="minorAscii"/>
            <w:sz w:val="22"/>
            <w:szCs w:val="22"/>
          </w:rPr>
          <w:t>https://www.jstor.org/stable/26359189</w:t>
        </w:r>
      </w:hyperlink>
    </w:p>
    <w:p w:rsidR="64AA8313" w:rsidP="64AA8313" w:rsidRDefault="64AA8313" w14:paraId="5004CFAD" w14:textId="7841F004">
      <w:pPr>
        <w:pStyle w:val="FootnoteText"/>
        <w:rPr>
          <w:rFonts w:ascii="Calibri" w:hAnsi="Calibri" w:eastAsia="Calibri" w:cs="Calibri" w:asciiTheme="minorAscii" w:hAnsiTheme="minorAscii" w:eastAsiaTheme="minorAscii" w:cstheme="minorAscii"/>
          <w:sz w:val="20"/>
          <w:szCs w:val="20"/>
        </w:rPr>
      </w:pPr>
    </w:p>
    <w:p w:rsidR="41FDA6B5" w:rsidP="64AA8313" w:rsidRDefault="41FDA6B5" w14:paraId="46645887" w14:textId="0180CCE0">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Porter</w:t>
      </w:r>
      <w:r w:rsidRPr="64AA8313" w:rsidR="012B205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012B2057">
        <w:rPr>
          <w:rFonts w:ascii="Calibri" w:hAnsi="Calibri" w:eastAsia="Calibri" w:cs="Calibri"/>
          <w:b w:val="0"/>
          <w:bCs w:val="0"/>
          <w:i w:val="0"/>
          <w:iCs w:val="0"/>
          <w:caps w:val="0"/>
          <w:smallCaps w:val="0"/>
          <w:noProof w:val="0"/>
          <w:color w:val="000000" w:themeColor="text1" w:themeTint="FF" w:themeShade="FF"/>
          <w:sz w:val="22"/>
          <w:szCs w:val="22"/>
          <w:lang w:val="en-GB"/>
        </w:rPr>
        <w:t>Roger J.,</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41FDA6B5">
        <w:rPr>
          <w:rFonts w:ascii="Calibri" w:hAnsi="Calibri" w:eastAsia="Calibri" w:cs="Calibri" w:asciiTheme="minorAscii" w:hAnsiTheme="minorAscii" w:eastAsiaTheme="minorAscii" w:cstheme="minorAscii"/>
          <w:i w:val="1"/>
          <w:iCs w:val="1"/>
          <w:color w:val="000000" w:themeColor="text1" w:themeTint="FF" w:themeShade="FF"/>
          <w:sz w:val="22"/>
          <w:szCs w:val="22"/>
        </w:rPr>
        <w:t>Let the Rest be Dark: Van Gogh in his Letters</w:t>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(University of Hawaii Press, 1982), p. </w:t>
      </w:r>
      <w:r>
        <w:tab/>
      </w:r>
      <w:r w:rsidRPr="64AA8313" w:rsidR="41FDA6B5">
        <w:rPr>
          <w:rFonts w:ascii="Calibri" w:hAnsi="Calibri" w:eastAsia="Calibri" w:cs="Calibri" w:asciiTheme="minorAscii" w:hAnsiTheme="minorAscii" w:eastAsiaTheme="minorAscii" w:cstheme="minorAscii"/>
          <w:color w:val="000000" w:themeColor="text1" w:themeTint="FF" w:themeShade="FF"/>
          <w:sz w:val="22"/>
          <w:szCs w:val="22"/>
        </w:rPr>
        <w:t>5</w:t>
      </w:r>
      <w:r w:rsidRPr="64AA8313" w:rsidR="1B9A4D4A">
        <w:rPr>
          <w:rFonts w:ascii="Calibri" w:hAnsi="Calibri" w:eastAsia="Calibri" w:cs="Calibri" w:asciiTheme="minorAscii" w:hAnsiTheme="minorAscii" w:eastAsiaTheme="minorAscii" w:cstheme="minorAscii"/>
          <w:color w:val="000000" w:themeColor="text1" w:themeTint="FF" w:themeShade="FF"/>
          <w:sz w:val="22"/>
          <w:szCs w:val="22"/>
        </w:rPr>
        <w:t xml:space="preserve">3-65, </w:t>
      </w:r>
      <w:hyperlink r:id="Rafac1843d1e74144">
        <w:r w:rsidRPr="64AA8313" w:rsidR="41FDA6B5">
          <w:rPr>
            <w:rStyle w:val="Hyperlink"/>
            <w:rFonts w:ascii="Calibri" w:hAnsi="Calibri" w:eastAsia="Calibri" w:cs="Calibri" w:asciiTheme="minorAscii" w:hAnsiTheme="minorAscii" w:eastAsiaTheme="minorAscii" w:cstheme="minorAscii"/>
            <w:sz w:val="22"/>
            <w:szCs w:val="22"/>
          </w:rPr>
          <w:t>https://www.jstor.org/stable/23538974</w:t>
        </w:r>
      </w:hyperlink>
    </w:p>
    <w:p w:rsidR="0C03BE36" w:rsidP="64AA8313" w:rsidRDefault="0C03BE36" w14:paraId="51825D12" w14:textId="24388E71">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0C03BE36">
        <w:rPr>
          <w:rFonts w:ascii="Calibri" w:hAnsi="Calibri" w:eastAsia="Calibri" w:cs="Calibri" w:asciiTheme="minorAscii" w:hAnsiTheme="minorAscii" w:eastAsiaTheme="minorAscii" w:cstheme="minorAscii"/>
          <w:color w:val="000000" w:themeColor="text1" w:themeTint="FF" w:themeShade="FF"/>
          <w:sz w:val="22"/>
          <w:szCs w:val="22"/>
        </w:rPr>
        <w:t>Sovick</w:t>
      </w:r>
      <w:r w:rsidRPr="64AA8313" w:rsidR="4E6756CE">
        <w:rPr>
          <w:rFonts w:ascii="Calibri" w:hAnsi="Calibri" w:eastAsia="Calibri" w:cs="Calibri" w:asciiTheme="minorAscii" w:hAnsiTheme="minorAscii" w:eastAsiaTheme="minorAscii" w:cstheme="minorAscii"/>
          <w:color w:val="000000" w:themeColor="text1" w:themeTint="FF" w:themeShade="FF"/>
          <w:sz w:val="22"/>
          <w:szCs w:val="22"/>
        </w:rPr>
        <w:t>, Joe,</w:t>
      </w:r>
      <w:r w:rsidRPr="64AA8313"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0C03BE36">
        <w:rPr>
          <w:rFonts w:ascii="Calibri" w:hAnsi="Calibri" w:eastAsia="Calibri" w:cs="Calibri" w:asciiTheme="minorAscii" w:hAnsiTheme="minorAscii" w:eastAsiaTheme="minorAscii" w:cstheme="minorAscii"/>
          <w:i w:val="1"/>
          <w:iCs w:val="1"/>
          <w:color w:val="000000" w:themeColor="text1" w:themeTint="FF" w:themeShade="FF"/>
          <w:sz w:val="22"/>
          <w:szCs w:val="22"/>
        </w:rPr>
        <w:t>Towards an Appreciation of the Dark Night Sky</w:t>
      </w:r>
      <w:r w:rsidRPr="64AA8313"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vol.18, no. 4 (The George Wright Forum, </w:t>
      </w:r>
      <w:r>
        <w:tab/>
      </w:r>
      <w:r w:rsidRPr="64AA8313" w:rsidR="0C03BE36">
        <w:rPr>
          <w:rFonts w:ascii="Calibri" w:hAnsi="Calibri" w:eastAsia="Calibri" w:cs="Calibri" w:asciiTheme="minorAscii" w:hAnsiTheme="minorAscii" w:eastAsiaTheme="minorAscii" w:cstheme="minorAscii"/>
          <w:color w:val="000000" w:themeColor="text1" w:themeTint="FF" w:themeShade="FF"/>
          <w:sz w:val="22"/>
          <w:szCs w:val="22"/>
        </w:rPr>
        <w:t>2001), p. 15</w:t>
      </w:r>
      <w:r w:rsidRPr="64AA8313" w:rsidR="41F46F24">
        <w:rPr>
          <w:rFonts w:ascii="Calibri" w:hAnsi="Calibri" w:eastAsia="Calibri" w:cs="Calibri" w:asciiTheme="minorAscii" w:hAnsiTheme="minorAscii" w:eastAsiaTheme="minorAscii" w:cstheme="minorAscii"/>
          <w:color w:val="000000" w:themeColor="text1" w:themeTint="FF" w:themeShade="FF"/>
          <w:sz w:val="22"/>
          <w:szCs w:val="22"/>
        </w:rPr>
        <w:t>-19</w:t>
      </w:r>
      <w:r w:rsidRPr="64AA8313"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abe463c786624fdf">
        <w:r w:rsidRPr="64AA8313" w:rsidR="0C03BE36">
          <w:rPr>
            <w:rStyle w:val="Hyperlink"/>
            <w:rFonts w:ascii="Calibri" w:hAnsi="Calibri" w:eastAsia="Calibri" w:cs="Calibri" w:asciiTheme="minorAscii" w:hAnsiTheme="minorAscii" w:eastAsiaTheme="minorAscii" w:cstheme="minorAscii"/>
            <w:sz w:val="22"/>
            <w:szCs w:val="22"/>
          </w:rPr>
          <w:t>http</w:t>
        </w:r>
        <w:r w:rsidRPr="64AA8313" w:rsidR="0BDD46AC">
          <w:rPr>
            <w:rStyle w:val="Hyperlink"/>
            <w:rFonts w:ascii="Calibri" w:hAnsi="Calibri" w:eastAsia="Calibri" w:cs="Calibri" w:asciiTheme="minorAscii" w:hAnsiTheme="minorAscii" w:eastAsiaTheme="minorAscii" w:cstheme="minorAscii"/>
            <w:sz w:val="22"/>
            <w:szCs w:val="22"/>
          </w:rPr>
          <w:t>s</w:t>
        </w:r>
        <w:r w:rsidRPr="64AA8313" w:rsidR="0C03BE36">
          <w:rPr>
            <w:rStyle w:val="Hyperlink"/>
            <w:rFonts w:ascii="Calibri" w:hAnsi="Calibri" w:eastAsia="Calibri" w:cs="Calibri" w:asciiTheme="minorAscii" w:hAnsiTheme="minorAscii" w:eastAsiaTheme="minorAscii" w:cstheme="minorAscii"/>
            <w:sz w:val="22"/>
            <w:szCs w:val="22"/>
          </w:rPr>
          <w:t>://www.jstor.org/stable/43597768</w:t>
        </w:r>
      </w:hyperlink>
    </w:p>
    <w:p w:rsidR="64AA8313" w:rsidP="64AA8313" w:rsidRDefault="64AA8313" w14:paraId="5E98D817" w14:textId="6FD454AE">
      <w:pPr>
        <w:pStyle w:val="FootnoteText"/>
        <w:rPr>
          <w:rFonts w:ascii="Calibri" w:hAnsi="Calibri" w:eastAsia="Calibri" w:cs="Calibri" w:asciiTheme="minorAscii" w:hAnsiTheme="minorAscii" w:eastAsiaTheme="minorAscii" w:cstheme="minorAscii"/>
          <w:sz w:val="20"/>
          <w:szCs w:val="20"/>
        </w:rPr>
      </w:pPr>
    </w:p>
    <w:p w:rsidR="1F1B8520" w:rsidP="64AA8313" w:rsidRDefault="1F1B8520" w14:paraId="3B74FEB5" w14:textId="3C35C1DF">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Ramanujan, </w:t>
      </w:r>
      <w:r w:rsidRPr="64AA8313" w:rsidR="1F1B8520">
        <w:rPr>
          <w:rFonts w:ascii="Calibri" w:hAnsi="Calibri" w:eastAsia="Calibri" w:cs="Calibri"/>
          <w:b w:val="0"/>
          <w:bCs w:val="0"/>
          <w:i w:val="0"/>
          <w:iCs w:val="0"/>
          <w:caps w:val="0"/>
          <w:smallCaps w:val="0"/>
          <w:noProof w:val="0"/>
          <w:color w:val="000000" w:themeColor="text1" w:themeTint="FF" w:themeShade="FF"/>
          <w:sz w:val="22"/>
          <w:szCs w:val="22"/>
          <w:lang w:val="en-GB"/>
        </w:rPr>
        <w:t>A. K.,</w:t>
      </w:r>
      <w:r w:rsidRPr="64AA8313"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1F1B8520">
        <w:rPr>
          <w:rFonts w:ascii="Calibri" w:hAnsi="Calibri" w:eastAsia="Calibri" w:cs="Calibri" w:asciiTheme="minorAscii" w:hAnsiTheme="minorAscii" w:eastAsiaTheme="minorAscii" w:cstheme="minorAscii"/>
          <w:i w:val="1"/>
          <w:iCs w:val="1"/>
          <w:color w:val="000000" w:themeColor="text1" w:themeTint="FF" w:themeShade="FF"/>
          <w:sz w:val="22"/>
          <w:szCs w:val="22"/>
        </w:rPr>
        <w:t>Where Mirrors are Windows: Towards an Anthology of Reflections</w:t>
      </w:r>
      <w:r w:rsidRPr="64AA8313"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History of </w:t>
      </w:r>
      <w:r>
        <w:tab/>
      </w:r>
      <w:r>
        <w:tab/>
      </w:r>
      <w:r w:rsidRPr="64AA8313" w:rsidR="1F1B8520">
        <w:rPr>
          <w:rFonts w:ascii="Calibri" w:hAnsi="Calibri" w:eastAsia="Calibri" w:cs="Calibri" w:asciiTheme="minorAscii" w:hAnsiTheme="minorAscii" w:eastAsiaTheme="minorAscii" w:cstheme="minorAscii"/>
          <w:color w:val="000000" w:themeColor="text1" w:themeTint="FF" w:themeShade="FF"/>
          <w:sz w:val="22"/>
          <w:szCs w:val="22"/>
        </w:rPr>
        <w:t>Religions, vol. 28, no. 3, (University of Chicago Press, 1989), p. 18</w:t>
      </w:r>
      <w:r w:rsidRPr="64AA8313" w:rsidR="485B0588">
        <w:rPr>
          <w:rFonts w:ascii="Calibri" w:hAnsi="Calibri" w:eastAsia="Calibri" w:cs="Calibri" w:asciiTheme="minorAscii" w:hAnsiTheme="minorAscii" w:eastAsiaTheme="minorAscii" w:cstheme="minorAscii"/>
          <w:color w:val="000000" w:themeColor="text1" w:themeTint="FF" w:themeShade="FF"/>
          <w:sz w:val="22"/>
          <w:szCs w:val="22"/>
        </w:rPr>
        <w:t>7-216,</w:t>
      </w:r>
      <w:r w:rsidRPr="64AA8313"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tab/>
      </w:r>
      <w:r>
        <w:tab/>
      </w:r>
      <w:r>
        <w:tab/>
      </w:r>
      <w:r>
        <w:tab/>
      </w:r>
      <w:hyperlink r:id="Rbaa9bc5adbe24067">
        <w:r w:rsidRPr="64AA8313" w:rsidR="1F1B8520">
          <w:rPr>
            <w:rStyle w:val="Hyperlink"/>
            <w:rFonts w:ascii="Calibri" w:hAnsi="Calibri" w:eastAsia="Calibri" w:cs="Calibri" w:asciiTheme="minorAscii" w:hAnsiTheme="minorAscii" w:eastAsiaTheme="minorAscii" w:cstheme="minorAscii"/>
            <w:sz w:val="22"/>
            <w:szCs w:val="22"/>
          </w:rPr>
          <w:t>https://www.jstor.org/stable/1062747</w:t>
        </w:r>
      </w:hyperlink>
    </w:p>
    <w:p w:rsidR="7F477765" w:rsidP="64AA8313" w:rsidRDefault="7F477765" w14:paraId="6C220A42" w14:textId="01B809D1">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F477765">
        <w:rPr>
          <w:rFonts w:ascii="Calibri" w:hAnsi="Calibri" w:eastAsia="Calibri" w:cs="Calibri" w:asciiTheme="minorAscii" w:hAnsiTheme="minorAscii" w:eastAsiaTheme="minorAscii" w:cstheme="minorAscii"/>
          <w:color w:val="000000" w:themeColor="text1" w:themeTint="FF" w:themeShade="FF"/>
          <w:sz w:val="22"/>
          <w:szCs w:val="22"/>
        </w:rPr>
        <w:t>Robertson</w:t>
      </w:r>
      <w:r w:rsidRPr="64AA8313" w:rsidR="184036C5">
        <w:rPr>
          <w:rFonts w:ascii="Calibri" w:hAnsi="Calibri" w:eastAsia="Calibri" w:cs="Calibri" w:asciiTheme="minorAscii" w:hAnsiTheme="minorAscii" w:eastAsiaTheme="minorAscii" w:cstheme="minorAscii"/>
          <w:color w:val="000000" w:themeColor="text1" w:themeTint="FF" w:themeShade="FF"/>
          <w:sz w:val="22"/>
          <w:szCs w:val="22"/>
        </w:rPr>
        <w:t xml:space="preserve">, Jennifer, </w:t>
      </w:r>
      <w:r w:rsidRPr="64AA8313" w:rsidR="7F477765">
        <w:rPr>
          <w:rFonts w:ascii="Calibri" w:hAnsi="Calibri" w:eastAsia="Calibri" w:cs="Calibri" w:asciiTheme="minorAscii" w:hAnsiTheme="minorAscii" w:eastAsiaTheme="minorAscii" w:cstheme="minorAscii"/>
          <w:i w:val="1"/>
          <w:iCs w:val="1"/>
          <w:color w:val="000000" w:themeColor="text1" w:themeTint="FF" w:themeShade="FF"/>
          <w:sz w:val="22"/>
          <w:szCs w:val="22"/>
        </w:rPr>
        <w:t>Reflexivity Redux:  A Pithy Polemic on 'Positionality</w:t>
      </w:r>
      <w:r w:rsidRPr="64AA8313" w:rsidR="7F477765">
        <w:rPr>
          <w:rFonts w:ascii="Calibri" w:hAnsi="Calibri" w:eastAsia="Calibri" w:cs="Calibri" w:asciiTheme="minorAscii" w:hAnsiTheme="minorAscii" w:eastAsiaTheme="minorAscii" w:cstheme="minorAscii"/>
          <w:color w:val="000000" w:themeColor="text1" w:themeTint="FF" w:themeShade="FF"/>
          <w:sz w:val="22"/>
          <w:szCs w:val="22"/>
        </w:rPr>
        <w:t xml:space="preserve">, Anthropological Quarterly </w:t>
      </w:r>
      <w:r>
        <w:tab/>
      </w:r>
      <w:r w:rsidRPr="64AA8313" w:rsidR="7F477765">
        <w:rPr>
          <w:rFonts w:ascii="Calibri" w:hAnsi="Calibri" w:eastAsia="Calibri" w:cs="Calibri" w:asciiTheme="minorAscii" w:hAnsiTheme="minorAscii" w:eastAsiaTheme="minorAscii" w:cstheme="minorAscii"/>
          <w:color w:val="000000" w:themeColor="text1" w:themeTint="FF" w:themeShade="FF"/>
          <w:sz w:val="22"/>
          <w:szCs w:val="22"/>
        </w:rPr>
        <w:t>75, no. 4, (The George Washington University Institute, 2002), p. 78</w:t>
      </w:r>
      <w:r w:rsidRPr="64AA8313" w:rsidR="5985308A">
        <w:rPr>
          <w:rFonts w:ascii="Calibri" w:hAnsi="Calibri" w:eastAsia="Calibri" w:cs="Calibri" w:asciiTheme="minorAscii" w:hAnsiTheme="minorAscii" w:eastAsiaTheme="minorAscii" w:cstheme="minorAscii"/>
          <w:color w:val="000000" w:themeColor="text1" w:themeTint="FF" w:themeShade="FF"/>
          <w:sz w:val="22"/>
          <w:szCs w:val="22"/>
        </w:rPr>
        <w:t>5-792,</w:t>
      </w:r>
      <w:r>
        <w:tab/>
      </w:r>
      <w:r>
        <w:tab/>
      </w:r>
      <w:r>
        <w:tab/>
      </w:r>
      <w:r>
        <w:tab/>
      </w:r>
      <w:hyperlink r:id="Ra1a4bb68e5c141a7">
        <w:r w:rsidRPr="64AA8313" w:rsidR="7F477765">
          <w:rPr>
            <w:rStyle w:val="Hyperlink"/>
            <w:rFonts w:ascii="Calibri" w:hAnsi="Calibri" w:eastAsia="Calibri" w:cs="Calibri" w:asciiTheme="minorAscii" w:hAnsiTheme="minorAscii" w:eastAsiaTheme="minorAscii" w:cstheme="minorAscii"/>
            <w:sz w:val="22"/>
            <w:szCs w:val="22"/>
          </w:rPr>
          <w:t>https://www.jstor.org/3318171</w:t>
        </w:r>
      </w:hyperlink>
      <w:r w:rsidRPr="64AA8313" w:rsidR="490667CA">
        <w:rPr>
          <w:rFonts w:ascii="Calibri" w:hAnsi="Calibri" w:eastAsia="Calibri" w:cs="Calibri" w:asciiTheme="minorAscii" w:hAnsiTheme="minorAscii" w:eastAsiaTheme="minorAscii" w:cstheme="minorAscii"/>
          <w:sz w:val="22"/>
          <w:szCs w:val="22"/>
        </w:rPr>
        <w:t>.</w:t>
      </w:r>
      <w:r w:rsidRPr="64AA8313" w:rsidR="0E11E360">
        <w:rPr>
          <w:rFonts w:ascii="Calibri" w:hAnsi="Calibri" w:eastAsia="Calibri" w:cs="Calibri" w:asciiTheme="minorAscii" w:hAnsiTheme="minorAscii" w:eastAsiaTheme="minorAscii" w:cstheme="minorAscii"/>
          <w:sz w:val="22"/>
          <w:szCs w:val="22"/>
        </w:rPr>
        <w:t xml:space="preserve"> </w:t>
      </w:r>
    </w:p>
    <w:p w:rsidR="64AA8313" w:rsidP="64AA8313" w:rsidRDefault="64AA8313" w14:paraId="2E33565F" w14:textId="3A01B251">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p>
    <w:p w:rsidR="4B23A130" w:rsidP="64AA8313" w:rsidRDefault="4B23A130" w14:paraId="39C1EB7E" w14:textId="5064912E">
      <w:pPr>
        <w:pStyle w:val="FootnoteText"/>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pPr>
      <w:r w:rsidRPr="64AA8313" w:rsidR="4B23A130">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t>Secondary Sources</w:t>
      </w:r>
    </w:p>
    <w:p w:rsidR="64AA8313" w:rsidP="64AA8313" w:rsidRDefault="64AA8313" w14:paraId="14117AB3" w14:textId="4D3F72F4">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p>
    <w:p w:rsidR="475A932C" w:rsidP="64AA8313" w:rsidRDefault="475A932C" w14:paraId="732250A0" w14:textId="3304AFF3">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Brennan, Chris, </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Hellenistic Astrology: The Study of </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Fate</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and Fortune</w:t>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(Colorado: Amor Fati </w:t>
      </w:r>
      <w:r>
        <w:tab/>
      </w:r>
      <w:r>
        <w:tab/>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Publications, 2017)</w:t>
      </w:r>
    </w:p>
    <w:p w:rsidR="475A932C" w:rsidP="64AA8313" w:rsidRDefault="475A932C" w14:paraId="63EFDF66" w14:textId="7F41C9A6">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4AA8313" w:rsidR="475A932C">
        <w:rPr>
          <w:rFonts w:ascii="Calibri" w:hAnsi="Calibri" w:eastAsia="Calibri" w:cs="Calibri"/>
          <w:b w:val="0"/>
          <w:bCs w:val="0"/>
          <w:i w:val="0"/>
          <w:iCs w:val="0"/>
          <w:caps w:val="0"/>
          <w:smallCaps w:val="0"/>
          <w:noProof w:val="0"/>
          <w:color w:val="000000" w:themeColor="text1" w:themeTint="FF" w:themeShade="FF"/>
          <w:sz w:val="22"/>
          <w:szCs w:val="22"/>
          <w:lang w:val="en-GB"/>
        </w:rPr>
        <w:t>Nicholas,</w:t>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 History of Western Astrology Volume I: The Ancient World</w:t>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(London, New York: </w:t>
      </w:r>
      <w:r>
        <w:tab/>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Bloomsbury, 2012)</w:t>
      </w:r>
    </w:p>
    <w:p w:rsidR="475A932C" w:rsidP="64AA8313" w:rsidRDefault="475A932C" w14:paraId="056FBB48" w14:textId="231A8DFA">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4AA8313" w:rsidR="475A93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 History of Western Astrology Volume II: The Medieval and Modern World</w:t>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w:t>
      </w:r>
      <w:r>
        <w:tab/>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w:t>
      </w:r>
      <w:r>
        <w:tab/>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London, New York: Bloomsbury, 2013)</w:t>
      </w:r>
    </w:p>
    <w:p w:rsidR="475A932C" w:rsidP="64AA8313" w:rsidRDefault="475A932C" w14:paraId="77A32198" w14:textId="657F1723">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4AA8313" w:rsidR="475A93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w:t>
      </w:r>
      <w:r w:rsidRPr="64AA8313"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Astrology and Cosmology in the World's Religions</w:t>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(London, New York: New York </w:t>
      </w:r>
      <w:r>
        <w:tab/>
      </w:r>
      <w:r w:rsidRPr="64AA8313" w:rsidR="475A932C">
        <w:rPr>
          <w:rFonts w:ascii="Calibri" w:hAnsi="Calibri" w:eastAsia="Calibri" w:cs="Calibri" w:asciiTheme="minorAscii" w:hAnsiTheme="minorAscii" w:eastAsiaTheme="minorAscii" w:cstheme="minorAscii"/>
          <w:color w:val="000000" w:themeColor="text1" w:themeTint="FF" w:themeShade="FF"/>
          <w:sz w:val="22"/>
          <w:szCs w:val="22"/>
        </w:rPr>
        <w:t>University Press, 2012)</w:t>
      </w:r>
    </w:p>
    <w:p w:rsidR="4650322D" w:rsidP="64AA8313" w:rsidRDefault="4650322D" w14:paraId="005714E8" w14:textId="10C24E7E">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4650322D">
        <w:rPr>
          <w:rFonts w:ascii="Calibri" w:hAnsi="Calibri" w:eastAsia="Calibri" w:cs="Calibri" w:asciiTheme="minorAscii" w:hAnsiTheme="minorAscii" w:eastAsiaTheme="minorAscii" w:cstheme="minorAscii"/>
          <w:color w:val="000000" w:themeColor="text1" w:themeTint="FF" w:themeShade="FF"/>
          <w:sz w:val="22"/>
          <w:szCs w:val="22"/>
        </w:rPr>
        <w:t>Davies</w:t>
      </w:r>
      <w:r w:rsidRPr="64AA8313" w:rsidR="3A02C40D">
        <w:rPr>
          <w:rFonts w:ascii="Calibri" w:hAnsi="Calibri" w:eastAsia="Calibri" w:cs="Calibri" w:asciiTheme="minorAscii" w:hAnsiTheme="minorAscii" w:eastAsiaTheme="minorAscii" w:cstheme="minorAscii"/>
          <w:color w:val="000000" w:themeColor="text1" w:themeTint="FF" w:themeShade="FF"/>
          <w:sz w:val="22"/>
          <w:szCs w:val="22"/>
        </w:rPr>
        <w:t>, Charlotte Aull,</w:t>
      </w:r>
      <w:r w:rsidRPr="64AA8313" w:rsidR="4650322D">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4650322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Reflective Ethnography: A Guide to Researching Self and Others, </w:t>
      </w:r>
      <w:r w:rsidRPr="64AA8313" w:rsidR="4650322D">
        <w:rPr>
          <w:rFonts w:ascii="Calibri" w:hAnsi="Calibri" w:eastAsia="Calibri" w:cs="Calibri" w:asciiTheme="minorAscii" w:hAnsiTheme="minorAscii" w:eastAsiaTheme="minorAscii" w:cstheme="minorAscii"/>
          <w:color w:val="000000" w:themeColor="text1" w:themeTint="FF" w:themeShade="FF"/>
          <w:sz w:val="22"/>
          <w:szCs w:val="22"/>
        </w:rPr>
        <w:t xml:space="preserve">(London: </w:t>
      </w:r>
      <w:r>
        <w:tab/>
      </w:r>
      <w:r>
        <w:tab/>
      </w:r>
      <w:r w:rsidRPr="64AA8313" w:rsidR="4650322D">
        <w:rPr>
          <w:rFonts w:ascii="Calibri" w:hAnsi="Calibri" w:eastAsia="Calibri" w:cs="Calibri" w:asciiTheme="minorAscii" w:hAnsiTheme="minorAscii" w:eastAsiaTheme="minorAscii" w:cstheme="minorAscii"/>
          <w:color w:val="000000" w:themeColor="text1" w:themeTint="FF" w:themeShade="FF"/>
          <w:sz w:val="22"/>
          <w:szCs w:val="22"/>
        </w:rPr>
        <w:t>Routledge, 1999)</w:t>
      </w:r>
    </w:p>
    <w:p w:rsidR="78448B3F" w:rsidP="64AA8313" w:rsidRDefault="78448B3F" w14:paraId="3083FF19" w14:textId="7267333E">
      <w:pPr>
        <w:pStyle w:val="FootnoteText"/>
        <w:spacing w:after="160" w:afterAutospacing="off"/>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78448B3F">
        <w:rPr>
          <w:rFonts w:ascii="Calibri" w:hAnsi="Calibri" w:eastAsia="Calibri" w:cs="Calibri" w:asciiTheme="minorAscii" w:hAnsiTheme="minorAscii" w:eastAsiaTheme="minorAscii" w:cstheme="minorAscii"/>
          <w:color w:val="000000" w:themeColor="text1" w:themeTint="FF" w:themeShade="FF"/>
          <w:sz w:val="22"/>
          <w:szCs w:val="22"/>
        </w:rPr>
        <w:t>Harris</w:t>
      </w:r>
      <w:r w:rsidRPr="64AA8313" w:rsidR="2821615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28216156">
        <w:rPr>
          <w:rFonts w:ascii="Calibri" w:hAnsi="Calibri" w:eastAsia="Calibri" w:cs="Calibri"/>
          <w:b w:val="0"/>
          <w:bCs w:val="0"/>
          <w:i w:val="0"/>
          <w:iCs w:val="0"/>
          <w:caps w:val="0"/>
          <w:smallCaps w:val="0"/>
          <w:noProof w:val="0"/>
          <w:color w:val="000000" w:themeColor="text1" w:themeTint="FF" w:themeShade="FF"/>
          <w:sz w:val="22"/>
          <w:szCs w:val="22"/>
          <w:lang w:val="en-GB"/>
        </w:rPr>
        <w:t>Alexander,</w:t>
      </w:r>
      <w:r w:rsidRPr="64AA8313"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78448B3F">
        <w:rPr>
          <w:rFonts w:ascii="Calibri" w:hAnsi="Calibri" w:eastAsia="Calibri" w:cs="Calibri" w:asciiTheme="minorAscii" w:hAnsiTheme="minorAscii" w:eastAsiaTheme="minorAscii" w:cstheme="minorAscii"/>
          <w:i w:val="1"/>
          <w:iCs w:val="1"/>
          <w:color w:val="000000" w:themeColor="text1" w:themeTint="FF" w:themeShade="FF"/>
          <w:sz w:val="22"/>
          <w:szCs w:val="22"/>
        </w:rPr>
        <w:t>Weatherland: Writers and Artists Under English Skies</w:t>
      </w:r>
      <w:r w:rsidRPr="64AA8313"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 (London: Thames &amp; Hudson, </w:t>
      </w:r>
      <w:r>
        <w:tab/>
      </w:r>
      <w:r w:rsidRPr="64AA8313"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2015) </w:t>
      </w:r>
    </w:p>
    <w:p w:rsidR="0D271B2F" w:rsidP="64AA8313" w:rsidRDefault="0D271B2F" w14:paraId="656F630A" w14:textId="07E9C602">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0D271B2F">
        <w:rPr>
          <w:rFonts w:ascii="Calibri" w:hAnsi="Calibri" w:eastAsia="Calibri" w:cs="Calibri" w:asciiTheme="minorAscii" w:hAnsiTheme="minorAscii" w:eastAsiaTheme="minorAscii" w:cstheme="minorAscii"/>
          <w:color w:val="000000" w:themeColor="text1" w:themeTint="FF" w:themeShade="FF"/>
          <w:sz w:val="22"/>
          <w:szCs w:val="22"/>
        </w:rPr>
        <w:t>Greene</w:t>
      </w:r>
      <w:r w:rsidRPr="64AA8313" w:rsidR="4F12DA8D">
        <w:rPr>
          <w:rFonts w:ascii="Calibri" w:hAnsi="Calibri" w:eastAsia="Calibri" w:cs="Calibri" w:asciiTheme="minorAscii" w:hAnsiTheme="minorAscii" w:eastAsiaTheme="minorAscii" w:cstheme="minorAscii"/>
          <w:color w:val="000000" w:themeColor="text1" w:themeTint="FF" w:themeShade="FF"/>
          <w:sz w:val="22"/>
          <w:szCs w:val="22"/>
        </w:rPr>
        <w:t>, Liz,</w:t>
      </w:r>
      <w:r w:rsidRPr="64AA8313" w:rsidR="0D271B2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0D271B2F">
        <w:rPr>
          <w:rFonts w:ascii="Calibri" w:hAnsi="Calibri" w:eastAsia="Calibri" w:cs="Calibri" w:asciiTheme="minorAscii" w:hAnsiTheme="minorAscii" w:eastAsiaTheme="minorAscii" w:cstheme="minorAscii"/>
          <w:i w:val="1"/>
          <w:iCs w:val="1"/>
          <w:color w:val="000000" w:themeColor="text1" w:themeTint="FF" w:themeShade="FF"/>
          <w:sz w:val="22"/>
          <w:szCs w:val="22"/>
        </w:rPr>
        <w:t>Saturn: A New Look at an Old Devil</w:t>
      </w:r>
      <w:r w:rsidRPr="64AA8313" w:rsidR="0D271B2F">
        <w:rPr>
          <w:rFonts w:ascii="Calibri" w:hAnsi="Calibri" w:eastAsia="Calibri" w:cs="Calibri" w:asciiTheme="minorAscii" w:hAnsiTheme="minorAscii" w:eastAsiaTheme="minorAscii" w:cstheme="minorAscii"/>
          <w:color w:val="000000" w:themeColor="text1" w:themeTint="FF" w:themeShade="FF"/>
          <w:sz w:val="22"/>
          <w:szCs w:val="22"/>
        </w:rPr>
        <w:t>, (London: Penguin Group, 1990), p. 10.</w:t>
      </w:r>
    </w:p>
    <w:p w:rsidR="679BBA2F" w:rsidP="64AA8313" w:rsidRDefault="679BBA2F" w14:paraId="6D4E674A" w14:textId="104916C2">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679BBA2F">
        <w:rPr>
          <w:rFonts w:ascii="Calibri" w:hAnsi="Calibri" w:eastAsia="Calibri" w:cs="Calibri" w:asciiTheme="minorAscii" w:hAnsiTheme="minorAscii" w:eastAsiaTheme="minorAscii" w:cstheme="minorAscii"/>
          <w:color w:val="000000" w:themeColor="text1" w:themeTint="FF" w:themeShade="FF"/>
          <w:sz w:val="22"/>
          <w:szCs w:val="22"/>
        </w:rPr>
        <w:t>Gunzburg</w:t>
      </w:r>
      <w:r w:rsidRPr="64AA8313" w:rsidR="0750656B">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0750656B">
        <w:rPr>
          <w:rFonts w:ascii="Calibri" w:hAnsi="Calibri" w:eastAsia="Calibri" w:cs="Calibri"/>
          <w:b w:val="0"/>
          <w:bCs w:val="0"/>
          <w:i w:val="0"/>
          <w:iCs w:val="0"/>
          <w:caps w:val="0"/>
          <w:smallCaps w:val="0"/>
          <w:noProof w:val="0"/>
          <w:color w:val="000000" w:themeColor="text1" w:themeTint="FF" w:themeShade="FF"/>
          <w:sz w:val="22"/>
          <w:szCs w:val="22"/>
          <w:lang w:val="en-GB"/>
        </w:rPr>
        <w:t>Darrelyn,</w:t>
      </w:r>
      <w:r w:rsidRPr="64AA8313" w:rsidR="679BBA2F">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The imagined Sky: Cultural Perspectives</w:t>
      </w:r>
      <w:r w:rsidRPr="64AA8313" w:rsidR="679BBA2F">
        <w:rPr>
          <w:rFonts w:ascii="Calibri" w:hAnsi="Calibri" w:eastAsia="Calibri" w:cs="Calibri" w:asciiTheme="minorAscii" w:hAnsiTheme="minorAscii" w:eastAsiaTheme="minorAscii" w:cstheme="minorAscii"/>
          <w:color w:val="000000" w:themeColor="text1" w:themeTint="FF" w:themeShade="FF"/>
          <w:sz w:val="22"/>
          <w:szCs w:val="22"/>
        </w:rPr>
        <w:t xml:space="preserve">, (Sheffield, Bristol: Equinox Publishing </w:t>
      </w:r>
      <w:r>
        <w:tab/>
      </w:r>
      <w:r w:rsidRPr="64AA8313" w:rsidR="679BBA2F">
        <w:rPr>
          <w:rFonts w:ascii="Calibri" w:hAnsi="Calibri" w:eastAsia="Calibri" w:cs="Calibri" w:asciiTheme="minorAscii" w:hAnsiTheme="minorAscii" w:eastAsiaTheme="minorAscii" w:cstheme="minorAscii"/>
          <w:color w:val="000000" w:themeColor="text1" w:themeTint="FF" w:themeShade="FF"/>
          <w:sz w:val="22"/>
          <w:szCs w:val="22"/>
        </w:rPr>
        <w:t>Ltd, 2016)</w:t>
      </w:r>
    </w:p>
    <w:p w:rsidR="1A640B1F" w:rsidP="64AA8313" w:rsidRDefault="1A640B1F" w14:paraId="38D7195B" w14:textId="7CEF59AA">
      <w:pPr>
        <w:pStyle w:val="Normal"/>
        <w:bidi w:val="0"/>
        <w:jc w:val="both"/>
        <w:rPr>
          <w:rFonts w:ascii="Calibri" w:hAnsi="Calibri" w:eastAsia="Calibri" w:cs="Calibri" w:asciiTheme="minorAscii" w:hAnsiTheme="minorAscii" w:eastAsiaTheme="minorAscii" w:cstheme="minorAscii"/>
          <w:sz w:val="22"/>
          <w:szCs w:val="22"/>
        </w:rPr>
      </w:pPr>
      <w:r w:rsidRPr="64AA8313" w:rsidR="1A640B1F">
        <w:rPr>
          <w:rFonts w:ascii="Calibri" w:hAnsi="Calibri" w:eastAsia="Calibri" w:cs="Calibri" w:asciiTheme="minorAscii" w:hAnsiTheme="minorAscii" w:eastAsiaTheme="minorAscii" w:cstheme="minorAscii"/>
          <w:sz w:val="22"/>
          <w:szCs w:val="22"/>
        </w:rPr>
        <w:t>Merriam Webster: An Encyclopaedia Britannica Company,</w:t>
      </w:r>
      <w:r w:rsidRPr="64AA8313" w:rsidR="1A640B1F">
        <w:rPr>
          <w:rFonts w:ascii="Calibri" w:hAnsi="Calibri" w:eastAsia="Calibri" w:cs="Calibri" w:asciiTheme="minorAscii" w:hAnsiTheme="minorAscii" w:eastAsiaTheme="minorAscii" w:cstheme="minorAscii"/>
          <w:i w:val="1"/>
          <w:iCs w:val="1"/>
          <w:sz w:val="22"/>
          <w:szCs w:val="22"/>
        </w:rPr>
        <w:t xml:space="preserve"> Search for a Word </w:t>
      </w:r>
      <w:r>
        <w:tab/>
      </w:r>
      <w:r>
        <w:tab/>
      </w:r>
      <w:r>
        <w:tab/>
      </w:r>
      <w:r>
        <w:tab/>
      </w:r>
      <w:r w:rsidRPr="64AA8313" w:rsidR="1A640B1F">
        <w:rPr>
          <w:rFonts w:ascii="Calibri" w:hAnsi="Calibri" w:eastAsia="Calibri" w:cs="Calibri" w:asciiTheme="minorAscii" w:hAnsiTheme="minorAscii" w:eastAsiaTheme="minorAscii" w:cstheme="minorAscii"/>
          <w:i w:val="0"/>
          <w:iCs w:val="0"/>
          <w:sz w:val="22"/>
          <w:szCs w:val="22"/>
        </w:rPr>
        <w:t xml:space="preserve">(1828) </w:t>
      </w:r>
      <w:hyperlink r:id="Re50c434433d14df5">
        <w:r w:rsidRPr="64AA8313" w:rsidR="1A640B1F">
          <w:rPr>
            <w:rStyle w:val="Hyperlink"/>
            <w:rFonts w:ascii="Calibri" w:hAnsi="Calibri" w:eastAsia="Calibri" w:cs="Calibri" w:asciiTheme="minorAscii" w:hAnsiTheme="minorAscii" w:eastAsiaTheme="minorAscii" w:cstheme="minorAscii"/>
            <w:strike w:val="0"/>
            <w:dstrike w:val="0"/>
            <w:noProof w:val="0"/>
            <w:sz w:val="22"/>
            <w:szCs w:val="22"/>
            <w:lang w:val="en-GB"/>
          </w:rPr>
          <w:t>https://www.merriam-webster.com/dictionary/obnubilate</w:t>
        </w:r>
      </w:hyperlink>
      <w:r w:rsidRPr="64AA8313" w:rsidR="1A640B1F">
        <w:rPr>
          <w:rFonts w:ascii="Calibri" w:hAnsi="Calibri" w:eastAsia="Calibri" w:cs="Calibri" w:asciiTheme="minorAscii" w:hAnsiTheme="minorAscii" w:eastAsiaTheme="minorAscii" w:cstheme="minorAscii"/>
          <w:strike w:val="0"/>
          <w:dstrike w:val="0"/>
          <w:noProof w:val="0"/>
          <w:sz w:val="22"/>
          <w:szCs w:val="22"/>
          <w:lang w:val="en-GB"/>
        </w:rPr>
        <w:t xml:space="preserve"> {accessed 14 November </w:t>
      </w:r>
      <w:r>
        <w:tab/>
      </w:r>
      <w:r w:rsidRPr="64AA8313" w:rsidR="1A640B1F">
        <w:rPr>
          <w:rFonts w:ascii="Calibri" w:hAnsi="Calibri" w:eastAsia="Calibri" w:cs="Calibri" w:asciiTheme="minorAscii" w:hAnsiTheme="minorAscii" w:eastAsiaTheme="minorAscii" w:cstheme="minorAscii"/>
          <w:strike w:val="0"/>
          <w:dstrike w:val="0"/>
          <w:noProof w:val="0"/>
          <w:sz w:val="22"/>
          <w:szCs w:val="22"/>
          <w:lang w:val="en-GB"/>
        </w:rPr>
        <w:t>2021}</w:t>
      </w:r>
    </w:p>
    <w:p w:rsidR="5796FDD8" w:rsidP="64AA8313" w:rsidRDefault="5796FDD8" w14:paraId="090C9027" w14:textId="7B6159CF">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4AA8313" w:rsidR="5796FDD8">
        <w:rPr>
          <w:rFonts w:ascii="Calibri" w:hAnsi="Calibri" w:eastAsia="Calibri" w:cs="Calibri" w:asciiTheme="minorAscii" w:hAnsiTheme="minorAscii" w:eastAsiaTheme="minorAscii" w:cstheme="minorAscii"/>
          <w:color w:val="000000" w:themeColor="text1" w:themeTint="FF" w:themeShade="FF"/>
          <w:sz w:val="22"/>
          <w:szCs w:val="22"/>
        </w:rPr>
        <w:t>Schön</w:t>
      </w:r>
      <w:r w:rsidRPr="64AA8313" w:rsidR="6B69F831">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6B69F831">
        <w:rPr>
          <w:rFonts w:ascii="Calibri" w:hAnsi="Calibri" w:eastAsia="Calibri" w:cs="Calibri"/>
          <w:b w:val="0"/>
          <w:bCs w:val="0"/>
          <w:i w:val="0"/>
          <w:iCs w:val="0"/>
          <w:caps w:val="0"/>
          <w:smallCaps w:val="0"/>
          <w:noProof w:val="0"/>
          <w:color w:val="000000" w:themeColor="text1" w:themeTint="FF" w:themeShade="FF"/>
          <w:sz w:val="22"/>
          <w:szCs w:val="22"/>
          <w:lang w:val="en-GB"/>
        </w:rPr>
        <w:t>Donald A.,</w:t>
      </w:r>
      <w:r w:rsidRPr="64AA8313" w:rsidR="5796FDD8">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4AA8313" w:rsidR="5796FDD8">
        <w:rPr>
          <w:rFonts w:ascii="Calibri" w:hAnsi="Calibri" w:eastAsia="Calibri" w:cs="Calibri" w:asciiTheme="minorAscii" w:hAnsiTheme="minorAscii" w:eastAsiaTheme="minorAscii" w:cstheme="minorAscii"/>
          <w:i w:val="1"/>
          <w:iCs w:val="1"/>
          <w:color w:val="000000" w:themeColor="text1" w:themeTint="FF" w:themeShade="FF"/>
          <w:sz w:val="22"/>
          <w:szCs w:val="22"/>
        </w:rPr>
        <w:t>The Reflective Practitioner: How Professionals Think in Action</w:t>
      </w:r>
      <w:r w:rsidRPr="64AA8313" w:rsidR="5796FDD8">
        <w:rPr>
          <w:rFonts w:ascii="Calibri" w:hAnsi="Calibri" w:eastAsia="Calibri" w:cs="Calibri" w:asciiTheme="minorAscii" w:hAnsiTheme="minorAscii" w:eastAsiaTheme="minorAscii" w:cstheme="minorAscii"/>
          <w:color w:val="000000" w:themeColor="text1" w:themeTint="FF" w:themeShade="FF"/>
          <w:sz w:val="22"/>
          <w:szCs w:val="22"/>
        </w:rPr>
        <w:t xml:space="preserve">, (Basic Books Inc, </w:t>
      </w:r>
      <w:r>
        <w:tab/>
      </w:r>
      <w:r w:rsidRPr="64AA8313" w:rsidR="5796FDD8">
        <w:rPr>
          <w:rFonts w:ascii="Calibri" w:hAnsi="Calibri" w:eastAsia="Calibri" w:cs="Calibri" w:asciiTheme="minorAscii" w:hAnsiTheme="minorAscii" w:eastAsiaTheme="minorAscii" w:cstheme="minorAscii"/>
          <w:color w:val="000000" w:themeColor="text1" w:themeTint="FF" w:themeShade="FF"/>
          <w:sz w:val="22"/>
          <w:szCs w:val="22"/>
        </w:rPr>
        <w:t>1984</w:t>
      </w:r>
      <w:r w:rsidRPr="64AA8313" w:rsidR="0F8A4B7F">
        <w:rPr>
          <w:rFonts w:ascii="Calibri" w:hAnsi="Calibri" w:eastAsia="Calibri" w:cs="Calibri" w:asciiTheme="minorAscii" w:hAnsiTheme="minorAscii" w:eastAsiaTheme="minorAscii" w:cstheme="minorAscii"/>
          <w:color w:val="000000" w:themeColor="text1" w:themeTint="FF" w:themeShade="FF"/>
          <w:sz w:val="22"/>
          <w:szCs w:val="22"/>
        </w:rPr>
        <w:t>)</w:t>
      </w:r>
    </w:p>
    <w:p w:rsidR="64AA8313" w:rsidP="64AA8313" w:rsidRDefault="64AA8313" w14:paraId="66BB3CD4" w14:textId="0AE01724">
      <w:pPr>
        <w:pStyle w:val="Normal"/>
        <w:jc w:val="both"/>
        <w:rPr>
          <w:rFonts w:ascii="Calibri" w:hAnsi="Calibri" w:eastAsia="Calibri" w:cs="Calibri"/>
          <w:color w:val="000000" w:themeColor="text1" w:themeTint="FF" w:themeShade="FF"/>
        </w:rPr>
      </w:pPr>
    </w:p>
    <w:sectPr w:rsidR="00B25330">
      <w:pgSz w:w="11906" w:h="16838" w:orient="portrait"/>
      <w:pgMar w:top="1440" w:right="1440" w:bottom="1440" w:left="1440" w:header="720" w:footer="720" w:gutter="0"/>
      <w:cols w:space="720"/>
      <w:docGrid w:linePitch="360"/>
      <w:headerReference w:type="default" r:id="R4c098b9a20f54ac3"/>
      <w:footerReference w:type="default" r:id="Ref96752021154c6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3468" w:rsidRDefault="00C53468" w14:paraId="67893A36" w14:textId="77777777">
      <w:pPr>
        <w:spacing w:after="0" w:line="240" w:lineRule="auto"/>
      </w:pPr>
      <w:r>
        <w:separator/>
      </w:r>
    </w:p>
  </w:endnote>
  <w:endnote w:type="continuationSeparator" w:id="0">
    <w:p w:rsidR="00C53468" w:rsidRDefault="00C53468" w14:paraId="0CC6DA3C" w14:textId="77777777">
      <w:pPr>
        <w:spacing w:after="0" w:line="240" w:lineRule="auto"/>
      </w:pPr>
      <w:r>
        <w:continuationSeparator/>
      </w:r>
    </w:p>
  </w:endnote>
  <w:endnote w:type="continuationNotice" w:id="1">
    <w:p w:rsidR="00C53468" w:rsidRDefault="00C53468" w14:paraId="5D544B1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AA8313" w:rsidTr="64AA8313" w14:paraId="013EF6BB">
      <w:tc>
        <w:tcPr>
          <w:tcW w:w="3005" w:type="dxa"/>
          <w:tcMar/>
        </w:tcPr>
        <w:p w:rsidR="64AA8313" w:rsidP="64AA8313" w:rsidRDefault="64AA8313" w14:paraId="7B37C9AA" w14:textId="5E165748">
          <w:pPr>
            <w:pStyle w:val="Header"/>
            <w:bidi w:val="0"/>
            <w:ind w:left="-115"/>
            <w:jc w:val="left"/>
          </w:pPr>
        </w:p>
      </w:tc>
      <w:tc>
        <w:tcPr>
          <w:tcW w:w="3005" w:type="dxa"/>
          <w:tcMar/>
        </w:tcPr>
        <w:p w:rsidR="64AA8313" w:rsidP="64AA8313" w:rsidRDefault="64AA8313" w14:paraId="1C8FAFD1" w14:textId="15523F48">
          <w:pPr>
            <w:pStyle w:val="Header"/>
            <w:bidi w:val="0"/>
            <w:jc w:val="center"/>
          </w:pPr>
        </w:p>
      </w:tc>
      <w:tc>
        <w:tcPr>
          <w:tcW w:w="3005" w:type="dxa"/>
          <w:tcMar/>
        </w:tcPr>
        <w:p w:rsidR="64AA8313" w:rsidP="64AA8313" w:rsidRDefault="64AA8313" w14:paraId="6C705F7F" w14:textId="28A828AA">
          <w:pPr>
            <w:pStyle w:val="Header"/>
            <w:bidi w:val="0"/>
            <w:ind w:right="-115"/>
            <w:jc w:val="right"/>
          </w:pPr>
          <w:r>
            <w:fldChar w:fldCharType="begin"/>
          </w:r>
          <w:r>
            <w:instrText xml:space="preserve">PAGE</w:instrText>
          </w:r>
          <w:r>
            <w:fldChar w:fldCharType="separate"/>
          </w:r>
          <w:r>
            <w:fldChar w:fldCharType="end"/>
          </w:r>
        </w:p>
      </w:tc>
    </w:tr>
  </w:tbl>
  <w:p w:rsidR="64AA8313" w:rsidP="64AA8313" w:rsidRDefault="64AA8313" w14:paraId="04A69D78" w14:textId="256A64A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536292E" w:rsidRDefault="0536292E" w14:paraId="1B71F8D6" w14:textId="7C3DB5A6">
      <w:pPr>
        <w:spacing w:after="0" w:line="240" w:lineRule="auto"/>
      </w:pPr>
      <w:r>
        <w:separator/>
      </w:r>
    </w:p>
  </w:footnote>
  <w:footnote w:type="continuationSeparator" w:id="0">
    <w:p w:rsidR="0536292E" w:rsidRDefault="0536292E" w14:paraId="12AF3F9C" w14:textId="4BEC05BB">
      <w:pPr>
        <w:spacing w:after="0" w:line="240" w:lineRule="auto"/>
      </w:pPr>
      <w:r>
        <w:continuationSeparator/>
      </w:r>
    </w:p>
  </w:footnote>
  <w:footnote w:type="continuationNotice" w:id="1">
    <w:p w:rsidR="00C53468" w:rsidRDefault="00C53468" w14:paraId="2DA2F3E3" w14:textId="77777777">
      <w:pPr>
        <w:spacing w:after="0" w:line="240" w:lineRule="auto"/>
      </w:pPr>
    </w:p>
  </w:footnote>
  <w:footnote w:id="2">
    <w:p w:rsidR="0536292E" w:rsidP="0536292E" w:rsidRDefault="0536292E" w14:paraId="4EE095C7" w14:textId="6C511C98">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3">
    <w:p w:rsidR="0536292E" w:rsidP="0536292E" w:rsidRDefault="0536292E" w14:paraId="235F6E9F" w14:textId="48828965">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Fred Schaaf</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Starry Room: Naked Eye Astronomy in the Intimate Universe</w:t>
      </w:r>
      <w:r w:rsidRPr="0536292E" w:rsidR="64AA8313">
        <w:rPr>
          <w:rFonts w:ascii="Calibri" w:hAnsi="Calibri" w:eastAsia="Calibri" w:cs="Calibri"/>
          <w:color w:val="000000" w:themeColor="text1"/>
        </w:rPr>
        <w:t xml:space="preserve">, (New York: Wiley Science Editions, 1990), p. 18. </w:t>
      </w:r>
    </w:p>
  </w:footnote>
  <w:footnote w:id="4">
    <w:p w:rsidR="0536292E" w:rsidP="0536292E" w:rsidRDefault="0536292E" w14:paraId="6336B628" w14:textId="5D8FE6C7">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Annelies Moors</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 xml:space="preserve">On Autoethnography, </w:t>
      </w:r>
      <w:r w:rsidRPr="0536292E" w:rsidR="64AA8313">
        <w:rPr>
          <w:rFonts w:ascii="Calibri" w:hAnsi="Calibri" w:eastAsia="Calibri" w:cs="Calibri"/>
          <w:color w:val="000000" w:themeColor="text1"/>
        </w:rPr>
        <w:t xml:space="preserve">Ethnography, vol. 18, no. 3, (Sage Publications, 2017) pp. 387-89. </w:t>
      </w:r>
    </w:p>
    <w:p w:rsidR="0536292E" w:rsidP="0536292E" w:rsidRDefault="00C53468" w14:paraId="0E8766C5" w14:textId="49FF219E">
      <w:pPr>
        <w:pStyle w:val="FootnoteText"/>
        <w:rPr>
          <w:rFonts w:ascii="Calibri" w:hAnsi="Calibri" w:eastAsia="Calibri" w:cs="Calibri"/>
          <w:color w:val="000000" w:themeColor="text1"/>
        </w:rPr>
      </w:pPr>
      <w:hyperlink r:id="rId1">
        <w:r w:rsidRPr="0536292E" w:rsidR="0536292E">
          <w:rPr>
            <w:rStyle w:val="Hyperlink"/>
            <w:rFonts w:ascii="Calibri" w:hAnsi="Calibri" w:eastAsia="Calibri" w:cs="Calibri"/>
          </w:rPr>
          <w:t>https://www.jstor.org/stable/26359189</w:t>
        </w:r>
      </w:hyperlink>
      <w:r w:rsidRPr="0536292E" w:rsidR="0536292E">
        <w:rPr>
          <w:rFonts w:ascii="Calibri" w:hAnsi="Calibri" w:eastAsia="Calibri" w:cs="Calibri"/>
          <w:color w:val="000000" w:themeColor="text1"/>
        </w:rPr>
        <w:t>.</w:t>
      </w:r>
    </w:p>
  </w:footnote>
  <w:footnote w:id="5">
    <w:p w:rsidR="0536292E" w:rsidP="0536292E" w:rsidRDefault="0536292E" w14:paraId="1F6EFF37" w14:textId="7C970CDF">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Roger J. Porter</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Let the Rest be Dark: Van Gogh in his Letters</w:t>
      </w:r>
      <w:r w:rsidRPr="0536292E" w:rsidR="64AA8313">
        <w:rPr>
          <w:rFonts w:ascii="Calibri" w:hAnsi="Calibri" w:eastAsia="Calibri" w:cs="Calibri"/>
          <w:color w:val="000000" w:themeColor="text1"/>
        </w:rPr>
        <w:t>, (University of Hawaii Press, 1982), p. 55. https://www.jstor.org/stable/23538974.</w:t>
      </w:r>
    </w:p>
  </w:footnote>
  <w:footnote w:id="6">
    <w:p w:rsidR="0536292E" w:rsidP="0536292E" w:rsidRDefault="0536292E" w14:paraId="481C1312" w14:textId="2C339405">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Tim Ingold cited in Darrelyn Gunzburg</w:t>
      </w:r>
      <w:r w:rsidRPr="0536292E" w:rsidR="64AA8313">
        <w:rPr>
          <w:rFonts w:ascii="Calibri" w:hAnsi="Calibri" w:eastAsia="Calibri" w:cs="Calibri"/>
          <w:color w:val="000000" w:themeColor="text1"/>
        </w:rPr>
        <w:t>,</w:t>
      </w:r>
      <w:r w:rsidRPr="64AA8313" w:rsidR="64AA8313">
        <w:rPr>
          <w:rFonts w:ascii="Calibri" w:hAnsi="Calibri" w:eastAsia="Calibri" w:cs="Calibri"/>
          <w:i w:val="1"/>
          <w:iCs w:val="1"/>
          <w:color w:val="000000" w:themeColor="text1"/>
        </w:rPr>
        <w:t xml:space="preserve"> The imagined Sky: Cultural Perspectives</w:t>
      </w:r>
      <w:r w:rsidRPr="0536292E" w:rsidR="64AA8313">
        <w:rPr>
          <w:rFonts w:ascii="Calibri" w:hAnsi="Calibri" w:eastAsia="Calibri" w:cs="Calibri"/>
          <w:color w:val="000000" w:themeColor="text1"/>
        </w:rPr>
        <w:t>, (Sheffield, Bristol: Equinox Publishing Ltd, 2016), p. 220.</w:t>
      </w:r>
    </w:p>
  </w:footnote>
  <w:footnote w:id="7">
    <w:p w:rsidR="0536292E" w:rsidP="0536292E" w:rsidRDefault="0536292E" w14:paraId="6BA2AC77" w14:textId="5AC10F70">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8">
    <w:p w:rsidR="0536292E" w:rsidP="64AA8313" w:rsidRDefault="0536292E" w14:paraId="3218441D" w14:textId="1948CDA8">
      <w:pPr>
        <w:pStyle w:val="FootnoteText"/>
        <w:rPr>
          <w:rFonts w:ascii="Calibri" w:hAnsi="Calibri" w:eastAsia="Calibri" w:cs="Calibri"/>
          <w:i w:val="1"/>
          <w:iCs w:val="1"/>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Van Gogh</w:t>
      </w:r>
      <w:r w:rsidRPr="0536292E" w:rsidR="64AA8313">
        <w:rPr>
          <w:rFonts w:ascii="Calibri" w:hAnsi="Calibri" w:eastAsia="Calibri" w:cs="Calibri"/>
          <w:color w:val="000000" w:themeColor="text1"/>
        </w:rPr>
        <w:t xml:space="preserve"> and de Leeuw, </w:t>
      </w:r>
      <w:r w:rsidRPr="64AA8313" w:rsidR="64AA8313">
        <w:rPr>
          <w:rFonts w:ascii="Calibri" w:hAnsi="Calibri" w:eastAsia="Calibri" w:cs="Calibri"/>
          <w:i w:val="1"/>
          <w:iCs w:val="1"/>
          <w:color w:val="000000" w:themeColor="text1"/>
        </w:rPr>
        <w:t>The Letters of Vincent Van Gogh, p. 392.</w:t>
      </w:r>
    </w:p>
  </w:footnote>
  <w:footnote w:id="9">
    <w:p w:rsidR="0536292E" w:rsidP="0536292E" w:rsidRDefault="0536292E" w14:paraId="25958262" w14:textId="1CA671DE">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Nicholas Campion</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A History of Western Astrology Volume I: The Ancient World</w:t>
      </w:r>
      <w:r w:rsidRPr="0536292E" w:rsidR="64AA8313">
        <w:rPr>
          <w:rFonts w:ascii="Calibri" w:hAnsi="Calibri" w:eastAsia="Calibri" w:cs="Calibri"/>
          <w:color w:val="000000" w:themeColor="text1"/>
        </w:rPr>
        <w:t>. (London, New York: Bloomsbury, 2012), p. 7.</w:t>
      </w:r>
    </w:p>
  </w:footnote>
  <w:footnote w:id="10">
    <w:p w:rsidR="0536292E" w:rsidP="0536292E" w:rsidRDefault="0536292E" w14:paraId="230BCF9E" w14:textId="2FE53249">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Nicholas Campion</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Astrology and Cosmology in the World's Religions</w:t>
      </w:r>
      <w:r w:rsidRPr="0536292E" w:rsidR="64AA8313">
        <w:rPr>
          <w:rFonts w:ascii="Calibri" w:hAnsi="Calibri" w:eastAsia="Calibri" w:cs="Calibri"/>
          <w:color w:val="000000" w:themeColor="text1"/>
        </w:rPr>
        <w:t>, (London, New York: New York University Press, 2012), p. 131.</w:t>
      </w:r>
    </w:p>
  </w:footnote>
  <w:footnote w:id="11">
    <w:p w:rsidR="0536292E" w:rsidP="0536292E" w:rsidRDefault="0536292E" w14:paraId="419D8408" w14:textId="3D7CD407">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Nicholas Campion</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A History of Western Astrology Volume I: The Ancient World</w:t>
      </w:r>
      <w:r w:rsidRPr="0536292E" w:rsidR="64AA8313">
        <w:rPr>
          <w:rFonts w:ascii="Calibri" w:hAnsi="Calibri" w:eastAsia="Calibri" w:cs="Calibri"/>
          <w:color w:val="000000" w:themeColor="text1"/>
        </w:rPr>
        <w:t>. (London, New York: Bloomsbury, 2012), p. 1.</w:t>
      </w:r>
    </w:p>
  </w:footnote>
  <w:footnote w:id="12">
    <w:p w:rsidR="0536292E" w:rsidP="0536292E" w:rsidRDefault="0536292E" w14:paraId="1CFC621C" w14:textId="5F423E45">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Darrelyn Gunzburg</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imagined Sky: Cultural Perspectives</w:t>
      </w:r>
      <w:r w:rsidRPr="0536292E" w:rsidR="64AA8313">
        <w:rPr>
          <w:rFonts w:ascii="Calibri" w:hAnsi="Calibri" w:eastAsia="Calibri" w:cs="Calibri"/>
          <w:color w:val="000000" w:themeColor="text1"/>
        </w:rPr>
        <w:t>, (Sheffield, Bristol: Equinox Publishing Ltd, 2016), p. VIIII.</w:t>
      </w:r>
    </w:p>
  </w:footnote>
  <w:footnote w:id="13">
    <w:p w:rsidR="0536292E" w:rsidP="0536292E" w:rsidRDefault="0536292E" w14:paraId="1F1F0F0B" w14:textId="7FD5C269">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William Blake</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Marriage of Heaven and Hell</w:t>
      </w:r>
      <w:r w:rsidRPr="0536292E" w:rsidR="64AA8313">
        <w:rPr>
          <w:rFonts w:ascii="Calibri" w:hAnsi="Calibri" w:eastAsia="Calibri" w:cs="Calibri"/>
          <w:color w:val="000000" w:themeColor="text1"/>
        </w:rPr>
        <w:t>, (Boston: John W. Luce and Company, 1906) 26 cited in Project Gutenberg's eBook, https://www.gutenberg.org/cache/epub/pg45315-images.html.</w:t>
      </w:r>
    </w:p>
  </w:footnote>
  <w:footnote w:id="14">
    <w:p w:rsidR="0536292E" w:rsidP="0536292E" w:rsidRDefault="0536292E" w14:paraId="754C183C" w14:textId="1E3D02F0">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Nicholas Campion</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A History of Western Astrology Volume II: The Medieval and Modern World</w:t>
      </w:r>
      <w:r w:rsidRPr="0536292E" w:rsidR="64AA8313">
        <w:rPr>
          <w:rFonts w:ascii="Calibri" w:hAnsi="Calibri" w:eastAsia="Calibri" w:cs="Calibri"/>
          <w:color w:val="000000" w:themeColor="text1"/>
        </w:rPr>
        <w:t>, (London, New York: Bloomsbury, 2013), p. 287.</w:t>
      </w:r>
    </w:p>
  </w:footnote>
  <w:footnote w:id="15">
    <w:p w:rsidR="0536292E" w:rsidP="0536292E" w:rsidRDefault="0536292E" w14:paraId="6A9A1377" w14:textId="6691CE26">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16">
    <w:p w:rsidR="0536292E" w:rsidP="0536292E" w:rsidRDefault="0536292E" w14:paraId="480EBFE2" w14:textId="124BB46B">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Franz Kafka </w:t>
      </w:r>
      <w:r w:rsidRPr="0536292E">
        <w:rPr>
          <w:rFonts w:ascii="Calibri" w:hAnsi="Calibri" w:eastAsia="Calibri" w:cs="Calibri"/>
          <w:i/>
          <w:iCs/>
          <w:color w:val="000000" w:themeColor="text1"/>
        </w:rPr>
        <w:t>The Complete Stories</w:t>
      </w:r>
      <w:r w:rsidRPr="0536292E">
        <w:rPr>
          <w:rFonts w:ascii="Calibri" w:hAnsi="Calibri" w:eastAsia="Calibri" w:cs="Calibri"/>
          <w:color w:val="000000" w:themeColor="text1"/>
        </w:rPr>
        <w:t>, trans. Willa and Edwin Muir, (New York: Schocken Books, 1971), pp. 89-139.</w:t>
      </w:r>
    </w:p>
  </w:footnote>
  <w:footnote w:id="17">
    <w:p w:rsidR="0536292E" w:rsidP="0536292E" w:rsidRDefault="0536292E" w14:paraId="6156BE8D" w14:textId="03DEF010">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Lucien Levy-</w:t>
      </w:r>
      <w:r w:rsidRPr="0536292E" w:rsidR="64AA8313">
        <w:rPr>
          <w:rFonts w:ascii="Calibri" w:hAnsi="Calibri" w:eastAsia="Calibri" w:cs="Calibri"/>
          <w:color w:val="000000" w:themeColor="text1"/>
        </w:rPr>
        <w:t xml:space="preserve">Bruhl,</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How Natives Think</w:t>
      </w:r>
      <w:r w:rsidRPr="0536292E" w:rsidR="64AA8313">
        <w:rPr>
          <w:rFonts w:ascii="Calibri" w:hAnsi="Calibri" w:eastAsia="Calibri" w:cs="Calibri"/>
          <w:color w:val="000000" w:themeColor="text1"/>
        </w:rPr>
        <w:t>, (Princeton: Princeton University Press, 1985), pp. 76-104.</w:t>
      </w:r>
    </w:p>
  </w:footnote>
  <w:footnote w:id="18">
    <w:p w:rsidR="0536292E" w:rsidP="0536292E" w:rsidRDefault="0536292E" w14:paraId="7827A37E" w14:textId="4FCCD213">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Gera</w:t>
      </w:r>
      <w:r w:rsidRPr="0536292E" w:rsidR="64AA8313">
        <w:rPr>
          <w:rFonts w:ascii="Calibri" w:hAnsi="Calibri" w:eastAsia="Calibri" w:cs="Calibri"/>
          <w:color w:val="000000" w:themeColor="text1"/>
        </w:rPr>
        <w:t xml:space="preserve">rd</w:t>
      </w:r>
      <w:r w:rsidRPr="0536292E" w:rsidR="64AA8313">
        <w:rPr>
          <w:rFonts w:ascii="Calibri" w:hAnsi="Calibri" w:eastAsia="Calibri" w:cs="Calibri"/>
          <w:color w:val="000000" w:themeColor="text1"/>
        </w:rPr>
        <w:t xml:space="preserve"> Manley Hopkins</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 xml:space="preserve">Gera</w:t>
      </w:r>
      <w:r w:rsidRPr="64AA8313" w:rsidR="64AA8313">
        <w:rPr>
          <w:rFonts w:ascii="Calibri" w:hAnsi="Calibri" w:eastAsia="Calibri" w:cs="Calibri"/>
          <w:i w:val="1"/>
          <w:iCs w:val="1"/>
          <w:color w:val="000000" w:themeColor="text1"/>
        </w:rPr>
        <w:t xml:space="preserve">rd</w:t>
      </w:r>
      <w:r w:rsidRPr="64AA8313" w:rsidR="64AA8313">
        <w:rPr>
          <w:rFonts w:ascii="Calibri" w:hAnsi="Calibri" w:eastAsia="Calibri" w:cs="Calibri"/>
          <w:i w:val="1"/>
          <w:iCs w:val="1"/>
          <w:color w:val="000000" w:themeColor="text1"/>
        </w:rPr>
        <w:t xml:space="preserve"> Manley Hopkins –Poems- </w:t>
      </w:r>
      <w:r w:rsidRPr="0536292E" w:rsidR="64AA8313">
        <w:rPr>
          <w:rFonts w:ascii="Calibri" w:hAnsi="Calibri" w:eastAsia="Calibri" w:cs="Calibri"/>
          <w:color w:val="000000" w:themeColor="text1"/>
        </w:rPr>
        <w:t>(</w:t>
      </w:r>
      <w:proofErr w:type="spellStart"/>
      <w:r w:rsidRPr="0536292E" w:rsidR="64AA8313">
        <w:rPr>
          <w:rFonts w:ascii="Calibri" w:hAnsi="Calibri" w:eastAsia="Calibri" w:cs="Calibri"/>
          <w:color w:val="000000" w:themeColor="text1"/>
        </w:rPr>
        <w:t>Poemhunter</w:t>
      </w:r>
      <w:proofErr w:type="spellEnd"/>
      <w:r w:rsidRPr="0536292E" w:rsidR="64AA8313">
        <w:rPr>
          <w:rFonts w:ascii="Calibri" w:hAnsi="Calibri" w:eastAsia="Calibri" w:cs="Calibri"/>
          <w:color w:val="000000" w:themeColor="text1"/>
        </w:rPr>
        <w:t>.com, 2012) p. 98. https://www.poemhunter.com/i/ebooks/pdf/gerard_manley_hopkins_2012_6.pdf.</w:t>
      </w:r>
    </w:p>
  </w:footnote>
  <w:footnote w:id="19">
    <w:p w:rsidR="0536292E" w:rsidP="0536292E" w:rsidRDefault="0536292E" w14:paraId="04567B70" w14:textId="1A9E4880">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Dan </w:t>
      </w:r>
      <w:r w:rsidRPr="0536292E" w:rsidR="64AA8313">
        <w:rPr>
          <w:rFonts w:ascii="Calibri" w:hAnsi="Calibri" w:eastAsia="Calibri" w:cs="Calibri"/>
          <w:color w:val="000000" w:themeColor="text1"/>
        </w:rPr>
        <w:t xml:space="preserve">Duriscoe</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Preserving Pristine Night Skies in National Parks and the Wilderness Ethnic</w:t>
      </w:r>
      <w:r w:rsidRPr="0536292E" w:rsidR="64AA8313">
        <w:rPr>
          <w:rFonts w:ascii="Calibri" w:hAnsi="Calibri" w:eastAsia="Calibri" w:cs="Calibri"/>
          <w:color w:val="000000" w:themeColor="text1"/>
        </w:rPr>
        <w:t>, The George Wright forum, vol. 18, no. 4, (George Wright Society, 2001) p.30. https://www.jstor.org/stable/43597771.</w:t>
      </w:r>
    </w:p>
  </w:footnote>
  <w:footnote w:id="20">
    <w:p w:rsidR="0536292E" w:rsidP="64AA8313" w:rsidRDefault="0536292E" w14:paraId="49CF4A84" w14:textId="66C8CC81">
      <w:pPr>
        <w:pStyle w:val="FootnoteText"/>
        <w:rPr>
          <w:rFonts w:ascii="Calibri" w:hAnsi="Calibri" w:eastAsia="Calibri" w:cs="Calibri"/>
          <w:i w:val="1"/>
          <w:iCs w:val="1"/>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Vincent Van Gogh and </w:t>
      </w:r>
      <w:r w:rsidRPr="0536292E" w:rsidR="64AA8313">
        <w:rPr>
          <w:rFonts w:ascii="Calibri" w:hAnsi="Calibri" w:eastAsia="Calibri" w:cs="Calibri"/>
          <w:color w:val="000000" w:themeColor="text1"/>
        </w:rPr>
        <w:t xml:space="preserve">Ronald de Leeuw,</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Letters of Vincent Van Gogh, (London: Penguin Books, 1997), p. 392.</w:t>
      </w:r>
    </w:p>
  </w:footnote>
  <w:footnote w:id="21">
    <w:p w:rsidR="0536292E" w:rsidP="0536292E" w:rsidRDefault="0536292E" w14:paraId="36CFA2F9" w14:textId="7E044E42">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Lucien Levy-Bruhl</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How Natives Think</w:t>
      </w:r>
      <w:r w:rsidRPr="0536292E" w:rsidR="64AA8313">
        <w:rPr>
          <w:rFonts w:ascii="Calibri" w:hAnsi="Calibri" w:eastAsia="Calibri" w:cs="Calibri"/>
          <w:color w:val="000000" w:themeColor="text1"/>
        </w:rPr>
        <w:t>, (Princeton: Princeton University Press, 1985), pp. 76-104.</w:t>
      </w:r>
    </w:p>
  </w:footnote>
  <w:footnote w:id="22">
    <w:p w:rsidR="0536292E" w:rsidP="0536292E" w:rsidRDefault="0536292E" w14:paraId="76A53B2E" w14:textId="08EC9152">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Nicholas Campion</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A History of Western Astrology Volume I: The Ancient World</w:t>
      </w:r>
      <w:r w:rsidRPr="0536292E" w:rsidR="64AA8313">
        <w:rPr>
          <w:rFonts w:ascii="Calibri" w:hAnsi="Calibri" w:eastAsia="Calibri" w:cs="Calibri"/>
          <w:color w:val="000000" w:themeColor="text1"/>
        </w:rPr>
        <w:t>. (London, New York: Bloomsbury, 2012), p. 4.</w:t>
      </w:r>
    </w:p>
  </w:footnote>
  <w:footnote w:id="23">
    <w:p w:rsidR="0536292E" w:rsidP="0536292E" w:rsidRDefault="0536292E" w14:paraId="0559C848" w14:textId="4DF4961A">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Tyler Nordgren cited in Darrelyn Gunzburg</w:t>
      </w:r>
      <w:r w:rsidRPr="0536292E" w:rsidR="64AA8313">
        <w:rPr>
          <w:rFonts w:ascii="Calibri" w:hAnsi="Calibri" w:eastAsia="Calibri" w:cs="Calibri"/>
          <w:color w:val="000000" w:themeColor="text1"/>
        </w:rPr>
        <w:t>,</w:t>
      </w:r>
      <w:r w:rsidRPr="64AA8313" w:rsidR="64AA8313">
        <w:rPr>
          <w:rFonts w:ascii="Calibri" w:hAnsi="Calibri" w:eastAsia="Calibri" w:cs="Calibri"/>
          <w:i w:val="1"/>
          <w:iCs w:val="1"/>
          <w:color w:val="000000" w:themeColor="text1"/>
        </w:rPr>
        <w:t xml:space="preserve"> The Imagined</w:t>
      </w:r>
      <w:r w:rsidRPr="64AA8313" w:rsidR="64AA8313">
        <w:rPr>
          <w:rFonts w:ascii="Calibri" w:hAnsi="Calibri" w:eastAsia="Calibri" w:cs="Calibri"/>
          <w:i w:val="1"/>
          <w:iCs w:val="1"/>
          <w:color w:val="000000" w:themeColor="text1"/>
        </w:rPr>
        <w:t xml:space="preserve"> </w:t>
      </w:r>
      <w:r w:rsidRPr="64AA8313" w:rsidR="64AA8313">
        <w:rPr>
          <w:rFonts w:ascii="Calibri" w:hAnsi="Calibri" w:eastAsia="Calibri" w:cs="Calibri"/>
          <w:i w:val="1"/>
          <w:iCs w:val="1"/>
          <w:color w:val="000000" w:themeColor="text1"/>
        </w:rPr>
        <w:t xml:space="preserve">Sky:</w:t>
      </w:r>
      <w:r w:rsidRPr="64AA8313" w:rsidR="64AA8313">
        <w:rPr>
          <w:rFonts w:ascii="Calibri" w:hAnsi="Calibri" w:eastAsia="Calibri" w:cs="Calibri"/>
          <w:i w:val="1"/>
          <w:iCs w:val="1"/>
          <w:color w:val="000000" w:themeColor="text1"/>
        </w:rPr>
        <w:t xml:space="preserve"> Cultural Perspectives</w:t>
      </w:r>
      <w:r w:rsidRPr="0536292E" w:rsidR="64AA8313">
        <w:rPr>
          <w:rFonts w:ascii="Calibri" w:hAnsi="Calibri" w:eastAsia="Calibri" w:cs="Calibri"/>
          <w:color w:val="000000" w:themeColor="text1"/>
        </w:rPr>
        <w:t>, (Sheffield, Bristol: Equinox Publishing Ltd, 2016), p. 198.</w:t>
      </w:r>
    </w:p>
  </w:footnote>
  <w:footnote w:id="24">
    <w:p w:rsidR="0536292E" w:rsidP="0536292E" w:rsidRDefault="0536292E" w14:paraId="0A74FD1F" w14:textId="25E8F23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Elizabeth M. Alvarez and David L. Crawford, </w:t>
      </w:r>
      <w:r w:rsidRPr="0536292E">
        <w:rPr>
          <w:rFonts w:ascii="Calibri" w:hAnsi="Calibri" w:eastAsia="Calibri" w:cs="Calibri"/>
          <w:i/>
          <w:iCs/>
          <w:color w:val="000000" w:themeColor="text1"/>
        </w:rPr>
        <w:t>The Value of Dark Skies and of High-Quality Night Lighting – Building Public Awareness</w:t>
      </w:r>
      <w:r w:rsidRPr="0536292E">
        <w:rPr>
          <w:rFonts w:ascii="Calibri" w:hAnsi="Calibri" w:eastAsia="Calibri" w:cs="Calibri"/>
          <w:color w:val="000000" w:themeColor="text1"/>
        </w:rPr>
        <w:t>, The George Wright Forum, vol. 18, no. 4, (George Wright Society, 2001), p. 20.</w:t>
      </w:r>
    </w:p>
  </w:footnote>
  <w:footnote w:id="25">
    <w:p w:rsidR="0536292E" w:rsidP="0536292E" w:rsidRDefault="0536292E" w14:paraId="14278274" w14:textId="05F97C39">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Dante Aligieri</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Vision of Hell: The Inferno, trans.</w:t>
      </w:r>
      <w:r w:rsidRPr="0536292E" w:rsidR="64AA8313">
        <w:rPr>
          <w:rFonts w:ascii="Calibri" w:hAnsi="Calibri" w:eastAsia="Calibri" w:cs="Calibri"/>
          <w:color w:val="000000" w:themeColor="text1"/>
        </w:rPr>
        <w:t xml:space="preserve"> The Rev. H. F. Cary M.A., (London, Paris and Melbourne: Cassell &amp; Company, 1892), Canto XXXIV.</w:t>
      </w:r>
    </w:p>
  </w:footnote>
  <w:footnote w:id="26">
    <w:p w:rsidR="0536292E" w:rsidP="0536292E" w:rsidRDefault="0536292E" w14:paraId="111CB1A9" w14:textId="6B9FC2B3">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27">
    <w:p w:rsidR="0536292E" w:rsidP="0536292E" w:rsidRDefault="0536292E" w14:paraId="5F74C72C" w14:textId="3167DB84">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Joe </w:t>
      </w:r>
      <w:r w:rsidRPr="0536292E" w:rsidR="64AA8313">
        <w:rPr>
          <w:rFonts w:ascii="Calibri" w:hAnsi="Calibri" w:eastAsia="Calibri" w:cs="Calibri"/>
          <w:color w:val="000000" w:themeColor="text1"/>
        </w:rPr>
        <w:t xml:space="preserve">Sovick</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Towards an Appreciation of the Dark Night Sky</w:t>
      </w:r>
      <w:r w:rsidRPr="0536292E" w:rsidR="64AA8313">
        <w:rPr>
          <w:rFonts w:ascii="Calibri" w:hAnsi="Calibri" w:eastAsia="Calibri" w:cs="Calibri"/>
          <w:color w:val="000000" w:themeColor="text1"/>
        </w:rPr>
        <w:t>, vol.18, no. 4 (</w:t>
      </w:r>
      <w:r w:rsidRPr="0536292E" w:rsidR="64AA8313">
        <w:rPr>
          <w:rFonts w:ascii="Calibri" w:hAnsi="Calibri" w:eastAsia="Calibri" w:cs="Calibri"/>
          <w:color w:val="000000" w:themeColor="text1"/>
          <w:sz w:val="19"/>
          <w:szCs w:val="19"/>
        </w:rPr>
        <w:t>The George Wright Forum,</w:t>
      </w:r>
      <w:r w:rsidRPr="0536292E" w:rsidR="64AA8313">
        <w:rPr>
          <w:rFonts w:ascii="Calibri" w:hAnsi="Calibri" w:eastAsia="Calibri" w:cs="Calibri"/>
          <w:color w:val="000000" w:themeColor="text1"/>
        </w:rPr>
        <w:t xml:space="preserve"> 2001), p. 15. </w:t>
      </w:r>
      <w:hyperlink r:id="R3bb5a7e6f569413a">
        <w:r w:rsidRPr="0536292E" w:rsidR="64AA8313">
          <w:rPr>
            <w:rStyle w:val="Hyperlink"/>
            <w:rFonts w:ascii="Calibri" w:hAnsi="Calibri" w:eastAsia="Calibri" w:cs="Calibri"/>
          </w:rPr>
          <w:t>http://www.jstor.org/stable/43597768</w:t>
        </w:r>
      </w:hyperlink>
      <w:r w:rsidRPr="0536292E" w:rsidR="64AA8313">
        <w:rPr>
          <w:rFonts w:ascii="Calibri" w:hAnsi="Calibri" w:eastAsia="Calibri" w:cs="Calibri"/>
          <w:color w:val="000000" w:themeColor="text1"/>
        </w:rPr>
        <w:t>.</w:t>
      </w:r>
    </w:p>
  </w:footnote>
  <w:footnote w:id="28">
    <w:p w:rsidR="0536292E" w:rsidP="0536292E" w:rsidRDefault="0536292E" w14:paraId="442269A1" w14:textId="09956C6C">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John Keats</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The Poetical Works of John Keats</w:t>
      </w:r>
      <w:r w:rsidRPr="0536292E" w:rsidR="64AA8313">
        <w:rPr>
          <w:rFonts w:ascii="Calibri" w:hAnsi="Calibri" w:eastAsia="Calibri" w:cs="Calibri"/>
          <w:color w:val="000000" w:themeColor="text1"/>
        </w:rPr>
        <w:t>, (London, New York: Frederick Warne and Co., 1887), pg. 245.</w:t>
      </w:r>
    </w:p>
  </w:footnote>
  <w:footnote w:id="29">
    <w:p w:rsidR="0536292E" w:rsidP="0536292E" w:rsidRDefault="0536292E" w14:paraId="43F15FC2" w14:textId="326CFE52">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Alexander Harris</w:t>
      </w:r>
      <w:r w:rsidRPr="0536292E" w:rsidR="64AA8313">
        <w:rPr>
          <w:rFonts w:ascii="Calibri" w:hAnsi="Calibri" w:eastAsia="Calibri" w:cs="Calibri"/>
          <w:color w:val="000000" w:themeColor="text1"/>
        </w:rPr>
        <w:t xml:space="preserve">,</w:t>
      </w:r>
      <w:r w:rsidRPr="0536292E" w:rsidR="64AA8313">
        <w:rPr>
          <w:rFonts w:ascii="Calibri" w:hAnsi="Calibri" w:eastAsia="Calibri" w:cs="Calibri"/>
          <w:color w:val="000000" w:themeColor="text1"/>
        </w:rPr>
        <w:t xml:space="preserve"> </w:t>
      </w:r>
      <w:r w:rsidRPr="64AA8313" w:rsidR="64AA8313">
        <w:rPr>
          <w:rFonts w:ascii="Calibri" w:hAnsi="Calibri" w:eastAsia="Calibri" w:cs="Calibri"/>
          <w:i w:val="1"/>
          <w:iCs w:val="1"/>
          <w:color w:val="000000" w:themeColor="text1"/>
        </w:rPr>
        <w:t>Weatherland</w:t>
      </w:r>
      <w:r w:rsidRPr="64AA8313" w:rsidR="64AA8313">
        <w:rPr>
          <w:rFonts w:ascii="Calibri" w:hAnsi="Calibri" w:eastAsia="Calibri" w:cs="Calibri"/>
          <w:i w:val="1"/>
          <w:iCs w:val="1"/>
          <w:color w:val="000000" w:themeColor="text1"/>
        </w:rPr>
        <w:t>: Writers and Artists Under English Skies</w:t>
      </w:r>
      <w:r w:rsidRPr="0536292E" w:rsidR="64AA8313">
        <w:rPr>
          <w:rFonts w:ascii="Calibri" w:hAnsi="Calibri" w:eastAsia="Calibri" w:cs="Calibri"/>
          <w:color w:val="000000" w:themeColor="text1"/>
        </w:rPr>
        <w:t>, (London: Thames &amp; Hudson, 2015) p. 12.</w:t>
      </w:r>
    </w:p>
  </w:footnote>
  <w:footnote w:id="30">
    <w:p w:rsidR="0536292E" w:rsidP="64AA8313" w:rsidRDefault="0536292E" w14:paraId="5773E690" w14:textId="5F121C3F">
      <w:pPr>
        <w:pStyle w:val="FootnoteText"/>
        <w:bidi w:val="0"/>
        <w:spacing w:before="0" w:beforeAutospacing="off" w:after="0" w:afterAutospacing="off" w:line="240" w:lineRule="auto"/>
        <w:ind w:left="0" w:right="0"/>
        <w:jc w:val="left"/>
        <w:rPr>
          <w:sz w:val="20"/>
          <w:szCs w:val="20"/>
        </w:rPr>
      </w:pPr>
      <w:r w:rsidRPr="0536292E">
        <w:rPr>
          <w:rStyle w:val="FootnoteReference"/>
        </w:rPr>
        <w:footnoteRef/>
      </w:r>
      <w:r w:rsidRPr="0536292E" w:rsidR="64AA8313">
        <w:rPr/>
        <w:t xml:space="preserve"> </w:t>
      </w:r>
      <w:r w:rsidR="64AA8313">
        <w:rPr/>
        <w:t>Merriam Webster: An Encyclopaedia Britannica Company,</w:t>
      </w:r>
      <w:r w:rsidRPr="64AA8313" w:rsidR="64AA8313">
        <w:rPr>
          <w:i w:val="1"/>
          <w:iCs w:val="1"/>
        </w:rPr>
        <w:t xml:space="preserve"> Search for a Word </w:t>
      </w:r>
      <w:r w:rsidRPr="64AA8313" w:rsidR="64AA8313">
        <w:rPr>
          <w:i w:val="0"/>
          <w:iCs w:val="0"/>
        </w:rPr>
        <w:t xml:space="preserve">(1828) </w:t>
      </w:r>
      <w:hyperlink r:id="Rf28a6263fe714d87">
        <w:r w:rsidRPr="64AA8313" w:rsidR="64AA8313">
          <w:rPr>
            <w:rStyle w:val="Hyperlink"/>
            <w:rFonts w:ascii="Calibri" w:hAnsi="Calibri" w:eastAsia="Calibri" w:cs="Calibri"/>
            <w:strike w:val="0"/>
            <w:dstrike w:val="0"/>
            <w:noProof w:val="0"/>
            <w:sz w:val="22"/>
            <w:szCs w:val="22"/>
            <w:lang w:val="en-GB"/>
          </w:rPr>
          <w:t>https://www.merriam-webster.com/dictionary/obnubilate</w:t>
        </w:r>
      </w:hyperlink>
      <w:r w:rsidRPr="64AA8313" w:rsidR="64AA8313">
        <w:rPr>
          <w:rFonts w:ascii="Calibri" w:hAnsi="Calibri" w:eastAsia="Calibri" w:cs="Calibri"/>
          <w:strike w:val="0"/>
          <w:dstrike w:val="0"/>
          <w:noProof w:val="0"/>
          <w:sz w:val="22"/>
          <w:szCs w:val="22"/>
          <w:lang w:val="en-GB"/>
        </w:rPr>
        <w:t xml:space="preserve"> {accessed 14 November 2021}.</w:t>
      </w:r>
    </w:p>
  </w:footnote>
  <w:footnote w:id="31">
    <w:p w:rsidR="0536292E" w:rsidP="0536292E" w:rsidRDefault="0536292E" w14:paraId="54321356" w14:textId="1901D459">
      <w:pPr>
        <w:pStyle w:val="FootnoteText"/>
      </w:pPr>
      <w:r w:rsidRPr="0536292E">
        <w:rPr>
          <w:rStyle w:val="FootnoteReference"/>
        </w:rPr>
        <w:footnoteRef/>
      </w:r>
      <w:r w:rsidRPr="0536292E">
        <w:t xml:space="preserve"> Arthur Schopenhauer </w:t>
      </w:r>
      <w:r w:rsidRPr="0536292E">
        <w:rPr>
          <w:i/>
          <w:iCs/>
        </w:rPr>
        <w:t>The World as Will and Idea</w:t>
      </w:r>
      <w:r w:rsidRPr="0536292E">
        <w:t>, 7th Edition, trans by R. B. Haldone and J.Kemp, (London: Kegan Paul, Trench, Trübner and Co., 1909), pp. 242-243.</w:t>
      </w:r>
    </w:p>
  </w:footnote>
  <w:footnote w:id="32">
    <w:p w:rsidR="0536292E" w:rsidP="0536292E" w:rsidRDefault="0536292E" w14:paraId="3D147EBC" w14:textId="0EB81695">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pp. 80-81.</w:t>
      </w:r>
    </w:p>
  </w:footnote>
  <w:footnote w:id="33">
    <w:p w:rsidR="0536292E" w:rsidP="0536292E" w:rsidRDefault="0536292E" w14:paraId="07305A72" w14:textId="24F2706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A. K. Ramanujan </w:t>
      </w:r>
      <w:r w:rsidRPr="0536292E">
        <w:rPr>
          <w:rFonts w:ascii="Calibri" w:hAnsi="Calibri" w:eastAsia="Calibri" w:cs="Calibri"/>
          <w:i/>
          <w:iCs/>
          <w:color w:val="000000" w:themeColor="text1"/>
        </w:rPr>
        <w:t>Where Mirrors are Windows: Towards an Anthology of Reflections</w:t>
      </w:r>
      <w:r w:rsidRPr="0536292E">
        <w:rPr>
          <w:rFonts w:ascii="Calibri" w:hAnsi="Calibri" w:eastAsia="Calibri" w:cs="Calibri"/>
          <w:color w:val="000000" w:themeColor="text1"/>
        </w:rPr>
        <w:t>, History of Religions, vol. 28, no. 3, (University of Chicago Press, 1989), p. 189. http://www.jstor.org/stable/1062747.</w:t>
      </w:r>
    </w:p>
  </w:footnote>
  <w:footnote w:id="34">
    <w:p w:rsidR="0536292E" w:rsidP="0536292E" w:rsidRDefault="0536292E" w14:paraId="70894E7A" w14:textId="0EC6049D">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12.</w:t>
      </w:r>
    </w:p>
  </w:footnote>
  <w:footnote w:id="35">
    <w:p w:rsidR="0536292E" w:rsidP="0536292E" w:rsidRDefault="0536292E" w14:paraId="2351B1ED" w14:textId="4F043B0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Jennifer Robertson </w:t>
      </w:r>
      <w:r w:rsidRPr="0536292E">
        <w:rPr>
          <w:rFonts w:ascii="Calibri" w:hAnsi="Calibri" w:eastAsia="Calibri" w:cs="Calibri"/>
          <w:i/>
          <w:iCs/>
          <w:color w:val="000000" w:themeColor="text1"/>
        </w:rPr>
        <w:t>Reflexivity Redux:  A Pithy Polemic on 'Positionality</w:t>
      </w:r>
      <w:r w:rsidRPr="0536292E">
        <w:rPr>
          <w:rFonts w:ascii="Calibri" w:hAnsi="Calibri" w:eastAsia="Calibri" w:cs="Calibri"/>
          <w:color w:val="000000" w:themeColor="text1"/>
        </w:rPr>
        <w:t>, Anthropological Quarterly 75, no. 4, (The George Washington University Institute, 2002), p. 786.</w:t>
      </w:r>
    </w:p>
  </w:footnote>
  <w:footnote w:id="36">
    <w:p w:rsidR="0536292E" w:rsidP="0536292E" w:rsidRDefault="0536292E" w14:paraId="16FD344C" w14:textId="75EFED6B">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Charlotte Aull Davies </w:t>
      </w:r>
      <w:r w:rsidRPr="0536292E">
        <w:rPr>
          <w:rFonts w:ascii="Calibri" w:hAnsi="Calibri" w:eastAsia="Calibri" w:cs="Calibri"/>
          <w:i/>
          <w:iCs/>
          <w:color w:val="000000" w:themeColor="text1"/>
        </w:rPr>
        <w:t xml:space="preserve">Reflective Ethnography: A Guide to Researching Self and Others, </w:t>
      </w:r>
      <w:r w:rsidRPr="0536292E">
        <w:rPr>
          <w:rFonts w:ascii="Calibri" w:hAnsi="Calibri" w:eastAsia="Calibri" w:cs="Calibri"/>
          <w:color w:val="000000" w:themeColor="text1"/>
        </w:rPr>
        <w:t>(London: Routledge, 1999), p. 4.</w:t>
      </w:r>
    </w:p>
  </w:footnote>
  <w:footnote w:id="37">
    <w:p w:rsidR="0536292E" w:rsidP="0536292E" w:rsidRDefault="0536292E" w14:paraId="65D91C68" w14:textId="4E937630">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Nicholas Campion </w:t>
      </w:r>
      <w:r w:rsidRPr="0536292E">
        <w:rPr>
          <w:rFonts w:ascii="Calibri" w:hAnsi="Calibri" w:eastAsia="Calibri" w:cs="Calibri"/>
          <w:i/>
          <w:iCs/>
          <w:color w:val="000000" w:themeColor="text1"/>
        </w:rPr>
        <w:t>Astrology and Cosmology in the World's Religions</w:t>
      </w:r>
      <w:r w:rsidRPr="0536292E">
        <w:rPr>
          <w:rFonts w:ascii="Calibri" w:hAnsi="Calibri" w:eastAsia="Calibri" w:cs="Calibri"/>
          <w:color w:val="000000" w:themeColor="text1"/>
        </w:rPr>
        <w:t>, (London, New York: New York University Press, 2012), p. 1.</w:t>
      </w:r>
    </w:p>
  </w:footnote>
  <w:footnote w:id="38">
    <w:p w:rsidR="0536292E" w:rsidP="0536292E" w:rsidRDefault="0536292E" w14:paraId="73405E49" w14:textId="471E404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12.</w:t>
      </w:r>
    </w:p>
  </w:footnote>
  <w:footnote w:id="39">
    <w:p w:rsidR="0536292E" w:rsidP="0536292E" w:rsidRDefault="0536292E" w14:paraId="386FAC74" w14:textId="26E823FA">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 78.</w:t>
      </w:r>
    </w:p>
  </w:footnote>
  <w:footnote w:id="40">
    <w:p w:rsidR="0536292E" w:rsidP="0536292E" w:rsidRDefault="0536292E" w14:paraId="38BE3ABC" w14:textId="539607D0">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Darrelyn Gunzburg</w:t>
      </w:r>
      <w:r w:rsidRPr="0536292E">
        <w:rPr>
          <w:rFonts w:ascii="Calibri" w:hAnsi="Calibri" w:eastAsia="Calibri" w:cs="Calibri"/>
          <w:i/>
          <w:iCs/>
          <w:color w:val="000000" w:themeColor="text1"/>
        </w:rPr>
        <w:t xml:space="preserve"> The imagined Sky: Cultural Perspectives</w:t>
      </w:r>
      <w:r w:rsidRPr="0536292E">
        <w:rPr>
          <w:rFonts w:ascii="Calibri" w:hAnsi="Calibri" w:eastAsia="Calibri" w:cs="Calibri"/>
          <w:color w:val="000000" w:themeColor="text1"/>
        </w:rPr>
        <w:t>, (Sheffield, Bristol: Equinox Publishing Ltd, 2016), p. 88.</w:t>
      </w:r>
    </w:p>
  </w:footnote>
  <w:footnote w:id="41">
    <w:p w:rsidR="0536292E" w:rsidP="0536292E" w:rsidRDefault="0536292E" w14:paraId="6D15F218" w14:textId="3F80BF6F">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William Blake </w:t>
      </w:r>
      <w:r w:rsidRPr="0536292E">
        <w:rPr>
          <w:rFonts w:ascii="Calibri" w:hAnsi="Calibri" w:eastAsia="Calibri" w:cs="Calibri"/>
          <w:i/>
          <w:iCs/>
          <w:color w:val="000000" w:themeColor="text1"/>
        </w:rPr>
        <w:t>The Marriage of Heaven and Hell</w:t>
      </w:r>
      <w:r w:rsidRPr="0536292E">
        <w:rPr>
          <w:rFonts w:ascii="Calibri" w:hAnsi="Calibri" w:eastAsia="Calibri" w:cs="Calibri"/>
          <w:color w:val="000000" w:themeColor="text1"/>
        </w:rPr>
        <w:t>, (Boston: John W. Luce and Company, 1906) 26 cited in Project Gutenberg's eBook, https://www.gutenberg.org/cache/epub/pg45315-images.html.</w:t>
      </w:r>
    </w:p>
  </w:footnote>
  <w:footnote w:id="42">
    <w:p w:rsidR="0536292E" w:rsidP="0536292E" w:rsidRDefault="0536292E" w14:paraId="43DD7455" w14:textId="0C9803D9">
      <w:pPr>
        <w:pStyle w:val="FootnoteText"/>
        <w:rPr>
          <w:rFonts w:ascii="Calibri" w:hAnsi="Calibri" w:eastAsia="Calibri" w:cs="Calibri"/>
          <w:color w:val="000000" w:themeColor="text1"/>
        </w:rPr>
      </w:pPr>
      <w:r w:rsidRPr="0536292E">
        <w:rPr>
          <w:rStyle w:val="FootnoteReference"/>
        </w:rPr>
        <w:footnoteRef/>
      </w:r>
      <w:r w:rsidRPr="0536292E">
        <w:t xml:space="preserve"> L</w:t>
      </w:r>
      <w:r w:rsidRPr="0536292E">
        <w:rPr>
          <w:rFonts w:ascii="Calibri" w:hAnsi="Calibri" w:eastAsia="Calibri" w:cs="Calibri"/>
          <w:color w:val="000000" w:themeColor="text1"/>
        </w:rPr>
        <w:t xml:space="preserve">iz Greene </w:t>
      </w:r>
      <w:r w:rsidRPr="0536292E">
        <w:rPr>
          <w:rFonts w:ascii="Calibri" w:hAnsi="Calibri" w:eastAsia="Calibri" w:cs="Calibri"/>
          <w:i/>
          <w:iCs/>
          <w:color w:val="000000" w:themeColor="text1"/>
        </w:rPr>
        <w:t>Saturn: A New Look at an Old Devil</w:t>
      </w:r>
      <w:r w:rsidRPr="0536292E">
        <w:rPr>
          <w:rFonts w:ascii="Calibri" w:hAnsi="Calibri" w:eastAsia="Calibri" w:cs="Calibri"/>
          <w:color w:val="000000" w:themeColor="text1"/>
        </w:rPr>
        <w:t>, (London: Penguin Group, 1990), p. 10.</w:t>
      </w:r>
    </w:p>
  </w:footnote>
  <w:footnote w:id="43">
    <w:p w:rsidR="0536292E" w:rsidP="0536292E" w:rsidRDefault="0536292E" w14:paraId="4C24C5A8" w14:textId="45E3458E">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Chris Brennan </w:t>
      </w:r>
      <w:r w:rsidRPr="64AA8313" w:rsidR="64AA8313">
        <w:rPr>
          <w:rFonts w:ascii="Calibri" w:hAnsi="Calibri" w:eastAsia="Calibri" w:cs="Calibri"/>
          <w:i w:val="1"/>
          <w:iCs w:val="1"/>
          <w:color w:val="000000" w:themeColor="text1"/>
        </w:rPr>
        <w:t xml:space="preserve">Hellenistic Astrology: The Study of </w:t>
      </w:r>
      <w:r w:rsidRPr="64AA8313" w:rsidR="64AA8313">
        <w:rPr>
          <w:rFonts w:ascii="Calibri" w:hAnsi="Calibri" w:eastAsia="Calibri" w:cs="Calibri"/>
          <w:i w:val="1"/>
          <w:iCs w:val="1"/>
          <w:color w:val="000000" w:themeColor="text1"/>
        </w:rPr>
        <w:t>Fate</w:t>
      </w:r>
      <w:r w:rsidRPr="64AA8313" w:rsidR="64AA8313">
        <w:rPr>
          <w:rFonts w:ascii="Calibri" w:hAnsi="Calibri" w:eastAsia="Calibri" w:cs="Calibri"/>
          <w:i w:val="1"/>
          <w:iCs w:val="1"/>
          <w:color w:val="000000" w:themeColor="text1"/>
        </w:rPr>
        <w:t xml:space="preserve"> and Fortune</w:t>
      </w:r>
      <w:r w:rsidRPr="0536292E" w:rsidR="64AA8313">
        <w:rPr>
          <w:rFonts w:ascii="Calibri" w:hAnsi="Calibri" w:eastAsia="Calibri" w:cs="Calibri"/>
          <w:color w:val="000000" w:themeColor="text1"/>
        </w:rPr>
        <w:t>, (Colorado: Amor Fati Publications, 2017), pp. 173-174.</w:t>
      </w:r>
    </w:p>
  </w:footnote>
  <w:footnote w:id="44">
    <w:p w:rsidR="0536292E" w:rsidP="0536292E" w:rsidRDefault="0536292E" w14:paraId="505F2DE1" w14:textId="7655EFE1">
      <w:pPr>
        <w:pStyle w:val="FootnoteText"/>
        <w:rPr>
          <w:rFonts w:ascii="Calibri" w:hAnsi="Calibri" w:eastAsia="Calibri" w:cs="Calibri"/>
          <w:color w:val="000000" w:themeColor="text1"/>
        </w:rPr>
      </w:pPr>
      <w:r w:rsidRPr="0536292E">
        <w:rPr>
          <w:rStyle w:val="FootnoteReference"/>
        </w:rPr>
        <w:footnoteRef/>
      </w:r>
      <w:r w:rsidRPr="0536292E" w:rsidR="64AA8313">
        <w:rPr/>
        <w:t xml:space="preserve"> </w:t>
      </w:r>
      <w:r w:rsidRPr="0536292E" w:rsidR="64AA8313">
        <w:rPr>
          <w:rFonts w:ascii="Calibri" w:hAnsi="Calibri" w:eastAsia="Calibri" w:cs="Calibri"/>
          <w:color w:val="000000" w:themeColor="text1"/>
        </w:rPr>
        <w:t xml:space="preserve">Donald A. Schön </w:t>
      </w:r>
      <w:r w:rsidRPr="64AA8313" w:rsidR="64AA8313">
        <w:rPr>
          <w:rFonts w:ascii="Calibri" w:hAnsi="Calibri" w:eastAsia="Calibri" w:cs="Calibri"/>
          <w:i w:val="1"/>
          <w:iCs w:val="1"/>
          <w:color w:val="000000" w:themeColor="text1"/>
        </w:rPr>
        <w:t>The</w:t>
      </w:r>
      <w:r w:rsidRPr="64AA8313" w:rsidR="64AA8313">
        <w:rPr>
          <w:rFonts w:ascii="Calibri" w:hAnsi="Calibri" w:eastAsia="Calibri" w:cs="Calibri"/>
          <w:i w:val="1"/>
          <w:iCs w:val="1"/>
          <w:color w:val="000000" w:themeColor="text1"/>
        </w:rPr>
        <w:t xml:space="preserve"> Reflective Practitioner: How Professionals Think in Action</w:t>
      </w:r>
      <w:r w:rsidRPr="0536292E" w:rsidR="64AA8313">
        <w:rPr>
          <w:rFonts w:ascii="Calibri" w:hAnsi="Calibri" w:eastAsia="Calibri" w:cs="Calibri"/>
          <w:color w:val="000000" w:themeColor="text1"/>
        </w:rPr>
        <w:t>, (Basic Books Inc, 1984</w:t>
      </w:r>
      <w:r w:rsidRPr="0536292E" w:rsidR="64AA8313">
        <w:rPr>
          <w:rFonts w:ascii="Calibri" w:hAnsi="Calibri" w:eastAsia="Calibri" w:cs="Calibri"/>
          <w:color w:val="000000" w:themeColor="text1"/>
        </w:rPr>
        <w:t>)</w:t>
      </w:r>
      <w:r w:rsidRPr="0536292E" w:rsidR="64AA8313">
        <w:rPr>
          <w:rFonts w:ascii="Calibri" w:hAnsi="Calibri" w:eastAsia="Calibri" w:cs="Calibri"/>
          <w:color w:val="000000" w:themeColor="text1"/>
        </w:rPr>
        <w:t>, p. 50.</w:t>
      </w:r>
    </w:p>
  </w:footnote>
  <w:footnote w:id="45">
    <w:p w:rsidR="0536292E" w:rsidP="0536292E" w:rsidRDefault="0536292E" w14:paraId="1026C066" w14:textId="3ABDCB03">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7.</w:t>
      </w:r>
    </w:p>
  </w:footnote>
  <w:footnote w:id="46">
    <w:p w:rsidR="0536292E" w:rsidP="0536292E" w:rsidRDefault="0536292E" w14:paraId="748826FA" w14:textId="0B147CFC">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 80-81.</w:t>
      </w:r>
    </w:p>
  </w:footnote>
  <w:footnote w:id="47">
    <w:p w:rsidR="0536292E" w:rsidP="0536292E" w:rsidRDefault="0536292E" w14:paraId="5B477C85" w14:textId="0E7DABA6">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Patrick Curry </w:t>
      </w:r>
      <w:r w:rsidRPr="0536292E">
        <w:rPr>
          <w:rFonts w:ascii="Calibri" w:hAnsi="Calibri" w:eastAsia="Calibri" w:cs="Calibri"/>
          <w:i/>
          <w:iCs/>
          <w:color w:val="000000" w:themeColor="text1"/>
        </w:rPr>
        <w:t>MAGIC vs. ENCHANTMENT,</w:t>
      </w:r>
      <w:r w:rsidRPr="0536292E">
        <w:rPr>
          <w:rFonts w:ascii="Calibri" w:hAnsi="Calibri" w:eastAsia="Calibri" w:cs="Calibri"/>
          <w:color w:val="000000" w:themeColor="text1"/>
        </w:rPr>
        <w:t xml:space="preserve"> Mallorn: The Journal of the Tolkien Society, no. 38, (Tolkien Society, 2001), p. 10.</w:t>
      </w:r>
    </w:p>
  </w:footnote>
  <w:footnote w:id="48">
    <w:p w:rsidR="0536292E" w:rsidP="0536292E" w:rsidRDefault="0536292E" w14:paraId="5341E04A" w14:textId="792FA101">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Mizatua Masahide cited in Zen</w:t>
      </w:r>
      <w:r w:rsidRPr="0536292E">
        <w:rPr>
          <w:rFonts w:ascii="Calibri" w:hAnsi="Calibri" w:eastAsia="Calibri" w:cs="Calibri"/>
          <w:i/>
          <w:iCs/>
          <w:color w:val="000000" w:themeColor="text1"/>
        </w:rPr>
        <w:t xml:space="preserve"> Poetry: Let the Spring Breeze Enter</w:t>
      </w:r>
      <w:r w:rsidRPr="0536292E">
        <w:rPr>
          <w:rFonts w:ascii="Calibri" w:hAnsi="Calibri" w:eastAsia="Calibri" w:cs="Calibri"/>
          <w:color w:val="000000" w:themeColor="text1"/>
        </w:rPr>
        <w:t xml:space="preserve">, trans. Lucien Stryk and Takashi Ikemoto, (New York: Grove Press, 1995), p. 211. </w:t>
      </w:r>
      <w:hyperlink r:id="rId4">
        <w:r w:rsidRPr="0536292E">
          <w:rPr>
            <w:rStyle w:val="Hyperlink"/>
            <w:rFonts w:ascii="Calibri" w:hAnsi="Calibri" w:eastAsia="Calibri" w:cs="Calibri"/>
          </w:rPr>
          <w:t>https://terebess.hu/zen/mesterek/breeze.pdf</w:t>
        </w:r>
      </w:hyperlink>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AA8313" w:rsidTr="64AA8313" w14:paraId="0D3BF89F">
      <w:tc>
        <w:tcPr>
          <w:tcW w:w="3005" w:type="dxa"/>
          <w:tcMar/>
        </w:tcPr>
        <w:p w:rsidR="64AA8313" w:rsidP="64AA8313" w:rsidRDefault="64AA8313" w14:paraId="676F9AAF" w14:textId="69E35407">
          <w:pPr>
            <w:pStyle w:val="Header"/>
            <w:bidi w:val="0"/>
            <w:ind w:left="-115"/>
            <w:jc w:val="left"/>
          </w:pPr>
        </w:p>
      </w:tc>
      <w:tc>
        <w:tcPr>
          <w:tcW w:w="3005" w:type="dxa"/>
          <w:tcMar/>
        </w:tcPr>
        <w:p w:rsidR="64AA8313" w:rsidP="64AA8313" w:rsidRDefault="64AA8313" w14:paraId="0F5B13D0" w14:textId="3B0F356A">
          <w:pPr>
            <w:pStyle w:val="Header"/>
            <w:bidi w:val="0"/>
            <w:jc w:val="center"/>
          </w:pPr>
        </w:p>
      </w:tc>
      <w:tc>
        <w:tcPr>
          <w:tcW w:w="3005" w:type="dxa"/>
          <w:tcMar/>
        </w:tcPr>
        <w:p w:rsidR="64AA8313" w:rsidP="64AA8313" w:rsidRDefault="64AA8313" w14:paraId="64712F89" w14:textId="25E925B4">
          <w:pPr>
            <w:pStyle w:val="Header"/>
            <w:bidi w:val="0"/>
            <w:ind w:right="-115"/>
            <w:jc w:val="right"/>
          </w:pPr>
        </w:p>
      </w:tc>
    </w:tr>
  </w:tbl>
  <w:p w:rsidR="64AA8313" w:rsidP="64AA8313" w:rsidRDefault="64AA8313" w14:paraId="1FF6BFF0" w14:textId="72AF3E41">
    <w:pPr>
      <w:pStyle w:val="Header"/>
      <w:bidi w:val="0"/>
    </w:pPr>
  </w:p>
</w:hdr>
</file>

<file path=word/intelligence.xml><?xml version="1.0" encoding="utf-8"?>
<int:Intelligence xmlns:int="http://schemas.microsoft.com/office/intelligence/2019/intelligence">
  <int:IntelligenceSettings/>
  <int:Manifest>
    <int:ParagraphRange paragraphId="1209799442" textId="1443910414" start="40" length="3" invalidationStart="40" invalidationLength="3" id="ziIbk3at"/>
    <int:WordHash hashCode="xmINE1Q07T8p5l" id="IlidnPGT"/>
    <int:ParagraphRange paragraphId="1238321796" textId="904208970" start="23" length="15" invalidationStart="23" invalidationLength="15" id="S04hQPF1"/>
    <int:ParagraphRange paragraphId="1250262149" textId="153581655" start="0" length="4" invalidationStart="0" invalidationLength="4" id="nfZ2sKOT"/>
    <int:WordHash hashCode="m0SvIcJoiwp4IQ" id="dblijT3J"/>
    <int:WordHash hashCode="9Gv5WOcAegmGax" id="C1Dp2/XV"/>
    <int:ParagraphRange paragraphId="1250262149" textId="1737080907" start="0" length="4" invalidationStart="0" invalidationLength="4" id="aAFpvx8X"/>
    <int:WordHash hashCode="eNbk18lRJ4RSY2" id="ntRYaxAD"/>
    <int:WordHash hashCode="z90lEyDEMWk22S" id="88p+c+II"/>
    <int:WordHash hashCode="Ul/ywS+Y2fr0O3" id="IFXm26Wi"/>
    <int:WordHash hashCode="2X6Rs9owlyxFRB" id="Eexy70oH"/>
    <int:WordHash hashCode="74GTccyFl2MI1K" id="oE3h8SJ+"/>
    <int:WordHash hashCode="EQnkkSwm5YFJG5" id="YY0UsQgP"/>
    <int:WordHash hashCode="27ULAalsz6Jua9" id="Xt1np7cr"/>
    <int:ParagraphRange paragraphId="1348414945" textId="1784502441" start="18" length="3" invalidationStart="18" invalidationLength="3" id="xogLSuhq"/>
    <int:WordHash hashCode="OOm5EZRlzXSv60" id="xULOJ8MX"/>
    <int:WordHash hashCode="iRAwwSJ/mOTsdq" id="6GxVMeE4"/>
    <int:WordHash hashCode="hkEdsPuzXFmdty" id="wZaHUcMa"/>
    <int:WordHash hashCode="MZYAp/LTmzWir4" id="flaAobtR"/>
    <int:ParagraphRange paragraphId="1277478312" textId="1172522382" start="52" length="4" invalidationStart="52" invalidationLength="4" id="yKHJ8WYk"/>
    <int:ParagraphRange paragraphId="1664529960" textId="782463174" start="17" length="2" invalidationStart="17" invalidationLength="2" id="iQu03EZ4"/>
    <int:WordHash hashCode="cTCZZo8EHQ9y1m" id="nGqtCP7F"/>
    <int:WordHash hashCode="GWmdcwfzXSroC7" id="dojm5+jO"/>
    <int:WordHash hashCode="o61gcEUpRLMCq7" id="5x7SE/x5"/>
    <int:ParagraphRange paragraphId="325820107" textId="751096221" start="944" length="10" invalidationStart="944" invalidationLength="10" id="hjVlllzP"/>
    <int:ParagraphRange paragraphId="1250262149" textId="1846077780" start="0" length="4" invalidationStart="0" invalidationLength="4" id="ihUw4hQ8"/>
    <int:ParagraphRange paragraphId="2145018689" textId="522681812" start="556" length="6" invalidationStart="556" invalidationLength="6" id="a1bdG8Sg"/>
    <int:WordHash hashCode="GXzudvtVz0P+CO" id="haCmGZto"/>
    <int:WordHash hashCode="WwK2qqrMfOl6l8" id="bqbD9E/L"/>
    <int:ParagraphRange paragraphId="1771143338" textId="2053283108" start="101" length="7" invalidationStart="101" invalidationLength="7" id="GQKitqRU"/>
    <int:ParagraphRange paragraphId="1430860513" textId="28992736" start="101" length="7" invalidationStart="101" invalidationLength="7" id="uo4Q2Eqv"/>
    <int:WordHash hashCode="3GwaSfHWyMrzjQ" id="zjlgmltZ"/>
    <int:ParagraphRange paragraphId="1430860513" textId="704628376" start="101" length="7" invalidationStart="101" invalidationLength="7" id="HHo8hFsk"/>
    <int:ParagraphRange paragraphId="767975082" textId="2137077549" start="95" length="16" invalidationStart="95" invalidationLength="16" id="httEDdLe"/>
    <int:ParagraphRange paragraphId="1931628704" textId="855945203" start="52" length="4" invalidationStart="52" invalidationLength="4" id="Oep11Lrv"/>
    <int:ParagraphRange paragraphId="1348414945" textId="1985343457" start="18" length="3" invalidationStart="18" invalidationLength="3" id="O7JwVGfy"/>
    <int:ParagraphRange paragraphId="357994775" textId="1125244359" start="25" length="3" invalidationStart="25" invalidationLength="3" id="bnSrlnbC"/>
    <int:ParagraphRange paragraphId="842607616" textId="366489668" start="1" length="2" invalidationStart="1" invalidationLength="2" id="YF7CClhz"/>
    <int:ParagraphRange paragraphId="576735329" textId="1860318450" start="34" length="10" invalidationStart="34" invalidationLength="10" id="me5bJISQ"/>
    <int:ParagraphRange paragraphId="514613597" textId="1081388975" start="7" length="9" invalidationStart="7" invalidationLength="9" id="b0nc9Yuh"/>
    <int:ParagraphRange paragraphId="988117198" textId="2089072903" start="60" length="13" invalidationStart="60" invalidationLength="13" id="EjoEOc9Q"/>
    <int:WordHash hashCode="Ijimn56BBEb86F" id="9RffHVZn"/>
  </int:Manifest>
  <int:Observations>
    <int:Content id="ziIbk3at">
      <int:Rejection type="LegacyProofing"/>
    </int:Content>
    <int:Content id="IlidnPGT">
      <int:Rejection type="LegacyProofing"/>
    </int:Content>
    <int:Content id="S04hQPF1">
      <int:Rejection type="LegacyProofing"/>
    </int:Content>
    <int:Content id="nfZ2sKOT">
      <int:Rejection type="LegacyProofing"/>
    </int:Content>
    <int:Content id="dblijT3J">
      <int:Rejection type="LegacyProofing"/>
    </int:Content>
    <int:Content id="C1Dp2/XV">
      <int:Rejection type="LegacyProofing"/>
    </int:Content>
    <int:Content id="aAFpvx8X">
      <int:Rejection type="LegacyProofing"/>
    </int:Content>
    <int:Content id="ntRYaxAD">
      <int:Rejection type="LegacyProofing"/>
    </int:Content>
    <int:Content id="88p+c+II">
      <int:Rejection type="LegacyProofing"/>
    </int:Content>
    <int:Content id="IFXm26Wi">
      <int:Rejection type="LegacyProofing"/>
    </int:Content>
    <int:Content id="Eexy70oH">
      <int:Rejection type="LegacyProofing"/>
    </int:Content>
    <int:Content id="oE3h8SJ+">
      <int:Rejection type="LegacyProofing"/>
    </int:Content>
    <int:Content id="YY0UsQgP">
      <int:Rejection type="LegacyProofing"/>
    </int:Content>
    <int:Content id="Xt1np7cr">
      <int:Rejection type="LegacyProofing"/>
    </int:Content>
    <int:Content id="xogLSuhq">
      <int:Rejection type="LegacyProofing"/>
    </int:Content>
    <int:Content id="xULOJ8MX">
      <int:Rejection type="AugLoop_Text_Critique"/>
    </int:Content>
    <int:Content id="6GxVMeE4">
      <int:Rejection type="LegacyProofing"/>
    </int:Content>
    <int:Content id="wZaHUcMa">
      <int:Rejection type="LegacyProofing"/>
    </int:Content>
    <int:Content id="flaAobtR">
      <int:Rejection type="LegacyProofing"/>
    </int:Content>
    <int:Content id="yKHJ8WYk">
      <int:Rejection type="LegacyProofing"/>
    </int:Content>
    <int:Content id="iQu03EZ4">
      <int:Rejection type="LegacyProofing"/>
    </int:Content>
    <int:Content id="nGqtCP7F">
      <int:Rejection type="AugLoop_Text_Critique"/>
    </int:Content>
    <int:Content id="dojm5+jO">
      <int:Rejection type="AugLoop_Text_Critique"/>
    </int:Content>
    <int:Content id="5x7SE/x5">
      <int:Rejection type="AugLoop_Text_Critique"/>
    </int:Content>
    <int:Content id="hjVlllzP">
      <int:Rejection type="LegacyProofing"/>
    </int:Content>
    <int:Content id="ihUw4hQ8">
      <int:Rejection type="LegacyProofing"/>
    </int:Content>
    <int:Content id="a1bdG8Sg">
      <int:Rejection type="LegacyProofing"/>
    </int:Content>
    <int:Content id="haCmGZto">
      <int:Rejection type="AugLoop_Text_Critique"/>
    </int:Content>
    <int:Content id="bqbD9E/L">
      <int:Rejection type="AugLoop_Text_Critique"/>
    </int:Content>
    <int:Content id="GQKitqRU">
      <int:Rejection type="LegacyProofing"/>
    </int:Content>
    <int:Content id="uo4Q2Eqv">
      <int:Rejection type="LegacyProofing"/>
    </int:Content>
    <int:Content id="zjlgmltZ">
      <int:Rejection type="LegacyProofing"/>
    </int:Content>
    <int:Content id="HHo8hFsk">
      <int:Rejection type="LegacyProofing"/>
    </int:Content>
    <int:Content id="httEDdLe">
      <int:Rejection type="LegacyProofing"/>
    </int:Content>
    <int:Content id="Oep11Lrv">
      <int:Rejection type="LegacyProofing"/>
    </int:Content>
    <int:Content id="O7JwVGfy">
      <int:Rejection type="LegacyProofing"/>
    </int:Content>
    <int:Content id="bnSrlnbC">
      <int:Rejection type="LegacyProofing"/>
    </int:Content>
    <int:Content id="YF7CClhz">
      <int:Rejection type="LegacyProofing"/>
    </int:Content>
    <int:Content id="me5bJISQ">
      <int:Rejection type="LegacyProofing"/>
    </int:Content>
    <int:Content id="b0nc9Yuh">
      <int:Rejection type="LegacyProofing"/>
    </int:Content>
    <int:Content id="EjoEOc9Q">
      <int:Rejection type="LegacyProofing"/>
    </int:Content>
    <int:Content id="9RffHVZ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40DFA8"/>
    <w:rsid w:val="000D1EB4"/>
    <w:rsid w:val="00142FA6"/>
    <w:rsid w:val="005D3DFF"/>
    <w:rsid w:val="009D4495"/>
    <w:rsid w:val="00AE29C6"/>
    <w:rsid w:val="00B25330"/>
    <w:rsid w:val="00C07EC7"/>
    <w:rsid w:val="00C53468"/>
    <w:rsid w:val="011324A8"/>
    <w:rsid w:val="01242D56"/>
    <w:rsid w:val="012B2057"/>
    <w:rsid w:val="01A94D13"/>
    <w:rsid w:val="0280EACB"/>
    <w:rsid w:val="02CD1196"/>
    <w:rsid w:val="03B1270D"/>
    <w:rsid w:val="03B7D2F9"/>
    <w:rsid w:val="03DE0391"/>
    <w:rsid w:val="04325D38"/>
    <w:rsid w:val="04E49DA1"/>
    <w:rsid w:val="0536292E"/>
    <w:rsid w:val="05AF0278"/>
    <w:rsid w:val="06943ED3"/>
    <w:rsid w:val="070C78B2"/>
    <w:rsid w:val="0721697E"/>
    <w:rsid w:val="072E4F40"/>
    <w:rsid w:val="0750656B"/>
    <w:rsid w:val="0785E0AB"/>
    <w:rsid w:val="07B7F3BE"/>
    <w:rsid w:val="08B68269"/>
    <w:rsid w:val="0905CE5B"/>
    <w:rsid w:val="0920DF01"/>
    <w:rsid w:val="09B45EF8"/>
    <w:rsid w:val="0A264630"/>
    <w:rsid w:val="0A4A16C8"/>
    <w:rsid w:val="0ABAF059"/>
    <w:rsid w:val="0AD10A7F"/>
    <w:rsid w:val="0B086E17"/>
    <w:rsid w:val="0BBA290B"/>
    <w:rsid w:val="0BDD46AC"/>
    <w:rsid w:val="0BE9DD97"/>
    <w:rsid w:val="0C03BE36"/>
    <w:rsid w:val="0C6BBC39"/>
    <w:rsid w:val="0D271B2F"/>
    <w:rsid w:val="0D433849"/>
    <w:rsid w:val="0D59E5A8"/>
    <w:rsid w:val="0D5DE6F2"/>
    <w:rsid w:val="0DCA50BC"/>
    <w:rsid w:val="0E078C9A"/>
    <w:rsid w:val="0E11E360"/>
    <w:rsid w:val="0EA01334"/>
    <w:rsid w:val="0EA605B0"/>
    <w:rsid w:val="0EBB28EF"/>
    <w:rsid w:val="0EFE1D08"/>
    <w:rsid w:val="0F1D87EB"/>
    <w:rsid w:val="0F21EF1C"/>
    <w:rsid w:val="0F69EA5B"/>
    <w:rsid w:val="0F6B72FE"/>
    <w:rsid w:val="0F8A4B7F"/>
    <w:rsid w:val="0FA1BC2A"/>
    <w:rsid w:val="10103766"/>
    <w:rsid w:val="1023A07C"/>
    <w:rsid w:val="10391A7D"/>
    <w:rsid w:val="107C5F57"/>
    <w:rsid w:val="10968FE8"/>
    <w:rsid w:val="1105BABC"/>
    <w:rsid w:val="1107435F"/>
    <w:rsid w:val="12182FB8"/>
    <w:rsid w:val="1235BDCA"/>
    <w:rsid w:val="12566677"/>
    <w:rsid w:val="1257C75B"/>
    <w:rsid w:val="12598FDE"/>
    <w:rsid w:val="129DC1DF"/>
    <w:rsid w:val="12B0DBA2"/>
    <w:rsid w:val="13259C8B"/>
    <w:rsid w:val="13AC6263"/>
    <w:rsid w:val="13B40019"/>
    <w:rsid w:val="13D5B9B2"/>
    <w:rsid w:val="13F14C04"/>
    <w:rsid w:val="13F397BC"/>
    <w:rsid w:val="141657AE"/>
    <w:rsid w:val="1428646A"/>
    <w:rsid w:val="1448AA42"/>
    <w:rsid w:val="144CAC03"/>
    <w:rsid w:val="14A43B3B"/>
    <w:rsid w:val="15D47752"/>
    <w:rsid w:val="15D47752"/>
    <w:rsid w:val="15E2E70C"/>
    <w:rsid w:val="16617418"/>
    <w:rsid w:val="172B387E"/>
    <w:rsid w:val="176D7C96"/>
    <w:rsid w:val="177047B3"/>
    <w:rsid w:val="17844CC5"/>
    <w:rsid w:val="17BCDF35"/>
    <w:rsid w:val="17CDC5BF"/>
    <w:rsid w:val="17D4EDE9"/>
    <w:rsid w:val="17DB7756"/>
    <w:rsid w:val="17EF4398"/>
    <w:rsid w:val="1822E55E"/>
    <w:rsid w:val="184036C5"/>
    <w:rsid w:val="187FEC6E"/>
    <w:rsid w:val="18F92CE7"/>
    <w:rsid w:val="19A96045"/>
    <w:rsid w:val="19A96045"/>
    <w:rsid w:val="19C25038"/>
    <w:rsid w:val="19C2DC36"/>
    <w:rsid w:val="19DFD8FD"/>
    <w:rsid w:val="1A208C41"/>
    <w:rsid w:val="1A28B53C"/>
    <w:rsid w:val="1A640B1F"/>
    <w:rsid w:val="1A7389E2"/>
    <w:rsid w:val="1B1CE0D7"/>
    <w:rsid w:val="1B25178C"/>
    <w:rsid w:val="1B9A4D4A"/>
    <w:rsid w:val="1BB5F12B"/>
    <w:rsid w:val="1BBCAA9B"/>
    <w:rsid w:val="1BCC6992"/>
    <w:rsid w:val="1C57BDE8"/>
    <w:rsid w:val="1C962912"/>
    <w:rsid w:val="1CD0B59C"/>
    <w:rsid w:val="1D1A40BC"/>
    <w:rsid w:val="1D59FC0F"/>
    <w:rsid w:val="1D59FC0F"/>
    <w:rsid w:val="1D6055FE"/>
    <w:rsid w:val="1D740ABC"/>
    <w:rsid w:val="1DD94CC9"/>
    <w:rsid w:val="1DF38E49"/>
    <w:rsid w:val="1E6B7155"/>
    <w:rsid w:val="1E900578"/>
    <w:rsid w:val="1F012A07"/>
    <w:rsid w:val="1F040A54"/>
    <w:rsid w:val="1F0FDB1D"/>
    <w:rsid w:val="1F16A211"/>
    <w:rsid w:val="1F1B8520"/>
    <w:rsid w:val="1F51310A"/>
    <w:rsid w:val="1F513FA3"/>
    <w:rsid w:val="1F678E75"/>
    <w:rsid w:val="1F702B2A"/>
    <w:rsid w:val="2055EE24"/>
    <w:rsid w:val="20798D95"/>
    <w:rsid w:val="20C46960"/>
    <w:rsid w:val="212B2F0B"/>
    <w:rsid w:val="217C7436"/>
    <w:rsid w:val="2191B6BB"/>
    <w:rsid w:val="21B31BFC"/>
    <w:rsid w:val="21F6791C"/>
    <w:rsid w:val="2244C784"/>
    <w:rsid w:val="2304A5F5"/>
    <w:rsid w:val="232098AD"/>
    <w:rsid w:val="2380D720"/>
    <w:rsid w:val="23E71882"/>
    <w:rsid w:val="24316467"/>
    <w:rsid w:val="2444057E"/>
    <w:rsid w:val="24BC690E"/>
    <w:rsid w:val="24BC690E"/>
    <w:rsid w:val="25201705"/>
    <w:rsid w:val="25201705"/>
    <w:rsid w:val="253BD7C7"/>
    <w:rsid w:val="25993EB4"/>
    <w:rsid w:val="25AD796D"/>
    <w:rsid w:val="260B781F"/>
    <w:rsid w:val="264FE559"/>
    <w:rsid w:val="2658396F"/>
    <w:rsid w:val="2681EF00"/>
    <w:rsid w:val="270DF2FB"/>
    <w:rsid w:val="274A8973"/>
    <w:rsid w:val="27DBFE26"/>
    <w:rsid w:val="27EBB5BA"/>
    <w:rsid w:val="27FBF756"/>
    <w:rsid w:val="28216156"/>
    <w:rsid w:val="285863EB"/>
    <w:rsid w:val="28737889"/>
    <w:rsid w:val="28A9C35C"/>
    <w:rsid w:val="2938991E"/>
    <w:rsid w:val="2997C7B7"/>
    <w:rsid w:val="29F38828"/>
    <w:rsid w:val="2A0DBEEF"/>
    <w:rsid w:val="2A4593BD"/>
    <w:rsid w:val="2A4DAEE6"/>
    <w:rsid w:val="2A61EE69"/>
    <w:rsid w:val="2A80EA90"/>
    <w:rsid w:val="2AC32EA8"/>
    <w:rsid w:val="2AD9FED7"/>
    <w:rsid w:val="2AF57FCA"/>
    <w:rsid w:val="2B2F7D78"/>
    <w:rsid w:val="2B312968"/>
    <w:rsid w:val="2B400C97"/>
    <w:rsid w:val="2B515993"/>
    <w:rsid w:val="2B8F5889"/>
    <w:rsid w:val="2B8F5889"/>
    <w:rsid w:val="2B9D5B62"/>
    <w:rsid w:val="2BBFA992"/>
    <w:rsid w:val="2C855E42"/>
    <w:rsid w:val="2C9D5D7A"/>
    <w:rsid w:val="2CAB7F3F"/>
    <w:rsid w:val="2CF722B6"/>
    <w:rsid w:val="2CFF1257"/>
    <w:rsid w:val="2D347736"/>
    <w:rsid w:val="2DF2E1E4"/>
    <w:rsid w:val="2E15D254"/>
    <w:rsid w:val="2E64DEA8"/>
    <w:rsid w:val="2E6B38DA"/>
    <w:rsid w:val="2E71197D"/>
    <w:rsid w:val="2E87F7BA"/>
    <w:rsid w:val="2EB856D9"/>
    <w:rsid w:val="2F08F347"/>
    <w:rsid w:val="2FA42C46"/>
    <w:rsid w:val="2FAD6FFA"/>
    <w:rsid w:val="2FAE2068"/>
    <w:rsid w:val="2FC98C1F"/>
    <w:rsid w:val="30B6A54C"/>
    <w:rsid w:val="30E608E7"/>
    <w:rsid w:val="31237DCF"/>
    <w:rsid w:val="312A82A6"/>
    <w:rsid w:val="312ABB29"/>
    <w:rsid w:val="3132702C"/>
    <w:rsid w:val="3144160A"/>
    <w:rsid w:val="31519471"/>
    <w:rsid w:val="31592504"/>
    <w:rsid w:val="32C65307"/>
    <w:rsid w:val="32CE408D"/>
    <w:rsid w:val="32DBCD08"/>
    <w:rsid w:val="32EBF4A6"/>
    <w:rsid w:val="33439995"/>
    <w:rsid w:val="33B3F294"/>
    <w:rsid w:val="33BA15FA"/>
    <w:rsid w:val="3411570D"/>
    <w:rsid w:val="3457C12C"/>
    <w:rsid w:val="346A10EE"/>
    <w:rsid w:val="3480E11D"/>
    <w:rsid w:val="34893533"/>
    <w:rsid w:val="34893533"/>
    <w:rsid w:val="34B2F68E"/>
    <w:rsid w:val="34BA80E5"/>
    <w:rsid w:val="34BAE243"/>
    <w:rsid w:val="3540DFA8"/>
    <w:rsid w:val="35423EB7"/>
    <w:rsid w:val="356764D6"/>
    <w:rsid w:val="358D09CA"/>
    <w:rsid w:val="35A22A43"/>
    <w:rsid w:val="35AD276E"/>
    <w:rsid w:val="35F5C13F"/>
    <w:rsid w:val="3618234B"/>
    <w:rsid w:val="3656B2A4"/>
    <w:rsid w:val="36691AEF"/>
    <w:rsid w:val="36726323"/>
    <w:rsid w:val="3687F1F1"/>
    <w:rsid w:val="36B1A4CD"/>
    <w:rsid w:val="36C444E3"/>
    <w:rsid w:val="37554A6B"/>
    <w:rsid w:val="37743FD7"/>
    <w:rsid w:val="3776253E"/>
    <w:rsid w:val="37895017"/>
    <w:rsid w:val="379191A0"/>
    <w:rsid w:val="37940EDD"/>
    <w:rsid w:val="37A669D4"/>
    <w:rsid w:val="37AF3E2B"/>
    <w:rsid w:val="37B9324D"/>
    <w:rsid w:val="37F83E8D"/>
    <w:rsid w:val="3813C3E7"/>
    <w:rsid w:val="383BD0B1"/>
    <w:rsid w:val="387B5326"/>
    <w:rsid w:val="38E4C830"/>
    <w:rsid w:val="3911F59F"/>
    <w:rsid w:val="392D6201"/>
    <w:rsid w:val="3935948B"/>
    <w:rsid w:val="393D8211"/>
    <w:rsid w:val="3977C0B9"/>
    <w:rsid w:val="398E5366"/>
    <w:rsid w:val="39D7A112"/>
    <w:rsid w:val="3A02C40D"/>
    <w:rsid w:val="3A2AEB15"/>
    <w:rsid w:val="3A809891"/>
    <w:rsid w:val="3AABE099"/>
    <w:rsid w:val="3AAFFA7D"/>
    <w:rsid w:val="3B2A23C7"/>
    <w:rsid w:val="3B53069C"/>
    <w:rsid w:val="3BCABD37"/>
    <w:rsid w:val="3C47B0FA"/>
    <w:rsid w:val="3C7522D3"/>
    <w:rsid w:val="3C85ACAF"/>
    <w:rsid w:val="3CC5F428"/>
    <w:rsid w:val="3CE960FB"/>
    <w:rsid w:val="3D1A5E0A"/>
    <w:rsid w:val="3D3C8EB6"/>
    <w:rsid w:val="3D628BD7"/>
    <w:rsid w:val="3D880A0B"/>
    <w:rsid w:val="3E33BB66"/>
    <w:rsid w:val="3EA38E55"/>
    <w:rsid w:val="3EEE58E7"/>
    <w:rsid w:val="3EFE5C38"/>
    <w:rsid w:val="3F56BA1D"/>
    <w:rsid w:val="3F65E168"/>
    <w:rsid w:val="3FB0156F"/>
    <w:rsid w:val="3FBA5010"/>
    <w:rsid w:val="402B3E98"/>
    <w:rsid w:val="403F5EB6"/>
    <w:rsid w:val="40418A22"/>
    <w:rsid w:val="408A2948"/>
    <w:rsid w:val="40E9F103"/>
    <w:rsid w:val="40EFDA15"/>
    <w:rsid w:val="413E0E7B"/>
    <w:rsid w:val="415E0DF7"/>
    <w:rsid w:val="41F46F24"/>
    <w:rsid w:val="41FDA6B5"/>
    <w:rsid w:val="42215120"/>
    <w:rsid w:val="422C36D9"/>
    <w:rsid w:val="4232F857"/>
    <w:rsid w:val="429B4B7E"/>
    <w:rsid w:val="42F1F0D2"/>
    <w:rsid w:val="42F9DE58"/>
    <w:rsid w:val="430B7622"/>
    <w:rsid w:val="430B7622"/>
    <w:rsid w:val="4350B972"/>
    <w:rsid w:val="43692FCC"/>
    <w:rsid w:val="43A026A0"/>
    <w:rsid w:val="43D7F432"/>
    <w:rsid w:val="43F992FA"/>
    <w:rsid w:val="44282C64"/>
    <w:rsid w:val="442F685D"/>
    <w:rsid w:val="44371BDF"/>
    <w:rsid w:val="44BBA371"/>
    <w:rsid w:val="45EA9731"/>
    <w:rsid w:val="45EF3901"/>
    <w:rsid w:val="46299194"/>
    <w:rsid w:val="46317F1A"/>
    <w:rsid w:val="4650322D"/>
    <w:rsid w:val="465B9B97"/>
    <w:rsid w:val="466160AF"/>
    <w:rsid w:val="46DE6201"/>
    <w:rsid w:val="46F96ACC"/>
    <w:rsid w:val="475A932C"/>
    <w:rsid w:val="47B3E201"/>
    <w:rsid w:val="47B3E201"/>
    <w:rsid w:val="47DEE745"/>
    <w:rsid w:val="48401AB0"/>
    <w:rsid w:val="484170E4"/>
    <w:rsid w:val="484170E4"/>
    <w:rsid w:val="484E8633"/>
    <w:rsid w:val="485B0588"/>
    <w:rsid w:val="487947B3"/>
    <w:rsid w:val="487C844C"/>
    <w:rsid w:val="48D96F87"/>
    <w:rsid w:val="490667CA"/>
    <w:rsid w:val="49691FDC"/>
    <w:rsid w:val="49A093ED"/>
    <w:rsid w:val="49B12437"/>
    <w:rsid w:val="49DDA403"/>
    <w:rsid w:val="4A06BD04"/>
    <w:rsid w:val="4A34D5F5"/>
    <w:rsid w:val="4AADA828"/>
    <w:rsid w:val="4AF9318A"/>
    <w:rsid w:val="4B23A130"/>
    <w:rsid w:val="4B423E53"/>
    <w:rsid w:val="4B558CAB"/>
    <w:rsid w:val="4B7AB4D8"/>
    <w:rsid w:val="4B88EDF2"/>
    <w:rsid w:val="4BD2DB25"/>
    <w:rsid w:val="4C3A7A42"/>
    <w:rsid w:val="4C3A7A42"/>
    <w:rsid w:val="4C8B469D"/>
    <w:rsid w:val="4CDE0EB4"/>
    <w:rsid w:val="4CE40578"/>
    <w:rsid w:val="4D0EE524"/>
    <w:rsid w:val="4D1979EE"/>
    <w:rsid w:val="4D39E22E"/>
    <w:rsid w:val="4D4AEAE1"/>
    <w:rsid w:val="4E3C90FF"/>
    <w:rsid w:val="4E6756CE"/>
    <w:rsid w:val="4E6C7294"/>
    <w:rsid w:val="4E8D2D6D"/>
    <w:rsid w:val="4EB11526"/>
    <w:rsid w:val="4EB51C97"/>
    <w:rsid w:val="4ECE29E4"/>
    <w:rsid w:val="4F12DA8D"/>
    <w:rsid w:val="4F551899"/>
    <w:rsid w:val="4FD86160"/>
    <w:rsid w:val="500FD571"/>
    <w:rsid w:val="503CE71C"/>
    <w:rsid w:val="5129816B"/>
    <w:rsid w:val="517E168A"/>
    <w:rsid w:val="522029F9"/>
    <w:rsid w:val="5236FA28"/>
    <w:rsid w:val="533FE3B7"/>
    <w:rsid w:val="53AB8EC9"/>
    <w:rsid w:val="53CA8E1C"/>
    <w:rsid w:val="540F615F"/>
    <w:rsid w:val="55680E4C"/>
    <w:rsid w:val="562F435A"/>
    <w:rsid w:val="565901E5"/>
    <w:rsid w:val="56597DC8"/>
    <w:rsid w:val="5715CBDD"/>
    <w:rsid w:val="5724D19F"/>
    <w:rsid w:val="57470221"/>
    <w:rsid w:val="5796FDD8"/>
    <w:rsid w:val="57B5FF77"/>
    <w:rsid w:val="585A02D6"/>
    <w:rsid w:val="58BA6727"/>
    <w:rsid w:val="58F6DA78"/>
    <w:rsid w:val="58FD0196"/>
    <w:rsid w:val="5904C485"/>
    <w:rsid w:val="593A63C1"/>
    <w:rsid w:val="59461BC2"/>
    <w:rsid w:val="597185BD"/>
    <w:rsid w:val="5985308A"/>
    <w:rsid w:val="598DF30B"/>
    <w:rsid w:val="59CEB6D6"/>
    <w:rsid w:val="59DB073C"/>
    <w:rsid w:val="5A42BC7B"/>
    <w:rsid w:val="5B5A759E"/>
    <w:rsid w:val="5B7F26A5"/>
    <w:rsid w:val="5C6D1C73"/>
    <w:rsid w:val="5C7B54BB"/>
    <w:rsid w:val="5CCE5012"/>
    <w:rsid w:val="5D065798"/>
    <w:rsid w:val="5D378B3E"/>
    <w:rsid w:val="5D513288"/>
    <w:rsid w:val="5D5D3932"/>
    <w:rsid w:val="5D6794C4"/>
    <w:rsid w:val="5D7C04FD"/>
    <w:rsid w:val="5D8B6803"/>
    <w:rsid w:val="5D9B1E2E"/>
    <w:rsid w:val="5DB643A5"/>
    <w:rsid w:val="5DD3323A"/>
    <w:rsid w:val="5DF89470"/>
    <w:rsid w:val="5E18CBE1"/>
    <w:rsid w:val="5E2A45E2"/>
    <w:rsid w:val="5E315F7B"/>
    <w:rsid w:val="5E412DA2"/>
    <w:rsid w:val="5E44F6E0"/>
    <w:rsid w:val="5E8E934C"/>
    <w:rsid w:val="5EA227F9"/>
    <w:rsid w:val="5EEE0C6C"/>
    <w:rsid w:val="5F694E91"/>
    <w:rsid w:val="5F9464D1"/>
    <w:rsid w:val="5FEBECC5"/>
    <w:rsid w:val="5FEBECC5"/>
    <w:rsid w:val="5FF159D1"/>
    <w:rsid w:val="602318EE"/>
    <w:rsid w:val="602DE6C1"/>
    <w:rsid w:val="606AC5EF"/>
    <w:rsid w:val="606F2C00"/>
    <w:rsid w:val="60A26AE8"/>
    <w:rsid w:val="610D6CBA"/>
    <w:rsid w:val="6178CE64"/>
    <w:rsid w:val="61910B72"/>
    <w:rsid w:val="619748A2"/>
    <w:rsid w:val="61977E6A"/>
    <w:rsid w:val="61C9B722"/>
    <w:rsid w:val="62B88D28"/>
    <w:rsid w:val="6311AA3E"/>
    <w:rsid w:val="63149EC5"/>
    <w:rsid w:val="631F72D0"/>
    <w:rsid w:val="63A6CCC2"/>
    <w:rsid w:val="63D21E24"/>
    <w:rsid w:val="63E79825"/>
    <w:rsid w:val="6400C082"/>
    <w:rsid w:val="6428F8E1"/>
    <w:rsid w:val="6467D219"/>
    <w:rsid w:val="64AA8313"/>
    <w:rsid w:val="64DF8B3B"/>
    <w:rsid w:val="653D0087"/>
    <w:rsid w:val="656DEE85"/>
    <w:rsid w:val="6594FA35"/>
    <w:rsid w:val="65CCF623"/>
    <w:rsid w:val="6611150A"/>
    <w:rsid w:val="66DD3652"/>
    <w:rsid w:val="67750FFC"/>
    <w:rsid w:val="679BBA2F"/>
    <w:rsid w:val="67D182D4"/>
    <w:rsid w:val="67E28664"/>
    <w:rsid w:val="67FD81D9"/>
    <w:rsid w:val="6809FA18"/>
    <w:rsid w:val="6838F8A6"/>
    <w:rsid w:val="683E0F98"/>
    <w:rsid w:val="685AF406"/>
    <w:rsid w:val="68633CB9"/>
    <w:rsid w:val="68861A92"/>
    <w:rsid w:val="689B18B8"/>
    <w:rsid w:val="68F9FDFE"/>
    <w:rsid w:val="691520E7"/>
    <w:rsid w:val="695367ED"/>
    <w:rsid w:val="698E88E0"/>
    <w:rsid w:val="69C96680"/>
    <w:rsid w:val="6A0481E8"/>
    <w:rsid w:val="6A8AA4DE"/>
    <w:rsid w:val="6B2A4373"/>
    <w:rsid w:val="6B69F831"/>
    <w:rsid w:val="6BB52D13"/>
    <w:rsid w:val="6BFC9E2C"/>
    <w:rsid w:val="6C0BD267"/>
    <w:rsid w:val="6C4F1741"/>
    <w:rsid w:val="6D479282"/>
    <w:rsid w:val="6D50FD74"/>
    <w:rsid w:val="6DA50A63"/>
    <w:rsid w:val="6DBE5C00"/>
    <w:rsid w:val="6DD732E4"/>
    <w:rsid w:val="6DEAE7A2"/>
    <w:rsid w:val="6E24D516"/>
    <w:rsid w:val="6E41F06B"/>
    <w:rsid w:val="6E567218"/>
    <w:rsid w:val="6EECCDD5"/>
    <w:rsid w:val="6F437329"/>
    <w:rsid w:val="6FBF461D"/>
    <w:rsid w:val="70AF9B4C"/>
    <w:rsid w:val="719AA8F2"/>
    <w:rsid w:val="71AA645F"/>
    <w:rsid w:val="727B13EB"/>
    <w:rsid w:val="72D9EE4B"/>
    <w:rsid w:val="73214DE9"/>
    <w:rsid w:val="7466577C"/>
    <w:rsid w:val="7492F33B"/>
    <w:rsid w:val="74BD087C"/>
    <w:rsid w:val="74D64FA0"/>
    <w:rsid w:val="75164389"/>
    <w:rsid w:val="752AF1DE"/>
    <w:rsid w:val="75A12D86"/>
    <w:rsid w:val="75AD5741"/>
    <w:rsid w:val="75B01C48"/>
    <w:rsid w:val="75B2B4AD"/>
    <w:rsid w:val="75DC6695"/>
    <w:rsid w:val="75E34EE8"/>
    <w:rsid w:val="75E4BEB0"/>
    <w:rsid w:val="767D6A9A"/>
    <w:rsid w:val="76C245EC"/>
    <w:rsid w:val="76D0941D"/>
    <w:rsid w:val="77203857"/>
    <w:rsid w:val="77276081"/>
    <w:rsid w:val="772811E3"/>
    <w:rsid w:val="774BECA9"/>
    <w:rsid w:val="7776C017"/>
    <w:rsid w:val="78026ACC"/>
    <w:rsid w:val="78193AFB"/>
    <w:rsid w:val="783E564B"/>
    <w:rsid w:val="78448B3F"/>
    <w:rsid w:val="7870CA33"/>
    <w:rsid w:val="7893E924"/>
    <w:rsid w:val="78963CD0"/>
    <w:rsid w:val="78B8E741"/>
    <w:rsid w:val="78DC9786"/>
    <w:rsid w:val="78EA556F"/>
    <w:rsid w:val="799E88BA"/>
    <w:rsid w:val="79BD40CC"/>
    <w:rsid w:val="7A2FB985"/>
    <w:rsid w:val="7B3A0B8E"/>
    <w:rsid w:val="7B4C74B1"/>
    <w:rsid w:val="7B625255"/>
    <w:rsid w:val="7C21F631"/>
    <w:rsid w:val="7C4130A0"/>
    <w:rsid w:val="7C6157C8"/>
    <w:rsid w:val="7C7696D7"/>
    <w:rsid w:val="7C794800"/>
    <w:rsid w:val="7C98083D"/>
    <w:rsid w:val="7CB0F090"/>
    <w:rsid w:val="7CB5C659"/>
    <w:rsid w:val="7CD1A479"/>
    <w:rsid w:val="7CE8F38E"/>
    <w:rsid w:val="7CF22B1F"/>
    <w:rsid w:val="7D86CEBB"/>
    <w:rsid w:val="7DDDA81F"/>
    <w:rsid w:val="7E6914A9"/>
    <w:rsid w:val="7E94ED8B"/>
    <w:rsid w:val="7EE215C0"/>
    <w:rsid w:val="7EE215C0"/>
    <w:rsid w:val="7EE78229"/>
    <w:rsid w:val="7F477765"/>
    <w:rsid w:val="7F5EEC14"/>
    <w:rsid w:val="7F98F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0DFA8"/>
  <w15:chartTrackingRefBased/>
  <w15:docId w15:val="{AEA3FC2D-7A9A-4966-B3E7-40C18B86D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semiHidden/>
    <w:unhideWhenUsed/>
    <w:rsid w:val="00C53468"/>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C53468"/>
  </w:style>
  <w:style w:type="paragraph" w:styleId="Footer">
    <w:name w:val="footer"/>
    <w:basedOn w:val="Normal"/>
    <w:link w:val="FooterChar"/>
    <w:uiPriority w:val="99"/>
    <w:semiHidden/>
    <w:unhideWhenUsed/>
    <w:rsid w:val="00C53468"/>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C53468"/>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23fd0bfb3aed4844" /><Relationship Type="http://schemas.openxmlformats.org/officeDocument/2006/relationships/webSettings" Target="webSettings.xml" Id="rId4" /><Relationship Type="http://schemas.openxmlformats.org/officeDocument/2006/relationships/hyperlink" Target="https://www.gutenberg.org/cache/epub/pg45315-images.html" TargetMode="External" Id="R63f59f99ef814113" /><Relationship Type="http://schemas.openxmlformats.org/officeDocument/2006/relationships/hyperlink" Target="https://www.poemhunter.com/i/ebooks/pdf/gerard_manley_hopkins_2012_6.pdf" TargetMode="External" Id="R3226936f31254edb" /><Relationship Type="http://schemas.openxmlformats.org/officeDocument/2006/relationships/hyperlink" Target="https://terebess.hu/zen/mesterek/breeze.pdf" TargetMode="External" Id="R86c85586729c45c7" /><Relationship Type="http://schemas.openxmlformats.org/officeDocument/2006/relationships/hyperlink" Target="https://jstor.org/stable/43597769" TargetMode="External" Id="Ree3094c278b6498b" /><Relationship Type="http://schemas.openxmlformats.org/officeDocument/2006/relationships/hyperlink" Target="https://jstor.org/stable/45321702" TargetMode="External" Id="R754f72f543434d74" /><Relationship Type="http://schemas.openxmlformats.org/officeDocument/2006/relationships/hyperlink" Target="https://www.jstor.org/stable/43597771" TargetMode="External" Id="R92d32245648043b4" /><Relationship Type="http://schemas.openxmlformats.org/officeDocument/2006/relationships/hyperlink" Target="https://www.jstor.org/stable/26359189" TargetMode="External" Id="Rca8cf138695042bd" /><Relationship Type="http://schemas.openxmlformats.org/officeDocument/2006/relationships/hyperlink" Target="https://www.jstor.org/stable/23538974" TargetMode="External" Id="Rafac1843d1e74144" /><Relationship Type="http://schemas.openxmlformats.org/officeDocument/2006/relationships/hyperlink" Target="https://www.jstor.org/stable/43597768" TargetMode="External" Id="Rabe463c786624fdf" /><Relationship Type="http://schemas.openxmlformats.org/officeDocument/2006/relationships/hyperlink" Target="https://www.jstor.org/stable/1062747" TargetMode="External" Id="Rbaa9bc5adbe24067" /><Relationship Type="http://schemas.openxmlformats.org/officeDocument/2006/relationships/hyperlink" Target="https://www.jstor.org/3318171" TargetMode="External" Id="Ra1a4bb68e5c141a7" /><Relationship Type="http://schemas.openxmlformats.org/officeDocument/2006/relationships/hyperlink" Target="https://www.merriam-webster.com/dictionary/obnubilate" TargetMode="External" Id="Re50c434433d14df5" /><Relationship Type="http://schemas.openxmlformats.org/officeDocument/2006/relationships/header" Target="header.xml" Id="R4c098b9a20f54ac3" /><Relationship Type="http://schemas.openxmlformats.org/officeDocument/2006/relationships/footer" Target="footer.xml" Id="Ref96752021154c66" /></Relationships>
</file>

<file path=word/_rels/footnotes.xml.rels>&#65279;<?xml version="1.0" encoding="utf-8"?><Relationships xmlns="http://schemas.openxmlformats.org/package/2006/relationships"><Relationship Type="http://schemas.openxmlformats.org/officeDocument/2006/relationships/hyperlink" Target="https://www.jstor.org/stable/26359189" TargetMode="External" Id="rId1" /><Relationship Type="http://schemas.openxmlformats.org/officeDocument/2006/relationships/hyperlink" Target="https://terebess.hu/zen/mesterek/breeze.pdf" TargetMode="External" Id="rId4" /><Relationship Type="http://schemas.openxmlformats.org/officeDocument/2006/relationships/hyperlink" Target="http://www.jstor.org/stable/43597768" TargetMode="External" Id="R3bb5a7e6f569413a" /><Relationship Type="http://schemas.openxmlformats.org/officeDocument/2006/relationships/hyperlink" Target="https://www.merriam-webster.com/dictionary/obnubilate" TargetMode="External" Id="Rf28a6263fe714d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5</revision>
  <dcterms:created xsi:type="dcterms:W3CDTF">2021-11-27T19:34:00.0000000Z</dcterms:created>
  <dcterms:modified xsi:type="dcterms:W3CDTF">2021-12-02T11:27:35.3705687Z</dcterms:modified>
</coreProperties>
</file>