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D1A86" w14:textId="797C9014" w:rsidR="00FF3F0F" w:rsidRPr="00FD25F3" w:rsidRDefault="00FF3F0F" w:rsidP="00FD25F3">
      <w:pPr>
        <w:pStyle w:val="Heading1"/>
        <w:rPr>
          <w:rFonts w:ascii="Times New Roman" w:hAnsi="Times New Roman" w:cs="Times New Roman"/>
          <w:color w:val="auto"/>
          <w:sz w:val="22"/>
          <w:szCs w:val="22"/>
        </w:rPr>
      </w:pPr>
      <w:bookmarkStart w:id="0" w:name="_Toc80887155"/>
      <w:r w:rsidRPr="00FD25F3">
        <w:rPr>
          <w:rFonts w:ascii="Times New Roman" w:hAnsi="Times New Roman" w:cs="Times New Roman"/>
          <w:color w:val="auto"/>
          <w:sz w:val="22"/>
          <w:szCs w:val="22"/>
        </w:rPr>
        <w:t xml:space="preserve">A case study critique of </w:t>
      </w:r>
      <w:bookmarkStart w:id="1" w:name="_Hlk80885743"/>
      <w:r w:rsidRPr="00FD25F3">
        <w:rPr>
          <w:rFonts w:ascii="Times New Roman" w:hAnsi="Times New Roman" w:cs="Times New Roman"/>
          <w:color w:val="auto"/>
          <w:sz w:val="22"/>
          <w:szCs w:val="22"/>
        </w:rPr>
        <w:t>the Covid-19 vaccination research and evidence methods implemented in response to the crisis.</w:t>
      </w:r>
      <w:bookmarkEnd w:id="0"/>
    </w:p>
    <w:bookmarkEnd w:id="1"/>
    <w:p w14:paraId="3AB0511E" w14:textId="4CAD9467" w:rsidR="00FF3F0F" w:rsidRDefault="00FF3F0F">
      <w:pPr>
        <w:rPr>
          <w:rFonts w:ascii="Times New Roman" w:hAnsi="Times New Roman" w:cs="Times New Roman"/>
          <w:b/>
          <w:bCs/>
        </w:rPr>
      </w:pPr>
    </w:p>
    <w:p w14:paraId="3A232097" w14:textId="70A60D48" w:rsidR="00FF3F0F" w:rsidRDefault="00FF3F0F">
      <w:pPr>
        <w:rPr>
          <w:rFonts w:ascii="Times New Roman" w:hAnsi="Times New Roman" w:cs="Times New Roman"/>
          <w:b/>
          <w:bCs/>
        </w:rPr>
      </w:pPr>
    </w:p>
    <w:p w14:paraId="2D58677D" w14:textId="3386E247" w:rsidR="00FF3F0F" w:rsidRDefault="00FF3F0F">
      <w:pPr>
        <w:rPr>
          <w:rFonts w:ascii="Times New Roman" w:hAnsi="Times New Roman" w:cs="Times New Roman"/>
          <w:b/>
          <w:bCs/>
        </w:rPr>
      </w:pPr>
    </w:p>
    <w:p w14:paraId="58A39CA7" w14:textId="77777777" w:rsidR="00FF3F0F" w:rsidRDefault="00FF3F0F">
      <w:pPr>
        <w:rPr>
          <w:rFonts w:ascii="Times New Roman" w:hAnsi="Times New Roman" w:cs="Times New Roman"/>
          <w:b/>
          <w:bCs/>
        </w:rPr>
      </w:pPr>
    </w:p>
    <w:p w14:paraId="3186838F" w14:textId="3AD529BF" w:rsidR="00FF3F0F" w:rsidRDefault="00FF3F0F">
      <w:pPr>
        <w:rPr>
          <w:rFonts w:ascii="Times New Roman" w:hAnsi="Times New Roman" w:cs="Times New Roman"/>
          <w:b/>
          <w:bCs/>
        </w:rPr>
      </w:pPr>
      <w:r>
        <w:rPr>
          <w:rFonts w:ascii="Times New Roman" w:hAnsi="Times New Roman" w:cs="Times New Roman"/>
          <w:b/>
          <w:bCs/>
        </w:rPr>
        <w:t xml:space="preserve">Alix Boast </w:t>
      </w:r>
    </w:p>
    <w:p w14:paraId="1EAF55C3" w14:textId="17BD8ADD" w:rsidR="00FF3F0F" w:rsidRDefault="00FF3F0F">
      <w:pPr>
        <w:rPr>
          <w:rFonts w:ascii="Times New Roman" w:hAnsi="Times New Roman" w:cs="Times New Roman"/>
          <w:b/>
          <w:bCs/>
        </w:rPr>
      </w:pPr>
    </w:p>
    <w:p w14:paraId="5D84EBBE" w14:textId="4F54BF59" w:rsidR="00FF3F0F" w:rsidRDefault="00FF3F0F">
      <w:pPr>
        <w:rPr>
          <w:rFonts w:ascii="Times New Roman" w:hAnsi="Times New Roman" w:cs="Times New Roman"/>
          <w:b/>
          <w:bCs/>
        </w:rPr>
      </w:pPr>
    </w:p>
    <w:p w14:paraId="013DA5AF" w14:textId="3509D0B7" w:rsidR="00FF3F0F" w:rsidRDefault="00FF3F0F">
      <w:pPr>
        <w:rPr>
          <w:rFonts w:ascii="Times New Roman" w:hAnsi="Times New Roman" w:cs="Times New Roman"/>
          <w:b/>
          <w:bCs/>
        </w:rPr>
      </w:pPr>
    </w:p>
    <w:p w14:paraId="5498C16A" w14:textId="77777777" w:rsidR="00FF3F0F" w:rsidRDefault="00FF3F0F">
      <w:pPr>
        <w:rPr>
          <w:rFonts w:ascii="Times New Roman" w:hAnsi="Times New Roman" w:cs="Times New Roman"/>
          <w:b/>
          <w:bCs/>
        </w:rPr>
      </w:pPr>
    </w:p>
    <w:p w14:paraId="28479CC5" w14:textId="096B5FB3" w:rsidR="00FF3F0F" w:rsidRDefault="00FF3F0F">
      <w:pPr>
        <w:rPr>
          <w:rFonts w:ascii="Times New Roman" w:hAnsi="Times New Roman" w:cs="Times New Roman"/>
          <w:b/>
          <w:bCs/>
        </w:rPr>
      </w:pPr>
      <w:r>
        <w:rPr>
          <w:rFonts w:ascii="Times New Roman" w:hAnsi="Times New Roman" w:cs="Times New Roman"/>
          <w:b/>
          <w:bCs/>
        </w:rPr>
        <w:t>2008235</w:t>
      </w:r>
    </w:p>
    <w:p w14:paraId="774300BC" w14:textId="0340E90C" w:rsidR="00FF3F0F" w:rsidRDefault="00FF3F0F">
      <w:pPr>
        <w:rPr>
          <w:rFonts w:ascii="Times New Roman" w:hAnsi="Times New Roman" w:cs="Times New Roman"/>
          <w:b/>
          <w:bCs/>
        </w:rPr>
      </w:pPr>
    </w:p>
    <w:p w14:paraId="6C3931F2" w14:textId="693E00C8" w:rsidR="00FF3F0F" w:rsidRDefault="00FF3F0F">
      <w:pPr>
        <w:rPr>
          <w:rFonts w:ascii="Times New Roman" w:hAnsi="Times New Roman" w:cs="Times New Roman"/>
          <w:b/>
          <w:bCs/>
        </w:rPr>
      </w:pPr>
    </w:p>
    <w:p w14:paraId="0AB0F0C5" w14:textId="41116F90" w:rsidR="00FF3F0F" w:rsidRDefault="00FF3F0F">
      <w:pPr>
        <w:rPr>
          <w:rFonts w:ascii="Times New Roman" w:hAnsi="Times New Roman" w:cs="Times New Roman"/>
          <w:b/>
          <w:bCs/>
        </w:rPr>
      </w:pPr>
    </w:p>
    <w:p w14:paraId="54F1B16A" w14:textId="77777777" w:rsidR="00FF3F0F" w:rsidRDefault="00FF3F0F">
      <w:pPr>
        <w:rPr>
          <w:rFonts w:ascii="Times New Roman" w:hAnsi="Times New Roman" w:cs="Times New Roman"/>
          <w:b/>
          <w:bCs/>
        </w:rPr>
      </w:pPr>
    </w:p>
    <w:p w14:paraId="2D8BDB07" w14:textId="2ED90533" w:rsidR="00FF3F0F" w:rsidRDefault="00FF3F0F">
      <w:pPr>
        <w:rPr>
          <w:rFonts w:ascii="Times New Roman" w:hAnsi="Times New Roman" w:cs="Times New Roman"/>
          <w:b/>
          <w:bCs/>
        </w:rPr>
      </w:pPr>
      <w:r>
        <w:rPr>
          <w:rFonts w:ascii="Times New Roman" w:hAnsi="Times New Roman" w:cs="Times New Roman"/>
          <w:b/>
          <w:bCs/>
        </w:rPr>
        <w:t>Jaymie Phillips</w:t>
      </w:r>
    </w:p>
    <w:p w14:paraId="56A9477F" w14:textId="3728C866" w:rsidR="00FF3F0F" w:rsidRDefault="00FF3F0F">
      <w:pPr>
        <w:rPr>
          <w:rFonts w:ascii="Times New Roman" w:hAnsi="Times New Roman" w:cs="Times New Roman"/>
          <w:b/>
          <w:bCs/>
        </w:rPr>
      </w:pPr>
    </w:p>
    <w:p w14:paraId="329CD529" w14:textId="45AA5325" w:rsidR="00FF3F0F" w:rsidRDefault="00FF3F0F">
      <w:pPr>
        <w:rPr>
          <w:rFonts w:ascii="Times New Roman" w:hAnsi="Times New Roman" w:cs="Times New Roman"/>
          <w:b/>
          <w:bCs/>
        </w:rPr>
      </w:pPr>
    </w:p>
    <w:p w14:paraId="324496B2" w14:textId="0C5605DB" w:rsidR="00FF3F0F" w:rsidRDefault="00FF3F0F">
      <w:pPr>
        <w:rPr>
          <w:rFonts w:ascii="Times New Roman" w:hAnsi="Times New Roman" w:cs="Times New Roman"/>
          <w:b/>
          <w:bCs/>
        </w:rPr>
      </w:pPr>
    </w:p>
    <w:p w14:paraId="5B2B5835" w14:textId="28E3C531" w:rsidR="00FF3F0F" w:rsidRDefault="00FF3F0F">
      <w:pPr>
        <w:rPr>
          <w:rFonts w:ascii="Times New Roman" w:hAnsi="Times New Roman" w:cs="Times New Roman"/>
          <w:b/>
          <w:bCs/>
        </w:rPr>
      </w:pPr>
    </w:p>
    <w:p w14:paraId="4510BDC5" w14:textId="2E4D07A8" w:rsidR="00FF3F0F" w:rsidRDefault="00FF3F0F">
      <w:pPr>
        <w:rPr>
          <w:rFonts w:ascii="Times New Roman" w:hAnsi="Times New Roman" w:cs="Times New Roman"/>
          <w:b/>
          <w:bCs/>
        </w:rPr>
      </w:pPr>
    </w:p>
    <w:p w14:paraId="5C2B90BF" w14:textId="0E5CCBA0" w:rsidR="00FF3F0F" w:rsidRDefault="00FF3F0F">
      <w:pPr>
        <w:rPr>
          <w:rFonts w:ascii="Times New Roman" w:hAnsi="Times New Roman" w:cs="Times New Roman"/>
          <w:b/>
          <w:bCs/>
        </w:rPr>
      </w:pPr>
    </w:p>
    <w:p w14:paraId="18FC839B" w14:textId="2A5199EA" w:rsidR="00FF3F0F" w:rsidRDefault="00FF3F0F">
      <w:pPr>
        <w:rPr>
          <w:rFonts w:ascii="Times New Roman" w:hAnsi="Times New Roman" w:cs="Times New Roman"/>
          <w:b/>
          <w:bCs/>
        </w:rPr>
      </w:pPr>
    </w:p>
    <w:p w14:paraId="178A8039" w14:textId="3765D8DC" w:rsidR="00FF3F0F" w:rsidRDefault="00FF3F0F">
      <w:pPr>
        <w:rPr>
          <w:rFonts w:ascii="Times New Roman" w:hAnsi="Times New Roman" w:cs="Times New Roman"/>
          <w:b/>
          <w:bCs/>
        </w:rPr>
      </w:pPr>
    </w:p>
    <w:p w14:paraId="593D34B4" w14:textId="1C1BD3DB" w:rsidR="00FF3F0F" w:rsidRDefault="00FF3F0F">
      <w:pPr>
        <w:rPr>
          <w:rFonts w:ascii="Times New Roman" w:hAnsi="Times New Roman" w:cs="Times New Roman"/>
          <w:b/>
          <w:bCs/>
        </w:rPr>
      </w:pPr>
    </w:p>
    <w:p w14:paraId="729B32B3" w14:textId="46F4FB6E" w:rsidR="00FF3F0F" w:rsidRDefault="00FF3F0F">
      <w:pPr>
        <w:rPr>
          <w:rFonts w:ascii="Times New Roman" w:hAnsi="Times New Roman" w:cs="Times New Roman"/>
          <w:b/>
          <w:bCs/>
        </w:rPr>
      </w:pPr>
    </w:p>
    <w:p w14:paraId="3F5E9549" w14:textId="2A91E1B2" w:rsidR="00FF3F0F" w:rsidRDefault="00FF3F0F">
      <w:pPr>
        <w:rPr>
          <w:rFonts w:ascii="Times New Roman" w:hAnsi="Times New Roman" w:cs="Times New Roman"/>
          <w:b/>
          <w:bCs/>
        </w:rPr>
      </w:pPr>
    </w:p>
    <w:p w14:paraId="398C2AC7" w14:textId="5151E836" w:rsidR="00FF3F0F" w:rsidRDefault="00FF3F0F">
      <w:pPr>
        <w:rPr>
          <w:rFonts w:ascii="Times New Roman" w:hAnsi="Times New Roman" w:cs="Times New Roman"/>
          <w:b/>
          <w:bCs/>
        </w:rPr>
      </w:pPr>
    </w:p>
    <w:p w14:paraId="4E464A3D" w14:textId="799AF234" w:rsidR="00FF3F0F" w:rsidRDefault="00FF3F0F">
      <w:pPr>
        <w:rPr>
          <w:rFonts w:ascii="Times New Roman" w:hAnsi="Times New Roman" w:cs="Times New Roman"/>
          <w:b/>
          <w:bCs/>
        </w:rPr>
      </w:pPr>
    </w:p>
    <w:p w14:paraId="484AB23F" w14:textId="74A4F061" w:rsidR="00FF3F0F" w:rsidRDefault="00FF3F0F">
      <w:pPr>
        <w:rPr>
          <w:rFonts w:ascii="Times New Roman" w:hAnsi="Times New Roman" w:cs="Times New Roman"/>
          <w:b/>
          <w:bCs/>
        </w:rPr>
      </w:pPr>
    </w:p>
    <w:p w14:paraId="76A69CBD" w14:textId="70D80740" w:rsidR="00FF3F0F" w:rsidRDefault="00FF3F0F">
      <w:pPr>
        <w:rPr>
          <w:rFonts w:ascii="Times New Roman" w:hAnsi="Times New Roman" w:cs="Times New Roman"/>
          <w:b/>
          <w:bCs/>
        </w:rPr>
      </w:pPr>
    </w:p>
    <w:p w14:paraId="15553E64" w14:textId="2DA30F56" w:rsidR="00FF3F0F" w:rsidRDefault="00FF3F0F">
      <w:pPr>
        <w:rPr>
          <w:rFonts w:ascii="Times New Roman" w:hAnsi="Times New Roman" w:cs="Times New Roman"/>
          <w:b/>
          <w:bCs/>
        </w:rPr>
      </w:pPr>
    </w:p>
    <w:p w14:paraId="639013FB" w14:textId="7BFDCED8" w:rsidR="00FF3F0F" w:rsidRPr="00FD25F3" w:rsidRDefault="00FF3F0F" w:rsidP="00FD25F3">
      <w:pPr>
        <w:pStyle w:val="Heading1"/>
        <w:rPr>
          <w:rFonts w:ascii="Times New Roman" w:hAnsi="Times New Roman" w:cs="Times New Roman"/>
          <w:b/>
          <w:bCs/>
          <w:color w:val="auto"/>
          <w:sz w:val="22"/>
          <w:szCs w:val="22"/>
        </w:rPr>
      </w:pPr>
      <w:bookmarkStart w:id="2" w:name="_Toc80887156"/>
      <w:r w:rsidRPr="00FD25F3">
        <w:rPr>
          <w:rFonts w:ascii="Times New Roman" w:hAnsi="Times New Roman" w:cs="Times New Roman"/>
          <w:b/>
          <w:bCs/>
          <w:color w:val="auto"/>
          <w:sz w:val="22"/>
          <w:szCs w:val="22"/>
        </w:rPr>
        <w:t>Abstract</w:t>
      </w:r>
      <w:bookmarkEnd w:id="2"/>
    </w:p>
    <w:p w14:paraId="52F5333F" w14:textId="55981FA4" w:rsidR="00FF3F0F" w:rsidRDefault="00FF3F0F" w:rsidP="00FD25F3">
      <w:pPr>
        <w:spacing w:line="360" w:lineRule="auto"/>
        <w:rPr>
          <w:rFonts w:ascii="Times New Roman" w:hAnsi="Times New Roman" w:cs="Times New Roman"/>
          <w:color w:val="FF0000"/>
        </w:rPr>
      </w:pPr>
      <w:r>
        <w:rPr>
          <w:rFonts w:ascii="Times New Roman" w:hAnsi="Times New Roman" w:cs="Times New Roman"/>
        </w:rPr>
        <w:t xml:space="preserve">During the Covid-19 Pandemic, there has been a lot of development regarding vaccine processes. </w:t>
      </w:r>
      <w:r w:rsidR="00E625B9">
        <w:rPr>
          <w:rFonts w:ascii="Times New Roman" w:hAnsi="Times New Roman" w:cs="Times New Roman"/>
        </w:rPr>
        <w:t>Throughout history vaccines have been a necessity in preventing illnesses in spreading. As the population in the world is increasing, the need for vaccines is crucial. Due to the progress in medicine the research and evidence over history of the complications weighing out the benefits of vaccines prove significant. The UK has seen a</w:t>
      </w:r>
      <w:r w:rsidR="008E5A77">
        <w:rPr>
          <w:rFonts w:ascii="Times New Roman" w:hAnsi="Times New Roman" w:cs="Times New Roman"/>
        </w:rPr>
        <w:t>n</w:t>
      </w:r>
      <w:r w:rsidR="00E625B9">
        <w:rPr>
          <w:rFonts w:ascii="Times New Roman" w:hAnsi="Times New Roman" w:cs="Times New Roman"/>
        </w:rPr>
        <w:t xml:space="preserve"> increase in</w:t>
      </w:r>
      <w:r w:rsidR="008E5A77">
        <w:rPr>
          <w:rFonts w:ascii="Times New Roman" w:hAnsi="Times New Roman" w:cs="Times New Roman"/>
        </w:rPr>
        <w:t xml:space="preserve"> the</w:t>
      </w:r>
      <w:r w:rsidR="00E625B9">
        <w:rPr>
          <w:rFonts w:ascii="Times New Roman" w:hAnsi="Times New Roman" w:cs="Times New Roman"/>
        </w:rPr>
        <w:t xml:space="preserve"> need for vaccines due to the </w:t>
      </w:r>
      <w:r w:rsidR="008E5A77">
        <w:rPr>
          <w:rFonts w:ascii="Times New Roman" w:hAnsi="Times New Roman" w:cs="Times New Roman"/>
        </w:rPr>
        <w:t>demographical changes</w:t>
      </w:r>
      <w:r w:rsidR="00E625B9">
        <w:rPr>
          <w:rFonts w:ascii="Times New Roman" w:hAnsi="Times New Roman" w:cs="Times New Roman"/>
        </w:rPr>
        <w:t xml:space="preserve"> in population which equals to </w:t>
      </w:r>
      <w:r w:rsidR="008E5A77">
        <w:rPr>
          <w:rFonts w:ascii="Times New Roman" w:hAnsi="Times New Roman" w:cs="Times New Roman"/>
        </w:rPr>
        <w:t xml:space="preserve">a rise </w:t>
      </w:r>
      <w:r w:rsidR="00E625B9">
        <w:rPr>
          <w:rFonts w:ascii="Times New Roman" w:hAnsi="Times New Roman" w:cs="Times New Roman"/>
        </w:rPr>
        <w:t xml:space="preserve">of </w:t>
      </w:r>
      <w:r w:rsidR="008E5A77">
        <w:rPr>
          <w:rFonts w:ascii="Times New Roman" w:hAnsi="Times New Roman" w:cs="Times New Roman"/>
        </w:rPr>
        <w:t xml:space="preserve">the </w:t>
      </w:r>
      <w:r w:rsidR="00E625B9">
        <w:rPr>
          <w:rFonts w:ascii="Times New Roman" w:hAnsi="Times New Roman" w:cs="Times New Roman"/>
        </w:rPr>
        <w:t xml:space="preserve">transmission of illnesses. This case study critique explores the </w:t>
      </w:r>
      <w:r w:rsidR="006D10BD">
        <w:rPr>
          <w:rFonts w:ascii="Times New Roman" w:hAnsi="Times New Roman" w:cs="Times New Roman"/>
        </w:rPr>
        <w:t>similarity between</w:t>
      </w:r>
      <w:r w:rsidR="00B006EE">
        <w:rPr>
          <w:rFonts w:ascii="Times New Roman" w:hAnsi="Times New Roman" w:cs="Times New Roman"/>
        </w:rPr>
        <w:t xml:space="preserve"> the Spanish flu and Covid-19</w:t>
      </w:r>
      <w:r w:rsidR="00E625B9">
        <w:rPr>
          <w:rFonts w:ascii="Times New Roman" w:hAnsi="Times New Roman" w:cs="Times New Roman"/>
        </w:rPr>
        <w:t>; how the Covid-19 vaccinations were developed and the differences between the Pfizer and AstraZzeneca; the ethical processes the government have been taking in trying to prevent the spread of Covid-19; and how the government</w:t>
      </w:r>
      <w:r w:rsidR="00FD25F3">
        <w:rPr>
          <w:rFonts w:ascii="Times New Roman" w:hAnsi="Times New Roman" w:cs="Times New Roman"/>
        </w:rPr>
        <w:t xml:space="preserve"> </w:t>
      </w:r>
      <w:r w:rsidR="00E625B9">
        <w:rPr>
          <w:rFonts w:ascii="Times New Roman" w:hAnsi="Times New Roman" w:cs="Times New Roman"/>
        </w:rPr>
        <w:t>researchers assisted with</w:t>
      </w:r>
      <w:r w:rsidR="00FD25F3">
        <w:rPr>
          <w:rFonts w:ascii="Times New Roman" w:hAnsi="Times New Roman" w:cs="Times New Roman"/>
        </w:rPr>
        <w:t xml:space="preserve"> the public</w:t>
      </w:r>
      <w:r w:rsidR="00E625B9">
        <w:rPr>
          <w:rFonts w:ascii="Times New Roman" w:hAnsi="Times New Roman" w:cs="Times New Roman"/>
        </w:rPr>
        <w:t xml:space="preserve"> health data </w:t>
      </w:r>
      <w:r w:rsidR="00A308BA">
        <w:rPr>
          <w:rFonts w:ascii="Times New Roman" w:hAnsi="Times New Roman" w:cs="Times New Roman"/>
        </w:rPr>
        <w:t>regarding</w:t>
      </w:r>
      <w:r w:rsidR="00E625B9">
        <w:rPr>
          <w:rFonts w:ascii="Times New Roman" w:hAnsi="Times New Roman" w:cs="Times New Roman"/>
        </w:rPr>
        <w:t xml:space="preserve"> the role of the vaccines.</w:t>
      </w:r>
      <w:r w:rsidR="00FD25F3">
        <w:rPr>
          <w:rFonts w:ascii="Times New Roman" w:hAnsi="Times New Roman" w:cs="Times New Roman"/>
        </w:rPr>
        <w:t xml:space="preserve"> It will then follow with a conclusion.</w:t>
      </w:r>
      <w:r w:rsidR="00E625B9">
        <w:rPr>
          <w:rFonts w:ascii="Times New Roman" w:hAnsi="Times New Roman" w:cs="Times New Roman"/>
        </w:rPr>
        <w:t xml:space="preserve"> </w:t>
      </w:r>
    </w:p>
    <w:p w14:paraId="0574FFD5" w14:textId="74874393" w:rsidR="00E625B9" w:rsidRDefault="00E625B9" w:rsidP="00FF3F0F">
      <w:pPr>
        <w:spacing w:line="360" w:lineRule="auto"/>
        <w:rPr>
          <w:rFonts w:ascii="Times New Roman" w:hAnsi="Times New Roman" w:cs="Times New Roman"/>
          <w:color w:val="FF0000"/>
        </w:rPr>
      </w:pPr>
    </w:p>
    <w:p w14:paraId="04385D43" w14:textId="015E7463" w:rsidR="00E625B9" w:rsidRDefault="00E625B9" w:rsidP="00FF3F0F">
      <w:pPr>
        <w:spacing w:line="360" w:lineRule="auto"/>
        <w:rPr>
          <w:rFonts w:ascii="Times New Roman" w:hAnsi="Times New Roman" w:cs="Times New Roman"/>
          <w:color w:val="FF0000"/>
        </w:rPr>
      </w:pPr>
    </w:p>
    <w:p w14:paraId="1FA3B16A" w14:textId="65D9F2DE" w:rsidR="00E625B9" w:rsidRDefault="00E625B9" w:rsidP="00FF3F0F">
      <w:pPr>
        <w:spacing w:line="360" w:lineRule="auto"/>
        <w:rPr>
          <w:rFonts w:ascii="Times New Roman" w:hAnsi="Times New Roman" w:cs="Times New Roman"/>
          <w:color w:val="FF0000"/>
        </w:rPr>
      </w:pPr>
    </w:p>
    <w:p w14:paraId="75471F4D" w14:textId="4488BDAA" w:rsidR="00E625B9" w:rsidRDefault="00E625B9" w:rsidP="00FF3F0F">
      <w:pPr>
        <w:spacing w:line="360" w:lineRule="auto"/>
        <w:rPr>
          <w:rFonts w:ascii="Times New Roman" w:hAnsi="Times New Roman" w:cs="Times New Roman"/>
          <w:color w:val="FF0000"/>
        </w:rPr>
      </w:pPr>
    </w:p>
    <w:p w14:paraId="4CE103CA" w14:textId="6F5B3ED6" w:rsidR="00E625B9" w:rsidRDefault="00E625B9" w:rsidP="00FF3F0F">
      <w:pPr>
        <w:spacing w:line="360" w:lineRule="auto"/>
        <w:rPr>
          <w:rFonts w:ascii="Times New Roman" w:hAnsi="Times New Roman" w:cs="Times New Roman"/>
          <w:color w:val="FF0000"/>
        </w:rPr>
      </w:pPr>
    </w:p>
    <w:p w14:paraId="1A868B82" w14:textId="36A2C621" w:rsidR="00E625B9" w:rsidRDefault="00E625B9" w:rsidP="00FF3F0F">
      <w:pPr>
        <w:spacing w:line="360" w:lineRule="auto"/>
        <w:rPr>
          <w:rFonts w:ascii="Times New Roman" w:hAnsi="Times New Roman" w:cs="Times New Roman"/>
          <w:color w:val="FF0000"/>
        </w:rPr>
      </w:pPr>
    </w:p>
    <w:p w14:paraId="1D97B9E8" w14:textId="60C3AB8E" w:rsidR="00E625B9" w:rsidRDefault="00E625B9" w:rsidP="00FF3F0F">
      <w:pPr>
        <w:spacing w:line="360" w:lineRule="auto"/>
        <w:rPr>
          <w:rFonts w:ascii="Times New Roman" w:hAnsi="Times New Roman" w:cs="Times New Roman"/>
          <w:color w:val="FF0000"/>
        </w:rPr>
      </w:pPr>
    </w:p>
    <w:p w14:paraId="4D996238" w14:textId="1059CCF2" w:rsidR="00E625B9" w:rsidRDefault="00E625B9" w:rsidP="00FF3F0F">
      <w:pPr>
        <w:spacing w:line="360" w:lineRule="auto"/>
        <w:rPr>
          <w:rFonts w:ascii="Times New Roman" w:hAnsi="Times New Roman" w:cs="Times New Roman"/>
          <w:color w:val="FF0000"/>
        </w:rPr>
      </w:pPr>
    </w:p>
    <w:p w14:paraId="60182825" w14:textId="19C8F12E" w:rsidR="00E625B9" w:rsidRDefault="00E625B9" w:rsidP="00FF3F0F">
      <w:pPr>
        <w:spacing w:line="360" w:lineRule="auto"/>
        <w:rPr>
          <w:rFonts w:ascii="Times New Roman" w:hAnsi="Times New Roman" w:cs="Times New Roman"/>
          <w:color w:val="FF0000"/>
        </w:rPr>
      </w:pPr>
    </w:p>
    <w:p w14:paraId="4CD92E1A" w14:textId="42CA84B8" w:rsidR="00E625B9" w:rsidRDefault="00E625B9" w:rsidP="00FF3F0F">
      <w:pPr>
        <w:spacing w:line="360" w:lineRule="auto"/>
        <w:rPr>
          <w:rFonts w:ascii="Times New Roman" w:hAnsi="Times New Roman" w:cs="Times New Roman"/>
          <w:color w:val="FF0000"/>
        </w:rPr>
      </w:pPr>
    </w:p>
    <w:p w14:paraId="6E52688C" w14:textId="6A81BDAA" w:rsidR="00E625B9" w:rsidRDefault="00E625B9" w:rsidP="00FF3F0F">
      <w:pPr>
        <w:spacing w:line="360" w:lineRule="auto"/>
        <w:rPr>
          <w:rFonts w:ascii="Times New Roman" w:hAnsi="Times New Roman" w:cs="Times New Roman"/>
          <w:color w:val="FF0000"/>
        </w:rPr>
      </w:pPr>
    </w:p>
    <w:p w14:paraId="0E5617E0" w14:textId="17DE9C2F" w:rsidR="00E625B9" w:rsidRDefault="00E625B9" w:rsidP="00FF3F0F">
      <w:pPr>
        <w:spacing w:line="360" w:lineRule="auto"/>
        <w:rPr>
          <w:rFonts w:ascii="Times New Roman" w:hAnsi="Times New Roman" w:cs="Times New Roman"/>
          <w:color w:val="FF0000"/>
        </w:rPr>
      </w:pPr>
    </w:p>
    <w:p w14:paraId="521A6634" w14:textId="59CFBC65" w:rsidR="00E625B9" w:rsidRDefault="00E625B9" w:rsidP="00FF3F0F">
      <w:pPr>
        <w:spacing w:line="360" w:lineRule="auto"/>
        <w:rPr>
          <w:rFonts w:ascii="Times New Roman" w:hAnsi="Times New Roman" w:cs="Times New Roman"/>
          <w:color w:val="FF0000"/>
        </w:rPr>
      </w:pPr>
    </w:p>
    <w:p w14:paraId="117B50ED" w14:textId="42DC4C98" w:rsidR="00E625B9" w:rsidRDefault="00E625B9" w:rsidP="00FF3F0F">
      <w:pPr>
        <w:spacing w:line="360" w:lineRule="auto"/>
        <w:rPr>
          <w:rFonts w:ascii="Times New Roman" w:hAnsi="Times New Roman" w:cs="Times New Roman"/>
          <w:color w:val="FF0000"/>
        </w:rPr>
      </w:pPr>
    </w:p>
    <w:p w14:paraId="18733B69" w14:textId="17BAFCF8" w:rsidR="00E625B9" w:rsidRDefault="00E625B9" w:rsidP="00FF3F0F">
      <w:pPr>
        <w:spacing w:line="360" w:lineRule="auto"/>
        <w:rPr>
          <w:rFonts w:ascii="Times New Roman" w:hAnsi="Times New Roman" w:cs="Times New Roman"/>
          <w:color w:val="FF0000"/>
        </w:rPr>
      </w:pPr>
    </w:p>
    <w:p w14:paraId="7B87770E" w14:textId="16EF406F" w:rsidR="00E625B9" w:rsidRDefault="00E625B9" w:rsidP="00FF3F0F">
      <w:pPr>
        <w:spacing w:line="360" w:lineRule="auto"/>
        <w:rPr>
          <w:rFonts w:ascii="Times New Roman" w:hAnsi="Times New Roman" w:cs="Times New Roman"/>
          <w:color w:val="FF0000"/>
        </w:rPr>
      </w:pPr>
    </w:p>
    <w:p w14:paraId="5CB49C83" w14:textId="6CB8B98C" w:rsidR="00FD25F3" w:rsidRPr="005B6D56" w:rsidRDefault="005B6D56" w:rsidP="005B6D56">
      <w:pPr>
        <w:pStyle w:val="Heading1"/>
        <w:rPr>
          <w:rFonts w:ascii="Times New Roman" w:hAnsi="Times New Roman" w:cs="Times New Roman"/>
          <w:b/>
          <w:bCs/>
          <w:color w:val="auto"/>
          <w:sz w:val="28"/>
          <w:szCs w:val="28"/>
        </w:rPr>
      </w:pPr>
      <w:r w:rsidRPr="005B6D56">
        <w:rPr>
          <w:rFonts w:ascii="Times New Roman" w:hAnsi="Times New Roman" w:cs="Times New Roman"/>
          <w:b/>
          <w:bCs/>
          <w:color w:val="auto"/>
          <w:sz w:val="28"/>
          <w:szCs w:val="28"/>
        </w:rPr>
        <w:lastRenderedPageBreak/>
        <w:t>Contents</w:t>
      </w:r>
      <w:r>
        <w:rPr>
          <w:rFonts w:ascii="Times New Roman" w:hAnsi="Times New Roman" w:cs="Times New Roman"/>
          <w:b/>
          <w:bCs/>
          <w:color w:val="auto"/>
          <w:sz w:val="28"/>
          <w:szCs w:val="28"/>
        </w:rPr>
        <w:t xml:space="preserve"> </w:t>
      </w:r>
    </w:p>
    <w:p w14:paraId="6B76ABBD" w14:textId="6B2C60E0" w:rsidR="005B6D56" w:rsidRDefault="005B6D56">
      <w:pPr>
        <w:pStyle w:val="TOC1"/>
        <w:tabs>
          <w:tab w:val="right" w:pos="9016"/>
        </w:tabs>
        <w:rPr>
          <w:rFonts w:eastAsiaTheme="minorEastAsia"/>
          <w:b w:val="0"/>
          <w:bCs w:val="0"/>
          <w:caps w:val="0"/>
          <w:noProof/>
          <w:u w:val="none"/>
          <w:lang w:eastAsia="en-GB"/>
        </w:rPr>
      </w:pPr>
      <w:r>
        <w:rPr>
          <w:rFonts w:ascii="Times New Roman" w:hAnsi="Times New Roman" w:cs="Times New Roman"/>
          <w:b w:val="0"/>
          <w:bCs w:val="0"/>
        </w:rPr>
        <w:fldChar w:fldCharType="begin"/>
      </w:r>
      <w:r>
        <w:rPr>
          <w:rFonts w:ascii="Times New Roman" w:hAnsi="Times New Roman" w:cs="Times New Roman"/>
          <w:b w:val="0"/>
          <w:bCs w:val="0"/>
        </w:rPr>
        <w:instrText xml:space="preserve"> TOC \o "1-4" \u </w:instrText>
      </w:r>
      <w:r>
        <w:rPr>
          <w:rFonts w:ascii="Times New Roman" w:hAnsi="Times New Roman" w:cs="Times New Roman"/>
          <w:b w:val="0"/>
          <w:bCs w:val="0"/>
        </w:rPr>
        <w:fldChar w:fldCharType="separate"/>
      </w:r>
      <w:r w:rsidRPr="003B10F5">
        <w:rPr>
          <w:rFonts w:ascii="Times New Roman" w:hAnsi="Times New Roman" w:cs="Times New Roman"/>
          <w:noProof/>
        </w:rPr>
        <w:t>A case study critique of the Covid-19 vaccination research and evidence methods implemented in response to the crisis.</w:t>
      </w:r>
      <w:r>
        <w:rPr>
          <w:noProof/>
        </w:rPr>
        <w:tab/>
      </w:r>
      <w:r>
        <w:rPr>
          <w:noProof/>
        </w:rPr>
        <w:fldChar w:fldCharType="begin"/>
      </w:r>
      <w:r>
        <w:rPr>
          <w:noProof/>
        </w:rPr>
        <w:instrText xml:space="preserve"> PAGEREF _Toc80887155 \h </w:instrText>
      </w:r>
      <w:r>
        <w:rPr>
          <w:noProof/>
        </w:rPr>
      </w:r>
      <w:r>
        <w:rPr>
          <w:noProof/>
        </w:rPr>
        <w:fldChar w:fldCharType="separate"/>
      </w:r>
      <w:r>
        <w:rPr>
          <w:noProof/>
        </w:rPr>
        <w:t>1</w:t>
      </w:r>
      <w:r>
        <w:rPr>
          <w:noProof/>
        </w:rPr>
        <w:fldChar w:fldCharType="end"/>
      </w:r>
    </w:p>
    <w:p w14:paraId="42A764AD" w14:textId="0D990A47" w:rsidR="005B6D56" w:rsidRDefault="005B6D56">
      <w:pPr>
        <w:pStyle w:val="TOC1"/>
        <w:tabs>
          <w:tab w:val="right" w:pos="9016"/>
        </w:tabs>
        <w:rPr>
          <w:rFonts w:eastAsiaTheme="minorEastAsia"/>
          <w:b w:val="0"/>
          <w:bCs w:val="0"/>
          <w:caps w:val="0"/>
          <w:noProof/>
          <w:u w:val="none"/>
          <w:lang w:eastAsia="en-GB"/>
        </w:rPr>
      </w:pPr>
      <w:r w:rsidRPr="003B10F5">
        <w:rPr>
          <w:rFonts w:ascii="Times New Roman" w:hAnsi="Times New Roman" w:cs="Times New Roman"/>
          <w:noProof/>
        </w:rPr>
        <w:t>Abstract</w:t>
      </w:r>
      <w:r>
        <w:rPr>
          <w:noProof/>
        </w:rPr>
        <w:tab/>
      </w:r>
      <w:r>
        <w:rPr>
          <w:noProof/>
        </w:rPr>
        <w:fldChar w:fldCharType="begin"/>
      </w:r>
      <w:r>
        <w:rPr>
          <w:noProof/>
        </w:rPr>
        <w:instrText xml:space="preserve"> PAGEREF _Toc80887156 \h </w:instrText>
      </w:r>
      <w:r>
        <w:rPr>
          <w:noProof/>
        </w:rPr>
      </w:r>
      <w:r>
        <w:rPr>
          <w:noProof/>
        </w:rPr>
        <w:fldChar w:fldCharType="separate"/>
      </w:r>
      <w:r>
        <w:rPr>
          <w:noProof/>
        </w:rPr>
        <w:t>2</w:t>
      </w:r>
      <w:r>
        <w:rPr>
          <w:noProof/>
        </w:rPr>
        <w:fldChar w:fldCharType="end"/>
      </w:r>
    </w:p>
    <w:p w14:paraId="2ACE13CB" w14:textId="2C601DBE" w:rsidR="005B6D56" w:rsidRDefault="005B6D56">
      <w:pPr>
        <w:pStyle w:val="TOC1"/>
        <w:tabs>
          <w:tab w:val="right" w:pos="9016"/>
        </w:tabs>
        <w:rPr>
          <w:rFonts w:eastAsiaTheme="minorEastAsia"/>
          <w:b w:val="0"/>
          <w:bCs w:val="0"/>
          <w:caps w:val="0"/>
          <w:noProof/>
          <w:u w:val="none"/>
          <w:lang w:eastAsia="en-GB"/>
        </w:rPr>
      </w:pPr>
      <w:r w:rsidRPr="003B10F5">
        <w:rPr>
          <w:noProof/>
        </w:rPr>
        <w:t>Introduction</w:t>
      </w:r>
      <w:r>
        <w:rPr>
          <w:noProof/>
        </w:rPr>
        <w:tab/>
      </w:r>
      <w:r>
        <w:rPr>
          <w:noProof/>
        </w:rPr>
        <w:fldChar w:fldCharType="begin"/>
      </w:r>
      <w:r>
        <w:rPr>
          <w:noProof/>
        </w:rPr>
        <w:instrText xml:space="preserve"> PAGEREF _Toc80887157 \h </w:instrText>
      </w:r>
      <w:r>
        <w:rPr>
          <w:noProof/>
        </w:rPr>
      </w:r>
      <w:r>
        <w:rPr>
          <w:noProof/>
        </w:rPr>
        <w:fldChar w:fldCharType="separate"/>
      </w:r>
      <w:r>
        <w:rPr>
          <w:noProof/>
        </w:rPr>
        <w:t>4</w:t>
      </w:r>
      <w:r>
        <w:rPr>
          <w:noProof/>
        </w:rPr>
        <w:fldChar w:fldCharType="end"/>
      </w:r>
    </w:p>
    <w:p w14:paraId="3EDA2F82" w14:textId="61F2FCDC" w:rsidR="005B6D56" w:rsidRDefault="005B6D56">
      <w:pPr>
        <w:pStyle w:val="TOC1"/>
        <w:tabs>
          <w:tab w:val="right" w:pos="9016"/>
        </w:tabs>
        <w:rPr>
          <w:rFonts w:eastAsiaTheme="minorEastAsia"/>
          <w:b w:val="0"/>
          <w:bCs w:val="0"/>
          <w:caps w:val="0"/>
          <w:noProof/>
          <w:u w:val="none"/>
          <w:lang w:eastAsia="en-GB"/>
        </w:rPr>
      </w:pPr>
      <w:r w:rsidRPr="003B10F5">
        <w:rPr>
          <w:rFonts w:ascii="Times New Roman" w:hAnsi="Times New Roman" w:cs="Times New Roman"/>
          <w:noProof/>
        </w:rPr>
        <w:t>The comparisons of the Spanish Flu and Covid-19 pandemic in the United Kingdom</w:t>
      </w:r>
      <w:r>
        <w:rPr>
          <w:noProof/>
        </w:rPr>
        <w:tab/>
      </w:r>
      <w:r>
        <w:rPr>
          <w:noProof/>
        </w:rPr>
        <w:fldChar w:fldCharType="begin"/>
      </w:r>
      <w:r>
        <w:rPr>
          <w:noProof/>
        </w:rPr>
        <w:instrText xml:space="preserve"> PAGEREF _Toc80887158 \h </w:instrText>
      </w:r>
      <w:r>
        <w:rPr>
          <w:noProof/>
        </w:rPr>
      </w:r>
      <w:r>
        <w:rPr>
          <w:noProof/>
        </w:rPr>
        <w:fldChar w:fldCharType="separate"/>
      </w:r>
      <w:r>
        <w:rPr>
          <w:noProof/>
        </w:rPr>
        <w:t>5</w:t>
      </w:r>
      <w:r>
        <w:rPr>
          <w:noProof/>
        </w:rPr>
        <w:fldChar w:fldCharType="end"/>
      </w:r>
    </w:p>
    <w:p w14:paraId="535D631F" w14:textId="211BBCB8" w:rsidR="005B6D56" w:rsidRDefault="005B6D56">
      <w:pPr>
        <w:pStyle w:val="TOC1"/>
        <w:tabs>
          <w:tab w:val="right" w:pos="9016"/>
        </w:tabs>
        <w:rPr>
          <w:rFonts w:eastAsiaTheme="minorEastAsia"/>
          <w:b w:val="0"/>
          <w:bCs w:val="0"/>
          <w:caps w:val="0"/>
          <w:noProof/>
          <w:u w:val="none"/>
          <w:lang w:eastAsia="en-GB"/>
        </w:rPr>
      </w:pPr>
      <w:r w:rsidRPr="003B10F5">
        <w:rPr>
          <w:rFonts w:ascii="Times New Roman" w:hAnsi="Times New Roman" w:cs="Times New Roman"/>
          <w:noProof/>
        </w:rPr>
        <w:t>Covid-19 vaccines: The differences between Pfizer and AstraZeneca</w:t>
      </w:r>
      <w:r>
        <w:rPr>
          <w:noProof/>
        </w:rPr>
        <w:tab/>
      </w:r>
      <w:r>
        <w:rPr>
          <w:noProof/>
        </w:rPr>
        <w:fldChar w:fldCharType="begin"/>
      </w:r>
      <w:r>
        <w:rPr>
          <w:noProof/>
        </w:rPr>
        <w:instrText xml:space="preserve"> PAGEREF _Toc80887159 \h </w:instrText>
      </w:r>
      <w:r>
        <w:rPr>
          <w:noProof/>
        </w:rPr>
      </w:r>
      <w:r>
        <w:rPr>
          <w:noProof/>
        </w:rPr>
        <w:fldChar w:fldCharType="separate"/>
      </w:r>
      <w:r>
        <w:rPr>
          <w:noProof/>
        </w:rPr>
        <w:t>6</w:t>
      </w:r>
      <w:r>
        <w:rPr>
          <w:noProof/>
        </w:rPr>
        <w:fldChar w:fldCharType="end"/>
      </w:r>
    </w:p>
    <w:p w14:paraId="40B06E62" w14:textId="4CFBE1E5" w:rsidR="005B6D56" w:rsidRDefault="005B6D56">
      <w:pPr>
        <w:pStyle w:val="TOC1"/>
        <w:tabs>
          <w:tab w:val="right" w:pos="9016"/>
        </w:tabs>
        <w:rPr>
          <w:rFonts w:eastAsiaTheme="minorEastAsia"/>
          <w:b w:val="0"/>
          <w:bCs w:val="0"/>
          <w:caps w:val="0"/>
          <w:noProof/>
          <w:u w:val="none"/>
          <w:lang w:eastAsia="en-GB"/>
        </w:rPr>
      </w:pPr>
      <w:r w:rsidRPr="003B10F5">
        <w:rPr>
          <w:rFonts w:ascii="Times New Roman" w:hAnsi="Times New Roman" w:cs="Times New Roman"/>
          <w:noProof/>
        </w:rPr>
        <w:t>How the governmental researchers assisted with public health data with the roll out of the vaccine.</w:t>
      </w:r>
      <w:r>
        <w:rPr>
          <w:noProof/>
        </w:rPr>
        <w:tab/>
      </w:r>
      <w:r>
        <w:rPr>
          <w:noProof/>
        </w:rPr>
        <w:fldChar w:fldCharType="begin"/>
      </w:r>
      <w:r>
        <w:rPr>
          <w:noProof/>
        </w:rPr>
        <w:instrText xml:space="preserve"> PAGEREF _Toc80887160 \h </w:instrText>
      </w:r>
      <w:r>
        <w:rPr>
          <w:noProof/>
        </w:rPr>
      </w:r>
      <w:r>
        <w:rPr>
          <w:noProof/>
        </w:rPr>
        <w:fldChar w:fldCharType="separate"/>
      </w:r>
      <w:r>
        <w:rPr>
          <w:noProof/>
        </w:rPr>
        <w:t>7</w:t>
      </w:r>
      <w:r>
        <w:rPr>
          <w:noProof/>
        </w:rPr>
        <w:fldChar w:fldCharType="end"/>
      </w:r>
    </w:p>
    <w:p w14:paraId="4B878270" w14:textId="7348B94F" w:rsidR="005B6D56" w:rsidRDefault="005B6D56">
      <w:pPr>
        <w:pStyle w:val="TOC1"/>
        <w:tabs>
          <w:tab w:val="right" w:pos="9016"/>
        </w:tabs>
        <w:rPr>
          <w:rFonts w:eastAsiaTheme="minorEastAsia"/>
          <w:b w:val="0"/>
          <w:bCs w:val="0"/>
          <w:caps w:val="0"/>
          <w:noProof/>
          <w:u w:val="none"/>
          <w:lang w:eastAsia="en-GB"/>
        </w:rPr>
      </w:pPr>
      <w:r w:rsidRPr="003B10F5">
        <w:rPr>
          <w:rFonts w:ascii="Times New Roman" w:hAnsi="Times New Roman" w:cs="Times New Roman"/>
          <w:noProof/>
        </w:rPr>
        <w:t>Conclusion</w:t>
      </w:r>
      <w:r>
        <w:rPr>
          <w:noProof/>
        </w:rPr>
        <w:tab/>
      </w:r>
      <w:r>
        <w:rPr>
          <w:noProof/>
        </w:rPr>
        <w:fldChar w:fldCharType="begin"/>
      </w:r>
      <w:r>
        <w:rPr>
          <w:noProof/>
        </w:rPr>
        <w:instrText xml:space="preserve"> PAGEREF _Toc80887161 \h </w:instrText>
      </w:r>
      <w:r>
        <w:rPr>
          <w:noProof/>
        </w:rPr>
      </w:r>
      <w:r>
        <w:rPr>
          <w:noProof/>
        </w:rPr>
        <w:fldChar w:fldCharType="separate"/>
      </w:r>
      <w:r>
        <w:rPr>
          <w:noProof/>
        </w:rPr>
        <w:t>8</w:t>
      </w:r>
      <w:r>
        <w:rPr>
          <w:noProof/>
        </w:rPr>
        <w:fldChar w:fldCharType="end"/>
      </w:r>
    </w:p>
    <w:p w14:paraId="28A3DE8D" w14:textId="5A563128" w:rsidR="005B6D56" w:rsidRDefault="005B6D56">
      <w:pPr>
        <w:pStyle w:val="TOC1"/>
        <w:tabs>
          <w:tab w:val="right" w:pos="9016"/>
        </w:tabs>
        <w:rPr>
          <w:rFonts w:eastAsiaTheme="minorEastAsia"/>
          <w:b w:val="0"/>
          <w:bCs w:val="0"/>
          <w:caps w:val="0"/>
          <w:noProof/>
          <w:u w:val="none"/>
          <w:lang w:eastAsia="en-GB"/>
        </w:rPr>
      </w:pPr>
      <w:r w:rsidRPr="003B10F5">
        <w:rPr>
          <w:rFonts w:ascii="Times New Roman" w:hAnsi="Times New Roman" w:cs="Times New Roman"/>
          <w:noProof/>
        </w:rPr>
        <w:t>References</w:t>
      </w:r>
      <w:r>
        <w:rPr>
          <w:noProof/>
        </w:rPr>
        <w:tab/>
      </w:r>
      <w:r>
        <w:rPr>
          <w:noProof/>
        </w:rPr>
        <w:fldChar w:fldCharType="begin"/>
      </w:r>
      <w:r>
        <w:rPr>
          <w:noProof/>
        </w:rPr>
        <w:instrText xml:space="preserve"> PAGEREF _Toc80887162 \h </w:instrText>
      </w:r>
      <w:r>
        <w:rPr>
          <w:noProof/>
        </w:rPr>
      </w:r>
      <w:r>
        <w:rPr>
          <w:noProof/>
        </w:rPr>
        <w:fldChar w:fldCharType="separate"/>
      </w:r>
      <w:r>
        <w:rPr>
          <w:noProof/>
        </w:rPr>
        <w:t>9</w:t>
      </w:r>
      <w:r>
        <w:rPr>
          <w:noProof/>
        </w:rPr>
        <w:fldChar w:fldCharType="end"/>
      </w:r>
    </w:p>
    <w:p w14:paraId="3F41E9FB" w14:textId="319D9539" w:rsidR="003D71A6" w:rsidRDefault="005B6D56" w:rsidP="00FF3F0F">
      <w:pPr>
        <w:spacing w:line="360" w:lineRule="auto"/>
        <w:rPr>
          <w:rFonts w:ascii="Times New Roman" w:hAnsi="Times New Roman" w:cs="Times New Roman"/>
          <w:b/>
          <w:bCs/>
        </w:rPr>
      </w:pPr>
      <w:r>
        <w:rPr>
          <w:rFonts w:ascii="Times New Roman" w:hAnsi="Times New Roman" w:cs="Times New Roman"/>
          <w:b/>
          <w:bCs/>
        </w:rPr>
        <w:fldChar w:fldCharType="end"/>
      </w:r>
    </w:p>
    <w:p w14:paraId="25395F33" w14:textId="2505DFA7" w:rsidR="003D71A6" w:rsidRDefault="003D71A6" w:rsidP="00FD25F3"/>
    <w:p w14:paraId="6D61BF04" w14:textId="59E9E2E1" w:rsidR="003D71A6" w:rsidRDefault="003D71A6" w:rsidP="00FF3F0F">
      <w:pPr>
        <w:spacing w:line="360" w:lineRule="auto"/>
        <w:rPr>
          <w:rFonts w:ascii="Times New Roman" w:hAnsi="Times New Roman" w:cs="Times New Roman"/>
          <w:b/>
          <w:bCs/>
        </w:rPr>
      </w:pPr>
    </w:p>
    <w:p w14:paraId="7CB1B743" w14:textId="48D08A43" w:rsidR="003D71A6" w:rsidRDefault="003D71A6" w:rsidP="00FF3F0F">
      <w:pPr>
        <w:spacing w:line="360" w:lineRule="auto"/>
        <w:rPr>
          <w:rFonts w:ascii="Times New Roman" w:hAnsi="Times New Roman" w:cs="Times New Roman"/>
          <w:b/>
          <w:bCs/>
        </w:rPr>
      </w:pPr>
    </w:p>
    <w:p w14:paraId="03550F2D" w14:textId="7133D4DC" w:rsidR="003D71A6" w:rsidRDefault="003D71A6" w:rsidP="00FF3F0F">
      <w:pPr>
        <w:spacing w:line="360" w:lineRule="auto"/>
        <w:rPr>
          <w:rFonts w:ascii="Times New Roman" w:hAnsi="Times New Roman" w:cs="Times New Roman"/>
          <w:b/>
          <w:bCs/>
        </w:rPr>
      </w:pPr>
    </w:p>
    <w:p w14:paraId="6C79FFDF" w14:textId="1F59F9D6" w:rsidR="003D71A6" w:rsidRDefault="003D71A6" w:rsidP="00FF3F0F">
      <w:pPr>
        <w:spacing w:line="360" w:lineRule="auto"/>
        <w:rPr>
          <w:rFonts w:ascii="Times New Roman" w:hAnsi="Times New Roman" w:cs="Times New Roman"/>
          <w:b/>
          <w:bCs/>
        </w:rPr>
      </w:pPr>
    </w:p>
    <w:p w14:paraId="59D248E7" w14:textId="7343AEAA" w:rsidR="003D71A6" w:rsidRDefault="003D71A6" w:rsidP="00FF3F0F">
      <w:pPr>
        <w:spacing w:line="360" w:lineRule="auto"/>
        <w:rPr>
          <w:rFonts w:ascii="Times New Roman" w:hAnsi="Times New Roman" w:cs="Times New Roman"/>
          <w:b/>
          <w:bCs/>
        </w:rPr>
      </w:pPr>
    </w:p>
    <w:p w14:paraId="0690AD6B" w14:textId="77598682" w:rsidR="003D71A6" w:rsidRDefault="003D71A6" w:rsidP="00FF3F0F">
      <w:pPr>
        <w:spacing w:line="360" w:lineRule="auto"/>
        <w:rPr>
          <w:rFonts w:ascii="Times New Roman" w:hAnsi="Times New Roman" w:cs="Times New Roman"/>
          <w:b/>
          <w:bCs/>
        </w:rPr>
      </w:pPr>
    </w:p>
    <w:p w14:paraId="408A229C" w14:textId="0E5E9E68" w:rsidR="003D71A6" w:rsidRDefault="003D71A6" w:rsidP="00FF3F0F">
      <w:pPr>
        <w:spacing w:line="360" w:lineRule="auto"/>
        <w:rPr>
          <w:rFonts w:ascii="Times New Roman" w:hAnsi="Times New Roman" w:cs="Times New Roman"/>
          <w:b/>
          <w:bCs/>
        </w:rPr>
      </w:pPr>
    </w:p>
    <w:p w14:paraId="5EEFA630" w14:textId="2AC7784C" w:rsidR="003D71A6" w:rsidRDefault="003D71A6" w:rsidP="00FF3F0F">
      <w:pPr>
        <w:spacing w:line="360" w:lineRule="auto"/>
        <w:rPr>
          <w:rFonts w:ascii="Times New Roman" w:hAnsi="Times New Roman" w:cs="Times New Roman"/>
          <w:b/>
          <w:bCs/>
        </w:rPr>
      </w:pPr>
    </w:p>
    <w:p w14:paraId="415ED4ED" w14:textId="6E1B4F5A" w:rsidR="003D71A6" w:rsidRDefault="003D71A6" w:rsidP="00FF3F0F">
      <w:pPr>
        <w:spacing w:line="360" w:lineRule="auto"/>
        <w:rPr>
          <w:rFonts w:ascii="Times New Roman" w:hAnsi="Times New Roman" w:cs="Times New Roman"/>
          <w:b/>
          <w:bCs/>
        </w:rPr>
      </w:pPr>
    </w:p>
    <w:p w14:paraId="28C025EF" w14:textId="6E7C0D93" w:rsidR="003D71A6" w:rsidRDefault="003D71A6" w:rsidP="00FF3F0F">
      <w:pPr>
        <w:spacing w:line="360" w:lineRule="auto"/>
        <w:rPr>
          <w:rFonts w:ascii="Times New Roman" w:hAnsi="Times New Roman" w:cs="Times New Roman"/>
          <w:b/>
          <w:bCs/>
        </w:rPr>
      </w:pPr>
    </w:p>
    <w:p w14:paraId="2821B2BF" w14:textId="2FD3040F" w:rsidR="003D71A6" w:rsidRDefault="003D71A6" w:rsidP="00FF3F0F">
      <w:pPr>
        <w:spacing w:line="360" w:lineRule="auto"/>
        <w:rPr>
          <w:rFonts w:ascii="Times New Roman" w:hAnsi="Times New Roman" w:cs="Times New Roman"/>
          <w:b/>
          <w:bCs/>
        </w:rPr>
      </w:pPr>
    </w:p>
    <w:p w14:paraId="1C6A3B98" w14:textId="327D0784" w:rsidR="003D71A6" w:rsidRDefault="003D71A6" w:rsidP="00FF3F0F">
      <w:pPr>
        <w:spacing w:line="360" w:lineRule="auto"/>
        <w:rPr>
          <w:rFonts w:ascii="Times New Roman" w:hAnsi="Times New Roman" w:cs="Times New Roman"/>
          <w:b/>
          <w:bCs/>
        </w:rPr>
      </w:pPr>
    </w:p>
    <w:p w14:paraId="01962FDE" w14:textId="34DC946C" w:rsidR="003D71A6" w:rsidRPr="00FD25F3" w:rsidRDefault="003D71A6" w:rsidP="00FD25F3">
      <w:pPr>
        <w:pStyle w:val="Heading1"/>
        <w:rPr>
          <w:b/>
          <w:bCs/>
        </w:rPr>
      </w:pPr>
      <w:bookmarkStart w:id="3" w:name="_Toc80887157"/>
      <w:r w:rsidRPr="00FD25F3">
        <w:rPr>
          <w:b/>
          <w:bCs/>
          <w:color w:val="auto"/>
          <w:sz w:val="22"/>
          <w:szCs w:val="22"/>
        </w:rPr>
        <w:lastRenderedPageBreak/>
        <w:t>Introduction</w:t>
      </w:r>
      <w:bookmarkEnd w:id="3"/>
    </w:p>
    <w:p w14:paraId="0D36B447" w14:textId="792C913A" w:rsidR="003D71A6" w:rsidRDefault="003D71A6" w:rsidP="00FD25F3">
      <w:pPr>
        <w:spacing w:line="360" w:lineRule="auto"/>
        <w:rPr>
          <w:rFonts w:ascii="Times New Roman" w:hAnsi="Times New Roman" w:cs="Times New Roman"/>
        </w:rPr>
      </w:pPr>
      <w:r>
        <w:rPr>
          <w:rFonts w:ascii="Times New Roman" w:hAnsi="Times New Roman" w:cs="Times New Roman"/>
        </w:rPr>
        <w:t xml:space="preserve">This assignment investigates the Covid-19 research and evidence vaccination methods that were implemented during the crisis.  As Covid-19 has various ways of presenting itself in the human body, the need to isolate and prevent the virus was an urgent matter. Anderson et al (2020) mentions that the UK implemented </w:t>
      </w:r>
      <w:r w:rsidR="00AA56A8">
        <w:rPr>
          <w:rFonts w:ascii="Times New Roman" w:hAnsi="Times New Roman" w:cs="Times New Roman"/>
        </w:rPr>
        <w:t>restrictions</w:t>
      </w:r>
      <w:r w:rsidR="008E5A77">
        <w:rPr>
          <w:rFonts w:ascii="Times New Roman" w:hAnsi="Times New Roman" w:cs="Times New Roman"/>
        </w:rPr>
        <w:t xml:space="preserve"> </w:t>
      </w:r>
      <w:r w:rsidR="00AA56A8">
        <w:rPr>
          <w:rFonts w:ascii="Times New Roman" w:hAnsi="Times New Roman" w:cs="Times New Roman"/>
        </w:rPr>
        <w:t xml:space="preserve">too late, as this in turn did not decrease the rate transmission of Covid-19. They continued by stating that by implementing the restriction too late this led to Britain having one of the biggest epidemics of any other country at that current stage of the global pandemic. </w:t>
      </w:r>
      <w:r w:rsidR="000A7A35">
        <w:rPr>
          <w:rFonts w:ascii="Times New Roman" w:hAnsi="Times New Roman" w:cs="Times New Roman"/>
        </w:rPr>
        <w:t xml:space="preserve">The United Kingdom has seen its fair share of pandemics </w:t>
      </w:r>
      <w:r w:rsidR="008E5A77">
        <w:rPr>
          <w:rFonts w:ascii="Times New Roman" w:hAnsi="Times New Roman" w:cs="Times New Roman"/>
        </w:rPr>
        <w:t>throughout</w:t>
      </w:r>
      <w:r w:rsidR="000A7A35">
        <w:rPr>
          <w:rFonts w:ascii="Times New Roman" w:hAnsi="Times New Roman" w:cs="Times New Roman"/>
        </w:rPr>
        <w:t xml:space="preserve"> </w:t>
      </w:r>
      <w:r w:rsidR="008E5A77">
        <w:rPr>
          <w:rFonts w:ascii="Times New Roman" w:hAnsi="Times New Roman" w:cs="Times New Roman"/>
        </w:rPr>
        <w:t>their</w:t>
      </w:r>
      <w:r w:rsidR="000A7A35">
        <w:rPr>
          <w:rFonts w:ascii="Times New Roman" w:hAnsi="Times New Roman" w:cs="Times New Roman"/>
        </w:rPr>
        <w:t xml:space="preserve"> years.</w:t>
      </w:r>
      <w:r w:rsidR="00F54867">
        <w:rPr>
          <w:rFonts w:ascii="Times New Roman" w:hAnsi="Times New Roman" w:cs="Times New Roman"/>
        </w:rPr>
        <w:t xml:space="preserve"> According to Potter (2001</w:t>
      </w:r>
      <w:r w:rsidR="006D5FCF">
        <w:rPr>
          <w:rFonts w:ascii="Times New Roman" w:hAnsi="Times New Roman" w:cs="Times New Roman"/>
        </w:rPr>
        <w:t>, p.1</w:t>
      </w:r>
      <w:r w:rsidR="00F54867">
        <w:rPr>
          <w:rFonts w:ascii="Times New Roman" w:hAnsi="Times New Roman" w:cs="Times New Roman"/>
        </w:rPr>
        <w:t>):</w:t>
      </w:r>
    </w:p>
    <w:p w14:paraId="137BC503" w14:textId="3DCC4AB8" w:rsidR="00F54867" w:rsidRDefault="00F54867" w:rsidP="002C4A76">
      <w:pPr>
        <w:spacing w:line="240" w:lineRule="auto"/>
        <w:ind w:left="720"/>
        <w:rPr>
          <w:rFonts w:ascii="Times New Roman" w:hAnsi="Times New Roman" w:cs="Times New Roman"/>
        </w:rPr>
      </w:pPr>
      <w:r>
        <w:rPr>
          <w:rFonts w:ascii="Times New Roman" w:hAnsi="Times New Roman" w:cs="Times New Roman"/>
        </w:rPr>
        <w:t>Annual epidemics are due to antigenic drift; and pandemics, occurring at 10 to 50 years intervals, are due to new virus subtypes resulting from virus reassortment. Nothing has been introduced during the past 100 years to affect the recurrent pattern of epidemics and pandemics; and our future in the new century is clearly indicated by our past.</w:t>
      </w:r>
    </w:p>
    <w:p w14:paraId="615B3701" w14:textId="77777777" w:rsidR="002C4A76" w:rsidRDefault="002C4A76" w:rsidP="008E5A77">
      <w:pPr>
        <w:spacing w:line="240" w:lineRule="auto"/>
        <w:ind w:left="720"/>
        <w:jc w:val="center"/>
        <w:rPr>
          <w:rFonts w:ascii="Times New Roman" w:hAnsi="Times New Roman" w:cs="Times New Roman"/>
        </w:rPr>
      </w:pPr>
    </w:p>
    <w:p w14:paraId="6E3458FF" w14:textId="16272121" w:rsidR="00F54867" w:rsidRDefault="00F54867" w:rsidP="00FD25F3">
      <w:pPr>
        <w:spacing w:line="360" w:lineRule="auto"/>
        <w:rPr>
          <w:rFonts w:ascii="Times New Roman" w:hAnsi="Times New Roman" w:cs="Times New Roman"/>
        </w:rPr>
      </w:pPr>
      <w:r>
        <w:rPr>
          <w:rFonts w:ascii="Times New Roman" w:hAnsi="Times New Roman" w:cs="Times New Roman"/>
        </w:rPr>
        <w:t xml:space="preserve">This assignment describes, analyses and evaluates the </w:t>
      </w:r>
      <w:r w:rsidR="006D5FCF">
        <w:rPr>
          <w:rFonts w:ascii="Times New Roman" w:hAnsi="Times New Roman" w:cs="Times New Roman"/>
        </w:rPr>
        <w:t>Covid-19 research and evidence vaccine processes that took place during the pandemic by a way of a case study critique. A case study</w:t>
      </w:r>
      <w:r w:rsidR="008E5A77">
        <w:rPr>
          <w:rFonts w:ascii="Times New Roman" w:hAnsi="Times New Roman" w:cs="Times New Roman"/>
        </w:rPr>
        <w:t xml:space="preserve"> </w:t>
      </w:r>
      <w:r w:rsidR="006D5FCF">
        <w:rPr>
          <w:rFonts w:ascii="Times New Roman" w:hAnsi="Times New Roman" w:cs="Times New Roman"/>
        </w:rPr>
        <w:t>explains a single topic with a desire to generalize a larger set of topics, while relying on a variety of evidence (Gerring, 2004)</w:t>
      </w:r>
    </w:p>
    <w:p w14:paraId="32BA4ACE" w14:textId="756CCAEE" w:rsidR="006D10BD" w:rsidRPr="006D10BD" w:rsidRDefault="00C6518D" w:rsidP="00FD25F3">
      <w:pPr>
        <w:spacing w:line="360" w:lineRule="auto"/>
        <w:rPr>
          <w:rFonts w:ascii="Times New Roman" w:hAnsi="Times New Roman" w:cs="Times New Roman"/>
        </w:rPr>
      </w:pPr>
      <w:r>
        <w:rPr>
          <w:rFonts w:ascii="Times New Roman" w:hAnsi="Times New Roman" w:cs="Times New Roman"/>
        </w:rPr>
        <w:t xml:space="preserve">The assignment begins by providing background information of previous epidemics and pandemics that the United Kingdom has witnessed and overcame, before moving on to an exploration of the research and evidence relating to the Covid-19 vaccines and how the Pfizer and AstraZzenca differ from each other. It will then discuss the governmental researcher’s assistance with health and patient data regarding the roll out of the Covid-19 vaccines. The conclusions and recommendations section follow on from this. The next section provides information relating </w:t>
      </w:r>
      <w:r w:rsidRPr="006D10BD">
        <w:rPr>
          <w:rFonts w:ascii="Times New Roman" w:hAnsi="Times New Roman" w:cs="Times New Roman"/>
        </w:rPr>
        <w:t xml:space="preserve">to </w:t>
      </w:r>
      <w:r w:rsidR="006D10BD">
        <w:rPr>
          <w:rFonts w:ascii="Times New Roman" w:hAnsi="Times New Roman" w:cs="Times New Roman"/>
        </w:rPr>
        <w:t>t</w:t>
      </w:r>
      <w:r w:rsidR="006D10BD" w:rsidRPr="006D10BD">
        <w:rPr>
          <w:rFonts w:ascii="Times New Roman" w:hAnsi="Times New Roman" w:cs="Times New Roman"/>
        </w:rPr>
        <w:t>he comparisons of the Spanish Flu and Covid-19 pandemic in the United Kingdom</w:t>
      </w:r>
      <w:r w:rsidR="006D10BD">
        <w:rPr>
          <w:rFonts w:ascii="Times New Roman" w:hAnsi="Times New Roman" w:cs="Times New Roman"/>
        </w:rPr>
        <w:t>.</w:t>
      </w:r>
    </w:p>
    <w:p w14:paraId="0837ED9F" w14:textId="2FD494E8" w:rsidR="00C6518D" w:rsidRDefault="00C6518D" w:rsidP="00FD25F3">
      <w:pPr>
        <w:spacing w:line="360" w:lineRule="auto"/>
        <w:rPr>
          <w:rFonts w:ascii="Times New Roman" w:hAnsi="Times New Roman" w:cs="Times New Roman"/>
        </w:rPr>
      </w:pPr>
    </w:p>
    <w:p w14:paraId="734FE0F4" w14:textId="5A75D32C" w:rsidR="00C6518D" w:rsidRDefault="00C6518D" w:rsidP="00F54867">
      <w:pPr>
        <w:spacing w:line="360" w:lineRule="auto"/>
        <w:rPr>
          <w:rFonts w:ascii="Times New Roman" w:hAnsi="Times New Roman" w:cs="Times New Roman"/>
        </w:rPr>
      </w:pPr>
    </w:p>
    <w:p w14:paraId="7533136D" w14:textId="437D31A3" w:rsidR="00C6518D" w:rsidRDefault="00C6518D" w:rsidP="00F54867">
      <w:pPr>
        <w:spacing w:line="360" w:lineRule="auto"/>
        <w:rPr>
          <w:rFonts w:ascii="Times New Roman" w:hAnsi="Times New Roman" w:cs="Times New Roman"/>
        </w:rPr>
      </w:pPr>
    </w:p>
    <w:p w14:paraId="34E60991" w14:textId="3500755E" w:rsidR="00C6518D" w:rsidRDefault="00C6518D" w:rsidP="00F54867">
      <w:pPr>
        <w:spacing w:line="360" w:lineRule="auto"/>
        <w:rPr>
          <w:rFonts w:ascii="Times New Roman" w:hAnsi="Times New Roman" w:cs="Times New Roman"/>
        </w:rPr>
      </w:pPr>
    </w:p>
    <w:p w14:paraId="6DA3600D" w14:textId="77777777" w:rsidR="002C4A76" w:rsidRDefault="002C4A76" w:rsidP="00F54867">
      <w:pPr>
        <w:spacing w:line="360" w:lineRule="auto"/>
        <w:rPr>
          <w:rFonts w:ascii="Times New Roman" w:hAnsi="Times New Roman" w:cs="Times New Roman"/>
        </w:rPr>
      </w:pPr>
    </w:p>
    <w:p w14:paraId="2938B92D" w14:textId="035A0A1E" w:rsidR="00C6518D" w:rsidRDefault="00C6518D" w:rsidP="00F54867">
      <w:pPr>
        <w:spacing w:line="360" w:lineRule="auto"/>
        <w:rPr>
          <w:rFonts w:ascii="Times New Roman" w:hAnsi="Times New Roman" w:cs="Times New Roman"/>
        </w:rPr>
      </w:pPr>
    </w:p>
    <w:p w14:paraId="3042D1D4" w14:textId="5BBBE437" w:rsidR="002C4A76" w:rsidRDefault="002C4A76" w:rsidP="00F54867">
      <w:pPr>
        <w:spacing w:line="360" w:lineRule="auto"/>
        <w:rPr>
          <w:rFonts w:ascii="Times New Roman" w:hAnsi="Times New Roman" w:cs="Times New Roman"/>
        </w:rPr>
      </w:pPr>
    </w:p>
    <w:p w14:paraId="562C074E" w14:textId="77777777" w:rsidR="00A308BA" w:rsidRDefault="00A308BA" w:rsidP="00FD25F3">
      <w:pPr>
        <w:pStyle w:val="Heading1"/>
      </w:pPr>
    </w:p>
    <w:p w14:paraId="7CA847F5" w14:textId="7D0BF775" w:rsidR="006D10BD" w:rsidRPr="00FD25F3" w:rsidRDefault="006D10BD" w:rsidP="00FD25F3">
      <w:pPr>
        <w:pStyle w:val="Heading1"/>
        <w:rPr>
          <w:rFonts w:ascii="Times New Roman" w:hAnsi="Times New Roman" w:cs="Times New Roman"/>
          <w:b/>
          <w:bCs/>
          <w:color w:val="auto"/>
          <w:sz w:val="22"/>
          <w:szCs w:val="22"/>
        </w:rPr>
      </w:pPr>
      <w:bookmarkStart w:id="4" w:name="_Toc80887158"/>
      <w:bookmarkStart w:id="5" w:name="_Hlk80712189"/>
      <w:r w:rsidRPr="00FD25F3">
        <w:rPr>
          <w:rFonts w:ascii="Times New Roman" w:hAnsi="Times New Roman" w:cs="Times New Roman"/>
          <w:b/>
          <w:bCs/>
          <w:color w:val="auto"/>
          <w:sz w:val="22"/>
          <w:szCs w:val="22"/>
        </w:rPr>
        <w:t>The comparisons of the Spanish Flu and Covid-19 pandemic in the United Kingdom</w:t>
      </w:r>
      <w:bookmarkEnd w:id="4"/>
    </w:p>
    <w:bookmarkEnd w:id="5"/>
    <w:p w14:paraId="3C7DB54F" w14:textId="25064596" w:rsidR="00A308BA" w:rsidRDefault="00A308BA" w:rsidP="00FD25F3">
      <w:pPr>
        <w:spacing w:line="360" w:lineRule="auto"/>
        <w:rPr>
          <w:rFonts w:ascii="Times New Roman" w:hAnsi="Times New Roman" w:cs="Times New Roman"/>
        </w:rPr>
      </w:pPr>
      <w:r>
        <w:rPr>
          <w:rFonts w:ascii="Times New Roman" w:hAnsi="Times New Roman" w:cs="Times New Roman"/>
        </w:rPr>
        <w:t xml:space="preserve">Historically, the United Kingdom has seen its fair share of Epidemics and pandemics. As Aassve, Alfani, Gandolfi and Moglie (2021) mention that the global consequences caused by the Spanish-flu, also known as influenza virus in the 1918. They continue to mention that this was the most devastating pandemic of modern history leading up to 100million deaths worldwide. </w:t>
      </w:r>
      <w:r w:rsidR="005C597E">
        <w:rPr>
          <w:rFonts w:ascii="Times New Roman" w:hAnsi="Times New Roman" w:cs="Times New Roman"/>
        </w:rPr>
        <w:t xml:space="preserve">The Spanish flu is suggested to be </w:t>
      </w:r>
      <w:r w:rsidR="00841330">
        <w:rPr>
          <w:rFonts w:ascii="Times New Roman" w:hAnsi="Times New Roman" w:cs="Times New Roman"/>
        </w:rPr>
        <w:t>like</w:t>
      </w:r>
      <w:r w:rsidR="005C597E">
        <w:rPr>
          <w:rFonts w:ascii="Times New Roman" w:hAnsi="Times New Roman" w:cs="Times New Roman"/>
        </w:rPr>
        <w:t xml:space="preserve"> Covid-19, with the symptoms and the rapid infectious rates. </w:t>
      </w:r>
      <w:r w:rsidR="00841330">
        <w:rPr>
          <w:rFonts w:ascii="Times New Roman" w:hAnsi="Times New Roman" w:cs="Times New Roman"/>
        </w:rPr>
        <w:t>Similarly,</w:t>
      </w:r>
      <w:r w:rsidR="005C597E">
        <w:rPr>
          <w:rFonts w:ascii="Times New Roman" w:hAnsi="Times New Roman" w:cs="Times New Roman"/>
        </w:rPr>
        <w:t xml:space="preserve"> to Covid-19, in 1918 when the Spanish Flu was present doctors and scientists were unaware of where this virus had developed and spread from</w:t>
      </w:r>
      <w:r w:rsidR="00841330">
        <w:rPr>
          <w:rFonts w:ascii="Times New Roman" w:hAnsi="Times New Roman" w:cs="Times New Roman"/>
        </w:rPr>
        <w:t xml:space="preserve"> (Grewal, Khan, and Sun, 2021.) He et al (2020) states that the three dominating waves of the Spanish Flu pandemic should be a model to follow as the current waves of Covid-19 are following the same infectious rates and patterns as the historical patterns </w:t>
      </w:r>
      <w:r w:rsidR="00C90720">
        <w:rPr>
          <w:rFonts w:ascii="Times New Roman" w:hAnsi="Times New Roman" w:cs="Times New Roman"/>
        </w:rPr>
        <w:t>of the 1918 Spanish Flu.</w:t>
      </w:r>
    </w:p>
    <w:p w14:paraId="2554E812" w14:textId="45DB2A22" w:rsidR="002C4A76" w:rsidRDefault="00C90720" w:rsidP="00FD25F3">
      <w:pPr>
        <w:spacing w:line="360" w:lineRule="auto"/>
        <w:rPr>
          <w:rFonts w:ascii="Times New Roman" w:hAnsi="Times New Roman" w:cs="Times New Roman"/>
        </w:rPr>
      </w:pPr>
      <w:r>
        <w:rPr>
          <w:rFonts w:ascii="Times New Roman" w:hAnsi="Times New Roman" w:cs="Times New Roman"/>
        </w:rPr>
        <w:t>Yu, Lin, Chiu, and He (2017) refers to the behavioural responses used during the 1918 Spanish flu pandemic in the United Kingdom, they stated that they reviewed the effectiveness of social distancing in major populated areas. The results were effective in showing the importance of behavioural distancing for public health.</w:t>
      </w:r>
    </w:p>
    <w:p w14:paraId="03EC4654" w14:textId="39FB4392" w:rsidR="002B6C40" w:rsidRDefault="002B6C40" w:rsidP="00FD25F3">
      <w:pPr>
        <w:spacing w:line="360" w:lineRule="auto"/>
        <w:rPr>
          <w:rFonts w:ascii="Times New Roman" w:hAnsi="Times New Roman" w:cs="Times New Roman"/>
        </w:rPr>
      </w:pPr>
      <w:r>
        <w:rPr>
          <w:rFonts w:ascii="Times New Roman" w:hAnsi="Times New Roman" w:cs="Times New Roman"/>
        </w:rPr>
        <w:t xml:space="preserve">He et al (2020) compared Covid-19 and the 1918 Influenza (Spanish flu). They based their research off the data in the United Kingdom, stating that the Covid-19 infection matches the 1918 influenza pandemic, which is agreeing with Grewal, Khan, and Sun. </w:t>
      </w:r>
    </w:p>
    <w:p w14:paraId="03DF45A6" w14:textId="277FB305" w:rsidR="00B006EE" w:rsidRDefault="002B6C40" w:rsidP="00FD25F3">
      <w:pPr>
        <w:spacing w:line="360" w:lineRule="auto"/>
        <w:rPr>
          <w:rFonts w:ascii="Times New Roman" w:hAnsi="Times New Roman" w:cs="Times New Roman"/>
        </w:rPr>
      </w:pPr>
      <w:r>
        <w:rPr>
          <w:rFonts w:ascii="Times New Roman" w:hAnsi="Times New Roman" w:cs="Times New Roman"/>
        </w:rPr>
        <w:t>He et al (2020) continues to mention that SARS-CoV-2 and the 1918 A/H1N1 influenza virus</w:t>
      </w:r>
      <w:r w:rsidR="00993BD1">
        <w:rPr>
          <w:rFonts w:ascii="Times New Roman" w:hAnsi="Times New Roman" w:cs="Times New Roman"/>
        </w:rPr>
        <w:t xml:space="preserve"> share similar characteristics. For example:</w:t>
      </w:r>
    </w:p>
    <w:p w14:paraId="377D72E7" w14:textId="472F2D22" w:rsidR="00993BD1" w:rsidRDefault="00993BD1" w:rsidP="00B006EE">
      <w:pPr>
        <w:spacing w:line="240" w:lineRule="auto"/>
        <w:ind w:left="720"/>
        <w:rPr>
          <w:rFonts w:ascii="Times New Roman" w:hAnsi="Times New Roman" w:cs="Times New Roman"/>
        </w:rPr>
      </w:pPr>
      <w:r>
        <w:rPr>
          <w:rFonts w:ascii="Times New Roman" w:hAnsi="Times New Roman" w:cs="Times New Roman"/>
        </w:rPr>
        <w:t>Similar basic reproductive number (Ro), ranging from 2 to 4. ‘Our analysis suggested that the viral nucleic acid shedding pattern of patients infected with SARS-CoV-2 resembles that of patients with influenza and appears different from that seen in patients infected with SARS-CoV-2’. Covid-19 may have a similar latent period to that of influenza</w:t>
      </w:r>
      <w:r w:rsidR="00B006EE">
        <w:rPr>
          <w:rFonts w:ascii="Times New Roman" w:hAnsi="Times New Roman" w:cs="Times New Roman"/>
        </w:rPr>
        <w:t>.</w:t>
      </w:r>
    </w:p>
    <w:p w14:paraId="77E33A07" w14:textId="1B65935E" w:rsidR="00B006EE" w:rsidRDefault="00437603" w:rsidP="00FD25F3">
      <w:pPr>
        <w:spacing w:line="360" w:lineRule="auto"/>
        <w:rPr>
          <w:rFonts w:ascii="Times New Roman" w:hAnsi="Times New Roman" w:cs="Times New Roman"/>
        </w:rPr>
      </w:pPr>
      <w:r>
        <w:rPr>
          <w:rFonts w:ascii="Times New Roman" w:hAnsi="Times New Roman" w:cs="Times New Roman"/>
        </w:rPr>
        <w:t xml:space="preserve">Robinson (2020) shares more similarities between Covid-19 and the Spanish flu. In both pandemics </w:t>
      </w:r>
      <w:r w:rsidR="00501C23">
        <w:rPr>
          <w:rFonts w:ascii="Times New Roman" w:hAnsi="Times New Roman" w:cs="Times New Roman"/>
        </w:rPr>
        <w:t>there</w:t>
      </w:r>
      <w:r>
        <w:rPr>
          <w:rFonts w:ascii="Times New Roman" w:hAnsi="Times New Roman" w:cs="Times New Roman"/>
        </w:rPr>
        <w:t xml:space="preserve"> were shortages of nurses, doctors and hospital beds. A vaccine was not readily available during both pandemics so each pandemic where limited to interventions such as quarantine, face masks. Robinson continues by stating that during the 1918 pandemic she </w:t>
      </w:r>
      <w:r w:rsidR="00501C23">
        <w:rPr>
          <w:rFonts w:ascii="Times New Roman" w:hAnsi="Times New Roman" w:cs="Times New Roman"/>
        </w:rPr>
        <w:t>uncovered</w:t>
      </w:r>
      <w:r>
        <w:rPr>
          <w:rFonts w:ascii="Times New Roman" w:hAnsi="Times New Roman" w:cs="Times New Roman"/>
        </w:rPr>
        <w:t xml:space="preserve"> </w:t>
      </w:r>
      <w:r w:rsidR="00FB66BF">
        <w:rPr>
          <w:rFonts w:ascii="Times New Roman" w:hAnsi="Times New Roman" w:cs="Times New Roman"/>
        </w:rPr>
        <w:t>those nurses</w:t>
      </w:r>
      <w:r w:rsidR="00501C23">
        <w:rPr>
          <w:rFonts w:ascii="Times New Roman" w:hAnsi="Times New Roman" w:cs="Times New Roman"/>
        </w:rPr>
        <w:t xml:space="preserve"> </w:t>
      </w:r>
      <w:r>
        <w:rPr>
          <w:rFonts w:ascii="Times New Roman" w:hAnsi="Times New Roman" w:cs="Times New Roman"/>
        </w:rPr>
        <w:t xml:space="preserve">fought day and night to save patients, just like they have been doing during Covid-19. She continued to state that personal protective equipment was scarce, it was a top concern during both </w:t>
      </w:r>
      <w:r w:rsidR="00FB66BF">
        <w:rPr>
          <w:rFonts w:ascii="Times New Roman" w:hAnsi="Times New Roman" w:cs="Times New Roman"/>
        </w:rPr>
        <w:t>pandemics,</w:t>
      </w:r>
      <w:r w:rsidR="00501C23">
        <w:rPr>
          <w:rFonts w:ascii="Times New Roman" w:hAnsi="Times New Roman" w:cs="Times New Roman"/>
        </w:rPr>
        <w:t xml:space="preserve"> and it’s suggested that 25% of nurses created their own surgical masks.</w:t>
      </w:r>
    </w:p>
    <w:p w14:paraId="1F364CFD" w14:textId="77777777" w:rsidR="00993BD1" w:rsidRPr="00C90720" w:rsidRDefault="00993BD1" w:rsidP="00993BD1">
      <w:pPr>
        <w:spacing w:line="360" w:lineRule="auto"/>
        <w:ind w:left="720"/>
        <w:rPr>
          <w:rFonts w:ascii="Times New Roman" w:hAnsi="Times New Roman" w:cs="Times New Roman"/>
        </w:rPr>
      </w:pPr>
    </w:p>
    <w:p w14:paraId="7CAA75F2" w14:textId="0BE24C25" w:rsidR="00D75A78" w:rsidRDefault="00D75A78" w:rsidP="00F54867">
      <w:pPr>
        <w:spacing w:line="360" w:lineRule="auto"/>
        <w:rPr>
          <w:rFonts w:ascii="Times New Roman" w:hAnsi="Times New Roman" w:cs="Times New Roman"/>
          <w:b/>
          <w:bCs/>
          <w:color w:val="FF0000"/>
        </w:rPr>
      </w:pPr>
    </w:p>
    <w:p w14:paraId="038FDB98" w14:textId="77777777" w:rsidR="00FD25F3" w:rsidRPr="00FD25F3" w:rsidRDefault="00FD25F3" w:rsidP="00FD25F3">
      <w:pPr>
        <w:pStyle w:val="Heading1"/>
        <w:rPr>
          <w:rFonts w:ascii="Times New Roman" w:hAnsi="Times New Roman" w:cs="Times New Roman"/>
          <w:b/>
          <w:bCs/>
          <w:color w:val="auto"/>
          <w:sz w:val="22"/>
          <w:szCs w:val="22"/>
        </w:rPr>
      </w:pPr>
    </w:p>
    <w:p w14:paraId="3312C5FB" w14:textId="419297E3" w:rsidR="002C4A76" w:rsidRPr="00FD25F3" w:rsidRDefault="002C4A76" w:rsidP="00FD25F3">
      <w:pPr>
        <w:pStyle w:val="Heading1"/>
        <w:rPr>
          <w:rFonts w:ascii="Times New Roman" w:hAnsi="Times New Roman" w:cs="Times New Roman"/>
          <w:b/>
          <w:bCs/>
          <w:color w:val="auto"/>
          <w:sz w:val="22"/>
          <w:szCs w:val="22"/>
        </w:rPr>
      </w:pPr>
      <w:bookmarkStart w:id="6" w:name="_Toc80887159"/>
      <w:r w:rsidRPr="00FD25F3">
        <w:rPr>
          <w:rFonts w:ascii="Times New Roman" w:hAnsi="Times New Roman" w:cs="Times New Roman"/>
          <w:b/>
          <w:bCs/>
          <w:color w:val="auto"/>
          <w:sz w:val="22"/>
          <w:szCs w:val="22"/>
        </w:rPr>
        <w:t xml:space="preserve">Covid-19 vaccines: The differences between Pfizer and </w:t>
      </w:r>
      <w:r w:rsidR="004F6A02" w:rsidRPr="00FD25F3">
        <w:rPr>
          <w:rFonts w:ascii="Times New Roman" w:hAnsi="Times New Roman" w:cs="Times New Roman"/>
          <w:b/>
          <w:bCs/>
          <w:color w:val="auto"/>
          <w:sz w:val="22"/>
          <w:szCs w:val="22"/>
        </w:rPr>
        <w:t>AstraZeneca</w:t>
      </w:r>
      <w:bookmarkEnd w:id="6"/>
    </w:p>
    <w:p w14:paraId="53230C2D" w14:textId="75F5DFD4" w:rsidR="00D75A78" w:rsidRDefault="00D75A78" w:rsidP="00FD25F3">
      <w:pPr>
        <w:spacing w:line="360" w:lineRule="auto"/>
        <w:rPr>
          <w:rFonts w:ascii="Times New Roman" w:hAnsi="Times New Roman" w:cs="Times New Roman"/>
        </w:rPr>
      </w:pPr>
      <w:r>
        <w:rPr>
          <w:rFonts w:ascii="Times New Roman" w:hAnsi="Times New Roman" w:cs="Times New Roman"/>
        </w:rPr>
        <w:t xml:space="preserve">Within the past decade the vaccine industry responded urgently to a variety of epidemics including the H1N1 influenza virus. </w:t>
      </w:r>
      <w:r w:rsidR="008226F7">
        <w:rPr>
          <w:rFonts w:ascii="Times New Roman" w:hAnsi="Times New Roman" w:cs="Times New Roman"/>
        </w:rPr>
        <w:t>However, the SARS-CoV-2 vaccine creation posed challenges due to the debate over the best approach for targeting the virus (Lurie, Saville, Hatchett, and Halton, 2020.)</w:t>
      </w:r>
    </w:p>
    <w:p w14:paraId="1D429687" w14:textId="40B1F649" w:rsidR="002C4A76" w:rsidRDefault="0092221C" w:rsidP="00FD25F3">
      <w:pPr>
        <w:spacing w:line="360" w:lineRule="auto"/>
        <w:rPr>
          <w:rFonts w:ascii="Times New Roman" w:hAnsi="Times New Roman" w:cs="Times New Roman"/>
        </w:rPr>
      </w:pPr>
      <w:r>
        <w:rPr>
          <w:rFonts w:ascii="Times New Roman" w:hAnsi="Times New Roman" w:cs="Times New Roman"/>
        </w:rPr>
        <w:t xml:space="preserve">According to Forni, and Mantovani (2021) the eleven months of the pandemic the scientific community developed approximately 300 vaccine projects, 40 underwent clinical evaluation, ten went into phase three clinical trial. Out of the ten only three ended with positive results. The different vaccines show to be better suited to distinct populations. </w:t>
      </w:r>
    </w:p>
    <w:p w14:paraId="417CCA20" w14:textId="77777777" w:rsidR="004F6A02" w:rsidRDefault="00935DE9" w:rsidP="00FD25F3">
      <w:pPr>
        <w:spacing w:line="360" w:lineRule="auto"/>
        <w:rPr>
          <w:rFonts w:ascii="Times New Roman" w:hAnsi="Times New Roman" w:cs="Times New Roman"/>
        </w:rPr>
      </w:pPr>
      <w:r>
        <w:rPr>
          <w:rFonts w:ascii="Times New Roman" w:hAnsi="Times New Roman" w:cs="Times New Roman"/>
        </w:rPr>
        <w:t>The Centers for Disease Control and Prevention (CDC, 2021) states that the Pfizer BioNTech is a mRNA type vaccine, it is recommended for anyone who is 12 years and older to get vaccinated. CDC also mention that anyone who has had any type of allergic reaction to a polyethylene glycol ingredient should not be vaccinated by a mRNA Covid-19 vaccine. The possible side effects include pain, swelling and redness to the injection site and tiredness, headache, muscle pains throughout the rest of the body. These side effects should disappear after a few days. Using the CDC again, they mention that the Pfizer vaccine in people 16 years and older was 95% effective in preventing the spread of the virus after the two doses</w:t>
      </w:r>
      <w:r w:rsidR="004F6A02">
        <w:rPr>
          <w:rFonts w:ascii="Times New Roman" w:hAnsi="Times New Roman" w:cs="Times New Roman"/>
        </w:rPr>
        <w:t>. 12–15-year-olds had a strong immune response to both doses, the same response as 16–25-year-olds.</w:t>
      </w:r>
    </w:p>
    <w:p w14:paraId="66CFAC35" w14:textId="6CD8395F" w:rsidR="002C4A76" w:rsidRPr="00935DE9" w:rsidRDefault="004F6A02" w:rsidP="00FD25F3">
      <w:pPr>
        <w:spacing w:line="360" w:lineRule="auto"/>
        <w:rPr>
          <w:rFonts w:ascii="Times New Roman" w:hAnsi="Times New Roman" w:cs="Times New Roman"/>
        </w:rPr>
      </w:pPr>
      <w:r>
        <w:rPr>
          <w:rFonts w:ascii="Times New Roman" w:hAnsi="Times New Roman" w:cs="Times New Roman"/>
        </w:rPr>
        <w:t>According to the World Health Organization (WHO, 2021)</w:t>
      </w:r>
      <w:r w:rsidR="00E7112F">
        <w:rPr>
          <w:rFonts w:ascii="Times New Roman" w:hAnsi="Times New Roman" w:cs="Times New Roman"/>
        </w:rPr>
        <w:t xml:space="preserve"> the AstraZeneca vaccine is recommended for individuals who are at a higher risk of COVID-19 such as, obesity and diabetes. This type of vaccine is offered to women who are breastfeeding who are within the prioritized categories, they do not recommend stopping breastfeeding after vaccination. According to WHO the AstraZeneca vaccine can not be given to anyone who is younger than 18-year-old, this is different to what the CDC (2021) say about the Pfizer vaccine. One of the comparisons that both WHO (2021) and the CDC (2021) share, is that individuals who have a history of allergic reactions to any components of the vaccines should not be vaccinated. The AstraZeneca vaccine after two injections is only 63.09%, compared to the Pfizer which is 95% effective.</w:t>
      </w:r>
    </w:p>
    <w:p w14:paraId="6BDD7AEF" w14:textId="2AC20D4D" w:rsidR="002C4A76" w:rsidRDefault="002C4A76" w:rsidP="00F54867">
      <w:pPr>
        <w:spacing w:line="360" w:lineRule="auto"/>
        <w:rPr>
          <w:rFonts w:ascii="Times New Roman" w:hAnsi="Times New Roman" w:cs="Times New Roman"/>
          <w:b/>
          <w:bCs/>
        </w:rPr>
      </w:pPr>
    </w:p>
    <w:p w14:paraId="7184FACB" w14:textId="159623F4" w:rsidR="002C4A76" w:rsidRDefault="002C4A76" w:rsidP="00F54867">
      <w:pPr>
        <w:spacing w:line="360" w:lineRule="auto"/>
        <w:rPr>
          <w:rFonts w:ascii="Times New Roman" w:hAnsi="Times New Roman" w:cs="Times New Roman"/>
          <w:b/>
          <w:bCs/>
        </w:rPr>
      </w:pPr>
    </w:p>
    <w:p w14:paraId="3BEDF1D3" w14:textId="32630F9C" w:rsidR="002C4A76" w:rsidRDefault="002C4A76" w:rsidP="00F54867">
      <w:pPr>
        <w:spacing w:line="360" w:lineRule="auto"/>
        <w:rPr>
          <w:rFonts w:ascii="Times New Roman" w:hAnsi="Times New Roman" w:cs="Times New Roman"/>
          <w:b/>
          <w:bCs/>
        </w:rPr>
      </w:pPr>
    </w:p>
    <w:p w14:paraId="3BCCEA37" w14:textId="4558CA61" w:rsidR="002C4A76" w:rsidRDefault="002C4A76" w:rsidP="00F54867">
      <w:pPr>
        <w:spacing w:line="360" w:lineRule="auto"/>
        <w:rPr>
          <w:rFonts w:ascii="Times New Roman" w:hAnsi="Times New Roman" w:cs="Times New Roman"/>
          <w:b/>
          <w:bCs/>
        </w:rPr>
      </w:pPr>
    </w:p>
    <w:p w14:paraId="7A58B590" w14:textId="77777777" w:rsidR="00FD25F3" w:rsidRDefault="00FD25F3" w:rsidP="00F54867">
      <w:pPr>
        <w:spacing w:line="360" w:lineRule="auto"/>
        <w:rPr>
          <w:rFonts w:ascii="Times New Roman" w:hAnsi="Times New Roman" w:cs="Times New Roman"/>
          <w:b/>
          <w:bCs/>
        </w:rPr>
      </w:pPr>
    </w:p>
    <w:p w14:paraId="66D9B3F7" w14:textId="117A9A8C" w:rsidR="002C4A76" w:rsidRPr="00FD25F3" w:rsidRDefault="002C4A76" w:rsidP="00FD25F3">
      <w:pPr>
        <w:pStyle w:val="Heading1"/>
        <w:rPr>
          <w:rFonts w:ascii="Times New Roman" w:hAnsi="Times New Roman" w:cs="Times New Roman"/>
          <w:b/>
          <w:bCs/>
          <w:color w:val="auto"/>
          <w:sz w:val="22"/>
          <w:szCs w:val="22"/>
        </w:rPr>
      </w:pPr>
      <w:bookmarkStart w:id="7" w:name="_Toc80887160"/>
      <w:r w:rsidRPr="00FD25F3">
        <w:rPr>
          <w:rFonts w:ascii="Times New Roman" w:hAnsi="Times New Roman" w:cs="Times New Roman"/>
          <w:b/>
          <w:bCs/>
          <w:color w:val="auto"/>
          <w:sz w:val="22"/>
          <w:szCs w:val="22"/>
        </w:rPr>
        <w:lastRenderedPageBreak/>
        <w:t>How the governmental researchers assisted with public health data with the roll out of the vaccine</w:t>
      </w:r>
      <w:r w:rsidR="004C6960" w:rsidRPr="00FD25F3">
        <w:rPr>
          <w:rFonts w:ascii="Times New Roman" w:hAnsi="Times New Roman" w:cs="Times New Roman"/>
          <w:b/>
          <w:bCs/>
          <w:color w:val="auto"/>
          <w:sz w:val="22"/>
          <w:szCs w:val="22"/>
        </w:rPr>
        <w:t>.</w:t>
      </w:r>
      <w:bookmarkEnd w:id="7"/>
    </w:p>
    <w:p w14:paraId="27879B18" w14:textId="13DDABA0" w:rsidR="00812BFC" w:rsidRPr="00A97950" w:rsidRDefault="00A97950" w:rsidP="00FD25F3">
      <w:pPr>
        <w:spacing w:line="360" w:lineRule="auto"/>
        <w:rPr>
          <w:rFonts w:ascii="Times New Roman" w:hAnsi="Times New Roman" w:cs="Times New Roman"/>
        </w:rPr>
      </w:pPr>
      <w:r>
        <w:rPr>
          <w:rFonts w:ascii="Times New Roman" w:hAnsi="Times New Roman" w:cs="Times New Roman"/>
        </w:rPr>
        <w:t xml:space="preserve">Hale et al (2021) states that from the start of January 2020 the Government introduced the Oxford COVID-19 Government Response Tracker which is a dataset that is continuously updated on policy measures. The data is related to closure and containment, health and economic policies for over 180 countries, including several subnational jurisdictions. Hale et al (2021) continues by mentioning that the database empowers researchers and policymakers to critique the effects of responses of the spread of COVID-19 cases, deaths, economic and social welfare. </w:t>
      </w:r>
    </w:p>
    <w:p w14:paraId="2E1914D5" w14:textId="5455BF2C" w:rsidR="004C6960" w:rsidRPr="00C53B10" w:rsidRDefault="00C53B10" w:rsidP="00FD25F3">
      <w:pPr>
        <w:spacing w:line="360" w:lineRule="auto"/>
        <w:rPr>
          <w:rFonts w:ascii="Times New Roman" w:hAnsi="Times New Roman" w:cs="Times New Roman"/>
        </w:rPr>
      </w:pPr>
      <w:r>
        <w:rPr>
          <w:rFonts w:ascii="Times New Roman" w:hAnsi="Times New Roman" w:cs="Times New Roman"/>
        </w:rPr>
        <w:t>Bloomfield, Magnusson, Walsh, and Naylor (2021) suggest that as social media has become a huge part of todays society the spread of fake or mis-informed news about the COVID-19 vaccination process or about the virus was everywhere. They stated that the UK Department for Digital, Culture, Media and Sport released ‘Check Before You Share Toolkit’ to decrease the spread of false information about the vaccine.</w:t>
      </w:r>
    </w:p>
    <w:p w14:paraId="3C40123D" w14:textId="7AA6AA0E" w:rsidR="004C6960" w:rsidRDefault="000D292A" w:rsidP="00FD25F3">
      <w:pPr>
        <w:spacing w:line="360" w:lineRule="auto"/>
        <w:rPr>
          <w:rFonts w:ascii="Times New Roman" w:hAnsi="Times New Roman" w:cs="Times New Roman"/>
        </w:rPr>
      </w:pPr>
      <w:r>
        <w:rPr>
          <w:rFonts w:ascii="Times New Roman" w:hAnsi="Times New Roman" w:cs="Times New Roman"/>
        </w:rPr>
        <w:t xml:space="preserve">From the Department of Health and Social Care (2021) the pandemic demonstrated how important health data is, so having a transparent and ethical access to health data is needed to transform health and care. From another post from the Department of Health and Social Care (2021) COVID-19 was the greatest public health emergency that the UK had faced for decades, therefore having access to public health data was </w:t>
      </w:r>
      <w:r w:rsidR="00923A4C">
        <w:rPr>
          <w:rFonts w:ascii="Times New Roman" w:hAnsi="Times New Roman" w:cs="Times New Roman"/>
        </w:rPr>
        <w:t>significant. Data identified who needed to shield due to their vulnerabilities, and data was vital in discovering treatments.</w:t>
      </w:r>
    </w:p>
    <w:p w14:paraId="66D6CEFF" w14:textId="2D099DE0" w:rsidR="00923A4C" w:rsidRPr="000D292A" w:rsidRDefault="00AE1E8C" w:rsidP="00FD25F3">
      <w:pPr>
        <w:spacing w:line="360" w:lineRule="auto"/>
        <w:rPr>
          <w:rFonts w:ascii="Times New Roman" w:hAnsi="Times New Roman" w:cs="Times New Roman"/>
        </w:rPr>
      </w:pPr>
      <w:r>
        <w:rPr>
          <w:rFonts w:ascii="Times New Roman" w:hAnsi="Times New Roman" w:cs="Times New Roman"/>
        </w:rPr>
        <w:t>Even though data has been a massive help so far, Fahey, and Hino (2020) argue that it has created a separation between the ‘privacy-first’ and the ‘data-first’. Both benefit citizens, however as Fahey, and Hino (2020) explain some citizens view that the contact tracing process reveals private parts of their lives, where as the data this brings will significantly assist epidemiologists.</w:t>
      </w:r>
    </w:p>
    <w:p w14:paraId="3E84631D" w14:textId="77DB22DA" w:rsidR="004C6960" w:rsidRDefault="004C6960" w:rsidP="00FD25F3">
      <w:pPr>
        <w:spacing w:line="360" w:lineRule="auto"/>
        <w:rPr>
          <w:rFonts w:ascii="Times New Roman" w:hAnsi="Times New Roman" w:cs="Times New Roman"/>
          <w:b/>
          <w:bCs/>
        </w:rPr>
      </w:pPr>
    </w:p>
    <w:p w14:paraId="2CD51044" w14:textId="04DDB8FA" w:rsidR="004C6960" w:rsidRDefault="004C6960" w:rsidP="00F54867">
      <w:pPr>
        <w:spacing w:line="360" w:lineRule="auto"/>
        <w:rPr>
          <w:rFonts w:ascii="Times New Roman" w:hAnsi="Times New Roman" w:cs="Times New Roman"/>
          <w:b/>
          <w:bCs/>
        </w:rPr>
      </w:pPr>
    </w:p>
    <w:p w14:paraId="490E121B" w14:textId="3BD973FE" w:rsidR="004C6960" w:rsidRDefault="004C6960" w:rsidP="00F54867">
      <w:pPr>
        <w:spacing w:line="360" w:lineRule="auto"/>
        <w:rPr>
          <w:rFonts w:ascii="Times New Roman" w:hAnsi="Times New Roman" w:cs="Times New Roman"/>
          <w:b/>
          <w:bCs/>
        </w:rPr>
      </w:pPr>
    </w:p>
    <w:p w14:paraId="2043BD7A" w14:textId="61C8C1DE" w:rsidR="004C6960" w:rsidRDefault="004C6960" w:rsidP="00F54867">
      <w:pPr>
        <w:spacing w:line="360" w:lineRule="auto"/>
        <w:rPr>
          <w:rFonts w:ascii="Times New Roman" w:hAnsi="Times New Roman" w:cs="Times New Roman"/>
          <w:b/>
          <w:bCs/>
        </w:rPr>
      </w:pPr>
    </w:p>
    <w:p w14:paraId="6DC2459A" w14:textId="50F50A9F" w:rsidR="004C6960" w:rsidRDefault="004C6960" w:rsidP="00F54867">
      <w:pPr>
        <w:spacing w:line="360" w:lineRule="auto"/>
        <w:rPr>
          <w:rFonts w:ascii="Times New Roman" w:hAnsi="Times New Roman" w:cs="Times New Roman"/>
          <w:b/>
          <w:bCs/>
        </w:rPr>
      </w:pPr>
    </w:p>
    <w:p w14:paraId="71DA8145" w14:textId="1CC2F3DF" w:rsidR="004C6960" w:rsidRDefault="004C6960" w:rsidP="00F54867">
      <w:pPr>
        <w:spacing w:line="360" w:lineRule="auto"/>
        <w:rPr>
          <w:rFonts w:ascii="Times New Roman" w:hAnsi="Times New Roman" w:cs="Times New Roman"/>
          <w:b/>
          <w:bCs/>
        </w:rPr>
      </w:pPr>
    </w:p>
    <w:p w14:paraId="7E128601" w14:textId="77777777" w:rsidR="00FD25F3" w:rsidRDefault="00FD25F3" w:rsidP="00F54867">
      <w:pPr>
        <w:spacing w:line="360" w:lineRule="auto"/>
        <w:rPr>
          <w:rFonts w:ascii="Times New Roman" w:hAnsi="Times New Roman" w:cs="Times New Roman"/>
          <w:b/>
          <w:bCs/>
        </w:rPr>
      </w:pPr>
    </w:p>
    <w:p w14:paraId="5B6334E3" w14:textId="77777777" w:rsidR="009D492A" w:rsidRDefault="009D492A" w:rsidP="00F54867">
      <w:pPr>
        <w:spacing w:line="360" w:lineRule="auto"/>
        <w:rPr>
          <w:rFonts w:ascii="Times New Roman" w:hAnsi="Times New Roman" w:cs="Times New Roman"/>
          <w:b/>
          <w:bCs/>
        </w:rPr>
      </w:pPr>
    </w:p>
    <w:p w14:paraId="5BFAC766" w14:textId="1BF0BC90" w:rsidR="004C6960" w:rsidRDefault="004C6960" w:rsidP="00FD25F3">
      <w:pPr>
        <w:pStyle w:val="Heading1"/>
        <w:rPr>
          <w:rFonts w:ascii="Times New Roman" w:hAnsi="Times New Roman" w:cs="Times New Roman"/>
          <w:b/>
          <w:bCs/>
          <w:color w:val="auto"/>
          <w:sz w:val="22"/>
          <w:szCs w:val="22"/>
        </w:rPr>
      </w:pPr>
      <w:bookmarkStart w:id="8" w:name="_Toc80887161"/>
      <w:r w:rsidRPr="00FD25F3">
        <w:rPr>
          <w:rFonts w:ascii="Times New Roman" w:hAnsi="Times New Roman" w:cs="Times New Roman"/>
          <w:b/>
          <w:bCs/>
          <w:color w:val="auto"/>
          <w:sz w:val="22"/>
          <w:szCs w:val="22"/>
        </w:rPr>
        <w:lastRenderedPageBreak/>
        <w:t>Conclusion</w:t>
      </w:r>
      <w:bookmarkEnd w:id="8"/>
    </w:p>
    <w:p w14:paraId="7D7E9416" w14:textId="77777777" w:rsidR="00AD66B8" w:rsidRPr="00AD66B8" w:rsidRDefault="00AD66B8" w:rsidP="00AD66B8"/>
    <w:p w14:paraId="3B0B57CD" w14:textId="5D90ACD3" w:rsidR="00FA565D" w:rsidRDefault="00FA565D" w:rsidP="00FD25F3">
      <w:pPr>
        <w:spacing w:line="360" w:lineRule="auto"/>
        <w:rPr>
          <w:rFonts w:ascii="Times New Roman" w:hAnsi="Times New Roman" w:cs="Times New Roman"/>
        </w:rPr>
      </w:pPr>
      <w:r>
        <w:rPr>
          <w:rFonts w:ascii="Times New Roman" w:hAnsi="Times New Roman" w:cs="Times New Roman"/>
        </w:rPr>
        <w:t xml:space="preserve">This case study critique investigated </w:t>
      </w:r>
      <w:r w:rsidRPr="00FA565D">
        <w:rPr>
          <w:rFonts w:ascii="Times New Roman" w:hAnsi="Times New Roman" w:cs="Times New Roman"/>
        </w:rPr>
        <w:t>the Covid-19 vaccination research and evidence methods implemented in response to the crisis.</w:t>
      </w:r>
      <w:r>
        <w:rPr>
          <w:rFonts w:ascii="Times New Roman" w:hAnsi="Times New Roman" w:cs="Times New Roman"/>
        </w:rPr>
        <w:t xml:space="preserve"> The assignment began by discussing the similarities between the 1918 Spanish Flu and COVID-19. The Spanish Flu spread rapidly and happened in different waves of intensity, just like COVID-19, and there is no concrete scientific evidence on how each virus was created or initially infected.</w:t>
      </w:r>
    </w:p>
    <w:p w14:paraId="1243067A" w14:textId="46A0B37B" w:rsidR="00FA565D" w:rsidRDefault="00FA565D" w:rsidP="00FD25F3">
      <w:pPr>
        <w:spacing w:line="360" w:lineRule="auto"/>
        <w:rPr>
          <w:rFonts w:ascii="Times New Roman" w:hAnsi="Times New Roman" w:cs="Times New Roman"/>
        </w:rPr>
      </w:pPr>
      <w:r>
        <w:rPr>
          <w:rFonts w:ascii="Times New Roman" w:hAnsi="Times New Roman" w:cs="Times New Roman"/>
        </w:rPr>
        <w:t>The assignment then moved on to the comparisons of the Pfizer and the AstraZeneca vaccine. The assignment explained that Pfizer was more effective and can be used on 12-year-olds and above, where as the AstraZeneca is less effective and can only be used on 18-year-olds and above.</w:t>
      </w:r>
    </w:p>
    <w:p w14:paraId="1E1250B9" w14:textId="04E49CA2" w:rsidR="00FA565D" w:rsidRPr="00FA565D" w:rsidRDefault="00FA565D" w:rsidP="00FD25F3">
      <w:pPr>
        <w:spacing w:line="360" w:lineRule="auto"/>
        <w:rPr>
          <w:rFonts w:ascii="Times New Roman" w:hAnsi="Times New Roman" w:cs="Times New Roman"/>
        </w:rPr>
      </w:pPr>
      <w:r>
        <w:rPr>
          <w:rFonts w:ascii="Times New Roman" w:hAnsi="Times New Roman" w:cs="Times New Roman"/>
        </w:rPr>
        <w:t xml:space="preserve">Then finally the case study reviewed how the government assisted with public health data in rolling out the vaccine. Public health data is needed as it assisted the government in knowing who needed to shieled and who needed the vaccine the most due to their </w:t>
      </w:r>
      <w:r w:rsidR="007F4F47">
        <w:rPr>
          <w:rFonts w:ascii="Times New Roman" w:hAnsi="Times New Roman" w:cs="Times New Roman"/>
        </w:rPr>
        <w:t>vulnerabilities. However</w:t>
      </w:r>
      <w:r w:rsidR="001912E5">
        <w:rPr>
          <w:rFonts w:ascii="Times New Roman" w:hAnsi="Times New Roman" w:cs="Times New Roman"/>
        </w:rPr>
        <w:t>,</w:t>
      </w:r>
      <w:r w:rsidR="007F4F47">
        <w:rPr>
          <w:rFonts w:ascii="Times New Roman" w:hAnsi="Times New Roman" w:cs="Times New Roman"/>
        </w:rPr>
        <w:t xml:space="preserve"> it has also caused some differences in regarding </w:t>
      </w:r>
      <w:proofErr w:type="gramStart"/>
      <w:r w:rsidR="007F4F47">
        <w:rPr>
          <w:rFonts w:ascii="Times New Roman" w:hAnsi="Times New Roman" w:cs="Times New Roman"/>
        </w:rPr>
        <w:t>peoples</w:t>
      </w:r>
      <w:proofErr w:type="gramEnd"/>
      <w:r w:rsidR="007F4F47">
        <w:rPr>
          <w:rFonts w:ascii="Times New Roman" w:hAnsi="Times New Roman" w:cs="Times New Roman"/>
        </w:rPr>
        <w:t xml:space="preserve"> privacy due to the contact tracing, even though the data will benefit the epidemiologists, citizens are worried that it will reveal their private lives.</w:t>
      </w:r>
    </w:p>
    <w:p w14:paraId="43A3C10E" w14:textId="3D34158D" w:rsidR="004C6960" w:rsidRPr="009D492A" w:rsidRDefault="004C6960" w:rsidP="009D492A">
      <w:pPr>
        <w:spacing w:line="276" w:lineRule="auto"/>
        <w:rPr>
          <w:rFonts w:ascii="Times New Roman" w:hAnsi="Times New Roman" w:cs="Times New Roman"/>
        </w:rPr>
      </w:pPr>
    </w:p>
    <w:p w14:paraId="25B9BE5E" w14:textId="61C8F34A" w:rsidR="004C6960" w:rsidRDefault="004C6960" w:rsidP="00F54867">
      <w:pPr>
        <w:spacing w:line="360" w:lineRule="auto"/>
        <w:rPr>
          <w:rFonts w:ascii="Times New Roman" w:hAnsi="Times New Roman" w:cs="Times New Roman"/>
          <w:b/>
          <w:bCs/>
        </w:rPr>
      </w:pPr>
    </w:p>
    <w:p w14:paraId="752A413C" w14:textId="71159574" w:rsidR="004C6960" w:rsidRDefault="004C6960" w:rsidP="00F54867">
      <w:pPr>
        <w:spacing w:line="360" w:lineRule="auto"/>
        <w:rPr>
          <w:rFonts w:ascii="Times New Roman" w:hAnsi="Times New Roman" w:cs="Times New Roman"/>
          <w:b/>
          <w:bCs/>
        </w:rPr>
      </w:pPr>
    </w:p>
    <w:p w14:paraId="64136A51" w14:textId="57E283E9" w:rsidR="004C6960" w:rsidRDefault="004C6960" w:rsidP="00F54867">
      <w:pPr>
        <w:spacing w:line="360" w:lineRule="auto"/>
        <w:rPr>
          <w:rFonts w:ascii="Times New Roman" w:hAnsi="Times New Roman" w:cs="Times New Roman"/>
          <w:b/>
          <w:bCs/>
        </w:rPr>
      </w:pPr>
    </w:p>
    <w:p w14:paraId="27EB5D5C" w14:textId="0B69527D" w:rsidR="004C6960" w:rsidRDefault="004C6960" w:rsidP="00F54867">
      <w:pPr>
        <w:spacing w:line="360" w:lineRule="auto"/>
        <w:rPr>
          <w:rFonts w:ascii="Times New Roman" w:hAnsi="Times New Roman" w:cs="Times New Roman"/>
          <w:b/>
          <w:bCs/>
        </w:rPr>
      </w:pPr>
    </w:p>
    <w:p w14:paraId="628E447F" w14:textId="06E6BA18" w:rsidR="004C6960" w:rsidRDefault="004C6960" w:rsidP="00F54867">
      <w:pPr>
        <w:spacing w:line="360" w:lineRule="auto"/>
        <w:rPr>
          <w:rFonts w:ascii="Times New Roman" w:hAnsi="Times New Roman" w:cs="Times New Roman"/>
          <w:b/>
          <w:bCs/>
        </w:rPr>
      </w:pPr>
    </w:p>
    <w:p w14:paraId="5C7DEB28" w14:textId="65B33F76" w:rsidR="004C6960" w:rsidRDefault="004C6960" w:rsidP="00F54867">
      <w:pPr>
        <w:spacing w:line="360" w:lineRule="auto"/>
        <w:rPr>
          <w:rFonts w:ascii="Times New Roman" w:hAnsi="Times New Roman" w:cs="Times New Roman"/>
          <w:b/>
          <w:bCs/>
        </w:rPr>
      </w:pPr>
    </w:p>
    <w:p w14:paraId="28967B38" w14:textId="3001D5A8" w:rsidR="004C6960" w:rsidRDefault="004C6960" w:rsidP="00F54867">
      <w:pPr>
        <w:spacing w:line="360" w:lineRule="auto"/>
        <w:rPr>
          <w:rFonts w:ascii="Times New Roman" w:hAnsi="Times New Roman" w:cs="Times New Roman"/>
          <w:b/>
          <w:bCs/>
        </w:rPr>
      </w:pPr>
    </w:p>
    <w:p w14:paraId="516E5E5B" w14:textId="1226981C" w:rsidR="004C6960" w:rsidRDefault="004C6960" w:rsidP="00F54867">
      <w:pPr>
        <w:spacing w:line="360" w:lineRule="auto"/>
        <w:rPr>
          <w:rFonts w:ascii="Times New Roman" w:hAnsi="Times New Roman" w:cs="Times New Roman"/>
          <w:b/>
          <w:bCs/>
        </w:rPr>
      </w:pPr>
    </w:p>
    <w:p w14:paraId="6DA635D9" w14:textId="1C6CB135" w:rsidR="004C6960" w:rsidRDefault="004C6960" w:rsidP="00F54867">
      <w:pPr>
        <w:spacing w:line="360" w:lineRule="auto"/>
        <w:rPr>
          <w:rFonts w:ascii="Times New Roman" w:hAnsi="Times New Roman" w:cs="Times New Roman"/>
          <w:b/>
          <w:bCs/>
        </w:rPr>
      </w:pPr>
    </w:p>
    <w:p w14:paraId="10D6FCF9" w14:textId="22B39135" w:rsidR="004C6960" w:rsidRDefault="004C6960" w:rsidP="00F54867">
      <w:pPr>
        <w:spacing w:line="360" w:lineRule="auto"/>
        <w:rPr>
          <w:rFonts w:ascii="Times New Roman" w:hAnsi="Times New Roman" w:cs="Times New Roman"/>
          <w:b/>
          <w:bCs/>
        </w:rPr>
      </w:pPr>
    </w:p>
    <w:p w14:paraId="5DD6734C" w14:textId="07120AAC" w:rsidR="004C6960" w:rsidRDefault="004C6960" w:rsidP="00F54867">
      <w:pPr>
        <w:spacing w:line="360" w:lineRule="auto"/>
        <w:rPr>
          <w:rFonts w:ascii="Times New Roman" w:hAnsi="Times New Roman" w:cs="Times New Roman"/>
          <w:b/>
          <w:bCs/>
        </w:rPr>
      </w:pPr>
    </w:p>
    <w:p w14:paraId="5A3016B7" w14:textId="01E44719" w:rsidR="004C6960" w:rsidRDefault="004C6960" w:rsidP="00F54867">
      <w:pPr>
        <w:spacing w:line="360" w:lineRule="auto"/>
        <w:rPr>
          <w:rFonts w:ascii="Times New Roman" w:hAnsi="Times New Roman" w:cs="Times New Roman"/>
          <w:b/>
          <w:bCs/>
        </w:rPr>
      </w:pPr>
    </w:p>
    <w:p w14:paraId="2D882AAD" w14:textId="5BDA0936" w:rsidR="004C6960" w:rsidRDefault="004C6960" w:rsidP="00F54867">
      <w:pPr>
        <w:spacing w:line="360" w:lineRule="auto"/>
        <w:rPr>
          <w:rFonts w:ascii="Times New Roman" w:hAnsi="Times New Roman" w:cs="Times New Roman"/>
          <w:b/>
          <w:bCs/>
        </w:rPr>
      </w:pPr>
    </w:p>
    <w:p w14:paraId="1254FC34" w14:textId="77777777" w:rsidR="00AD66B8" w:rsidRDefault="00AD66B8" w:rsidP="00FD25F3">
      <w:pPr>
        <w:pStyle w:val="Heading1"/>
        <w:rPr>
          <w:rFonts w:ascii="Times New Roman" w:hAnsi="Times New Roman" w:cs="Times New Roman"/>
          <w:b/>
          <w:bCs/>
          <w:color w:val="auto"/>
          <w:sz w:val="22"/>
          <w:szCs w:val="22"/>
        </w:rPr>
      </w:pPr>
      <w:bookmarkStart w:id="9" w:name="_Toc80887162"/>
    </w:p>
    <w:p w14:paraId="3FA9E749" w14:textId="6C263F3D" w:rsidR="004C6960" w:rsidRPr="00FD25F3" w:rsidRDefault="004C6960" w:rsidP="00FD25F3">
      <w:pPr>
        <w:pStyle w:val="Heading1"/>
        <w:rPr>
          <w:rFonts w:ascii="Times New Roman" w:hAnsi="Times New Roman" w:cs="Times New Roman"/>
          <w:b/>
          <w:bCs/>
          <w:color w:val="auto"/>
          <w:sz w:val="22"/>
          <w:szCs w:val="22"/>
        </w:rPr>
      </w:pPr>
      <w:r w:rsidRPr="00FD25F3">
        <w:rPr>
          <w:rFonts w:ascii="Times New Roman" w:hAnsi="Times New Roman" w:cs="Times New Roman"/>
          <w:b/>
          <w:bCs/>
          <w:color w:val="auto"/>
          <w:sz w:val="22"/>
          <w:szCs w:val="22"/>
        </w:rPr>
        <w:t>References</w:t>
      </w:r>
      <w:bookmarkEnd w:id="9"/>
    </w:p>
    <w:p w14:paraId="615BFFE0" w14:textId="77777777" w:rsidR="00AD66B8" w:rsidRPr="00AD66B8" w:rsidRDefault="00AD66B8" w:rsidP="00AD66B8">
      <w:r w:rsidRPr="00AD66B8">
        <w:t xml:space="preserve">Aassve, A, Alfani, G, Gandolfi, F, and Moglie, M.L. (2021), ‘Epidemics and trust: The case of the Spanish Flu’, </w:t>
      </w:r>
      <w:r w:rsidRPr="00AD66B8">
        <w:rPr>
          <w:i/>
          <w:iCs/>
        </w:rPr>
        <w:t xml:space="preserve">Health Economics, </w:t>
      </w:r>
      <w:r w:rsidRPr="00AD66B8">
        <w:t>30(4), pp840-857, Available on https://onlinelibrary.wiley.com/doi/full/10.1002/h</w:t>
      </w:r>
      <w:r w:rsidRPr="00AD66B8">
        <w:t>e</w:t>
      </w:r>
      <w:r w:rsidRPr="00AD66B8">
        <w:t>c.4218</w:t>
      </w:r>
      <w:r w:rsidRPr="00AD66B8">
        <w:rPr>
          <w:rStyle w:val="Hyperlink"/>
          <w:color w:val="auto"/>
          <w:u w:val="none"/>
        </w:rPr>
        <w:t xml:space="preserve"> (Accessed on 20/8/2021)</w:t>
      </w:r>
      <w:r w:rsidRPr="00AD66B8">
        <w:t xml:space="preserve"> </w:t>
      </w:r>
    </w:p>
    <w:p w14:paraId="21741BEE" w14:textId="77777777" w:rsidR="00AD66B8" w:rsidRPr="00AD66B8" w:rsidRDefault="00AD66B8" w:rsidP="00AD66B8">
      <w:r w:rsidRPr="00AD66B8">
        <w:t xml:space="preserve">Anderson, R.M, Hollingsworth, T.D, Baggaley, R.F, Maddren, R, and Vegvari, C. (2020), ‘COVID-19 spread in the UK: the end of the beginning?’, </w:t>
      </w:r>
      <w:r w:rsidRPr="00AD66B8">
        <w:rPr>
          <w:i/>
          <w:iCs/>
        </w:rPr>
        <w:t xml:space="preserve">The Lancet, </w:t>
      </w:r>
      <w:r w:rsidRPr="00AD66B8">
        <w:t>396(1025), pp587-590, Available on https://www.thelancet.com/journals/lancet/article/PIIS0140-6736(20)31689-5/fulltext?rss=yes&amp;utm_source=dlvr.it&amp;utm_medium=twitter (Accessed on 20/8/2021)</w:t>
      </w:r>
    </w:p>
    <w:p w14:paraId="7E602DFB" w14:textId="77777777" w:rsidR="00AD66B8" w:rsidRPr="00AD66B8" w:rsidRDefault="00AD66B8" w:rsidP="00AD66B8">
      <w:r w:rsidRPr="00AD66B8">
        <w:t xml:space="preserve">Bloomfield, P.S, Magnusson, J, Walsh, M, and Naylor, A. (2021), ‘Communicating public health during COVID-19, implications for vaccine rollout’, </w:t>
      </w:r>
      <w:r w:rsidRPr="00AD66B8">
        <w:rPr>
          <w:i/>
          <w:iCs/>
        </w:rPr>
        <w:t xml:space="preserve">Big Data and Society, </w:t>
      </w:r>
      <w:r w:rsidRPr="00AD66B8">
        <w:t>8(1), Available on https://journals.sagepub.com/doi/full/10.1177/205395172</w:t>
      </w:r>
      <w:r w:rsidRPr="00AD66B8">
        <w:t>1</w:t>
      </w:r>
      <w:r w:rsidRPr="00AD66B8">
        <w:t>1023534 (Accessed on 26/8/2021)</w:t>
      </w:r>
    </w:p>
    <w:p w14:paraId="4AD1030C" w14:textId="77777777" w:rsidR="00AD66B8" w:rsidRPr="00AD66B8" w:rsidRDefault="00AD66B8" w:rsidP="00AD66B8">
      <w:r w:rsidRPr="00AD66B8">
        <w:t xml:space="preserve">Centers for Disease Control and Prevention, (2021), ‘Pfizer-BioNTech’, </w:t>
      </w:r>
      <w:r w:rsidRPr="00AD66B8">
        <w:rPr>
          <w:i/>
          <w:iCs/>
        </w:rPr>
        <w:t xml:space="preserve">COVID-19, </w:t>
      </w:r>
      <w:r w:rsidRPr="00AD66B8">
        <w:t>Centers for Disease Control and Prevention</w:t>
      </w:r>
      <w:r w:rsidRPr="00AD66B8">
        <w:rPr>
          <w:i/>
          <w:iCs/>
        </w:rPr>
        <w:t xml:space="preserve">, </w:t>
      </w:r>
      <w:r w:rsidRPr="00AD66B8">
        <w:t>Available on https://www.cdc.gov/coronavirus/2019-ncov/vaccines/different-vacc</w:t>
      </w:r>
      <w:r w:rsidRPr="00AD66B8">
        <w:t>i</w:t>
      </w:r>
      <w:r w:rsidRPr="00AD66B8">
        <w:t>nes/Pfizer-BioNTech.html(Accessed on 26/8/2021)</w:t>
      </w:r>
    </w:p>
    <w:p w14:paraId="4F6ECFC8" w14:textId="77777777" w:rsidR="00AD66B8" w:rsidRPr="00AD66B8" w:rsidRDefault="00AD66B8" w:rsidP="00AD66B8">
      <w:r w:rsidRPr="00AD66B8">
        <w:t xml:space="preserve">Fahey, R.A, and Hino, A. (2020), ‘COVID-19, digital privacy, and the social limits on data-focused public health responses’, </w:t>
      </w:r>
      <w:r w:rsidRPr="00AD66B8">
        <w:rPr>
          <w:i/>
          <w:iCs/>
        </w:rPr>
        <w:t xml:space="preserve">International Journal of Information Management, </w:t>
      </w:r>
      <w:r w:rsidRPr="00AD66B8">
        <w:t>55, Available on https://www.sciencedirect.com/science/article/ab</w:t>
      </w:r>
      <w:r w:rsidRPr="00AD66B8">
        <w:t>s</w:t>
      </w:r>
      <w:r w:rsidRPr="00AD66B8">
        <w:t>/pii/S0268401220310239 (Accessed on 26/8/2021)</w:t>
      </w:r>
    </w:p>
    <w:p w14:paraId="6925FF20" w14:textId="77777777" w:rsidR="00AD66B8" w:rsidRPr="00AD66B8" w:rsidRDefault="00AD66B8" w:rsidP="00AD66B8">
      <w:r w:rsidRPr="00AD66B8">
        <w:t xml:space="preserve">Forni, G, and Mantovani, A. (2021), ‘COVID-19 vaccines: where we stand and challenges ahead’, </w:t>
      </w:r>
      <w:r w:rsidRPr="00AD66B8">
        <w:rPr>
          <w:i/>
          <w:iCs/>
        </w:rPr>
        <w:t xml:space="preserve">Cell Death and Differentiation, </w:t>
      </w:r>
      <w:r w:rsidRPr="00AD66B8">
        <w:t>28, pp626-639, Available on https://www.nature.com/articles/s41418-02</w:t>
      </w:r>
      <w:r w:rsidRPr="00AD66B8">
        <w:t>0</w:t>
      </w:r>
      <w:r w:rsidRPr="00AD66B8">
        <w:t>-00720-9 (Accessed on 28/08/2021)</w:t>
      </w:r>
    </w:p>
    <w:p w14:paraId="71B955CC" w14:textId="77777777" w:rsidR="00AD66B8" w:rsidRPr="00AD66B8" w:rsidRDefault="00AD66B8" w:rsidP="00AD66B8">
      <w:r w:rsidRPr="00AD66B8">
        <w:t xml:space="preserve">Gerring, J. (2004), ‘What Is a Case Study and What Is It Good For?’, </w:t>
      </w:r>
      <w:r w:rsidRPr="00AD66B8">
        <w:rPr>
          <w:i/>
          <w:iCs/>
        </w:rPr>
        <w:t xml:space="preserve">American Political Science Review, </w:t>
      </w:r>
      <w:r w:rsidRPr="00AD66B8">
        <w:t>98(2), pp341-354, Available on https://www.cambridge.org/core/journals/american-political-science-review/article/abs/what-is-a-case-study-and-what-is-it-good-for/C5B2D</w:t>
      </w:r>
      <w:r w:rsidRPr="00AD66B8">
        <w:t>9</w:t>
      </w:r>
      <w:r w:rsidRPr="00AD66B8">
        <w:t>930B94600EC0DAC93EB2361863 (Accessed on 20/8/2021)</w:t>
      </w:r>
    </w:p>
    <w:p w14:paraId="6E1D77E1" w14:textId="77777777" w:rsidR="00AD66B8" w:rsidRPr="00AD66B8" w:rsidRDefault="00AD66B8" w:rsidP="00AD66B8">
      <w:r w:rsidRPr="00AD66B8">
        <w:t xml:space="preserve">Government UK. (2021), ‘New Review Into use of health data for research and analysis’, </w:t>
      </w:r>
      <w:r w:rsidRPr="00AD66B8">
        <w:rPr>
          <w:i/>
          <w:iCs/>
        </w:rPr>
        <w:t xml:space="preserve">Research and innovation in health and social care, </w:t>
      </w:r>
      <w:r w:rsidRPr="00AD66B8">
        <w:t>Department of health and social care. Available on https://www.gov.uk/government/news/new-review-into-use-of-health-dat</w:t>
      </w:r>
      <w:r w:rsidRPr="00AD66B8">
        <w:t>a</w:t>
      </w:r>
      <w:r w:rsidRPr="00AD66B8">
        <w:t>-for-research-and-analysis (Accessed on 26/8/2021)</w:t>
      </w:r>
    </w:p>
    <w:p w14:paraId="7B8CEDD8" w14:textId="77777777" w:rsidR="00AD66B8" w:rsidRPr="00AD66B8" w:rsidRDefault="00AD66B8" w:rsidP="00AD66B8">
      <w:r w:rsidRPr="00AD66B8">
        <w:t xml:space="preserve">Government UK. (2021), ‘Policy Paper: Data saves lives: reshaping health and social care with data (draft)’, </w:t>
      </w:r>
      <w:r w:rsidRPr="00AD66B8">
        <w:rPr>
          <w:i/>
          <w:iCs/>
        </w:rPr>
        <w:t>Department of Heath of Health and Social Care,</w:t>
      </w:r>
      <w:r w:rsidRPr="00AD66B8">
        <w:t xml:space="preserve"> Government UK. Available on https://www.gov.uk/governmen</w:t>
      </w:r>
      <w:r w:rsidRPr="00AD66B8">
        <w:t>t</w:t>
      </w:r>
      <w:r w:rsidRPr="00AD66B8">
        <w:t>/publications/data-saves-lives-reshaping-health-and-social-care-with-data-draft/data-saves-lives-reshaping-health-and-social-care-with-data-draft (Accessed on 26/8/2021)</w:t>
      </w:r>
    </w:p>
    <w:p w14:paraId="688D6217" w14:textId="77777777" w:rsidR="00AD66B8" w:rsidRPr="00AD66B8" w:rsidRDefault="00AD66B8" w:rsidP="00AD66B8">
      <w:r w:rsidRPr="00AD66B8">
        <w:t xml:space="preserve">Grewal, D, Khan, A, and Sun, C. (2021), ‘The Influenza Pandemic </w:t>
      </w:r>
      <w:proofErr w:type="gramStart"/>
      <w:r w:rsidRPr="00AD66B8">
        <w:t>In</w:t>
      </w:r>
      <w:proofErr w:type="gramEnd"/>
      <w:r w:rsidRPr="00AD66B8">
        <w:t xml:space="preserve"> the United Kingdom In The 1900’s’, </w:t>
      </w:r>
      <w:r w:rsidRPr="00AD66B8">
        <w:rPr>
          <w:i/>
          <w:iCs/>
        </w:rPr>
        <w:t>Public History in the 21</w:t>
      </w:r>
      <w:r w:rsidRPr="00AD66B8">
        <w:rPr>
          <w:i/>
          <w:iCs/>
          <w:vertAlign w:val="superscript"/>
        </w:rPr>
        <w:t>st</w:t>
      </w:r>
      <w:r w:rsidRPr="00AD66B8">
        <w:rPr>
          <w:i/>
          <w:iCs/>
        </w:rPr>
        <w:t xml:space="preserve"> Century,</w:t>
      </w:r>
      <w:r w:rsidRPr="00AD66B8">
        <w:t xml:space="preserve"> ArcGIS StoryMaps. Available on https://storymaps.arcgis.com/stories/b29f2151792a44f5afaee3dfe70c9a74 (Accessed on 26/8/2021)</w:t>
      </w:r>
    </w:p>
    <w:p w14:paraId="12F8F87B" w14:textId="77777777" w:rsidR="00AD66B8" w:rsidRPr="00AD66B8" w:rsidRDefault="00AD66B8" w:rsidP="00AD66B8">
      <w:r w:rsidRPr="00AD66B8">
        <w:t xml:space="preserve">Hale, T, Angriest, N, Goldszmidt, Kira, B, Petherick, A, Phillips, T, Webster, S, Cameron-Blake, E, Hallas, L, Majumdar, S, and Tatlow, H. (2021), ‘A global panel database of pandemic policies (Oxford </w:t>
      </w:r>
      <w:r w:rsidRPr="00AD66B8">
        <w:lastRenderedPageBreak/>
        <w:t xml:space="preserve">COVID-19 Government Response Tracker)’, </w:t>
      </w:r>
      <w:r w:rsidRPr="00AD66B8">
        <w:rPr>
          <w:i/>
          <w:iCs/>
        </w:rPr>
        <w:t xml:space="preserve">Nature Human behaviour, </w:t>
      </w:r>
      <w:r w:rsidRPr="00AD66B8">
        <w:t>5, pp529-538, Available on https://www.nature.com/articles/s41562-0</w:t>
      </w:r>
      <w:r w:rsidRPr="00AD66B8">
        <w:t>2</w:t>
      </w:r>
      <w:r w:rsidRPr="00AD66B8">
        <w:t>1-01079-8 (Accessed on 26/8/2021)</w:t>
      </w:r>
    </w:p>
    <w:p w14:paraId="74613E47" w14:textId="77777777" w:rsidR="00AD66B8" w:rsidRPr="00AD66B8" w:rsidRDefault="00AD66B8" w:rsidP="00AD66B8">
      <w:pPr>
        <w:rPr>
          <w:rStyle w:val="Hyperlink"/>
          <w:color w:val="auto"/>
          <w:u w:val="none"/>
        </w:rPr>
      </w:pPr>
      <w:r w:rsidRPr="00AD66B8">
        <w:rPr>
          <w:rStyle w:val="Hyperlink"/>
          <w:color w:val="auto"/>
          <w:u w:val="none"/>
        </w:rPr>
        <w:t xml:space="preserve">He, D, Zhao, S, Li, Y, Cao, P, Gao, D, Lou, Y, and Yang, L. (2020), ‘Comparing COVID-19 and the 1918-19 influenza pandemics in the United Kingdom’, </w:t>
      </w:r>
      <w:r w:rsidRPr="00AD66B8">
        <w:rPr>
          <w:rStyle w:val="Hyperlink"/>
          <w:i/>
          <w:iCs/>
          <w:color w:val="auto"/>
          <w:u w:val="none"/>
        </w:rPr>
        <w:t xml:space="preserve">International Journal of Infectious Diseases, </w:t>
      </w:r>
      <w:r w:rsidRPr="00AD66B8">
        <w:rPr>
          <w:rStyle w:val="Hyperlink"/>
          <w:color w:val="auto"/>
          <w:u w:val="none"/>
        </w:rPr>
        <w:t xml:space="preserve">98, pp67-70, Available on </w:t>
      </w:r>
      <w:r w:rsidRPr="00AD66B8">
        <w:t>https://www.sciencedirect.com/science/article/pii/S120197</w:t>
      </w:r>
      <w:r w:rsidRPr="00AD66B8">
        <w:t>1</w:t>
      </w:r>
      <w:r w:rsidRPr="00AD66B8">
        <w:t>220305117</w:t>
      </w:r>
      <w:r w:rsidRPr="00AD66B8">
        <w:rPr>
          <w:rStyle w:val="Hyperlink"/>
          <w:color w:val="auto"/>
          <w:u w:val="none"/>
        </w:rPr>
        <w:t xml:space="preserve"> (Accessed on 26/08/2021)</w:t>
      </w:r>
    </w:p>
    <w:p w14:paraId="519F2174" w14:textId="77777777" w:rsidR="00AD66B8" w:rsidRPr="00AD66B8" w:rsidRDefault="00AD66B8" w:rsidP="00AD66B8">
      <w:pPr>
        <w:rPr>
          <w:rStyle w:val="Hyperlink"/>
          <w:color w:val="auto"/>
          <w:u w:val="none"/>
        </w:rPr>
      </w:pPr>
      <w:r w:rsidRPr="00AD66B8">
        <w:t xml:space="preserve">He, D, Zhao, S, Li, Y, Zhuang, Z, Cao, P, Gao, D, Lou, Y, and Yang, L. (2020), ‘History Is the Best Model – A Comparison of the COVID-19 with the 1918-19 Pandemic Influenza in the United Kingdom’, </w:t>
      </w:r>
      <w:r w:rsidRPr="00AD66B8">
        <w:rPr>
          <w:i/>
          <w:iCs/>
        </w:rPr>
        <w:t xml:space="preserve">SSRN. </w:t>
      </w:r>
      <w:r w:rsidRPr="00AD66B8">
        <w:t>Available on https://papers.ssrn.com/sol3/papers.cfm?abstract_i</w:t>
      </w:r>
      <w:r w:rsidRPr="00AD66B8">
        <w:t>d</w:t>
      </w:r>
      <w:r w:rsidRPr="00AD66B8">
        <w:t>=3582393</w:t>
      </w:r>
      <w:r w:rsidRPr="00AD66B8">
        <w:rPr>
          <w:rStyle w:val="Hyperlink"/>
          <w:color w:val="auto"/>
          <w:u w:val="none"/>
        </w:rPr>
        <w:t xml:space="preserve"> (Accessed on 26/08/2021)</w:t>
      </w:r>
    </w:p>
    <w:p w14:paraId="60D33C20" w14:textId="77777777" w:rsidR="00AD66B8" w:rsidRPr="00AD66B8" w:rsidRDefault="00AD66B8" w:rsidP="00AD66B8">
      <w:r w:rsidRPr="00AD66B8">
        <w:t xml:space="preserve">Lurie, N, Saville, M, Hatchett, R and Halton, J. (2020), ‘Developing COVID-19 Vaccines at Pandemic Speed’, </w:t>
      </w:r>
      <w:r w:rsidRPr="00AD66B8">
        <w:rPr>
          <w:i/>
          <w:iCs/>
        </w:rPr>
        <w:t xml:space="preserve">The new England Journal of Medicine, </w:t>
      </w:r>
      <w:r w:rsidRPr="00AD66B8">
        <w:t>382, pp1969-1973, Available on</w:t>
      </w:r>
      <w:r w:rsidRPr="00AD66B8">
        <w:rPr>
          <w:rStyle w:val="Hyperlink"/>
          <w:color w:val="auto"/>
          <w:u w:val="none"/>
        </w:rPr>
        <w:t xml:space="preserve"> </w:t>
      </w:r>
      <w:r w:rsidRPr="00AD66B8">
        <w:t>https://www.nejm.org/doi/full/10.1056/NEJMp20</w:t>
      </w:r>
      <w:r w:rsidRPr="00AD66B8">
        <w:t>0</w:t>
      </w:r>
      <w:r w:rsidRPr="00AD66B8">
        <w:t>5630 (Accessed on 26/08/2021)</w:t>
      </w:r>
    </w:p>
    <w:p w14:paraId="22B6816D" w14:textId="77777777" w:rsidR="00AD66B8" w:rsidRPr="00AD66B8" w:rsidRDefault="00AD66B8" w:rsidP="00AD66B8">
      <w:r w:rsidRPr="00AD66B8">
        <w:t xml:space="preserve">Potter, C.W. (2001), ‘A history of Influenza’, </w:t>
      </w:r>
      <w:r w:rsidRPr="00AD66B8">
        <w:rPr>
          <w:i/>
          <w:iCs/>
        </w:rPr>
        <w:t xml:space="preserve">Journal of Applied microbiology, </w:t>
      </w:r>
      <w:r w:rsidRPr="00AD66B8">
        <w:t>91, pp572-579, Available on https://cssh.northeastern.edu/pandemic-teaching</w:t>
      </w:r>
      <w:r w:rsidRPr="00AD66B8">
        <w:t>-</w:t>
      </w:r>
      <w:r w:rsidRPr="00AD66B8">
        <w:t>initiative/wp-content/uploads/sites/43/2020/10/j.1365-2672.2001.01492.x.pdf (Accessed on 20/8/2021)</w:t>
      </w:r>
    </w:p>
    <w:p w14:paraId="4E8FF85B" w14:textId="77777777" w:rsidR="00AD66B8" w:rsidRPr="00AD66B8" w:rsidRDefault="00AD66B8" w:rsidP="00AD66B8">
      <w:r w:rsidRPr="00AD66B8">
        <w:rPr>
          <w:rStyle w:val="Hyperlink"/>
          <w:color w:val="auto"/>
          <w:u w:val="none"/>
        </w:rPr>
        <w:t xml:space="preserve">Robinson, K.R. (2020), ‘Comparing the Spanish Flu and COVID-19 pandemics: Lessons to carry forward’, </w:t>
      </w:r>
      <w:r w:rsidRPr="00AD66B8">
        <w:rPr>
          <w:rStyle w:val="Hyperlink"/>
          <w:i/>
          <w:iCs/>
          <w:color w:val="auto"/>
          <w:u w:val="none"/>
        </w:rPr>
        <w:t xml:space="preserve">Nursing Forum, </w:t>
      </w:r>
      <w:r w:rsidRPr="00AD66B8">
        <w:rPr>
          <w:rStyle w:val="Hyperlink"/>
          <w:color w:val="auto"/>
          <w:u w:val="none"/>
        </w:rPr>
        <w:t xml:space="preserve">56(2), pp350-357, Available on </w:t>
      </w:r>
      <w:r w:rsidRPr="00AD66B8">
        <w:t>https://onlinelibrary.wiley.com/doi/full/10.1111/n</w:t>
      </w:r>
      <w:r w:rsidRPr="00AD66B8">
        <w:t>u</w:t>
      </w:r>
      <w:r w:rsidRPr="00AD66B8">
        <w:t>f.12534 (Accessed on 26/08/2021)</w:t>
      </w:r>
    </w:p>
    <w:p w14:paraId="04379906" w14:textId="77777777" w:rsidR="00AD66B8" w:rsidRPr="00AD66B8" w:rsidRDefault="00AD66B8" w:rsidP="00AD66B8">
      <w:r w:rsidRPr="00AD66B8">
        <w:t>World Health Organization. (2021), ‘The Oxford/AstraZeneca COVID-19 vaccine: what you need to know’, World Health Organization, Available on https://www.who.int/news-room/feature-stori</w:t>
      </w:r>
      <w:r w:rsidRPr="00AD66B8">
        <w:t>e</w:t>
      </w:r>
      <w:r w:rsidRPr="00AD66B8">
        <w:t>s/detail/the-oxford-astrazeneca-covid-19-vaccine-what-you-need-to-know (Accessed on 26/8/2021)</w:t>
      </w:r>
    </w:p>
    <w:p w14:paraId="63F6261D" w14:textId="77777777" w:rsidR="00AD66B8" w:rsidRPr="00AD66B8" w:rsidRDefault="00AD66B8" w:rsidP="00AD66B8">
      <w:pPr>
        <w:rPr>
          <w:rStyle w:val="Hyperlink"/>
          <w:color w:val="auto"/>
          <w:u w:val="none"/>
        </w:rPr>
      </w:pPr>
      <w:r w:rsidRPr="00AD66B8">
        <w:rPr>
          <w:rStyle w:val="Hyperlink"/>
          <w:color w:val="auto"/>
          <w:u w:val="none"/>
        </w:rPr>
        <w:t xml:space="preserve">Yu, D, Lin, Q, Chiu, A.P, and He, D. (2017), ‘effects of reactive social distancing on the 1918 influenza pandemic’, </w:t>
      </w:r>
      <w:r w:rsidRPr="00AD66B8">
        <w:rPr>
          <w:rStyle w:val="Hyperlink"/>
          <w:i/>
          <w:iCs/>
          <w:color w:val="auto"/>
          <w:u w:val="none"/>
        </w:rPr>
        <w:t xml:space="preserve">PLoS ONE, </w:t>
      </w:r>
      <w:r w:rsidRPr="00AD66B8">
        <w:rPr>
          <w:rStyle w:val="Hyperlink"/>
          <w:color w:val="auto"/>
          <w:u w:val="none"/>
        </w:rPr>
        <w:t xml:space="preserve">12(7), Available on </w:t>
      </w:r>
      <w:r w:rsidRPr="00AD66B8">
        <w:t>https://journals.plos.org/PLOSone/article?id=10.1371/journal.pone.0</w:t>
      </w:r>
      <w:r w:rsidRPr="00AD66B8">
        <w:t>1</w:t>
      </w:r>
      <w:r w:rsidRPr="00AD66B8">
        <w:t>80545</w:t>
      </w:r>
      <w:r w:rsidRPr="00AD66B8">
        <w:rPr>
          <w:rStyle w:val="Hyperlink"/>
          <w:color w:val="auto"/>
          <w:u w:val="none"/>
        </w:rPr>
        <w:t xml:space="preserve"> (Accessed on 26/08/2021)</w:t>
      </w:r>
    </w:p>
    <w:p w14:paraId="231E1A02" w14:textId="77777777" w:rsidR="004C6960" w:rsidRPr="002C4A76" w:rsidRDefault="004C6960" w:rsidP="00F54867">
      <w:pPr>
        <w:spacing w:line="360" w:lineRule="auto"/>
        <w:rPr>
          <w:rFonts w:ascii="Times New Roman" w:hAnsi="Times New Roman" w:cs="Times New Roman"/>
          <w:b/>
          <w:bCs/>
        </w:rPr>
      </w:pPr>
    </w:p>
    <w:p w14:paraId="5245BB35" w14:textId="77777777" w:rsidR="00C6518D" w:rsidRPr="00C6518D" w:rsidRDefault="00C6518D" w:rsidP="00F54867">
      <w:pPr>
        <w:spacing w:line="360" w:lineRule="auto"/>
        <w:rPr>
          <w:rFonts w:ascii="Times New Roman" w:hAnsi="Times New Roman" w:cs="Times New Roman"/>
        </w:rPr>
      </w:pPr>
    </w:p>
    <w:p w14:paraId="3C9711A0" w14:textId="77777777" w:rsidR="00C6518D" w:rsidRDefault="00C6518D" w:rsidP="00F54867">
      <w:pPr>
        <w:spacing w:line="360" w:lineRule="auto"/>
        <w:rPr>
          <w:rFonts w:ascii="Times New Roman" w:hAnsi="Times New Roman" w:cs="Times New Roman"/>
        </w:rPr>
      </w:pPr>
    </w:p>
    <w:p w14:paraId="2C26FE3D" w14:textId="77777777" w:rsidR="00F54867" w:rsidRPr="003D71A6" w:rsidRDefault="00F54867" w:rsidP="008E5A77">
      <w:pPr>
        <w:spacing w:line="360" w:lineRule="auto"/>
        <w:rPr>
          <w:rFonts w:ascii="Times New Roman" w:hAnsi="Times New Roman" w:cs="Times New Roman"/>
        </w:rPr>
      </w:pPr>
    </w:p>
    <w:sectPr w:rsidR="00F54867" w:rsidRPr="003D71A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530741" w14:textId="77777777" w:rsidR="00C266C6" w:rsidRDefault="00C266C6" w:rsidP="00FF3F0F">
      <w:pPr>
        <w:spacing w:after="0" w:line="240" w:lineRule="auto"/>
      </w:pPr>
      <w:r>
        <w:separator/>
      </w:r>
    </w:p>
  </w:endnote>
  <w:endnote w:type="continuationSeparator" w:id="0">
    <w:p w14:paraId="2B685C3A" w14:textId="77777777" w:rsidR="00C266C6" w:rsidRDefault="00C266C6" w:rsidP="00FF3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5730700"/>
      <w:docPartObj>
        <w:docPartGallery w:val="Page Numbers (Bottom of Page)"/>
        <w:docPartUnique/>
      </w:docPartObj>
    </w:sdtPr>
    <w:sdtEndPr>
      <w:rPr>
        <w:color w:val="7F7F7F" w:themeColor="background1" w:themeShade="7F"/>
        <w:spacing w:val="60"/>
      </w:rPr>
    </w:sdtEndPr>
    <w:sdtContent>
      <w:p w14:paraId="721F7160" w14:textId="25BA5677" w:rsidR="00FF3F0F" w:rsidRDefault="00FF3F0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7FEB8E9" w14:textId="77777777" w:rsidR="00FF3F0F" w:rsidRDefault="00FF3F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7070EA" w14:textId="77777777" w:rsidR="00C266C6" w:rsidRDefault="00C266C6" w:rsidP="00FF3F0F">
      <w:pPr>
        <w:spacing w:after="0" w:line="240" w:lineRule="auto"/>
      </w:pPr>
      <w:r>
        <w:separator/>
      </w:r>
    </w:p>
  </w:footnote>
  <w:footnote w:type="continuationSeparator" w:id="0">
    <w:p w14:paraId="310E1BCA" w14:textId="77777777" w:rsidR="00C266C6" w:rsidRDefault="00C266C6" w:rsidP="00FF3F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F0F"/>
    <w:rsid w:val="000A7A35"/>
    <w:rsid w:val="000D292A"/>
    <w:rsid w:val="000D4C43"/>
    <w:rsid w:val="00161A3E"/>
    <w:rsid w:val="001912E5"/>
    <w:rsid w:val="002B6C40"/>
    <w:rsid w:val="002C4A76"/>
    <w:rsid w:val="00383141"/>
    <w:rsid w:val="003D71A6"/>
    <w:rsid w:val="00437603"/>
    <w:rsid w:val="0046736A"/>
    <w:rsid w:val="004810C5"/>
    <w:rsid w:val="004C6960"/>
    <w:rsid w:val="004F6A02"/>
    <w:rsid w:val="00501C23"/>
    <w:rsid w:val="0050324E"/>
    <w:rsid w:val="005B6D56"/>
    <w:rsid w:val="005C597E"/>
    <w:rsid w:val="006D10BD"/>
    <w:rsid w:val="006D5FCF"/>
    <w:rsid w:val="007F4F47"/>
    <w:rsid w:val="00812BFC"/>
    <w:rsid w:val="008226F7"/>
    <w:rsid w:val="00841330"/>
    <w:rsid w:val="008B332C"/>
    <w:rsid w:val="008E5A77"/>
    <w:rsid w:val="0092221C"/>
    <w:rsid w:val="00923A4C"/>
    <w:rsid w:val="00935DE9"/>
    <w:rsid w:val="009760A9"/>
    <w:rsid w:val="00993BD1"/>
    <w:rsid w:val="009D492A"/>
    <w:rsid w:val="00A308BA"/>
    <w:rsid w:val="00A97950"/>
    <w:rsid w:val="00AA56A8"/>
    <w:rsid w:val="00AD66B8"/>
    <w:rsid w:val="00AE1E8C"/>
    <w:rsid w:val="00B006EE"/>
    <w:rsid w:val="00C266C6"/>
    <w:rsid w:val="00C53B10"/>
    <w:rsid w:val="00C6518D"/>
    <w:rsid w:val="00C90720"/>
    <w:rsid w:val="00CA2C4F"/>
    <w:rsid w:val="00D179D9"/>
    <w:rsid w:val="00D75A78"/>
    <w:rsid w:val="00E625B9"/>
    <w:rsid w:val="00E7112F"/>
    <w:rsid w:val="00F54867"/>
    <w:rsid w:val="00FA565D"/>
    <w:rsid w:val="00FB66BF"/>
    <w:rsid w:val="00FD25F3"/>
    <w:rsid w:val="00FF3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85E55"/>
  <w15:chartTrackingRefBased/>
  <w15:docId w15:val="{552E0C60-B32E-4230-8C4F-DA42BAD6A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0BD"/>
  </w:style>
  <w:style w:type="paragraph" w:styleId="Heading1">
    <w:name w:val="heading 1"/>
    <w:basedOn w:val="Normal"/>
    <w:next w:val="Normal"/>
    <w:link w:val="Heading1Char"/>
    <w:uiPriority w:val="9"/>
    <w:qFormat/>
    <w:rsid w:val="00FD25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3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3F0F"/>
  </w:style>
  <w:style w:type="paragraph" w:styleId="Footer">
    <w:name w:val="footer"/>
    <w:basedOn w:val="Normal"/>
    <w:link w:val="FooterChar"/>
    <w:uiPriority w:val="99"/>
    <w:unhideWhenUsed/>
    <w:rsid w:val="00FF3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3F0F"/>
  </w:style>
  <w:style w:type="character" w:customStyle="1" w:styleId="Heading1Char">
    <w:name w:val="Heading 1 Char"/>
    <w:basedOn w:val="DefaultParagraphFont"/>
    <w:link w:val="Heading1"/>
    <w:uiPriority w:val="9"/>
    <w:rsid w:val="00FD25F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B6D56"/>
    <w:pPr>
      <w:outlineLvl w:val="9"/>
    </w:pPr>
    <w:rPr>
      <w:lang w:val="en-US"/>
    </w:rPr>
  </w:style>
  <w:style w:type="paragraph" w:styleId="TOC1">
    <w:name w:val="toc 1"/>
    <w:basedOn w:val="Normal"/>
    <w:next w:val="Normal"/>
    <w:autoRedefine/>
    <w:uiPriority w:val="39"/>
    <w:unhideWhenUsed/>
    <w:rsid w:val="005B6D56"/>
    <w:pPr>
      <w:spacing w:before="360" w:after="360"/>
    </w:pPr>
    <w:rPr>
      <w:b/>
      <w:bCs/>
      <w:caps/>
      <w:u w:val="single"/>
    </w:rPr>
  </w:style>
  <w:style w:type="character" w:styleId="Hyperlink">
    <w:name w:val="Hyperlink"/>
    <w:basedOn w:val="DefaultParagraphFont"/>
    <w:uiPriority w:val="99"/>
    <w:unhideWhenUsed/>
    <w:rsid w:val="005B6D56"/>
    <w:rPr>
      <w:color w:val="0563C1" w:themeColor="hyperlink"/>
      <w:u w:val="single"/>
    </w:rPr>
  </w:style>
  <w:style w:type="paragraph" w:styleId="TOC2">
    <w:name w:val="toc 2"/>
    <w:basedOn w:val="Normal"/>
    <w:next w:val="Normal"/>
    <w:autoRedefine/>
    <w:uiPriority w:val="39"/>
    <w:unhideWhenUsed/>
    <w:rsid w:val="005B6D56"/>
    <w:pPr>
      <w:spacing w:after="0"/>
    </w:pPr>
    <w:rPr>
      <w:b/>
      <w:bCs/>
      <w:smallCaps/>
    </w:rPr>
  </w:style>
  <w:style w:type="paragraph" w:styleId="TOC3">
    <w:name w:val="toc 3"/>
    <w:basedOn w:val="Normal"/>
    <w:next w:val="Normal"/>
    <w:autoRedefine/>
    <w:uiPriority w:val="39"/>
    <w:unhideWhenUsed/>
    <w:rsid w:val="005B6D56"/>
    <w:pPr>
      <w:spacing w:after="0"/>
    </w:pPr>
    <w:rPr>
      <w:smallCaps/>
    </w:rPr>
  </w:style>
  <w:style w:type="paragraph" w:styleId="TOC4">
    <w:name w:val="toc 4"/>
    <w:basedOn w:val="Normal"/>
    <w:next w:val="Normal"/>
    <w:autoRedefine/>
    <w:uiPriority w:val="39"/>
    <w:unhideWhenUsed/>
    <w:rsid w:val="005B6D56"/>
    <w:pPr>
      <w:spacing w:after="0"/>
    </w:pPr>
  </w:style>
  <w:style w:type="paragraph" w:styleId="TOC5">
    <w:name w:val="toc 5"/>
    <w:basedOn w:val="Normal"/>
    <w:next w:val="Normal"/>
    <w:autoRedefine/>
    <w:uiPriority w:val="39"/>
    <w:unhideWhenUsed/>
    <w:rsid w:val="005B6D56"/>
    <w:pPr>
      <w:spacing w:after="0"/>
    </w:pPr>
  </w:style>
  <w:style w:type="paragraph" w:styleId="TOC6">
    <w:name w:val="toc 6"/>
    <w:basedOn w:val="Normal"/>
    <w:next w:val="Normal"/>
    <w:autoRedefine/>
    <w:uiPriority w:val="39"/>
    <w:unhideWhenUsed/>
    <w:rsid w:val="005B6D56"/>
    <w:pPr>
      <w:spacing w:after="0"/>
    </w:pPr>
  </w:style>
  <w:style w:type="paragraph" w:styleId="TOC7">
    <w:name w:val="toc 7"/>
    <w:basedOn w:val="Normal"/>
    <w:next w:val="Normal"/>
    <w:autoRedefine/>
    <w:uiPriority w:val="39"/>
    <w:unhideWhenUsed/>
    <w:rsid w:val="005B6D56"/>
    <w:pPr>
      <w:spacing w:after="0"/>
    </w:pPr>
  </w:style>
  <w:style w:type="paragraph" w:styleId="TOC8">
    <w:name w:val="toc 8"/>
    <w:basedOn w:val="Normal"/>
    <w:next w:val="Normal"/>
    <w:autoRedefine/>
    <w:uiPriority w:val="39"/>
    <w:unhideWhenUsed/>
    <w:rsid w:val="005B6D56"/>
    <w:pPr>
      <w:spacing w:after="0"/>
    </w:pPr>
  </w:style>
  <w:style w:type="paragraph" w:styleId="TOC9">
    <w:name w:val="toc 9"/>
    <w:basedOn w:val="Normal"/>
    <w:next w:val="Normal"/>
    <w:autoRedefine/>
    <w:uiPriority w:val="39"/>
    <w:unhideWhenUsed/>
    <w:rsid w:val="005B6D5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0742FB-A344-4D9B-A70D-A52368CB9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738</TotalTime>
  <Pages>10</Pages>
  <Words>2595</Words>
  <Characters>14797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Alix Kcasper Boast (2008235)</dc:creator>
  <cp:keywords/>
  <dc:description/>
  <cp:lastModifiedBy>Kcasper Jones</cp:lastModifiedBy>
  <cp:revision>14</cp:revision>
  <dcterms:created xsi:type="dcterms:W3CDTF">2021-07-04T15:10:00Z</dcterms:created>
  <dcterms:modified xsi:type="dcterms:W3CDTF">2021-08-29T18:58:00Z</dcterms:modified>
</cp:coreProperties>
</file>