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47AD2" w14:textId="701B72BB" w:rsidR="00A2609B" w:rsidRPr="00A2609B" w:rsidRDefault="00B76D07" w:rsidP="00A2609B">
      <w:pPr>
        <w:jc w:val="center"/>
        <w:rPr>
          <w:b/>
          <w:bCs/>
          <w:sz w:val="28"/>
          <w:szCs w:val="24"/>
        </w:rPr>
      </w:pPr>
      <w:r w:rsidRPr="0074648E">
        <w:rPr>
          <w:rFonts w:cs="Arial"/>
          <w:noProof/>
        </w:rPr>
        <w:drawing>
          <wp:anchor distT="0" distB="0" distL="114300" distR="114300" simplePos="0" relativeHeight="251659264" behindDoc="1" locked="0" layoutInCell="1" allowOverlap="1" wp14:anchorId="090E299A" wp14:editId="10053190">
            <wp:simplePos x="0" y="0"/>
            <wp:positionH relativeFrom="margin">
              <wp:posOffset>2034540</wp:posOffset>
            </wp:positionH>
            <wp:positionV relativeFrom="paragraph">
              <wp:posOffset>-1570355</wp:posOffset>
            </wp:positionV>
            <wp:extent cx="1809750" cy="723900"/>
            <wp:effectExtent l="0" t="0" r="0" b="0"/>
            <wp:wrapNone/>
            <wp:docPr id="2104790262" name="Picture 210479026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609B" w:rsidRPr="00A2609B">
        <w:rPr>
          <w:b/>
          <w:bCs/>
          <w:sz w:val="28"/>
          <w:szCs w:val="24"/>
        </w:rPr>
        <w:t>University of Wales Trinity Saint David</w:t>
      </w:r>
    </w:p>
    <w:p w14:paraId="7BF882A2" w14:textId="62F01432" w:rsidR="00A2609B" w:rsidRPr="00A2609B" w:rsidRDefault="00A2609B" w:rsidP="00A2609B">
      <w:pPr>
        <w:jc w:val="center"/>
        <w:rPr>
          <w:rFonts w:cs="Times New Roman"/>
          <w:b/>
          <w:bCs/>
          <w:sz w:val="32"/>
          <w:szCs w:val="28"/>
        </w:rPr>
      </w:pPr>
      <w:r w:rsidRPr="00A2609B">
        <w:rPr>
          <w:rFonts w:cs="Times New Roman"/>
          <w:b/>
          <w:bCs/>
          <w:sz w:val="32"/>
          <w:szCs w:val="28"/>
        </w:rPr>
        <w:t>Strategic Management Analysis of Unilever</w:t>
      </w:r>
    </w:p>
    <w:p w14:paraId="07B87179" w14:textId="74D24E29" w:rsidR="00A2609B" w:rsidRPr="00A2609B" w:rsidRDefault="00A2609B" w:rsidP="00A2609B">
      <w:pPr>
        <w:pStyle w:val="SubTitleStyle"/>
        <w:spacing w:after="360"/>
        <w:jc w:val="center"/>
        <w:rPr>
          <w:rFonts w:ascii="Times New Roman" w:hAnsi="Times New Roman" w:cs="Times New Roman"/>
          <w:b/>
          <w:bCs/>
          <w:i/>
          <w:iCs/>
        </w:rPr>
      </w:pPr>
      <w:r w:rsidRPr="00A2609B">
        <w:rPr>
          <w:rFonts w:ascii="Times New Roman" w:hAnsi="Times New Roman" w:cs="Times New Roman"/>
          <w:b/>
          <w:bCs/>
          <w:i/>
          <w:iCs/>
        </w:rPr>
        <w:t>Competitive Position, Sustainability and Strategic Renewal</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94"/>
        <w:gridCol w:w="1292"/>
        <w:gridCol w:w="2594"/>
      </w:tblGrid>
      <w:tr w:rsidR="00A2609B" w:rsidRPr="00A2609B" w14:paraId="6869F096" w14:textId="77777777" w:rsidTr="00190A92">
        <w:trPr>
          <w:jc w:val="center"/>
        </w:trPr>
        <w:tc>
          <w:tcPr>
            <w:tcW w:w="2594" w:type="dxa"/>
          </w:tcPr>
          <w:p w14:paraId="49E5E2BB" w14:textId="77777777" w:rsidR="00A2609B" w:rsidRPr="00A2609B" w:rsidRDefault="00A2609B" w:rsidP="00190A92">
            <w:pPr>
              <w:pStyle w:val="TableText"/>
              <w:spacing w:line="360" w:lineRule="auto"/>
              <w:jc w:val="both"/>
              <w:rPr>
                <w:rFonts w:ascii="Times New Roman" w:hAnsi="Times New Roman" w:cs="Times New Roman"/>
                <w:sz w:val="24"/>
                <w:szCs w:val="28"/>
              </w:rPr>
            </w:pPr>
            <w:proofErr w:type="spellStart"/>
            <w:r w:rsidRPr="00A2609B">
              <w:rPr>
                <w:rFonts w:ascii="Times New Roman" w:hAnsi="Times New Roman" w:cs="Times New Roman"/>
                <w:b/>
                <w:sz w:val="24"/>
                <w:szCs w:val="28"/>
              </w:rPr>
              <w:t>Programme</w:t>
            </w:r>
            <w:proofErr w:type="spellEnd"/>
          </w:p>
        </w:tc>
        <w:tc>
          <w:tcPr>
            <w:tcW w:w="3886" w:type="dxa"/>
            <w:gridSpan w:val="2"/>
          </w:tcPr>
          <w:p w14:paraId="13380D7B"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b/>
                <w:sz w:val="24"/>
                <w:szCs w:val="28"/>
              </w:rPr>
              <w:t>Master of Business Administration</w:t>
            </w:r>
          </w:p>
        </w:tc>
      </w:tr>
      <w:tr w:rsidR="00A2609B" w:rsidRPr="00A2609B" w14:paraId="51832564" w14:textId="77777777" w:rsidTr="00190A92">
        <w:trPr>
          <w:jc w:val="center"/>
        </w:trPr>
        <w:tc>
          <w:tcPr>
            <w:tcW w:w="2594" w:type="dxa"/>
          </w:tcPr>
          <w:p w14:paraId="433FA094"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b/>
                <w:sz w:val="24"/>
                <w:szCs w:val="28"/>
              </w:rPr>
              <w:t>Module</w:t>
            </w:r>
          </w:p>
        </w:tc>
        <w:tc>
          <w:tcPr>
            <w:tcW w:w="3886" w:type="dxa"/>
            <w:gridSpan w:val="2"/>
          </w:tcPr>
          <w:p w14:paraId="7B0031CB"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sz w:val="24"/>
                <w:szCs w:val="28"/>
              </w:rPr>
              <w:t>Strategic Management</w:t>
            </w:r>
          </w:p>
        </w:tc>
      </w:tr>
      <w:tr w:rsidR="00A2609B" w:rsidRPr="00A2609B" w14:paraId="46433F35" w14:textId="77777777" w:rsidTr="00190A92">
        <w:trPr>
          <w:jc w:val="center"/>
        </w:trPr>
        <w:tc>
          <w:tcPr>
            <w:tcW w:w="2594" w:type="dxa"/>
          </w:tcPr>
          <w:p w14:paraId="2F3E55DB"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b/>
                <w:sz w:val="24"/>
                <w:szCs w:val="28"/>
              </w:rPr>
              <w:t>Module code</w:t>
            </w:r>
          </w:p>
        </w:tc>
        <w:tc>
          <w:tcPr>
            <w:tcW w:w="3886" w:type="dxa"/>
            <w:gridSpan w:val="2"/>
          </w:tcPr>
          <w:p w14:paraId="057074F3"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sz w:val="24"/>
                <w:szCs w:val="28"/>
              </w:rPr>
              <w:t>LCMB7003</w:t>
            </w:r>
          </w:p>
        </w:tc>
      </w:tr>
      <w:tr w:rsidR="00A2609B" w:rsidRPr="00A2609B" w14:paraId="0ECCA57B" w14:textId="77777777" w:rsidTr="00190A92">
        <w:trPr>
          <w:jc w:val="center"/>
        </w:trPr>
        <w:tc>
          <w:tcPr>
            <w:tcW w:w="2594" w:type="dxa"/>
          </w:tcPr>
          <w:p w14:paraId="1CDC9F2F"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b/>
                <w:sz w:val="24"/>
                <w:szCs w:val="28"/>
              </w:rPr>
              <w:t>Lecturer</w:t>
            </w:r>
          </w:p>
        </w:tc>
        <w:tc>
          <w:tcPr>
            <w:tcW w:w="3886" w:type="dxa"/>
            <w:gridSpan w:val="2"/>
          </w:tcPr>
          <w:p w14:paraId="56D39A20" w14:textId="75D9825B" w:rsidR="00A2609B" w:rsidRPr="00A2609B" w:rsidRDefault="00B76D07" w:rsidP="00B76D07">
            <w:pPr>
              <w:pStyle w:val="TableText"/>
              <w:spacing w:line="360" w:lineRule="auto"/>
              <w:jc w:val="both"/>
              <w:rPr>
                <w:rFonts w:ascii="Times New Roman" w:hAnsi="Times New Roman" w:cs="Times New Roman"/>
                <w:sz w:val="24"/>
                <w:szCs w:val="28"/>
              </w:rPr>
            </w:pPr>
            <w:r w:rsidRPr="00B76D07">
              <w:rPr>
                <w:rFonts w:ascii="Times New Roman" w:hAnsi="Times New Roman" w:cs="Times New Roman"/>
                <w:sz w:val="24"/>
                <w:szCs w:val="28"/>
              </w:rPr>
              <w:t>Dr Zulfiqar Khan</w:t>
            </w:r>
          </w:p>
        </w:tc>
      </w:tr>
      <w:tr w:rsidR="00A2609B" w:rsidRPr="00A2609B" w14:paraId="4A54BED7" w14:textId="77777777" w:rsidTr="00190A92">
        <w:trPr>
          <w:jc w:val="center"/>
        </w:trPr>
        <w:tc>
          <w:tcPr>
            <w:tcW w:w="2594" w:type="dxa"/>
          </w:tcPr>
          <w:p w14:paraId="5BF509B8"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b/>
                <w:sz w:val="24"/>
                <w:szCs w:val="28"/>
              </w:rPr>
              <w:t>Student name</w:t>
            </w:r>
          </w:p>
        </w:tc>
        <w:tc>
          <w:tcPr>
            <w:tcW w:w="3886" w:type="dxa"/>
            <w:gridSpan w:val="2"/>
          </w:tcPr>
          <w:p w14:paraId="6282ADDC" w14:textId="2449EB5D" w:rsidR="00A2609B" w:rsidRPr="00A2609B" w:rsidRDefault="00437A97" w:rsidP="00190A92">
            <w:pPr>
              <w:pStyle w:val="TableText"/>
              <w:spacing w:line="360" w:lineRule="auto"/>
              <w:jc w:val="both"/>
              <w:rPr>
                <w:rFonts w:ascii="Times New Roman" w:hAnsi="Times New Roman" w:cs="Times New Roman"/>
                <w:sz w:val="24"/>
                <w:szCs w:val="28"/>
              </w:rPr>
            </w:pPr>
            <w:r>
              <w:rPr>
                <w:rFonts w:ascii="Times New Roman" w:hAnsi="Times New Roman" w:cs="Times New Roman"/>
                <w:sz w:val="24"/>
                <w:szCs w:val="28"/>
              </w:rPr>
              <w:t>Sharaf Uddin</w:t>
            </w:r>
          </w:p>
        </w:tc>
      </w:tr>
      <w:tr w:rsidR="00A2609B" w:rsidRPr="00A2609B" w14:paraId="45D9DFC0" w14:textId="77777777" w:rsidTr="00190A92">
        <w:trPr>
          <w:jc w:val="center"/>
        </w:trPr>
        <w:tc>
          <w:tcPr>
            <w:tcW w:w="2594" w:type="dxa"/>
          </w:tcPr>
          <w:p w14:paraId="302A29DB" w14:textId="77777777" w:rsidR="00A2609B" w:rsidRPr="00A2609B" w:rsidRDefault="00A2609B" w:rsidP="00190A92">
            <w:pPr>
              <w:pStyle w:val="TableText"/>
              <w:spacing w:line="360" w:lineRule="auto"/>
              <w:jc w:val="both"/>
              <w:rPr>
                <w:rFonts w:ascii="Times New Roman" w:hAnsi="Times New Roman" w:cs="Times New Roman"/>
                <w:sz w:val="24"/>
                <w:szCs w:val="28"/>
              </w:rPr>
            </w:pPr>
            <w:r w:rsidRPr="00A2609B">
              <w:rPr>
                <w:rFonts w:ascii="Times New Roman" w:hAnsi="Times New Roman" w:cs="Times New Roman"/>
                <w:b/>
                <w:sz w:val="24"/>
                <w:szCs w:val="28"/>
              </w:rPr>
              <w:t>Student ID</w:t>
            </w:r>
          </w:p>
        </w:tc>
        <w:tc>
          <w:tcPr>
            <w:tcW w:w="3886" w:type="dxa"/>
            <w:gridSpan w:val="2"/>
          </w:tcPr>
          <w:p w14:paraId="5C9471AD" w14:textId="59FEFE04" w:rsidR="00A2609B" w:rsidRPr="00A2609B" w:rsidRDefault="00437A97" w:rsidP="00190A92">
            <w:pPr>
              <w:pStyle w:val="TableText"/>
              <w:spacing w:line="360" w:lineRule="auto"/>
              <w:jc w:val="both"/>
              <w:rPr>
                <w:rFonts w:ascii="Times New Roman" w:hAnsi="Times New Roman" w:cs="Times New Roman"/>
                <w:sz w:val="24"/>
                <w:szCs w:val="28"/>
              </w:rPr>
            </w:pPr>
            <w:r>
              <w:rPr>
                <w:rFonts w:ascii="Times New Roman" w:hAnsi="Times New Roman" w:cs="Times New Roman"/>
                <w:sz w:val="24"/>
                <w:szCs w:val="28"/>
              </w:rPr>
              <w:t>2438922</w:t>
            </w:r>
          </w:p>
        </w:tc>
      </w:tr>
      <w:tr w:rsidR="00B76D07" w:rsidRPr="00A2609B" w14:paraId="2DDE4EAF" w14:textId="77777777" w:rsidTr="00190A92">
        <w:trPr>
          <w:gridAfter w:val="1"/>
          <w:wAfter w:w="2594" w:type="dxa"/>
          <w:jc w:val="center"/>
        </w:trPr>
        <w:tc>
          <w:tcPr>
            <w:tcW w:w="3886" w:type="dxa"/>
            <w:gridSpan w:val="2"/>
          </w:tcPr>
          <w:p w14:paraId="39BD4A75" w14:textId="117A15DB" w:rsidR="00B76D07" w:rsidRPr="00A2609B" w:rsidRDefault="00B76D07" w:rsidP="00190A92">
            <w:pPr>
              <w:pStyle w:val="TableText"/>
              <w:spacing w:line="360" w:lineRule="auto"/>
              <w:jc w:val="both"/>
              <w:rPr>
                <w:rFonts w:ascii="Times New Roman" w:hAnsi="Times New Roman" w:cs="Times New Roman"/>
                <w:sz w:val="24"/>
                <w:szCs w:val="28"/>
              </w:rPr>
            </w:pPr>
          </w:p>
        </w:tc>
      </w:tr>
      <w:tr w:rsidR="00B76D07" w:rsidRPr="00A2609B" w14:paraId="1C948D4E" w14:textId="77777777" w:rsidTr="00190A92">
        <w:trPr>
          <w:gridAfter w:val="1"/>
          <w:wAfter w:w="2594" w:type="dxa"/>
          <w:jc w:val="center"/>
        </w:trPr>
        <w:tc>
          <w:tcPr>
            <w:tcW w:w="3886" w:type="dxa"/>
            <w:gridSpan w:val="2"/>
          </w:tcPr>
          <w:p w14:paraId="196A42E2" w14:textId="77777777" w:rsidR="00B76D07" w:rsidRPr="00A2609B" w:rsidRDefault="00B76D07" w:rsidP="00190A92">
            <w:pPr>
              <w:pStyle w:val="TableText"/>
              <w:spacing w:line="360" w:lineRule="auto"/>
              <w:jc w:val="both"/>
              <w:rPr>
                <w:rFonts w:ascii="Times New Roman" w:hAnsi="Times New Roman" w:cs="Times New Roman"/>
                <w:sz w:val="24"/>
                <w:szCs w:val="28"/>
              </w:rPr>
            </w:pPr>
          </w:p>
        </w:tc>
      </w:tr>
    </w:tbl>
    <w:p w14:paraId="57FA51F3" w14:textId="77777777" w:rsidR="002C4CB1" w:rsidRDefault="002C4CB1" w:rsidP="00A2609B">
      <w:pPr>
        <w:pStyle w:val="Heading1"/>
        <w:numPr>
          <w:ilvl w:val="0"/>
          <w:numId w:val="0"/>
        </w:numPr>
        <w:jc w:val="both"/>
        <w:sectPr w:rsidR="002C4CB1" w:rsidSect="002C4CB1">
          <w:type w:val="continuous"/>
          <w:pgSz w:w="12240" w:h="15840" w:code="1"/>
          <w:pgMar w:top="1138" w:right="1138" w:bottom="1022" w:left="1253" w:header="720" w:footer="720" w:gutter="0"/>
          <w:cols w:space="720"/>
          <w:vAlign w:val="center"/>
          <w:docGrid w:linePitch="360"/>
        </w:sectPr>
      </w:pPr>
    </w:p>
    <w:sdt>
      <w:sdtPr>
        <w:rPr>
          <w:rFonts w:ascii="Times New Roman" w:eastAsia="Calibri" w:hAnsi="Times New Roman" w:cs="Times New Roman"/>
          <w:b/>
          <w:bCs/>
          <w:color w:val="000000" w:themeColor="text1"/>
          <w:sz w:val="24"/>
          <w:szCs w:val="22"/>
        </w:rPr>
        <w:id w:val="688034535"/>
        <w:docPartObj>
          <w:docPartGallery w:val="Table of Contents"/>
          <w:docPartUnique/>
        </w:docPartObj>
      </w:sdtPr>
      <w:sdtEndPr>
        <w:rPr>
          <w:rFonts w:cstheme="minorBidi"/>
          <w:noProof/>
          <w:color w:val="auto"/>
        </w:rPr>
      </w:sdtEndPr>
      <w:sdtContent>
        <w:p w14:paraId="13DBB59D" w14:textId="069434AD" w:rsidR="002C4CB1" w:rsidRPr="002C4CB1" w:rsidRDefault="002C4CB1">
          <w:pPr>
            <w:pStyle w:val="TOCHeading"/>
            <w:rPr>
              <w:rFonts w:ascii="Times New Roman" w:hAnsi="Times New Roman" w:cs="Times New Roman"/>
              <w:b/>
              <w:bCs/>
              <w:color w:val="000000" w:themeColor="text1"/>
            </w:rPr>
          </w:pPr>
          <w:r w:rsidRPr="002C4CB1">
            <w:rPr>
              <w:rFonts w:ascii="Times New Roman" w:hAnsi="Times New Roman" w:cs="Times New Roman"/>
              <w:b/>
              <w:bCs/>
              <w:color w:val="000000" w:themeColor="text1"/>
            </w:rPr>
            <w:t>Table of Contents</w:t>
          </w:r>
        </w:p>
        <w:p w14:paraId="1AF32AD3" w14:textId="49B74FB9" w:rsidR="002C4CB1" w:rsidRDefault="002C4CB1">
          <w:pPr>
            <w:pStyle w:val="TOC1"/>
            <w:tabs>
              <w:tab w:val="right" w:leader="dot" w:pos="9849"/>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3962476" w:history="1">
            <w:r w:rsidRPr="00CC175D">
              <w:rPr>
                <w:rStyle w:val="Hyperlink"/>
                <w:noProof/>
              </w:rPr>
              <w:t>Section 1: Strategic Management Analysis of Unilever</w:t>
            </w:r>
            <w:r>
              <w:rPr>
                <w:noProof/>
                <w:webHidden/>
              </w:rPr>
              <w:tab/>
            </w:r>
            <w:r>
              <w:rPr>
                <w:noProof/>
                <w:webHidden/>
              </w:rPr>
              <w:fldChar w:fldCharType="begin"/>
            </w:r>
            <w:r>
              <w:rPr>
                <w:noProof/>
                <w:webHidden/>
              </w:rPr>
              <w:instrText xml:space="preserve"> PAGEREF _Toc223962476 \h </w:instrText>
            </w:r>
            <w:r>
              <w:rPr>
                <w:noProof/>
                <w:webHidden/>
              </w:rPr>
            </w:r>
            <w:r>
              <w:rPr>
                <w:noProof/>
                <w:webHidden/>
              </w:rPr>
              <w:fldChar w:fldCharType="separate"/>
            </w:r>
            <w:r>
              <w:rPr>
                <w:noProof/>
                <w:webHidden/>
              </w:rPr>
              <w:t>1</w:t>
            </w:r>
            <w:r>
              <w:rPr>
                <w:noProof/>
                <w:webHidden/>
              </w:rPr>
              <w:fldChar w:fldCharType="end"/>
            </w:r>
          </w:hyperlink>
        </w:p>
        <w:p w14:paraId="7DBEB325" w14:textId="2902E7D2"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77" w:history="1">
            <w:r w:rsidRPr="00CC175D">
              <w:rPr>
                <w:rStyle w:val="Hyperlink"/>
                <w:noProof/>
              </w:rPr>
              <w:t>1. Organisational context and overview</w:t>
            </w:r>
            <w:r>
              <w:rPr>
                <w:noProof/>
                <w:webHidden/>
              </w:rPr>
              <w:tab/>
            </w:r>
            <w:r>
              <w:rPr>
                <w:noProof/>
                <w:webHidden/>
              </w:rPr>
              <w:fldChar w:fldCharType="begin"/>
            </w:r>
            <w:r>
              <w:rPr>
                <w:noProof/>
                <w:webHidden/>
              </w:rPr>
              <w:instrText xml:space="preserve"> PAGEREF _Toc223962477 \h </w:instrText>
            </w:r>
            <w:r>
              <w:rPr>
                <w:noProof/>
                <w:webHidden/>
              </w:rPr>
            </w:r>
            <w:r>
              <w:rPr>
                <w:noProof/>
                <w:webHidden/>
              </w:rPr>
              <w:fldChar w:fldCharType="separate"/>
            </w:r>
            <w:r>
              <w:rPr>
                <w:noProof/>
                <w:webHidden/>
              </w:rPr>
              <w:t>1</w:t>
            </w:r>
            <w:r>
              <w:rPr>
                <w:noProof/>
                <w:webHidden/>
              </w:rPr>
              <w:fldChar w:fldCharType="end"/>
            </w:r>
          </w:hyperlink>
        </w:p>
        <w:p w14:paraId="17EB921F" w14:textId="3EA5B29C"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78" w:history="1">
            <w:r w:rsidRPr="00CC175D">
              <w:rPr>
                <w:rStyle w:val="Hyperlink"/>
                <w:noProof/>
              </w:rPr>
              <w:t>2. External and internal environment analysis</w:t>
            </w:r>
            <w:r>
              <w:rPr>
                <w:noProof/>
                <w:webHidden/>
              </w:rPr>
              <w:tab/>
            </w:r>
            <w:r>
              <w:rPr>
                <w:noProof/>
                <w:webHidden/>
              </w:rPr>
              <w:fldChar w:fldCharType="begin"/>
            </w:r>
            <w:r>
              <w:rPr>
                <w:noProof/>
                <w:webHidden/>
              </w:rPr>
              <w:instrText xml:space="preserve"> PAGEREF _Toc223962478 \h </w:instrText>
            </w:r>
            <w:r>
              <w:rPr>
                <w:noProof/>
                <w:webHidden/>
              </w:rPr>
            </w:r>
            <w:r>
              <w:rPr>
                <w:noProof/>
                <w:webHidden/>
              </w:rPr>
              <w:fldChar w:fldCharType="separate"/>
            </w:r>
            <w:r>
              <w:rPr>
                <w:noProof/>
                <w:webHidden/>
              </w:rPr>
              <w:t>2</w:t>
            </w:r>
            <w:r>
              <w:rPr>
                <w:noProof/>
                <w:webHidden/>
              </w:rPr>
              <w:fldChar w:fldCharType="end"/>
            </w:r>
          </w:hyperlink>
        </w:p>
        <w:p w14:paraId="43517685" w14:textId="2A00CBEB" w:rsidR="002C4CB1" w:rsidRDefault="002C4CB1">
          <w:pPr>
            <w:pStyle w:val="TOC3"/>
            <w:tabs>
              <w:tab w:val="right" w:leader="dot" w:pos="9849"/>
            </w:tabs>
            <w:rPr>
              <w:rFonts w:asciiTheme="minorHAnsi" w:eastAsiaTheme="minorEastAsia" w:hAnsiTheme="minorHAnsi"/>
              <w:noProof/>
              <w:kern w:val="2"/>
              <w:szCs w:val="24"/>
              <w14:ligatures w14:val="standardContextual"/>
            </w:rPr>
          </w:pPr>
          <w:hyperlink w:anchor="_Toc223962479" w:history="1">
            <w:r w:rsidRPr="00CC175D">
              <w:rPr>
                <w:rStyle w:val="Hyperlink"/>
                <w:noProof/>
              </w:rPr>
              <w:t>2.1 External environment: PESTEL analysis</w:t>
            </w:r>
            <w:r>
              <w:rPr>
                <w:noProof/>
                <w:webHidden/>
              </w:rPr>
              <w:tab/>
            </w:r>
            <w:r>
              <w:rPr>
                <w:noProof/>
                <w:webHidden/>
              </w:rPr>
              <w:fldChar w:fldCharType="begin"/>
            </w:r>
            <w:r>
              <w:rPr>
                <w:noProof/>
                <w:webHidden/>
              </w:rPr>
              <w:instrText xml:space="preserve"> PAGEREF _Toc223962479 \h </w:instrText>
            </w:r>
            <w:r>
              <w:rPr>
                <w:noProof/>
                <w:webHidden/>
              </w:rPr>
            </w:r>
            <w:r>
              <w:rPr>
                <w:noProof/>
                <w:webHidden/>
              </w:rPr>
              <w:fldChar w:fldCharType="separate"/>
            </w:r>
            <w:r>
              <w:rPr>
                <w:noProof/>
                <w:webHidden/>
              </w:rPr>
              <w:t>2</w:t>
            </w:r>
            <w:r>
              <w:rPr>
                <w:noProof/>
                <w:webHidden/>
              </w:rPr>
              <w:fldChar w:fldCharType="end"/>
            </w:r>
          </w:hyperlink>
        </w:p>
        <w:p w14:paraId="273C9C31" w14:textId="22C0829A" w:rsidR="002C4CB1" w:rsidRDefault="002C4CB1">
          <w:pPr>
            <w:pStyle w:val="TOC3"/>
            <w:tabs>
              <w:tab w:val="right" w:leader="dot" w:pos="9849"/>
            </w:tabs>
            <w:rPr>
              <w:rFonts w:asciiTheme="minorHAnsi" w:eastAsiaTheme="minorEastAsia" w:hAnsiTheme="minorHAnsi"/>
              <w:noProof/>
              <w:kern w:val="2"/>
              <w:szCs w:val="24"/>
              <w14:ligatures w14:val="standardContextual"/>
            </w:rPr>
          </w:pPr>
          <w:hyperlink w:anchor="_Toc223962480" w:history="1">
            <w:r w:rsidRPr="00CC175D">
              <w:rPr>
                <w:rStyle w:val="Hyperlink"/>
                <w:noProof/>
              </w:rPr>
              <w:t>2.2 Critical success factors and strategic challenges</w:t>
            </w:r>
            <w:r>
              <w:rPr>
                <w:noProof/>
                <w:webHidden/>
              </w:rPr>
              <w:tab/>
            </w:r>
            <w:r>
              <w:rPr>
                <w:noProof/>
                <w:webHidden/>
              </w:rPr>
              <w:fldChar w:fldCharType="begin"/>
            </w:r>
            <w:r>
              <w:rPr>
                <w:noProof/>
                <w:webHidden/>
              </w:rPr>
              <w:instrText xml:space="preserve"> PAGEREF _Toc223962480 \h </w:instrText>
            </w:r>
            <w:r>
              <w:rPr>
                <w:noProof/>
                <w:webHidden/>
              </w:rPr>
            </w:r>
            <w:r>
              <w:rPr>
                <w:noProof/>
                <w:webHidden/>
              </w:rPr>
              <w:fldChar w:fldCharType="separate"/>
            </w:r>
            <w:r>
              <w:rPr>
                <w:noProof/>
                <w:webHidden/>
              </w:rPr>
              <w:t>4</w:t>
            </w:r>
            <w:r>
              <w:rPr>
                <w:noProof/>
                <w:webHidden/>
              </w:rPr>
              <w:fldChar w:fldCharType="end"/>
            </w:r>
          </w:hyperlink>
        </w:p>
        <w:p w14:paraId="5B40CF67" w14:textId="31F3ADCC" w:rsidR="002C4CB1" w:rsidRDefault="002C4CB1">
          <w:pPr>
            <w:pStyle w:val="TOC3"/>
            <w:tabs>
              <w:tab w:val="right" w:leader="dot" w:pos="9849"/>
            </w:tabs>
            <w:rPr>
              <w:rFonts w:asciiTheme="minorHAnsi" w:eastAsiaTheme="minorEastAsia" w:hAnsiTheme="minorHAnsi"/>
              <w:noProof/>
              <w:kern w:val="2"/>
              <w:szCs w:val="24"/>
              <w14:ligatures w14:val="standardContextual"/>
            </w:rPr>
          </w:pPr>
          <w:hyperlink w:anchor="_Toc223962481" w:history="1">
            <w:r w:rsidRPr="00CC175D">
              <w:rPr>
                <w:rStyle w:val="Hyperlink"/>
                <w:noProof/>
              </w:rPr>
              <w:t>2.3 Internal environment: resources, capabilities and core competencies</w:t>
            </w:r>
            <w:r>
              <w:rPr>
                <w:noProof/>
                <w:webHidden/>
              </w:rPr>
              <w:tab/>
            </w:r>
            <w:r>
              <w:rPr>
                <w:noProof/>
                <w:webHidden/>
              </w:rPr>
              <w:fldChar w:fldCharType="begin"/>
            </w:r>
            <w:r>
              <w:rPr>
                <w:noProof/>
                <w:webHidden/>
              </w:rPr>
              <w:instrText xml:space="preserve"> PAGEREF _Toc223962481 \h </w:instrText>
            </w:r>
            <w:r>
              <w:rPr>
                <w:noProof/>
                <w:webHidden/>
              </w:rPr>
            </w:r>
            <w:r>
              <w:rPr>
                <w:noProof/>
                <w:webHidden/>
              </w:rPr>
              <w:fldChar w:fldCharType="separate"/>
            </w:r>
            <w:r>
              <w:rPr>
                <w:noProof/>
                <w:webHidden/>
              </w:rPr>
              <w:t>5</w:t>
            </w:r>
            <w:r>
              <w:rPr>
                <w:noProof/>
                <w:webHidden/>
              </w:rPr>
              <w:fldChar w:fldCharType="end"/>
            </w:r>
          </w:hyperlink>
        </w:p>
        <w:p w14:paraId="606186D2" w14:textId="1E0D2E24" w:rsidR="002C4CB1" w:rsidRDefault="002C4CB1">
          <w:pPr>
            <w:pStyle w:val="TOC3"/>
            <w:tabs>
              <w:tab w:val="right" w:leader="dot" w:pos="9849"/>
            </w:tabs>
            <w:rPr>
              <w:rFonts w:asciiTheme="minorHAnsi" w:eastAsiaTheme="minorEastAsia" w:hAnsiTheme="minorHAnsi"/>
              <w:noProof/>
              <w:kern w:val="2"/>
              <w:szCs w:val="24"/>
              <w14:ligatures w14:val="standardContextual"/>
            </w:rPr>
          </w:pPr>
          <w:hyperlink w:anchor="_Toc223962482" w:history="1">
            <w:r w:rsidRPr="00CC175D">
              <w:rPr>
                <w:rStyle w:val="Hyperlink"/>
                <w:noProof/>
              </w:rPr>
              <w:t>2.4 VRIO evaluation</w:t>
            </w:r>
            <w:r>
              <w:rPr>
                <w:noProof/>
                <w:webHidden/>
              </w:rPr>
              <w:tab/>
            </w:r>
            <w:r>
              <w:rPr>
                <w:noProof/>
                <w:webHidden/>
              </w:rPr>
              <w:fldChar w:fldCharType="begin"/>
            </w:r>
            <w:r>
              <w:rPr>
                <w:noProof/>
                <w:webHidden/>
              </w:rPr>
              <w:instrText xml:space="preserve"> PAGEREF _Toc223962482 \h </w:instrText>
            </w:r>
            <w:r>
              <w:rPr>
                <w:noProof/>
                <w:webHidden/>
              </w:rPr>
            </w:r>
            <w:r>
              <w:rPr>
                <w:noProof/>
                <w:webHidden/>
              </w:rPr>
              <w:fldChar w:fldCharType="separate"/>
            </w:r>
            <w:r>
              <w:rPr>
                <w:noProof/>
                <w:webHidden/>
              </w:rPr>
              <w:t>7</w:t>
            </w:r>
            <w:r>
              <w:rPr>
                <w:noProof/>
                <w:webHidden/>
              </w:rPr>
              <w:fldChar w:fldCharType="end"/>
            </w:r>
          </w:hyperlink>
        </w:p>
        <w:p w14:paraId="187E0F6B" w14:textId="485CCF2F"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83" w:history="1">
            <w:r w:rsidRPr="00CC175D">
              <w:rPr>
                <w:rStyle w:val="Hyperlink"/>
                <w:noProof/>
              </w:rPr>
              <w:t>3. CSR and sustainability objectives</w:t>
            </w:r>
            <w:r>
              <w:rPr>
                <w:noProof/>
                <w:webHidden/>
              </w:rPr>
              <w:tab/>
            </w:r>
            <w:r>
              <w:rPr>
                <w:noProof/>
                <w:webHidden/>
              </w:rPr>
              <w:fldChar w:fldCharType="begin"/>
            </w:r>
            <w:r>
              <w:rPr>
                <w:noProof/>
                <w:webHidden/>
              </w:rPr>
              <w:instrText xml:space="preserve"> PAGEREF _Toc223962483 \h </w:instrText>
            </w:r>
            <w:r>
              <w:rPr>
                <w:noProof/>
                <w:webHidden/>
              </w:rPr>
            </w:r>
            <w:r>
              <w:rPr>
                <w:noProof/>
                <w:webHidden/>
              </w:rPr>
              <w:fldChar w:fldCharType="separate"/>
            </w:r>
            <w:r>
              <w:rPr>
                <w:noProof/>
                <w:webHidden/>
              </w:rPr>
              <w:t>8</w:t>
            </w:r>
            <w:r>
              <w:rPr>
                <w:noProof/>
                <w:webHidden/>
              </w:rPr>
              <w:fldChar w:fldCharType="end"/>
            </w:r>
          </w:hyperlink>
        </w:p>
        <w:p w14:paraId="37222947" w14:textId="2DF8A667"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84" w:history="1">
            <w:r w:rsidRPr="00CC175D">
              <w:rPr>
                <w:rStyle w:val="Hyperlink"/>
                <w:noProof/>
              </w:rPr>
              <w:t>4. Comprehensive and holistic view: Balanced Scorecard</w:t>
            </w:r>
            <w:r>
              <w:rPr>
                <w:noProof/>
                <w:webHidden/>
              </w:rPr>
              <w:tab/>
            </w:r>
            <w:r>
              <w:rPr>
                <w:noProof/>
                <w:webHidden/>
              </w:rPr>
              <w:fldChar w:fldCharType="begin"/>
            </w:r>
            <w:r>
              <w:rPr>
                <w:noProof/>
                <w:webHidden/>
              </w:rPr>
              <w:instrText xml:space="preserve"> PAGEREF _Toc223962484 \h </w:instrText>
            </w:r>
            <w:r>
              <w:rPr>
                <w:noProof/>
                <w:webHidden/>
              </w:rPr>
            </w:r>
            <w:r>
              <w:rPr>
                <w:noProof/>
                <w:webHidden/>
              </w:rPr>
              <w:fldChar w:fldCharType="separate"/>
            </w:r>
            <w:r>
              <w:rPr>
                <w:noProof/>
                <w:webHidden/>
              </w:rPr>
              <w:t>10</w:t>
            </w:r>
            <w:r>
              <w:rPr>
                <w:noProof/>
                <w:webHidden/>
              </w:rPr>
              <w:fldChar w:fldCharType="end"/>
            </w:r>
          </w:hyperlink>
        </w:p>
        <w:p w14:paraId="3496657B" w14:textId="29FBE7AC"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85" w:history="1">
            <w:r w:rsidRPr="00CC175D">
              <w:rPr>
                <w:rStyle w:val="Hyperlink"/>
                <w:noProof/>
              </w:rPr>
              <w:t>5. Strategic choices and implementation</w:t>
            </w:r>
            <w:r>
              <w:rPr>
                <w:noProof/>
                <w:webHidden/>
              </w:rPr>
              <w:tab/>
            </w:r>
            <w:r>
              <w:rPr>
                <w:noProof/>
                <w:webHidden/>
              </w:rPr>
              <w:fldChar w:fldCharType="begin"/>
            </w:r>
            <w:r>
              <w:rPr>
                <w:noProof/>
                <w:webHidden/>
              </w:rPr>
              <w:instrText xml:space="preserve"> PAGEREF _Toc223962485 \h </w:instrText>
            </w:r>
            <w:r>
              <w:rPr>
                <w:noProof/>
                <w:webHidden/>
              </w:rPr>
            </w:r>
            <w:r>
              <w:rPr>
                <w:noProof/>
                <w:webHidden/>
              </w:rPr>
              <w:fldChar w:fldCharType="separate"/>
            </w:r>
            <w:r>
              <w:rPr>
                <w:noProof/>
                <w:webHidden/>
              </w:rPr>
              <w:t>12</w:t>
            </w:r>
            <w:r>
              <w:rPr>
                <w:noProof/>
                <w:webHidden/>
              </w:rPr>
              <w:fldChar w:fldCharType="end"/>
            </w:r>
          </w:hyperlink>
        </w:p>
        <w:p w14:paraId="08BFED9D" w14:textId="7815FBCB"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86" w:history="1">
            <w:r w:rsidRPr="00CC175D">
              <w:rPr>
                <w:rStyle w:val="Hyperlink"/>
                <w:noProof/>
              </w:rPr>
              <w:t>6. Strategic evaluation and recommendations</w:t>
            </w:r>
            <w:r>
              <w:rPr>
                <w:noProof/>
                <w:webHidden/>
              </w:rPr>
              <w:tab/>
            </w:r>
            <w:r>
              <w:rPr>
                <w:noProof/>
                <w:webHidden/>
              </w:rPr>
              <w:fldChar w:fldCharType="begin"/>
            </w:r>
            <w:r>
              <w:rPr>
                <w:noProof/>
                <w:webHidden/>
              </w:rPr>
              <w:instrText xml:space="preserve"> PAGEREF _Toc223962486 \h </w:instrText>
            </w:r>
            <w:r>
              <w:rPr>
                <w:noProof/>
                <w:webHidden/>
              </w:rPr>
            </w:r>
            <w:r>
              <w:rPr>
                <w:noProof/>
                <w:webHidden/>
              </w:rPr>
              <w:fldChar w:fldCharType="separate"/>
            </w:r>
            <w:r>
              <w:rPr>
                <w:noProof/>
                <w:webHidden/>
              </w:rPr>
              <w:t>14</w:t>
            </w:r>
            <w:r>
              <w:rPr>
                <w:noProof/>
                <w:webHidden/>
              </w:rPr>
              <w:fldChar w:fldCharType="end"/>
            </w:r>
          </w:hyperlink>
        </w:p>
        <w:p w14:paraId="460B4FEA" w14:textId="3441EFD6" w:rsidR="002C4CB1" w:rsidRDefault="002C4CB1">
          <w:pPr>
            <w:pStyle w:val="TOC1"/>
            <w:tabs>
              <w:tab w:val="right" w:leader="dot" w:pos="9849"/>
            </w:tabs>
            <w:rPr>
              <w:rFonts w:asciiTheme="minorHAnsi" w:eastAsiaTheme="minorEastAsia" w:hAnsiTheme="minorHAnsi"/>
              <w:noProof/>
              <w:kern w:val="2"/>
              <w:szCs w:val="24"/>
              <w14:ligatures w14:val="standardContextual"/>
            </w:rPr>
          </w:pPr>
          <w:hyperlink w:anchor="_Toc223962487" w:history="1">
            <w:r w:rsidRPr="00CC175D">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_Toc223962487 \h </w:instrText>
            </w:r>
            <w:r>
              <w:rPr>
                <w:noProof/>
                <w:webHidden/>
              </w:rPr>
            </w:r>
            <w:r>
              <w:rPr>
                <w:noProof/>
                <w:webHidden/>
              </w:rPr>
              <w:fldChar w:fldCharType="separate"/>
            </w:r>
            <w:r>
              <w:rPr>
                <w:noProof/>
                <w:webHidden/>
              </w:rPr>
              <w:t>17</w:t>
            </w:r>
            <w:r>
              <w:rPr>
                <w:noProof/>
                <w:webHidden/>
              </w:rPr>
              <w:fldChar w:fldCharType="end"/>
            </w:r>
          </w:hyperlink>
        </w:p>
        <w:p w14:paraId="3B05A078" w14:textId="29B10145"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88" w:history="1">
            <w:r w:rsidRPr="00CC175D">
              <w:rPr>
                <w:rStyle w:val="Hyperlink"/>
                <w:noProof/>
              </w:rPr>
              <w:t>Description</w:t>
            </w:r>
            <w:r>
              <w:rPr>
                <w:noProof/>
                <w:webHidden/>
              </w:rPr>
              <w:tab/>
            </w:r>
            <w:r>
              <w:rPr>
                <w:noProof/>
                <w:webHidden/>
              </w:rPr>
              <w:fldChar w:fldCharType="begin"/>
            </w:r>
            <w:r>
              <w:rPr>
                <w:noProof/>
                <w:webHidden/>
              </w:rPr>
              <w:instrText xml:space="preserve"> PAGEREF _Toc223962488 \h </w:instrText>
            </w:r>
            <w:r>
              <w:rPr>
                <w:noProof/>
                <w:webHidden/>
              </w:rPr>
            </w:r>
            <w:r>
              <w:rPr>
                <w:noProof/>
                <w:webHidden/>
              </w:rPr>
              <w:fldChar w:fldCharType="separate"/>
            </w:r>
            <w:r>
              <w:rPr>
                <w:noProof/>
                <w:webHidden/>
              </w:rPr>
              <w:t>17</w:t>
            </w:r>
            <w:r>
              <w:rPr>
                <w:noProof/>
                <w:webHidden/>
              </w:rPr>
              <w:fldChar w:fldCharType="end"/>
            </w:r>
          </w:hyperlink>
        </w:p>
        <w:p w14:paraId="61E9FAFA" w14:textId="0B6A5ADB"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89" w:history="1">
            <w:r w:rsidRPr="00CC175D">
              <w:rPr>
                <w:rStyle w:val="Hyperlink"/>
                <w:noProof/>
              </w:rPr>
              <w:t>Feelings</w:t>
            </w:r>
            <w:r>
              <w:rPr>
                <w:noProof/>
                <w:webHidden/>
              </w:rPr>
              <w:tab/>
            </w:r>
            <w:r>
              <w:rPr>
                <w:noProof/>
                <w:webHidden/>
              </w:rPr>
              <w:fldChar w:fldCharType="begin"/>
            </w:r>
            <w:r>
              <w:rPr>
                <w:noProof/>
                <w:webHidden/>
              </w:rPr>
              <w:instrText xml:space="preserve"> PAGEREF _Toc223962489 \h </w:instrText>
            </w:r>
            <w:r>
              <w:rPr>
                <w:noProof/>
                <w:webHidden/>
              </w:rPr>
            </w:r>
            <w:r>
              <w:rPr>
                <w:noProof/>
                <w:webHidden/>
              </w:rPr>
              <w:fldChar w:fldCharType="separate"/>
            </w:r>
            <w:r>
              <w:rPr>
                <w:noProof/>
                <w:webHidden/>
              </w:rPr>
              <w:t>17</w:t>
            </w:r>
            <w:r>
              <w:rPr>
                <w:noProof/>
                <w:webHidden/>
              </w:rPr>
              <w:fldChar w:fldCharType="end"/>
            </w:r>
          </w:hyperlink>
        </w:p>
        <w:p w14:paraId="684E2B6C" w14:textId="5C8A6E7A"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90" w:history="1">
            <w:r w:rsidRPr="00CC175D">
              <w:rPr>
                <w:rStyle w:val="Hyperlink"/>
                <w:noProof/>
              </w:rPr>
              <w:t>Evaluation</w:t>
            </w:r>
            <w:r>
              <w:rPr>
                <w:noProof/>
                <w:webHidden/>
              </w:rPr>
              <w:tab/>
            </w:r>
            <w:r>
              <w:rPr>
                <w:noProof/>
                <w:webHidden/>
              </w:rPr>
              <w:fldChar w:fldCharType="begin"/>
            </w:r>
            <w:r>
              <w:rPr>
                <w:noProof/>
                <w:webHidden/>
              </w:rPr>
              <w:instrText xml:space="preserve"> PAGEREF _Toc223962490 \h </w:instrText>
            </w:r>
            <w:r>
              <w:rPr>
                <w:noProof/>
                <w:webHidden/>
              </w:rPr>
            </w:r>
            <w:r>
              <w:rPr>
                <w:noProof/>
                <w:webHidden/>
              </w:rPr>
              <w:fldChar w:fldCharType="separate"/>
            </w:r>
            <w:r>
              <w:rPr>
                <w:noProof/>
                <w:webHidden/>
              </w:rPr>
              <w:t>17</w:t>
            </w:r>
            <w:r>
              <w:rPr>
                <w:noProof/>
                <w:webHidden/>
              </w:rPr>
              <w:fldChar w:fldCharType="end"/>
            </w:r>
          </w:hyperlink>
        </w:p>
        <w:p w14:paraId="19E4CFF0" w14:textId="02C7A966"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91" w:history="1">
            <w:r w:rsidRPr="00CC175D">
              <w:rPr>
                <w:rStyle w:val="Hyperlink"/>
                <w:noProof/>
              </w:rPr>
              <w:t>Analysis</w:t>
            </w:r>
            <w:r>
              <w:rPr>
                <w:noProof/>
                <w:webHidden/>
              </w:rPr>
              <w:tab/>
            </w:r>
            <w:r>
              <w:rPr>
                <w:noProof/>
                <w:webHidden/>
              </w:rPr>
              <w:fldChar w:fldCharType="begin"/>
            </w:r>
            <w:r>
              <w:rPr>
                <w:noProof/>
                <w:webHidden/>
              </w:rPr>
              <w:instrText xml:space="preserve"> PAGEREF _Toc223962491 \h </w:instrText>
            </w:r>
            <w:r>
              <w:rPr>
                <w:noProof/>
                <w:webHidden/>
              </w:rPr>
            </w:r>
            <w:r>
              <w:rPr>
                <w:noProof/>
                <w:webHidden/>
              </w:rPr>
              <w:fldChar w:fldCharType="separate"/>
            </w:r>
            <w:r>
              <w:rPr>
                <w:noProof/>
                <w:webHidden/>
              </w:rPr>
              <w:t>18</w:t>
            </w:r>
            <w:r>
              <w:rPr>
                <w:noProof/>
                <w:webHidden/>
              </w:rPr>
              <w:fldChar w:fldCharType="end"/>
            </w:r>
          </w:hyperlink>
        </w:p>
        <w:p w14:paraId="7A09EDC5" w14:textId="47764484"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92" w:history="1">
            <w:r w:rsidRPr="00CC175D">
              <w:rPr>
                <w:rStyle w:val="Hyperlink"/>
                <w:noProof/>
              </w:rPr>
              <w:t>Conclusion</w:t>
            </w:r>
            <w:r>
              <w:rPr>
                <w:noProof/>
                <w:webHidden/>
              </w:rPr>
              <w:tab/>
            </w:r>
            <w:r>
              <w:rPr>
                <w:noProof/>
                <w:webHidden/>
              </w:rPr>
              <w:fldChar w:fldCharType="begin"/>
            </w:r>
            <w:r>
              <w:rPr>
                <w:noProof/>
                <w:webHidden/>
              </w:rPr>
              <w:instrText xml:space="preserve"> PAGEREF _Toc223962492 \h </w:instrText>
            </w:r>
            <w:r>
              <w:rPr>
                <w:noProof/>
                <w:webHidden/>
              </w:rPr>
            </w:r>
            <w:r>
              <w:rPr>
                <w:noProof/>
                <w:webHidden/>
              </w:rPr>
              <w:fldChar w:fldCharType="separate"/>
            </w:r>
            <w:r>
              <w:rPr>
                <w:noProof/>
                <w:webHidden/>
              </w:rPr>
              <w:t>18</w:t>
            </w:r>
            <w:r>
              <w:rPr>
                <w:noProof/>
                <w:webHidden/>
              </w:rPr>
              <w:fldChar w:fldCharType="end"/>
            </w:r>
          </w:hyperlink>
        </w:p>
        <w:p w14:paraId="69F3989F" w14:textId="73745B83" w:rsidR="002C4CB1" w:rsidRDefault="002C4CB1">
          <w:pPr>
            <w:pStyle w:val="TOC2"/>
            <w:tabs>
              <w:tab w:val="right" w:leader="dot" w:pos="9849"/>
            </w:tabs>
            <w:rPr>
              <w:rFonts w:asciiTheme="minorHAnsi" w:eastAsiaTheme="minorEastAsia" w:hAnsiTheme="minorHAnsi"/>
              <w:noProof/>
              <w:kern w:val="2"/>
              <w:szCs w:val="24"/>
              <w14:ligatures w14:val="standardContextual"/>
            </w:rPr>
          </w:pPr>
          <w:hyperlink w:anchor="_Toc223962493" w:history="1">
            <w:r w:rsidRPr="00CC175D">
              <w:rPr>
                <w:rStyle w:val="Hyperlink"/>
                <w:noProof/>
              </w:rPr>
              <w:t>Action plan</w:t>
            </w:r>
            <w:r>
              <w:rPr>
                <w:noProof/>
                <w:webHidden/>
              </w:rPr>
              <w:tab/>
            </w:r>
            <w:r>
              <w:rPr>
                <w:noProof/>
                <w:webHidden/>
              </w:rPr>
              <w:fldChar w:fldCharType="begin"/>
            </w:r>
            <w:r>
              <w:rPr>
                <w:noProof/>
                <w:webHidden/>
              </w:rPr>
              <w:instrText xml:space="preserve"> PAGEREF _Toc223962493 \h </w:instrText>
            </w:r>
            <w:r>
              <w:rPr>
                <w:noProof/>
                <w:webHidden/>
              </w:rPr>
            </w:r>
            <w:r>
              <w:rPr>
                <w:noProof/>
                <w:webHidden/>
              </w:rPr>
              <w:fldChar w:fldCharType="separate"/>
            </w:r>
            <w:r>
              <w:rPr>
                <w:noProof/>
                <w:webHidden/>
              </w:rPr>
              <w:t>19</w:t>
            </w:r>
            <w:r>
              <w:rPr>
                <w:noProof/>
                <w:webHidden/>
              </w:rPr>
              <w:fldChar w:fldCharType="end"/>
            </w:r>
          </w:hyperlink>
        </w:p>
        <w:p w14:paraId="413307EB" w14:textId="415F02F1" w:rsidR="002C4CB1" w:rsidRDefault="002C4CB1">
          <w:pPr>
            <w:pStyle w:val="TOC1"/>
            <w:tabs>
              <w:tab w:val="right" w:leader="dot" w:pos="9849"/>
            </w:tabs>
            <w:rPr>
              <w:rFonts w:asciiTheme="minorHAnsi" w:eastAsiaTheme="minorEastAsia" w:hAnsiTheme="minorHAnsi"/>
              <w:noProof/>
              <w:kern w:val="2"/>
              <w:szCs w:val="24"/>
              <w14:ligatures w14:val="standardContextual"/>
            </w:rPr>
          </w:pPr>
          <w:hyperlink w:anchor="_Toc223962494" w:history="1">
            <w:r w:rsidRPr="00CC175D">
              <w:rPr>
                <w:rStyle w:val="Hyperlink"/>
                <w:noProof/>
              </w:rPr>
              <w:t>References</w:t>
            </w:r>
            <w:r>
              <w:rPr>
                <w:noProof/>
                <w:webHidden/>
              </w:rPr>
              <w:tab/>
            </w:r>
            <w:r>
              <w:rPr>
                <w:noProof/>
                <w:webHidden/>
              </w:rPr>
              <w:fldChar w:fldCharType="begin"/>
            </w:r>
            <w:r>
              <w:rPr>
                <w:noProof/>
                <w:webHidden/>
              </w:rPr>
              <w:instrText xml:space="preserve"> PAGEREF _Toc223962494 \h </w:instrText>
            </w:r>
            <w:r>
              <w:rPr>
                <w:noProof/>
                <w:webHidden/>
              </w:rPr>
            </w:r>
            <w:r>
              <w:rPr>
                <w:noProof/>
                <w:webHidden/>
              </w:rPr>
              <w:fldChar w:fldCharType="separate"/>
            </w:r>
            <w:r>
              <w:rPr>
                <w:noProof/>
                <w:webHidden/>
              </w:rPr>
              <w:t>20</w:t>
            </w:r>
            <w:r>
              <w:rPr>
                <w:noProof/>
                <w:webHidden/>
              </w:rPr>
              <w:fldChar w:fldCharType="end"/>
            </w:r>
          </w:hyperlink>
        </w:p>
        <w:p w14:paraId="6ED30925" w14:textId="5DC39B62" w:rsidR="002C4CB1" w:rsidRDefault="002C4CB1">
          <w:r>
            <w:rPr>
              <w:b/>
              <w:bCs/>
              <w:noProof/>
            </w:rPr>
            <w:fldChar w:fldCharType="end"/>
          </w:r>
        </w:p>
      </w:sdtContent>
    </w:sdt>
    <w:p w14:paraId="02DB91DD" w14:textId="77777777" w:rsidR="002C4CB1" w:rsidRDefault="002C4CB1" w:rsidP="00A2609B">
      <w:pPr>
        <w:pStyle w:val="Heading1"/>
        <w:numPr>
          <w:ilvl w:val="0"/>
          <w:numId w:val="0"/>
        </w:numPr>
        <w:jc w:val="both"/>
        <w:sectPr w:rsidR="002C4CB1" w:rsidSect="002C4CB1">
          <w:pgSz w:w="12240" w:h="15840"/>
          <w:pgMar w:top="1134" w:right="1134" w:bottom="1020" w:left="1247" w:header="720" w:footer="720" w:gutter="0"/>
          <w:cols w:space="720"/>
          <w:docGrid w:linePitch="360"/>
        </w:sectPr>
      </w:pPr>
    </w:p>
    <w:p w14:paraId="459DB5A6" w14:textId="3926CD24" w:rsidR="00A2609B" w:rsidRDefault="00A2609B" w:rsidP="00A2609B">
      <w:pPr>
        <w:pStyle w:val="Heading1"/>
        <w:numPr>
          <w:ilvl w:val="0"/>
          <w:numId w:val="0"/>
        </w:numPr>
        <w:jc w:val="both"/>
      </w:pPr>
      <w:bookmarkStart w:id="0" w:name="_Toc223962476"/>
      <w:r>
        <w:lastRenderedPageBreak/>
        <w:t>Section 1: Strategic Management Analysis of Unilever</w:t>
      </w:r>
      <w:bookmarkEnd w:id="0"/>
    </w:p>
    <w:p w14:paraId="4E4E7BBE" w14:textId="77777777" w:rsidR="00A2609B" w:rsidRDefault="00A2609B" w:rsidP="00A2609B">
      <w:pPr>
        <w:pStyle w:val="Heading2"/>
        <w:numPr>
          <w:ilvl w:val="0"/>
          <w:numId w:val="0"/>
        </w:numPr>
      </w:pPr>
      <w:bookmarkStart w:id="1" w:name="_Toc223962477"/>
      <w:r>
        <w:t xml:space="preserve">1. </w:t>
      </w:r>
      <w:proofErr w:type="spellStart"/>
      <w:r>
        <w:t>Organisational</w:t>
      </w:r>
      <w:proofErr w:type="spellEnd"/>
      <w:r>
        <w:t xml:space="preserve"> context and overview</w:t>
      </w:r>
      <w:bookmarkEnd w:id="1"/>
    </w:p>
    <w:p w14:paraId="33EE0B14" w14:textId="1AD8E0DC" w:rsidR="00A2609B" w:rsidRDefault="006A6A7C" w:rsidP="00A2609B">
      <w:r w:rsidRPr="006A6A7C">
        <w:t xml:space="preserve">Unilever is a global giant in the field of fast-moving consumer goods, which deal with </w:t>
      </w:r>
      <w:proofErr w:type="gramStart"/>
      <w:r w:rsidRPr="006A6A7C">
        <w:t>the beauty</w:t>
      </w:r>
      <w:proofErr w:type="gramEnd"/>
      <w:r w:rsidRPr="006A6A7C">
        <w:t xml:space="preserve"> and wellbeing, personal care, home care, foods and ice cream. Its products are offered in approximately 190 countries and consumed by 3.4 billion individuals daily, which provides the business with outstanding magnitude, route-to-market and brand visibility (Unilever, 2025c). In 2024 Unilever recorded turnover of EUR60.8 billion of which 58% was in emerging </w:t>
      </w:r>
      <w:proofErr w:type="gramStart"/>
      <w:r w:rsidRPr="006A6A7C">
        <w:t>markets</w:t>
      </w:r>
      <w:proofErr w:type="gramEnd"/>
      <w:r w:rsidRPr="006A6A7C">
        <w:t xml:space="preserve"> which highlights how the growth is more about dealing with a very wide geographical presence than a narrow concentration in the more developed Western market (Unilever, 2025c). The long history of the firm, which has been established </w:t>
      </w:r>
      <w:proofErr w:type="gramStart"/>
      <w:r w:rsidRPr="006A6A7C">
        <w:t>in the course of</w:t>
      </w:r>
      <w:proofErr w:type="gramEnd"/>
      <w:r w:rsidRPr="006A6A7C">
        <w:t xml:space="preserve"> portfolio development, mergers and geographic expansion, has resulted in the diversified brand architecture, which incorporates world-wide brands like Dove, </w:t>
      </w:r>
      <w:proofErr w:type="spellStart"/>
      <w:r w:rsidRPr="006A6A7C">
        <w:t>Hellmanns</w:t>
      </w:r>
      <w:proofErr w:type="spellEnd"/>
      <w:r w:rsidRPr="006A6A7C">
        <w:t>, Vaseline, Knorr, Rexona and Magnum</w:t>
      </w:r>
      <w:r w:rsidR="00A2609B">
        <w:t>.</w:t>
      </w:r>
    </w:p>
    <w:p w14:paraId="4E2BDD0D" w14:textId="77777777" w:rsidR="00A2609B" w:rsidRDefault="00A2609B" w:rsidP="00A2609B">
      <w:pPr>
        <w:jc w:val="center"/>
      </w:pPr>
      <w:r>
        <w:rPr>
          <w:noProof/>
        </w:rPr>
        <w:drawing>
          <wp:inline distT="0" distB="0" distL="0" distR="0" wp14:anchorId="799C5E4F" wp14:editId="7EDAE692">
            <wp:extent cx="5394960" cy="34142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group_performance.png"/>
                    <pic:cNvPicPr/>
                  </pic:nvPicPr>
                  <pic:blipFill>
                    <a:blip r:embed="rId9"/>
                    <a:stretch>
                      <a:fillRect/>
                    </a:stretch>
                  </pic:blipFill>
                  <pic:spPr>
                    <a:xfrm>
                      <a:off x="0" y="0"/>
                      <a:ext cx="5394960" cy="3414268"/>
                    </a:xfrm>
                    <a:prstGeom prst="rect">
                      <a:avLst/>
                    </a:prstGeom>
                  </pic:spPr>
                </pic:pic>
              </a:graphicData>
            </a:graphic>
          </wp:inline>
        </w:drawing>
      </w:r>
    </w:p>
    <w:p w14:paraId="03CC0CF3" w14:textId="77777777" w:rsidR="00A2609B" w:rsidRPr="00A2609B" w:rsidRDefault="00A2609B" w:rsidP="00A2609B">
      <w:pPr>
        <w:jc w:val="center"/>
        <w:rPr>
          <w:i/>
          <w:iCs/>
          <w:sz w:val="22"/>
          <w:szCs w:val="20"/>
        </w:rPr>
      </w:pPr>
      <w:r w:rsidRPr="00A2609B">
        <w:rPr>
          <w:i/>
          <w:iCs/>
          <w:sz w:val="22"/>
          <w:szCs w:val="20"/>
        </w:rPr>
        <w:t>Figure 1. Unilever group performance, 2023-2024. Source: compiled from Unilever (2025b).</w:t>
      </w:r>
    </w:p>
    <w:p w14:paraId="6E544A13" w14:textId="77777777" w:rsidR="006A6A7C" w:rsidRDefault="006A6A7C" w:rsidP="006A6A7C">
      <w:r>
        <w:t xml:space="preserve">The strategic framing at Unilever is now more strategic than it was in </w:t>
      </w:r>
      <w:proofErr w:type="gramStart"/>
      <w:r>
        <w:t>the previous</w:t>
      </w:r>
      <w:proofErr w:type="gramEnd"/>
      <w:r>
        <w:t xml:space="preserve"> years. According to the company, its mission is to make everyday life brighter </w:t>
      </w:r>
      <w:proofErr w:type="gramStart"/>
      <w:r>
        <w:t>to</w:t>
      </w:r>
      <w:proofErr w:type="gramEnd"/>
      <w:r>
        <w:t xml:space="preserve"> everyone, and the Growth Action Plan has shifted the managerial focus to doing fewer things better and focus investment on the Power Brands, </w:t>
      </w:r>
      <w:r>
        <w:lastRenderedPageBreak/>
        <w:t xml:space="preserve">enhance the quality of innovation and make the </w:t>
      </w:r>
      <w:proofErr w:type="spellStart"/>
      <w:r>
        <w:t>organisation</w:t>
      </w:r>
      <w:proofErr w:type="spellEnd"/>
      <w:r>
        <w:t xml:space="preserve"> simpler (Unilever, 2025b). This is important since during </w:t>
      </w:r>
      <w:proofErr w:type="gramStart"/>
      <w:r>
        <w:t>a series</w:t>
      </w:r>
      <w:proofErr w:type="gramEnd"/>
      <w:r>
        <w:t xml:space="preserve"> of years Unilever was blamed on complexity in its strategies, excessive brand extensions and poor implementation. The following move to focus on 30 Power Brands, which currently contribute over 75 percent of turnover, is one of the shifts of the diffuse portfolio management to the more focused resources distribution (Unilever, 2025b).</w:t>
      </w:r>
    </w:p>
    <w:p w14:paraId="59CB3982" w14:textId="5B34C86A" w:rsidR="00A2609B" w:rsidRDefault="006A6A7C" w:rsidP="006A6A7C">
      <w:r>
        <w:t xml:space="preserve">Its business </w:t>
      </w:r>
      <w:proofErr w:type="gramStart"/>
      <w:r>
        <w:t>model</w:t>
      </w:r>
      <w:proofErr w:type="gramEnd"/>
      <w:r>
        <w:t xml:space="preserve"> mixes mass scale, category breadth, brand investment, science and formulation capability, global procurement and massive distribution alliances. Value is also created by consumer branding and excellent shelf presence, relationship with retailers, local adaptation, pricing structure and the recurrent innovation. Unilever competitively is under stiff competition with Procter &amp; Gamble, Nestle, L'Oreal, Reckitt, Colgate-Palmolive and many other regional brands. Competition varies by category, however, throughout the portfolio the company is competing in markets where switching costs are low, </w:t>
      </w:r>
      <w:proofErr w:type="gramStart"/>
      <w:r>
        <w:t>retailer</w:t>
      </w:r>
      <w:proofErr w:type="gramEnd"/>
      <w:r>
        <w:t xml:space="preserve"> power is high, and brand relevance </w:t>
      </w:r>
      <w:proofErr w:type="gramStart"/>
      <w:r>
        <w:t>has to</w:t>
      </w:r>
      <w:proofErr w:type="gramEnd"/>
      <w:r>
        <w:t xml:space="preserve"> be constantly re-created. The market position of Unilever is thus not based on one blockbuster brand but on </w:t>
      </w:r>
      <w:proofErr w:type="gramStart"/>
      <w:r>
        <w:t>quality of</w:t>
      </w:r>
      <w:proofErr w:type="gramEnd"/>
      <w:r>
        <w:t xml:space="preserve"> portfolios, discipline of execution and capacity to balance growth, margin and sustainability at scale</w:t>
      </w:r>
      <w:r w:rsidR="00A2609B">
        <w:t>.</w:t>
      </w:r>
    </w:p>
    <w:p w14:paraId="646A2018" w14:textId="77777777" w:rsidR="00A2609B" w:rsidRDefault="00A2609B" w:rsidP="00A2609B">
      <w:pPr>
        <w:pStyle w:val="Heading2"/>
        <w:numPr>
          <w:ilvl w:val="0"/>
          <w:numId w:val="0"/>
        </w:numPr>
      </w:pPr>
      <w:bookmarkStart w:id="2" w:name="_Toc223962478"/>
      <w:r>
        <w:t xml:space="preserve">2. External and internal </w:t>
      </w:r>
      <w:proofErr w:type="gramStart"/>
      <w:r>
        <w:t>environment</w:t>
      </w:r>
      <w:proofErr w:type="gramEnd"/>
      <w:r>
        <w:t xml:space="preserve"> analysis</w:t>
      </w:r>
      <w:bookmarkEnd w:id="2"/>
    </w:p>
    <w:p w14:paraId="565E19D3" w14:textId="77777777" w:rsidR="00A2609B" w:rsidRDefault="00A2609B" w:rsidP="00A2609B">
      <w:pPr>
        <w:pStyle w:val="Heading3"/>
        <w:numPr>
          <w:ilvl w:val="0"/>
          <w:numId w:val="0"/>
        </w:numPr>
      </w:pPr>
      <w:bookmarkStart w:id="3" w:name="_Toc223962479"/>
      <w:r>
        <w:t>2.1 External environment: PESTEL analysis</w:t>
      </w:r>
      <w:bookmarkEnd w:id="3"/>
    </w:p>
    <w:p w14:paraId="4336CFFC" w14:textId="77777777" w:rsidR="006A6A7C" w:rsidRDefault="006A6A7C" w:rsidP="006A6A7C">
      <w:r>
        <w:t>The macro forces that affect the external environment of Unilever are interrelated in an unusual way. The company is politically and institutionally operating in an uncertain trade environment with risks of sanctions, food system politics, packaging regulation and labour rights scrutiny. Unilever sourcing and selling from all over the world exposes it to the changes in policies of major jurisdictions like the European Union, the United States, India and Indonesia. This is quite applicable in those categories that are reliant on agricultural products, chemicals, packaging materials and supply chains across borders. Political fragmentation will not only increase the cost of compliance; it may change sourcing decisions, inventory design and branding pricing decisions.</w:t>
      </w:r>
    </w:p>
    <w:p w14:paraId="28D5C526" w14:textId="77777777" w:rsidR="006A6A7C" w:rsidRDefault="006A6A7C" w:rsidP="006A6A7C">
      <w:r>
        <w:t xml:space="preserve">Economic circumstances are also very persuasive. Inflation </w:t>
      </w:r>
      <w:proofErr w:type="gramStart"/>
      <w:r>
        <w:t>spike</w:t>
      </w:r>
      <w:proofErr w:type="gramEnd"/>
      <w:r>
        <w:t xml:space="preserve"> which happened in 2022 and 2023 calmed down, but commodity and input volatility continued to be strategically important. Unilever has already </w:t>
      </w:r>
      <w:proofErr w:type="spellStart"/>
      <w:r>
        <w:t>recognised</w:t>
      </w:r>
      <w:proofErr w:type="spellEnd"/>
      <w:r>
        <w:t xml:space="preserve"> the necessity to thread inflation in major materials and safeguard competitiveness and external reporting in 2025 proposed that commodities like dairy, cocoa and palm oil will remain a continuing pressure on the company, with the overall uncertainty in consumer sentiment (Unilever, 2025b; Reuters, 2025c). Macroeconomic pressure in consumer goods reacts on the cost structure and the demand </w:t>
      </w:r>
      <w:proofErr w:type="spellStart"/>
      <w:r>
        <w:t>behaviour</w:t>
      </w:r>
      <w:proofErr w:type="spellEnd"/>
      <w:r>
        <w:t xml:space="preserve">. Consumers are trading </w:t>
      </w:r>
      <w:proofErr w:type="gramStart"/>
      <w:r>
        <w:t>down,</w:t>
      </w:r>
      <w:proofErr w:type="gramEnd"/>
      <w:r>
        <w:t xml:space="preserve"> retailers are more value positioning aggressive </w:t>
      </w:r>
      <w:r>
        <w:lastRenderedPageBreak/>
        <w:t xml:space="preserve">and premium innovation is being more challenged unless the advantage is exceptionally obvious. The strategic response of Unilever has hence focused on a prudent combination of productivity savings, selective pricing, </w:t>
      </w:r>
      <w:proofErr w:type="spellStart"/>
      <w:r>
        <w:t>premiumisation</w:t>
      </w:r>
      <w:proofErr w:type="spellEnd"/>
      <w:r>
        <w:t xml:space="preserve"> in advantaged categories and increased investment in the brand to protect growth of the volume. This is reflected in the performance of 2024 where underlying sales growth of 4.2% was driven by 2.9% increase in volume as opposed to price increase alone implying a healthier demand profile than most of its peers </w:t>
      </w:r>
      <w:proofErr w:type="spellStart"/>
      <w:r>
        <w:t>realised</w:t>
      </w:r>
      <w:proofErr w:type="spellEnd"/>
      <w:r>
        <w:t xml:space="preserve"> during the inflationary cycle (Unilever, 2025b).</w:t>
      </w:r>
    </w:p>
    <w:p w14:paraId="2BF90B0A" w14:textId="77777777" w:rsidR="006A6A7C" w:rsidRDefault="006A6A7C" w:rsidP="006A6A7C">
      <w:r>
        <w:t xml:space="preserve">Social factors are very material since </w:t>
      </w:r>
      <w:proofErr w:type="gramStart"/>
      <w:r>
        <w:t>the Unilever</w:t>
      </w:r>
      <w:proofErr w:type="gramEnd"/>
      <w:r>
        <w:t xml:space="preserve"> </w:t>
      </w:r>
      <w:proofErr w:type="gramStart"/>
      <w:r>
        <w:t>has to</w:t>
      </w:r>
      <w:proofErr w:type="gramEnd"/>
      <w:r>
        <w:t xml:space="preserve"> compete in everyday categories influenced by changes in lifestyle, health demands and household expenditure. The demand is shifting in </w:t>
      </w:r>
      <w:proofErr w:type="spellStart"/>
      <w:r>
        <w:t>favour</w:t>
      </w:r>
      <w:proofErr w:type="spellEnd"/>
      <w:r>
        <w:t xml:space="preserve"> of products which are indicative of efficacy, wellness, ease, high-quality sensorial experience and occasionally ethical reassurance. This trend </w:t>
      </w:r>
      <w:proofErr w:type="spellStart"/>
      <w:r>
        <w:t>favours</w:t>
      </w:r>
      <w:proofErr w:type="spellEnd"/>
      <w:r>
        <w:t xml:space="preserve"> the Beauty and Wellbeing business whereas food </w:t>
      </w:r>
      <w:proofErr w:type="gramStart"/>
      <w:r>
        <w:t>and home</w:t>
      </w:r>
      <w:proofErr w:type="gramEnd"/>
      <w:r>
        <w:t xml:space="preserve"> care categories will have to strive more to maintain the perceived value. Meanwhile, there is a shift in social expectations of massive consumer brands. Consumers, NGOs and employees are becoming </w:t>
      </w:r>
      <w:proofErr w:type="gramStart"/>
      <w:r>
        <w:t>more and more</w:t>
      </w:r>
      <w:proofErr w:type="gramEnd"/>
      <w:r>
        <w:t xml:space="preserve"> demanding of companies to be credible and not symbolic in their approaches to climate, plastics, labour conditions and human rights. This is opportunity and reputational exposure to Unilever. Brands that are purpose-led can help to increase loyalty, yet unfounded claims that cannot be supported by operational facts will destroy trust in a short period.</w:t>
      </w:r>
    </w:p>
    <w:p w14:paraId="0C293602" w14:textId="77777777" w:rsidR="006A6A7C" w:rsidRDefault="006A6A7C" w:rsidP="006A6A7C">
      <w:r>
        <w:t xml:space="preserve">The factors that influence technology include innovation, productivity, and effectiveness of route to market. The competitive model adopted by Unilever is gradually relying on digital marketing, e-commerce, data-driven demand sensing, AI-based product development, and digital instruments of retail partners. The company boasts 24 million </w:t>
      </w:r>
      <w:proofErr w:type="gramStart"/>
      <w:r>
        <w:t>orders of customers</w:t>
      </w:r>
      <w:proofErr w:type="gramEnd"/>
      <w:r>
        <w:t xml:space="preserve"> served a year and points out its operation that is supported by digital technology as a part of strategic capability base (Unilever, 2025c). Digital ordering and retailer enablement are not tools within the periphery of emerging markets </w:t>
      </w:r>
      <w:proofErr w:type="gramStart"/>
      <w:r>
        <w:t>in particular but</w:t>
      </w:r>
      <w:proofErr w:type="gramEnd"/>
      <w:r>
        <w:t xml:space="preserve"> are market penetration, service quality and consistency of execution mechanisms. There is also the aspect of technology facilitating more specific innovation, faster reformulation and enhanced portfolio decisions, which are essential in areas where shelf competition is intense.</w:t>
      </w:r>
    </w:p>
    <w:p w14:paraId="2409A71F" w14:textId="77777777" w:rsidR="006A6A7C" w:rsidRDefault="006A6A7C" w:rsidP="006A6A7C">
      <w:r>
        <w:t xml:space="preserve">Laws and regulatory aspects are getting stricter. The European policy landscape on packaging, plastics, climate disclosure, supply chain due diligence and product claims is increasingly becoming tight. This increases the cost of compliance </w:t>
      </w:r>
      <w:proofErr w:type="gramStart"/>
      <w:r>
        <w:t>and also</w:t>
      </w:r>
      <w:proofErr w:type="gramEnd"/>
      <w:r>
        <w:t xml:space="preserve"> </w:t>
      </w:r>
      <w:proofErr w:type="spellStart"/>
      <w:r>
        <w:t>favours</w:t>
      </w:r>
      <w:proofErr w:type="spellEnd"/>
      <w:r>
        <w:t xml:space="preserve"> firms that have better governance structures and data capability. In the case of Unilever, whose presence is global, and brand structure is open to the eyes of the public, law risks are not limited to direct operations with suppliers, labour standards, environmental </w:t>
      </w:r>
      <w:r>
        <w:lastRenderedPageBreak/>
        <w:t>assertions and anti-trust investigations. The compliance burden is also strategic and not just administrative.</w:t>
      </w:r>
    </w:p>
    <w:p w14:paraId="4BD77799" w14:textId="0AB560B2" w:rsidR="00A2609B" w:rsidRDefault="006A6A7C" w:rsidP="006A6A7C">
      <w:r>
        <w:t xml:space="preserve">Among the most consequential ones are the environmental forces. Unilever is reliant on agricultural inputs, petrochemical derivatives, water, energy and packaging systems. Climate change causes physical risk by introducing variability of harvests, water stress and disruption of logistics, as well as causing transition risk due to regulation, investor demands and shifting consumer expectations. The company also clearly outlines climate, nature, plastics and livelihoods as four targeted sustainability areas, indicating the effort to tie environmental risk management to commercial resilience instead of viewing it as a disconnected CSR initiative (Unilever, 2025d). This is a logical frame since costs of inputs can now be disrupted by environmental disruption in both the present and the future, brand equity and future </w:t>
      </w:r>
      <w:proofErr w:type="spellStart"/>
      <w:r>
        <w:t>licence</w:t>
      </w:r>
      <w:proofErr w:type="spellEnd"/>
      <w:r w:rsidR="00A2609B">
        <w:t>.</w:t>
      </w:r>
    </w:p>
    <w:p w14:paraId="241413EB" w14:textId="77777777" w:rsidR="00A2609B" w:rsidRDefault="00A2609B" w:rsidP="00A2609B">
      <w:pPr>
        <w:pStyle w:val="Heading3"/>
        <w:numPr>
          <w:ilvl w:val="0"/>
          <w:numId w:val="0"/>
        </w:numPr>
      </w:pPr>
      <w:bookmarkStart w:id="4" w:name="_Toc223962480"/>
      <w:r>
        <w:t>2.2 Critical success factors and strategic challenges</w:t>
      </w:r>
      <w:bookmarkEnd w:id="4"/>
    </w:p>
    <w:p w14:paraId="314CECBF" w14:textId="79D7DAA0" w:rsidR="00A2609B" w:rsidRDefault="006A6A7C" w:rsidP="00A2609B">
      <w:r w:rsidRPr="006A6A7C">
        <w:t xml:space="preserve">The PESTEL analysis indicates </w:t>
      </w:r>
      <w:proofErr w:type="gramStart"/>
      <w:r w:rsidRPr="006A6A7C">
        <w:t>a number of</w:t>
      </w:r>
      <w:proofErr w:type="gramEnd"/>
      <w:r w:rsidRPr="006A6A7C">
        <w:t xml:space="preserve"> significant success factors. First, Unilever </w:t>
      </w:r>
      <w:proofErr w:type="gramStart"/>
      <w:r w:rsidRPr="006A6A7C">
        <w:t>has to</w:t>
      </w:r>
      <w:proofErr w:type="gramEnd"/>
      <w:r w:rsidRPr="006A6A7C">
        <w:t xml:space="preserve"> have good brands that can explain price architecture and still stay pertinent in the strained consumer markets. Second, it should operate on a global scale but act locally, since the demand situation, channel </w:t>
      </w:r>
      <w:proofErr w:type="spellStart"/>
      <w:r w:rsidRPr="006A6A7C">
        <w:t>organisation</w:t>
      </w:r>
      <w:proofErr w:type="spellEnd"/>
      <w:r w:rsidRPr="006A6A7C">
        <w:t xml:space="preserve"> and affordability levels vary radically by region. Third, it must have a robust sourcing and procurement capacity so that it can be able to deal with volatility in raw materials. Fourth, it must be credibly governed in terms of sustainability since environmental and social concerns currently determine investor trust, retailer relationships and brand legitimacy. Fifth, simplification and discipline in </w:t>
      </w:r>
      <w:proofErr w:type="gramStart"/>
      <w:r w:rsidRPr="006A6A7C">
        <w:t>the capital</w:t>
      </w:r>
      <w:proofErr w:type="gramEnd"/>
      <w:r w:rsidRPr="006A6A7C">
        <w:t xml:space="preserve"> allocation by the </w:t>
      </w:r>
      <w:proofErr w:type="spellStart"/>
      <w:r w:rsidRPr="006A6A7C">
        <w:t>organisation</w:t>
      </w:r>
      <w:proofErr w:type="spellEnd"/>
      <w:r w:rsidRPr="006A6A7C">
        <w:t xml:space="preserve"> are imperative since portfolio sprawl in the past has conspicuously blurred managerial focus</w:t>
      </w:r>
      <w:r w:rsidR="00A2609B">
        <w:t>.</w:t>
      </w:r>
    </w:p>
    <w:p w14:paraId="6F233513" w14:textId="77777777" w:rsidR="00A2609B" w:rsidRDefault="00A2609B" w:rsidP="00A2609B">
      <w:pPr>
        <w:jc w:val="center"/>
      </w:pPr>
      <w:r>
        <w:rPr>
          <w:noProof/>
        </w:rPr>
        <w:lastRenderedPageBreak/>
        <w:drawing>
          <wp:inline distT="0" distB="0" distL="0" distR="0" wp14:anchorId="2ECC6235" wp14:editId="013B6874">
            <wp:extent cx="4032412" cy="2924420"/>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geo_mix.png"/>
                    <pic:cNvPicPr/>
                  </pic:nvPicPr>
                  <pic:blipFill>
                    <a:blip r:embed="rId10"/>
                    <a:stretch>
                      <a:fillRect/>
                    </a:stretch>
                  </pic:blipFill>
                  <pic:spPr>
                    <a:xfrm>
                      <a:off x="0" y="0"/>
                      <a:ext cx="4037072" cy="2927799"/>
                    </a:xfrm>
                    <a:prstGeom prst="rect">
                      <a:avLst/>
                    </a:prstGeom>
                  </pic:spPr>
                </pic:pic>
              </a:graphicData>
            </a:graphic>
          </wp:inline>
        </w:drawing>
      </w:r>
    </w:p>
    <w:p w14:paraId="34B80400" w14:textId="77777777" w:rsidR="00A2609B" w:rsidRPr="00A2609B" w:rsidRDefault="00A2609B" w:rsidP="00A2609B">
      <w:pPr>
        <w:jc w:val="center"/>
        <w:rPr>
          <w:i/>
          <w:iCs/>
          <w:sz w:val="22"/>
          <w:szCs w:val="20"/>
        </w:rPr>
      </w:pPr>
      <w:r w:rsidRPr="00A2609B">
        <w:rPr>
          <w:i/>
          <w:iCs/>
          <w:sz w:val="22"/>
          <w:szCs w:val="20"/>
        </w:rPr>
        <w:t>Figure 2. 2024 turnover mix by market type. Source: compiled from Unilever (2025c).</w:t>
      </w:r>
    </w:p>
    <w:p w14:paraId="61A31097" w14:textId="77777777" w:rsidR="006A6A7C" w:rsidRDefault="006A6A7C" w:rsidP="006A6A7C">
      <w:r>
        <w:t xml:space="preserve">The </w:t>
      </w:r>
      <w:proofErr w:type="gramStart"/>
      <w:r>
        <w:t>company however</w:t>
      </w:r>
      <w:proofErr w:type="gramEnd"/>
      <w:r>
        <w:t xml:space="preserve"> has significant strategic issues. The former is the growth and margin balancing. In the short run, the inflation of costs can be compensated by increasing prices, but the long-term effect of continuous use of price imposes a threat on volume and share, especially in lower income markets. The second one is portfolio complexity. Unilever is a very broad company even after strategic simplification and category diversity </w:t>
      </w:r>
      <w:proofErr w:type="gramStart"/>
      <w:r>
        <w:t>has the ability to</w:t>
      </w:r>
      <w:proofErr w:type="gramEnd"/>
      <w:r>
        <w:t xml:space="preserve"> spread leadership focus. The third is the implementation of change without </w:t>
      </w:r>
      <w:proofErr w:type="spellStart"/>
      <w:r>
        <w:t>demoralising</w:t>
      </w:r>
      <w:proofErr w:type="spellEnd"/>
      <w:r>
        <w:t xml:space="preserve"> and losing ability. According to Reuters, the company declared the spin-off of its ice cream business and approximately 7,500 job cuts in 2024 as a part of a comprehensive productive and simplification </w:t>
      </w:r>
      <w:proofErr w:type="spellStart"/>
      <w:r>
        <w:t>programme</w:t>
      </w:r>
      <w:proofErr w:type="spellEnd"/>
      <w:r>
        <w:t xml:space="preserve">, which implies that strategic renewal is followed by the actual </w:t>
      </w:r>
      <w:proofErr w:type="spellStart"/>
      <w:r>
        <w:t>organisational</w:t>
      </w:r>
      <w:proofErr w:type="spellEnd"/>
      <w:r>
        <w:t xml:space="preserve"> disruption (Reuters, 2024a). The fourth difficulty is external credibility. </w:t>
      </w:r>
      <w:proofErr w:type="gramStart"/>
      <w:r>
        <w:t>The sustainability</w:t>
      </w:r>
      <w:proofErr w:type="gramEnd"/>
      <w:r>
        <w:t xml:space="preserve"> can continue to be a source of strategic advantage </w:t>
      </w:r>
      <w:proofErr w:type="gramStart"/>
      <w:r>
        <w:t>provided that</w:t>
      </w:r>
      <w:proofErr w:type="gramEnd"/>
      <w:r>
        <w:t xml:space="preserve"> it is backed by the improvement of the operational results that can be measured.</w:t>
      </w:r>
    </w:p>
    <w:p w14:paraId="47C0672B" w14:textId="77777777" w:rsidR="006A6A7C" w:rsidRDefault="006A6A7C" w:rsidP="006A6A7C">
      <w:r>
        <w:t xml:space="preserve">Another problem is that Unilever is evaluated by two logics of investors simultaneously. One group of investors compensates disciplined margin growth, cash distributions and portfolio streamlining. The other anticipates apparent volume growth, intensity and competitive momentum in markets where challenger brands are increasingly becoming agile. The tactical challenge is that </w:t>
      </w:r>
      <w:proofErr w:type="gramStart"/>
      <w:r>
        <w:t>the one</w:t>
      </w:r>
      <w:proofErr w:type="gramEnd"/>
      <w:r>
        <w:t xml:space="preserve"> audience may be served by actions that make the other audience weaker provided the action is taken in a mechanical manner. Over discipline on cost may lead to erosion of brand support and field execution whereas over demand investment may lead to dilution of margin recovery. Good strategic implementation thus relies on </w:t>
      </w:r>
      <w:proofErr w:type="gramStart"/>
      <w:r>
        <w:t>sequencing</w:t>
      </w:r>
      <w:proofErr w:type="gramEnd"/>
      <w:r>
        <w:t xml:space="preserve"> as opposed to selecting one side of the trade off at random.</w:t>
      </w:r>
    </w:p>
    <w:p w14:paraId="2D7B6A50" w14:textId="0847CB16" w:rsidR="00A2609B" w:rsidRDefault="006A6A7C" w:rsidP="006A6A7C">
      <w:r>
        <w:lastRenderedPageBreak/>
        <w:t xml:space="preserve">Another complexity that should be given more attention is the geographical one. The emerging markets present a high proportion of the growth potential to </w:t>
      </w:r>
      <w:proofErr w:type="gramStart"/>
      <w:r>
        <w:t>Unilever</w:t>
      </w:r>
      <w:proofErr w:type="gramEnd"/>
      <w:r>
        <w:t xml:space="preserve"> but they also subject the group to currency fluctuations, imbalanced infrastructure, political risk and highly </w:t>
      </w:r>
      <w:proofErr w:type="spellStart"/>
      <w:r>
        <w:t>localised</w:t>
      </w:r>
      <w:proofErr w:type="spellEnd"/>
      <w:r>
        <w:t xml:space="preserve"> consumer </w:t>
      </w:r>
      <w:proofErr w:type="spellStart"/>
      <w:r>
        <w:t>behaviour</w:t>
      </w:r>
      <w:proofErr w:type="spellEnd"/>
      <w:r>
        <w:t xml:space="preserve">. This does not imply that the company can easily replicate a </w:t>
      </w:r>
      <w:proofErr w:type="spellStart"/>
      <w:r>
        <w:t>standardised</w:t>
      </w:r>
      <w:proofErr w:type="spellEnd"/>
      <w:r>
        <w:t xml:space="preserve"> formula across the world. Its business model must be a blend of international category logic and local commercial adaptation. Such a need reinforces the argument of </w:t>
      </w:r>
      <w:proofErr w:type="spellStart"/>
      <w:r>
        <w:t>organisational</w:t>
      </w:r>
      <w:proofErr w:type="spellEnd"/>
      <w:r>
        <w:t xml:space="preserve"> simplification since complexity must be where it generates consumer value, rather than where it makes decisions sluggish</w:t>
      </w:r>
      <w:r w:rsidR="00A2609B">
        <w:t>.</w:t>
      </w:r>
    </w:p>
    <w:p w14:paraId="72AA4DE2" w14:textId="77777777" w:rsidR="00A2609B" w:rsidRDefault="00A2609B" w:rsidP="00A2609B">
      <w:pPr>
        <w:pStyle w:val="Heading3"/>
        <w:numPr>
          <w:ilvl w:val="0"/>
          <w:numId w:val="0"/>
        </w:numPr>
      </w:pPr>
      <w:bookmarkStart w:id="5" w:name="_Toc223962481"/>
      <w:r>
        <w:t>2.3 Internal environment: resources, capabilities and core competencies</w:t>
      </w:r>
      <w:bookmarkEnd w:id="5"/>
    </w:p>
    <w:p w14:paraId="3983FBFE" w14:textId="77777777" w:rsidR="006A6A7C" w:rsidRDefault="006A6A7C" w:rsidP="006A6A7C">
      <w:r>
        <w:t xml:space="preserve">According to the resource-based view, the key to sustainable advantage does not lie in being a part of appealing markets, but in resources and capabilities that are valuable, scarce, hard to imitate, and </w:t>
      </w:r>
      <w:proofErr w:type="spellStart"/>
      <w:r>
        <w:t>organisationally</w:t>
      </w:r>
      <w:proofErr w:type="spellEnd"/>
      <w:r>
        <w:t xml:space="preserve"> entrenched (Barney, 1991; Grant, 1991). The internal environment of Unilever has </w:t>
      </w:r>
      <w:proofErr w:type="gramStart"/>
      <w:r>
        <w:t>a number of</w:t>
      </w:r>
      <w:proofErr w:type="gramEnd"/>
      <w:r>
        <w:t xml:space="preserve"> such strengths.</w:t>
      </w:r>
    </w:p>
    <w:p w14:paraId="176707BB" w14:textId="77777777" w:rsidR="006A6A7C" w:rsidRDefault="006A6A7C" w:rsidP="006A6A7C">
      <w:r>
        <w:t xml:space="preserve">The most apparent asset of it is its brand portfolio. Brand equity in FMCG gives preference, price flexibility, distribution leverage and ability to stand the test of time. However, the fact that Unilever has well-known brands is not only the stronger argument, but also the ability to refresh and sustain them in different geographies and categories. In 2024 the company </w:t>
      </w:r>
      <w:proofErr w:type="gramStart"/>
      <w:r>
        <w:t>has raised</w:t>
      </w:r>
      <w:proofErr w:type="gramEnd"/>
      <w:r>
        <w:t xml:space="preserve"> brand and marketing spending to 15.5% of turnover, the highest in more than 10 years, and its Power Brands have provided 5.3% underlying sales growth and better volume performance than group average (Unilever, 2025b). This means that there is active renewal of brand strength, as opposed to the passive harvesting of brand strength.</w:t>
      </w:r>
    </w:p>
    <w:p w14:paraId="5E8B422D" w14:textId="3124B703" w:rsidR="00A2609B" w:rsidRDefault="006A6A7C" w:rsidP="006A6A7C">
      <w:r>
        <w:t xml:space="preserve">The second key capability is route to market and depth of distribution. Consumer goods scale can only be of strategic value when it is converted into consistent product availability, local implementation and dealer power. The extensive presence in 190 countries, the high presence in emerging markets, and the </w:t>
      </w:r>
      <w:proofErr w:type="spellStart"/>
      <w:r>
        <w:t>utilisation</w:t>
      </w:r>
      <w:proofErr w:type="spellEnd"/>
      <w:r>
        <w:t xml:space="preserve"> of digital platforms to serve millions of retail stores all point to the fact that Unilever has deep embedded commercial infrastructure (Unilever, 2025c; Unilever, 2025e). This is something smaller competitors can hardly imitate since it is based on developed relationships, logistics networks, local market understanding and information</w:t>
      </w:r>
      <w:r w:rsidR="00A2609B">
        <w:t>.</w:t>
      </w:r>
    </w:p>
    <w:p w14:paraId="1F7692F0" w14:textId="77777777" w:rsidR="00A2609B" w:rsidRDefault="00A2609B" w:rsidP="00A2609B">
      <w:pPr>
        <w:jc w:val="center"/>
      </w:pPr>
      <w:r>
        <w:rPr>
          <w:noProof/>
        </w:rPr>
        <w:lastRenderedPageBreak/>
        <w:drawing>
          <wp:inline distT="0" distB="0" distL="0" distR="0" wp14:anchorId="43E19173" wp14:editId="3F95BE6C">
            <wp:extent cx="5394960" cy="36059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turnover_mix.png"/>
                    <pic:cNvPicPr/>
                  </pic:nvPicPr>
                  <pic:blipFill>
                    <a:blip r:embed="rId11"/>
                    <a:stretch>
                      <a:fillRect/>
                    </a:stretch>
                  </pic:blipFill>
                  <pic:spPr>
                    <a:xfrm>
                      <a:off x="0" y="0"/>
                      <a:ext cx="5394960" cy="3605994"/>
                    </a:xfrm>
                    <a:prstGeom prst="rect">
                      <a:avLst/>
                    </a:prstGeom>
                  </pic:spPr>
                </pic:pic>
              </a:graphicData>
            </a:graphic>
          </wp:inline>
        </w:drawing>
      </w:r>
    </w:p>
    <w:p w14:paraId="22EFCBD1" w14:textId="77777777" w:rsidR="00A2609B" w:rsidRPr="00A2609B" w:rsidRDefault="00A2609B" w:rsidP="00A2609B">
      <w:pPr>
        <w:jc w:val="center"/>
        <w:rPr>
          <w:i/>
          <w:iCs/>
          <w:sz w:val="22"/>
          <w:szCs w:val="20"/>
        </w:rPr>
      </w:pPr>
      <w:r w:rsidRPr="00A2609B">
        <w:rPr>
          <w:i/>
          <w:iCs/>
          <w:sz w:val="22"/>
          <w:szCs w:val="20"/>
        </w:rPr>
        <w:t>Figure 3. Turnover by business group, FY2024. Source: compiled from Unilever (2025b).</w:t>
      </w:r>
    </w:p>
    <w:p w14:paraId="6E14288A" w14:textId="77777777" w:rsidR="006A6A7C" w:rsidRDefault="006A6A7C" w:rsidP="006A6A7C">
      <w:r>
        <w:t xml:space="preserve">Innovation, formulation and consumer insight are the third capability which is associated with science. Unilever is </w:t>
      </w:r>
      <w:proofErr w:type="gramStart"/>
      <w:r>
        <w:t>an expensive</w:t>
      </w:r>
      <w:proofErr w:type="gramEnd"/>
      <w:r>
        <w:t xml:space="preserve"> research and development and is involved in categories where product superiority, sensory performance, health benefits and packaging functionality </w:t>
      </w:r>
      <w:proofErr w:type="gramStart"/>
      <w:r>
        <w:t>is</w:t>
      </w:r>
      <w:proofErr w:type="gramEnd"/>
      <w:r>
        <w:t xml:space="preserve"> important. Innovation in this case is not merely </w:t>
      </w:r>
      <w:proofErr w:type="gramStart"/>
      <w:r>
        <w:t>invention</w:t>
      </w:r>
      <w:proofErr w:type="gramEnd"/>
      <w:r>
        <w:t xml:space="preserve"> but it is the capacity of turning insight into products that can </w:t>
      </w:r>
      <w:proofErr w:type="gramStart"/>
      <w:r>
        <w:t>operate in</w:t>
      </w:r>
      <w:proofErr w:type="gramEnd"/>
      <w:r>
        <w:t xml:space="preserve"> large scale in a commercial sense. This is particularly relevant in the group of Beauty and </w:t>
      </w:r>
      <w:proofErr w:type="gramStart"/>
      <w:r>
        <w:t>Wellbeing</w:t>
      </w:r>
      <w:proofErr w:type="gramEnd"/>
      <w:r>
        <w:t xml:space="preserve"> which is the fastest expanding business group in 2024 where the propositions around premium and efficacy have a greater impact.</w:t>
      </w:r>
    </w:p>
    <w:p w14:paraId="166423FB" w14:textId="77777777" w:rsidR="006A6A7C" w:rsidRDefault="006A6A7C" w:rsidP="006A6A7C">
      <w:r>
        <w:t>The fourth capability is procurement and margin management. The big consumer goods companies are competing not only on the demand creation but also on the cost architecture. The 280 basis points of gross margin growth and the consequent 18.4 percent increase in the underlying operating margin of Unilever indicate that the company has made significant improvements in operational discipline (Unilever, 2025b). It means enhanced sourcing, pricing, mix, and productivity and brand investment coordination.</w:t>
      </w:r>
    </w:p>
    <w:p w14:paraId="1AC512C0" w14:textId="77777777" w:rsidR="006A6A7C" w:rsidRDefault="006A6A7C" w:rsidP="006A6A7C">
      <w:r>
        <w:t xml:space="preserve">The fifth resource is </w:t>
      </w:r>
      <w:proofErr w:type="spellStart"/>
      <w:r>
        <w:t>organisational</w:t>
      </w:r>
      <w:proofErr w:type="spellEnd"/>
      <w:r>
        <w:t xml:space="preserve"> learning through restructuring itself. This is less concrete, but some recent strategic changes have indicated that the company is moving towards less complexity and a more focused model of operating. This in terms of dynamic capability would be a sensing, seizing and </w:t>
      </w:r>
      <w:r>
        <w:lastRenderedPageBreak/>
        <w:t xml:space="preserve">reconfiguring ability that make firms adjust resource bases in response to changing conditions (Teece, Pisano and </w:t>
      </w:r>
      <w:proofErr w:type="spellStart"/>
      <w:r>
        <w:t>Shuen</w:t>
      </w:r>
      <w:proofErr w:type="spellEnd"/>
      <w:r>
        <w:t>, 1997). The main concern is whether Unilever can embed this discipline in place of single cycle of leadership.</w:t>
      </w:r>
    </w:p>
    <w:p w14:paraId="721B2894" w14:textId="15FB8D63" w:rsidR="00A2609B" w:rsidRDefault="006A6A7C" w:rsidP="006A6A7C">
      <w:r>
        <w:t xml:space="preserve">This aspect is important as transformation capability is not taken seriously in traditional resource analysis. Practically, companies, which </w:t>
      </w:r>
      <w:proofErr w:type="gramStart"/>
      <w:r>
        <w:t>are able to</w:t>
      </w:r>
      <w:proofErr w:type="gramEnd"/>
      <w:r>
        <w:t xml:space="preserve"> re-design portfolios multiple times, re-deploy capital and re-set managerial attention without a loss of commercial momentum build a meta-capability that others can hardly imitate in the short term. In the case of Unilever, the issue is not whether the restructuring has been announced but whether simplification is changing </w:t>
      </w:r>
      <w:proofErr w:type="spellStart"/>
      <w:r>
        <w:t>behaviour</w:t>
      </w:r>
      <w:proofErr w:type="spellEnd"/>
      <w:r>
        <w:t xml:space="preserve"> at the category, country and channel level. When that happens, then the dynamic capabilities of the company will be strategically significant as opposed to administrative</w:t>
      </w:r>
      <w:r w:rsidR="00A2609B">
        <w:t>.</w:t>
      </w:r>
    </w:p>
    <w:p w14:paraId="16F0B05A" w14:textId="77777777" w:rsidR="00A2609B" w:rsidRDefault="00A2609B" w:rsidP="00A2609B">
      <w:pPr>
        <w:pStyle w:val="Heading3"/>
        <w:numPr>
          <w:ilvl w:val="0"/>
          <w:numId w:val="0"/>
        </w:numPr>
      </w:pPr>
      <w:bookmarkStart w:id="6" w:name="_Toc223962482"/>
      <w:r>
        <w:t>2.4 VRIO evaluation</w:t>
      </w:r>
      <w:bookmarkEnd w:id="6"/>
    </w:p>
    <w:p w14:paraId="2AAA2677" w14:textId="77777777" w:rsidR="00A2609B" w:rsidRDefault="00A2609B" w:rsidP="00A2609B">
      <w:r>
        <w:t>Table 1 evaluates Unilever’s main strategic capabilities using the VRIO framework.</w:t>
      </w:r>
    </w:p>
    <w:p w14:paraId="5C927ECB" w14:textId="52433DA0" w:rsidR="00A2609B" w:rsidRDefault="006A6A7C" w:rsidP="00A2609B">
      <w:r w:rsidRPr="006A6A7C">
        <w:t xml:space="preserve">All in all, according to the VRIO analysis, individual assets do not determine the strongest sources of advantage at Unilever, but a system of reinforcing each other: Power Brand equity, global route-to-market capability, science-backed innovation, and large-scale operating discipline. Theoretically, some of these resources can be imitated, but imitation is practically hard since competitors </w:t>
      </w:r>
      <w:proofErr w:type="gramStart"/>
      <w:r w:rsidRPr="006A6A7C">
        <w:t>have to</w:t>
      </w:r>
      <w:proofErr w:type="gramEnd"/>
      <w:r w:rsidRPr="006A6A7C">
        <w:t xml:space="preserve"> duplicate brand trust, local market expertise, relationships with retailers, sourcing networks and data-driven execution all at the same time. This renders the advantage of Unilever more systematic than </w:t>
      </w:r>
      <w:proofErr w:type="gramStart"/>
      <w:r w:rsidRPr="006A6A7C">
        <w:t>discrete</w:t>
      </w:r>
      <w:proofErr w:type="gramEnd"/>
      <w:r w:rsidR="00A2609B">
        <w:t>.</w:t>
      </w:r>
    </w:p>
    <w:p w14:paraId="7B170A3C" w14:textId="77777777" w:rsidR="00A2609B" w:rsidRDefault="00A2609B" w:rsidP="00A2609B">
      <w:r w:rsidRPr="00A2609B">
        <w:rPr>
          <w:b/>
          <w:bCs/>
        </w:rPr>
        <w:t>Table 1.</w:t>
      </w:r>
      <w:r>
        <w:t xml:space="preserve"> VRIO evaluation of Unilever’s principal strategic capabilities.</w:t>
      </w:r>
    </w:p>
    <w:tbl>
      <w:tblPr>
        <w:tblW w:w="0" w:type="auto"/>
        <w:jc w:val="center"/>
        <w:tblBorders>
          <w:top w:val="single" w:sz="8" w:space="0" w:color="BFC5D2"/>
          <w:left w:val="single" w:sz="8" w:space="0" w:color="BFC5D2"/>
          <w:bottom w:val="single" w:sz="8" w:space="0" w:color="BFC5D2"/>
          <w:right w:val="single" w:sz="8" w:space="0" w:color="BFC5D2"/>
          <w:insideH w:val="single" w:sz="8" w:space="0" w:color="BFC5D2"/>
          <w:insideV w:val="single" w:sz="8" w:space="0" w:color="BFC5D2"/>
        </w:tblBorders>
        <w:tblLayout w:type="fixed"/>
        <w:tblLook w:val="04A0" w:firstRow="1" w:lastRow="0" w:firstColumn="1" w:lastColumn="0" w:noHBand="0" w:noVBand="1"/>
      </w:tblPr>
      <w:tblGrid>
        <w:gridCol w:w="2324"/>
        <w:gridCol w:w="907"/>
        <w:gridCol w:w="794"/>
        <w:gridCol w:w="1304"/>
        <w:gridCol w:w="1474"/>
        <w:gridCol w:w="2438"/>
      </w:tblGrid>
      <w:tr w:rsidR="00A2609B" w14:paraId="194D4219" w14:textId="77777777" w:rsidTr="00F70DD1">
        <w:trPr>
          <w:jc w:val="center"/>
        </w:trPr>
        <w:tc>
          <w:tcPr>
            <w:tcW w:w="2324" w:type="dxa"/>
            <w:shd w:val="clear" w:color="auto" w:fill="D9E2F3"/>
            <w:tcMar>
              <w:top w:w="100" w:type="dxa"/>
              <w:left w:w="120" w:type="dxa"/>
              <w:bottom w:w="100" w:type="dxa"/>
              <w:right w:w="120" w:type="dxa"/>
            </w:tcMar>
            <w:vAlign w:val="center"/>
          </w:tcPr>
          <w:p w14:paraId="3DF08D7E" w14:textId="77777777" w:rsidR="00A2609B" w:rsidRPr="00A2609B" w:rsidRDefault="00A2609B" w:rsidP="00A2609B">
            <w:pPr>
              <w:rPr>
                <w:b/>
                <w:bCs/>
              </w:rPr>
            </w:pPr>
            <w:r w:rsidRPr="00A2609B">
              <w:rPr>
                <w:b/>
                <w:bCs/>
              </w:rPr>
              <w:t>Capability / resource</w:t>
            </w:r>
          </w:p>
        </w:tc>
        <w:tc>
          <w:tcPr>
            <w:tcW w:w="907" w:type="dxa"/>
            <w:shd w:val="clear" w:color="auto" w:fill="D9E2F3"/>
            <w:tcMar>
              <w:top w:w="100" w:type="dxa"/>
              <w:left w:w="120" w:type="dxa"/>
              <w:bottom w:w="100" w:type="dxa"/>
              <w:right w:w="120" w:type="dxa"/>
            </w:tcMar>
            <w:vAlign w:val="center"/>
          </w:tcPr>
          <w:p w14:paraId="5070F19D" w14:textId="77777777" w:rsidR="00A2609B" w:rsidRPr="00A2609B" w:rsidRDefault="00A2609B" w:rsidP="00A2609B">
            <w:pPr>
              <w:rPr>
                <w:b/>
                <w:bCs/>
              </w:rPr>
            </w:pPr>
            <w:r w:rsidRPr="00A2609B">
              <w:rPr>
                <w:b/>
                <w:bCs/>
              </w:rPr>
              <w:t>Valuable</w:t>
            </w:r>
          </w:p>
        </w:tc>
        <w:tc>
          <w:tcPr>
            <w:tcW w:w="794" w:type="dxa"/>
            <w:shd w:val="clear" w:color="auto" w:fill="D9E2F3"/>
            <w:tcMar>
              <w:top w:w="100" w:type="dxa"/>
              <w:left w:w="120" w:type="dxa"/>
              <w:bottom w:w="100" w:type="dxa"/>
              <w:right w:w="120" w:type="dxa"/>
            </w:tcMar>
            <w:vAlign w:val="center"/>
          </w:tcPr>
          <w:p w14:paraId="17F201E2" w14:textId="77777777" w:rsidR="00A2609B" w:rsidRPr="00A2609B" w:rsidRDefault="00A2609B" w:rsidP="00A2609B">
            <w:pPr>
              <w:rPr>
                <w:b/>
                <w:bCs/>
              </w:rPr>
            </w:pPr>
            <w:r w:rsidRPr="00A2609B">
              <w:rPr>
                <w:b/>
                <w:bCs/>
              </w:rPr>
              <w:t>Rare</w:t>
            </w:r>
          </w:p>
        </w:tc>
        <w:tc>
          <w:tcPr>
            <w:tcW w:w="1304" w:type="dxa"/>
            <w:shd w:val="clear" w:color="auto" w:fill="D9E2F3"/>
            <w:tcMar>
              <w:top w:w="100" w:type="dxa"/>
              <w:left w:w="120" w:type="dxa"/>
              <w:bottom w:w="100" w:type="dxa"/>
              <w:right w:w="120" w:type="dxa"/>
            </w:tcMar>
            <w:vAlign w:val="center"/>
          </w:tcPr>
          <w:p w14:paraId="3A3EF984" w14:textId="77777777" w:rsidR="00A2609B" w:rsidRPr="00A2609B" w:rsidRDefault="00A2609B" w:rsidP="00A2609B">
            <w:pPr>
              <w:rPr>
                <w:b/>
                <w:bCs/>
              </w:rPr>
            </w:pPr>
            <w:r w:rsidRPr="00A2609B">
              <w:rPr>
                <w:b/>
                <w:bCs/>
              </w:rPr>
              <w:t>Hard to imitate</w:t>
            </w:r>
          </w:p>
        </w:tc>
        <w:tc>
          <w:tcPr>
            <w:tcW w:w="1474" w:type="dxa"/>
            <w:shd w:val="clear" w:color="auto" w:fill="D9E2F3"/>
            <w:tcMar>
              <w:top w:w="100" w:type="dxa"/>
              <w:left w:w="120" w:type="dxa"/>
              <w:bottom w:w="100" w:type="dxa"/>
              <w:right w:w="120" w:type="dxa"/>
            </w:tcMar>
            <w:vAlign w:val="center"/>
          </w:tcPr>
          <w:p w14:paraId="1CF7228F" w14:textId="77777777" w:rsidR="00A2609B" w:rsidRPr="00A2609B" w:rsidRDefault="00A2609B" w:rsidP="00A2609B">
            <w:pPr>
              <w:rPr>
                <w:b/>
                <w:bCs/>
              </w:rPr>
            </w:pPr>
            <w:proofErr w:type="spellStart"/>
            <w:r w:rsidRPr="00A2609B">
              <w:rPr>
                <w:b/>
                <w:bCs/>
              </w:rPr>
              <w:t>Organised</w:t>
            </w:r>
            <w:proofErr w:type="spellEnd"/>
            <w:r w:rsidRPr="00A2609B">
              <w:rPr>
                <w:b/>
                <w:bCs/>
              </w:rPr>
              <w:t xml:space="preserve"> to capture value</w:t>
            </w:r>
          </w:p>
        </w:tc>
        <w:tc>
          <w:tcPr>
            <w:tcW w:w="2438" w:type="dxa"/>
            <w:shd w:val="clear" w:color="auto" w:fill="D9E2F3"/>
            <w:tcMar>
              <w:top w:w="100" w:type="dxa"/>
              <w:left w:w="120" w:type="dxa"/>
              <w:bottom w:w="100" w:type="dxa"/>
              <w:right w:w="120" w:type="dxa"/>
            </w:tcMar>
            <w:vAlign w:val="center"/>
          </w:tcPr>
          <w:p w14:paraId="4FF5871D" w14:textId="77777777" w:rsidR="00A2609B" w:rsidRPr="00A2609B" w:rsidRDefault="00A2609B" w:rsidP="00A2609B">
            <w:pPr>
              <w:rPr>
                <w:b/>
                <w:bCs/>
              </w:rPr>
            </w:pPr>
            <w:r w:rsidRPr="00A2609B">
              <w:rPr>
                <w:b/>
                <w:bCs/>
              </w:rPr>
              <w:t>Strategic implication</w:t>
            </w:r>
          </w:p>
        </w:tc>
      </w:tr>
      <w:tr w:rsidR="00A2609B" w14:paraId="4C126470" w14:textId="77777777" w:rsidTr="00F70DD1">
        <w:trPr>
          <w:jc w:val="center"/>
        </w:trPr>
        <w:tc>
          <w:tcPr>
            <w:tcW w:w="2324" w:type="dxa"/>
            <w:tcMar>
              <w:top w:w="100" w:type="dxa"/>
              <w:left w:w="120" w:type="dxa"/>
              <w:bottom w:w="100" w:type="dxa"/>
              <w:right w:w="120" w:type="dxa"/>
            </w:tcMar>
            <w:vAlign w:val="center"/>
          </w:tcPr>
          <w:p w14:paraId="43ED7566" w14:textId="77777777" w:rsidR="00A2609B" w:rsidRDefault="00A2609B" w:rsidP="00A2609B">
            <w:r>
              <w:t>Power brands and global brand-building system</w:t>
            </w:r>
          </w:p>
        </w:tc>
        <w:tc>
          <w:tcPr>
            <w:tcW w:w="907" w:type="dxa"/>
            <w:tcMar>
              <w:top w:w="100" w:type="dxa"/>
              <w:left w:w="120" w:type="dxa"/>
              <w:bottom w:w="100" w:type="dxa"/>
              <w:right w:w="120" w:type="dxa"/>
            </w:tcMar>
            <w:vAlign w:val="center"/>
          </w:tcPr>
          <w:p w14:paraId="07BDAC5D" w14:textId="77777777" w:rsidR="00A2609B" w:rsidRDefault="00A2609B" w:rsidP="00A2609B">
            <w:r>
              <w:t>Yes</w:t>
            </w:r>
          </w:p>
        </w:tc>
        <w:tc>
          <w:tcPr>
            <w:tcW w:w="794" w:type="dxa"/>
            <w:tcMar>
              <w:top w:w="100" w:type="dxa"/>
              <w:left w:w="120" w:type="dxa"/>
              <w:bottom w:w="100" w:type="dxa"/>
              <w:right w:w="120" w:type="dxa"/>
            </w:tcMar>
            <w:vAlign w:val="center"/>
          </w:tcPr>
          <w:p w14:paraId="128A2B41" w14:textId="77777777" w:rsidR="00A2609B" w:rsidRDefault="00A2609B" w:rsidP="00A2609B">
            <w:r>
              <w:t>Partly</w:t>
            </w:r>
          </w:p>
        </w:tc>
        <w:tc>
          <w:tcPr>
            <w:tcW w:w="1304" w:type="dxa"/>
            <w:tcMar>
              <w:top w:w="100" w:type="dxa"/>
              <w:left w:w="120" w:type="dxa"/>
              <w:bottom w:w="100" w:type="dxa"/>
              <w:right w:w="120" w:type="dxa"/>
            </w:tcMar>
            <w:vAlign w:val="center"/>
          </w:tcPr>
          <w:p w14:paraId="59AA0A51" w14:textId="77777777" w:rsidR="00A2609B" w:rsidRDefault="00A2609B" w:rsidP="00A2609B">
            <w:r>
              <w:t>Partly</w:t>
            </w:r>
          </w:p>
        </w:tc>
        <w:tc>
          <w:tcPr>
            <w:tcW w:w="1474" w:type="dxa"/>
            <w:tcMar>
              <w:top w:w="100" w:type="dxa"/>
              <w:left w:w="120" w:type="dxa"/>
              <w:bottom w:w="100" w:type="dxa"/>
              <w:right w:w="120" w:type="dxa"/>
            </w:tcMar>
            <w:vAlign w:val="center"/>
          </w:tcPr>
          <w:p w14:paraId="6B5ABDFC" w14:textId="77777777" w:rsidR="00A2609B" w:rsidRDefault="00A2609B" w:rsidP="00A2609B">
            <w:r>
              <w:t>Yes</w:t>
            </w:r>
          </w:p>
        </w:tc>
        <w:tc>
          <w:tcPr>
            <w:tcW w:w="2438" w:type="dxa"/>
            <w:tcMar>
              <w:top w:w="100" w:type="dxa"/>
              <w:left w:w="120" w:type="dxa"/>
              <w:bottom w:w="100" w:type="dxa"/>
              <w:right w:w="120" w:type="dxa"/>
            </w:tcMar>
            <w:vAlign w:val="center"/>
          </w:tcPr>
          <w:p w14:paraId="1337505B" w14:textId="77777777" w:rsidR="00A2609B" w:rsidRDefault="00A2609B" w:rsidP="00A2609B">
            <w:r>
              <w:t>Strong advantage when brand support and innovation stay disciplined</w:t>
            </w:r>
          </w:p>
        </w:tc>
      </w:tr>
      <w:tr w:rsidR="00A2609B" w14:paraId="4B80CB2A" w14:textId="77777777" w:rsidTr="00F70DD1">
        <w:trPr>
          <w:jc w:val="center"/>
        </w:trPr>
        <w:tc>
          <w:tcPr>
            <w:tcW w:w="2324" w:type="dxa"/>
            <w:tcMar>
              <w:top w:w="100" w:type="dxa"/>
              <w:left w:w="120" w:type="dxa"/>
              <w:bottom w:w="100" w:type="dxa"/>
              <w:right w:w="120" w:type="dxa"/>
            </w:tcMar>
            <w:vAlign w:val="center"/>
          </w:tcPr>
          <w:p w14:paraId="78A3EB0F" w14:textId="77777777" w:rsidR="00A2609B" w:rsidRDefault="00A2609B" w:rsidP="00A2609B">
            <w:r>
              <w:lastRenderedPageBreak/>
              <w:t>Emerging-market route-to-market and distribution depth</w:t>
            </w:r>
          </w:p>
        </w:tc>
        <w:tc>
          <w:tcPr>
            <w:tcW w:w="907" w:type="dxa"/>
            <w:tcMar>
              <w:top w:w="100" w:type="dxa"/>
              <w:left w:w="120" w:type="dxa"/>
              <w:bottom w:w="100" w:type="dxa"/>
              <w:right w:w="120" w:type="dxa"/>
            </w:tcMar>
            <w:vAlign w:val="center"/>
          </w:tcPr>
          <w:p w14:paraId="437D9E80" w14:textId="77777777" w:rsidR="00A2609B" w:rsidRDefault="00A2609B" w:rsidP="00A2609B">
            <w:r>
              <w:t>Yes</w:t>
            </w:r>
          </w:p>
        </w:tc>
        <w:tc>
          <w:tcPr>
            <w:tcW w:w="794" w:type="dxa"/>
            <w:tcMar>
              <w:top w:w="100" w:type="dxa"/>
              <w:left w:w="120" w:type="dxa"/>
              <w:bottom w:w="100" w:type="dxa"/>
              <w:right w:w="120" w:type="dxa"/>
            </w:tcMar>
            <w:vAlign w:val="center"/>
          </w:tcPr>
          <w:p w14:paraId="45367EAC" w14:textId="77777777" w:rsidR="00A2609B" w:rsidRDefault="00A2609B" w:rsidP="00A2609B">
            <w:r>
              <w:t>Yes</w:t>
            </w:r>
          </w:p>
        </w:tc>
        <w:tc>
          <w:tcPr>
            <w:tcW w:w="1304" w:type="dxa"/>
            <w:tcMar>
              <w:top w:w="100" w:type="dxa"/>
              <w:left w:w="120" w:type="dxa"/>
              <w:bottom w:w="100" w:type="dxa"/>
              <w:right w:w="120" w:type="dxa"/>
            </w:tcMar>
            <w:vAlign w:val="center"/>
          </w:tcPr>
          <w:p w14:paraId="56A67515" w14:textId="77777777" w:rsidR="00A2609B" w:rsidRDefault="00A2609B" w:rsidP="00A2609B">
            <w:r>
              <w:t>Yes</w:t>
            </w:r>
          </w:p>
        </w:tc>
        <w:tc>
          <w:tcPr>
            <w:tcW w:w="1474" w:type="dxa"/>
            <w:tcMar>
              <w:top w:w="100" w:type="dxa"/>
              <w:left w:w="120" w:type="dxa"/>
              <w:bottom w:w="100" w:type="dxa"/>
              <w:right w:w="120" w:type="dxa"/>
            </w:tcMar>
            <w:vAlign w:val="center"/>
          </w:tcPr>
          <w:p w14:paraId="4AE69659" w14:textId="77777777" w:rsidR="00A2609B" w:rsidRDefault="00A2609B" w:rsidP="00A2609B">
            <w:r>
              <w:t>Yes</w:t>
            </w:r>
          </w:p>
        </w:tc>
        <w:tc>
          <w:tcPr>
            <w:tcW w:w="2438" w:type="dxa"/>
            <w:tcMar>
              <w:top w:w="100" w:type="dxa"/>
              <w:left w:w="120" w:type="dxa"/>
              <w:bottom w:w="100" w:type="dxa"/>
              <w:right w:w="120" w:type="dxa"/>
            </w:tcMar>
            <w:vAlign w:val="center"/>
          </w:tcPr>
          <w:p w14:paraId="0B22A782" w14:textId="77777777" w:rsidR="00A2609B" w:rsidRDefault="00A2609B" w:rsidP="00A2609B">
            <w:r>
              <w:t>Sustained advantage in scale-sensitive categories</w:t>
            </w:r>
          </w:p>
        </w:tc>
      </w:tr>
      <w:tr w:rsidR="00A2609B" w14:paraId="1ACF8A18" w14:textId="77777777" w:rsidTr="00F70DD1">
        <w:trPr>
          <w:jc w:val="center"/>
        </w:trPr>
        <w:tc>
          <w:tcPr>
            <w:tcW w:w="2324" w:type="dxa"/>
            <w:tcMar>
              <w:top w:w="100" w:type="dxa"/>
              <w:left w:w="120" w:type="dxa"/>
              <w:bottom w:w="100" w:type="dxa"/>
              <w:right w:w="120" w:type="dxa"/>
            </w:tcMar>
            <w:vAlign w:val="center"/>
          </w:tcPr>
          <w:p w14:paraId="26FEF927" w14:textId="77777777" w:rsidR="00A2609B" w:rsidRDefault="00A2609B" w:rsidP="00A2609B">
            <w:r>
              <w:t>R&amp;D, formulation science and consumer insight integration</w:t>
            </w:r>
          </w:p>
        </w:tc>
        <w:tc>
          <w:tcPr>
            <w:tcW w:w="907" w:type="dxa"/>
            <w:tcMar>
              <w:top w:w="100" w:type="dxa"/>
              <w:left w:w="120" w:type="dxa"/>
              <w:bottom w:w="100" w:type="dxa"/>
              <w:right w:w="120" w:type="dxa"/>
            </w:tcMar>
            <w:vAlign w:val="center"/>
          </w:tcPr>
          <w:p w14:paraId="1EA9206A" w14:textId="77777777" w:rsidR="00A2609B" w:rsidRDefault="00A2609B" w:rsidP="00A2609B">
            <w:r>
              <w:t>Yes</w:t>
            </w:r>
          </w:p>
        </w:tc>
        <w:tc>
          <w:tcPr>
            <w:tcW w:w="794" w:type="dxa"/>
            <w:tcMar>
              <w:top w:w="100" w:type="dxa"/>
              <w:left w:w="120" w:type="dxa"/>
              <w:bottom w:w="100" w:type="dxa"/>
              <w:right w:w="120" w:type="dxa"/>
            </w:tcMar>
            <w:vAlign w:val="center"/>
          </w:tcPr>
          <w:p w14:paraId="594D54C7" w14:textId="77777777" w:rsidR="00A2609B" w:rsidRDefault="00A2609B" w:rsidP="00A2609B">
            <w:r>
              <w:t>Yes</w:t>
            </w:r>
          </w:p>
        </w:tc>
        <w:tc>
          <w:tcPr>
            <w:tcW w:w="1304" w:type="dxa"/>
            <w:tcMar>
              <w:top w:w="100" w:type="dxa"/>
              <w:left w:w="120" w:type="dxa"/>
              <w:bottom w:w="100" w:type="dxa"/>
              <w:right w:w="120" w:type="dxa"/>
            </w:tcMar>
            <w:vAlign w:val="center"/>
          </w:tcPr>
          <w:p w14:paraId="06BA4112" w14:textId="77777777" w:rsidR="00A2609B" w:rsidRDefault="00A2609B" w:rsidP="00A2609B">
            <w:r>
              <w:t>Partly</w:t>
            </w:r>
          </w:p>
        </w:tc>
        <w:tc>
          <w:tcPr>
            <w:tcW w:w="1474" w:type="dxa"/>
            <w:tcMar>
              <w:top w:w="100" w:type="dxa"/>
              <w:left w:w="120" w:type="dxa"/>
              <w:bottom w:w="100" w:type="dxa"/>
              <w:right w:w="120" w:type="dxa"/>
            </w:tcMar>
            <w:vAlign w:val="center"/>
          </w:tcPr>
          <w:p w14:paraId="325EFCCC" w14:textId="77777777" w:rsidR="00A2609B" w:rsidRDefault="00A2609B" w:rsidP="00A2609B">
            <w:r>
              <w:t>Yes</w:t>
            </w:r>
          </w:p>
        </w:tc>
        <w:tc>
          <w:tcPr>
            <w:tcW w:w="2438" w:type="dxa"/>
            <w:tcMar>
              <w:top w:w="100" w:type="dxa"/>
              <w:left w:w="120" w:type="dxa"/>
              <w:bottom w:w="100" w:type="dxa"/>
              <w:right w:w="120" w:type="dxa"/>
            </w:tcMar>
            <w:vAlign w:val="center"/>
          </w:tcPr>
          <w:p w14:paraId="0114ECDD" w14:textId="77777777" w:rsidR="00A2609B" w:rsidRDefault="00A2609B" w:rsidP="00A2609B">
            <w:r>
              <w:t>Advantage depends on speed of conversion into superior products</w:t>
            </w:r>
          </w:p>
        </w:tc>
      </w:tr>
      <w:tr w:rsidR="00A2609B" w14:paraId="0A63CB5E" w14:textId="77777777" w:rsidTr="00F70DD1">
        <w:trPr>
          <w:jc w:val="center"/>
        </w:trPr>
        <w:tc>
          <w:tcPr>
            <w:tcW w:w="2324" w:type="dxa"/>
            <w:tcMar>
              <w:top w:w="100" w:type="dxa"/>
              <w:left w:w="120" w:type="dxa"/>
              <w:bottom w:w="100" w:type="dxa"/>
              <w:right w:w="120" w:type="dxa"/>
            </w:tcMar>
            <w:vAlign w:val="center"/>
          </w:tcPr>
          <w:p w14:paraId="26F169DA" w14:textId="77777777" w:rsidR="00A2609B" w:rsidRDefault="00A2609B" w:rsidP="00A2609B">
            <w:r>
              <w:t>Procurement scale and productivity capability</w:t>
            </w:r>
          </w:p>
        </w:tc>
        <w:tc>
          <w:tcPr>
            <w:tcW w:w="907" w:type="dxa"/>
            <w:tcMar>
              <w:top w:w="100" w:type="dxa"/>
              <w:left w:w="120" w:type="dxa"/>
              <w:bottom w:w="100" w:type="dxa"/>
              <w:right w:w="120" w:type="dxa"/>
            </w:tcMar>
            <w:vAlign w:val="center"/>
          </w:tcPr>
          <w:p w14:paraId="167698D7" w14:textId="77777777" w:rsidR="00A2609B" w:rsidRDefault="00A2609B" w:rsidP="00A2609B">
            <w:r>
              <w:t>Yes</w:t>
            </w:r>
          </w:p>
        </w:tc>
        <w:tc>
          <w:tcPr>
            <w:tcW w:w="794" w:type="dxa"/>
            <w:tcMar>
              <w:top w:w="100" w:type="dxa"/>
              <w:left w:w="120" w:type="dxa"/>
              <w:bottom w:w="100" w:type="dxa"/>
              <w:right w:w="120" w:type="dxa"/>
            </w:tcMar>
            <w:vAlign w:val="center"/>
          </w:tcPr>
          <w:p w14:paraId="5ED23A9F" w14:textId="77777777" w:rsidR="00A2609B" w:rsidRDefault="00A2609B" w:rsidP="00A2609B">
            <w:r>
              <w:t>Partly</w:t>
            </w:r>
          </w:p>
        </w:tc>
        <w:tc>
          <w:tcPr>
            <w:tcW w:w="1304" w:type="dxa"/>
            <w:tcMar>
              <w:top w:w="100" w:type="dxa"/>
              <w:left w:w="120" w:type="dxa"/>
              <w:bottom w:w="100" w:type="dxa"/>
              <w:right w:w="120" w:type="dxa"/>
            </w:tcMar>
            <w:vAlign w:val="center"/>
          </w:tcPr>
          <w:p w14:paraId="421FC509" w14:textId="77777777" w:rsidR="00A2609B" w:rsidRDefault="00A2609B" w:rsidP="00A2609B">
            <w:r>
              <w:t>Partly</w:t>
            </w:r>
          </w:p>
        </w:tc>
        <w:tc>
          <w:tcPr>
            <w:tcW w:w="1474" w:type="dxa"/>
            <w:tcMar>
              <w:top w:w="100" w:type="dxa"/>
              <w:left w:w="120" w:type="dxa"/>
              <w:bottom w:w="100" w:type="dxa"/>
              <w:right w:w="120" w:type="dxa"/>
            </w:tcMar>
            <w:vAlign w:val="center"/>
          </w:tcPr>
          <w:p w14:paraId="57D6AF34" w14:textId="77777777" w:rsidR="00A2609B" w:rsidRDefault="00A2609B" w:rsidP="00A2609B">
            <w:r>
              <w:t>Yes</w:t>
            </w:r>
          </w:p>
        </w:tc>
        <w:tc>
          <w:tcPr>
            <w:tcW w:w="2438" w:type="dxa"/>
            <w:tcMar>
              <w:top w:w="100" w:type="dxa"/>
              <w:left w:w="120" w:type="dxa"/>
              <w:bottom w:w="100" w:type="dxa"/>
              <w:right w:w="120" w:type="dxa"/>
            </w:tcMar>
            <w:vAlign w:val="center"/>
          </w:tcPr>
          <w:p w14:paraId="620C3BED" w14:textId="77777777" w:rsidR="00A2609B" w:rsidRDefault="00A2609B" w:rsidP="00A2609B">
            <w:r>
              <w:t>Necessary source of margin resilience, but not sufficient on its own</w:t>
            </w:r>
          </w:p>
        </w:tc>
      </w:tr>
      <w:tr w:rsidR="00A2609B" w14:paraId="4014DDB5" w14:textId="77777777" w:rsidTr="00F70DD1">
        <w:trPr>
          <w:jc w:val="center"/>
        </w:trPr>
        <w:tc>
          <w:tcPr>
            <w:tcW w:w="2324" w:type="dxa"/>
            <w:tcMar>
              <w:top w:w="100" w:type="dxa"/>
              <w:left w:w="120" w:type="dxa"/>
              <w:bottom w:w="100" w:type="dxa"/>
              <w:right w:w="120" w:type="dxa"/>
            </w:tcMar>
            <w:vAlign w:val="center"/>
          </w:tcPr>
          <w:p w14:paraId="317D8794" w14:textId="77777777" w:rsidR="00A2609B" w:rsidRDefault="00A2609B" w:rsidP="00A2609B">
            <w:r>
              <w:t xml:space="preserve">Restructuring, portfolio focus and </w:t>
            </w:r>
            <w:proofErr w:type="spellStart"/>
            <w:r>
              <w:t>organisational</w:t>
            </w:r>
            <w:proofErr w:type="spellEnd"/>
            <w:r>
              <w:t xml:space="preserve"> learning</w:t>
            </w:r>
          </w:p>
        </w:tc>
        <w:tc>
          <w:tcPr>
            <w:tcW w:w="907" w:type="dxa"/>
            <w:tcMar>
              <w:top w:w="100" w:type="dxa"/>
              <w:left w:w="120" w:type="dxa"/>
              <w:bottom w:w="100" w:type="dxa"/>
              <w:right w:w="120" w:type="dxa"/>
            </w:tcMar>
            <w:vAlign w:val="center"/>
          </w:tcPr>
          <w:p w14:paraId="37C6F59C" w14:textId="77777777" w:rsidR="00A2609B" w:rsidRDefault="00A2609B" w:rsidP="00A2609B">
            <w:r>
              <w:t>Yes</w:t>
            </w:r>
          </w:p>
        </w:tc>
        <w:tc>
          <w:tcPr>
            <w:tcW w:w="794" w:type="dxa"/>
            <w:tcMar>
              <w:top w:w="100" w:type="dxa"/>
              <w:left w:w="120" w:type="dxa"/>
              <w:bottom w:w="100" w:type="dxa"/>
              <w:right w:w="120" w:type="dxa"/>
            </w:tcMar>
            <w:vAlign w:val="center"/>
          </w:tcPr>
          <w:p w14:paraId="66C92807" w14:textId="77777777" w:rsidR="00A2609B" w:rsidRDefault="00A2609B" w:rsidP="00A2609B">
            <w:r>
              <w:t>Partly</w:t>
            </w:r>
          </w:p>
        </w:tc>
        <w:tc>
          <w:tcPr>
            <w:tcW w:w="1304" w:type="dxa"/>
            <w:tcMar>
              <w:top w:w="100" w:type="dxa"/>
              <w:left w:w="120" w:type="dxa"/>
              <w:bottom w:w="100" w:type="dxa"/>
              <w:right w:w="120" w:type="dxa"/>
            </w:tcMar>
            <w:vAlign w:val="center"/>
          </w:tcPr>
          <w:p w14:paraId="4E1183E3" w14:textId="77777777" w:rsidR="00A2609B" w:rsidRDefault="00A2609B" w:rsidP="00A2609B">
            <w:r>
              <w:t>Yes</w:t>
            </w:r>
          </w:p>
        </w:tc>
        <w:tc>
          <w:tcPr>
            <w:tcW w:w="1474" w:type="dxa"/>
            <w:tcMar>
              <w:top w:w="100" w:type="dxa"/>
              <w:left w:w="120" w:type="dxa"/>
              <w:bottom w:w="100" w:type="dxa"/>
              <w:right w:w="120" w:type="dxa"/>
            </w:tcMar>
            <w:vAlign w:val="center"/>
          </w:tcPr>
          <w:p w14:paraId="10FD7229" w14:textId="77777777" w:rsidR="00A2609B" w:rsidRDefault="00A2609B" w:rsidP="00A2609B">
            <w:r>
              <w:t>Partly</w:t>
            </w:r>
          </w:p>
        </w:tc>
        <w:tc>
          <w:tcPr>
            <w:tcW w:w="2438" w:type="dxa"/>
            <w:tcMar>
              <w:top w:w="100" w:type="dxa"/>
              <w:left w:w="120" w:type="dxa"/>
              <w:bottom w:w="100" w:type="dxa"/>
              <w:right w:w="120" w:type="dxa"/>
            </w:tcMar>
            <w:vAlign w:val="center"/>
          </w:tcPr>
          <w:p w14:paraId="66114870" w14:textId="77777777" w:rsidR="00A2609B" w:rsidRDefault="00A2609B" w:rsidP="00A2609B">
            <w:r>
              <w:t xml:space="preserve">Potential advantage if </w:t>
            </w:r>
            <w:proofErr w:type="spellStart"/>
            <w:r>
              <w:t>behavioural</w:t>
            </w:r>
            <w:proofErr w:type="spellEnd"/>
            <w:r>
              <w:t xml:space="preserve"> change embeds beyond headline restructuring</w:t>
            </w:r>
          </w:p>
        </w:tc>
      </w:tr>
    </w:tbl>
    <w:p w14:paraId="7B8A4D9B" w14:textId="0F169341" w:rsidR="00A2609B" w:rsidRDefault="006A6A7C" w:rsidP="00A2609B">
      <w:r w:rsidRPr="006A6A7C">
        <w:t>Simultaneously, one more warning can be identified within the VRIO assessment. There are resources which are valuable and are not rare like access to marketing tools or basic digital platforms since they are shared by the competitors. Unilever cannot therefore count on size alone. Only in cases when the company can combine the scale with increased execution, enhanced innovation economics and improved portfolio decisions, competitive advantage remains</w:t>
      </w:r>
      <w:r w:rsidR="00A2609B">
        <w:t>.</w:t>
      </w:r>
    </w:p>
    <w:p w14:paraId="03D01FE2" w14:textId="77777777" w:rsidR="00A2609B" w:rsidRDefault="00A2609B" w:rsidP="00A2609B">
      <w:pPr>
        <w:pStyle w:val="Heading2"/>
        <w:numPr>
          <w:ilvl w:val="0"/>
          <w:numId w:val="0"/>
        </w:numPr>
      </w:pPr>
      <w:bookmarkStart w:id="7" w:name="_Toc223962483"/>
      <w:r>
        <w:t>3. CSR and sustainability objectives</w:t>
      </w:r>
      <w:bookmarkEnd w:id="7"/>
    </w:p>
    <w:p w14:paraId="6263DC38" w14:textId="673AA764" w:rsidR="00A2609B" w:rsidRDefault="006A6A7C" w:rsidP="00A2609B">
      <w:r w:rsidRPr="006A6A7C">
        <w:t xml:space="preserve">The CSR and sustainability strategy of Unilever is more strategically credible than most of the big corporations since it is now more focused. Instead of a broad catalogue of social commitments, which are vaguely connected to the business, the company focuses its sustainability agenda on climate, nature, plastics and livelihoods and incorporates material disclosures into its annual reporting and governance </w:t>
      </w:r>
      <w:proofErr w:type="spellStart"/>
      <w:r w:rsidRPr="006A6A7C">
        <w:t>practises</w:t>
      </w:r>
      <w:proofErr w:type="spellEnd"/>
      <w:r w:rsidRPr="006A6A7C">
        <w:t xml:space="preserve"> (Unilever, 2025a; Unilever, 2025d). The Audit Committee of the Board </w:t>
      </w:r>
      <w:proofErr w:type="gramStart"/>
      <w:r w:rsidRPr="006A6A7C">
        <w:t>is in charge of</w:t>
      </w:r>
      <w:proofErr w:type="gramEnd"/>
      <w:r w:rsidRPr="006A6A7C">
        <w:t xml:space="preserve"> assurance of the chosen sustainability metrics, and the Corporate Responsibility Committee monitors the progress on the core sustainability issues which means that the agenda is visible to the governance bodies and not to the communications teams only</w:t>
      </w:r>
      <w:r w:rsidR="00A2609B">
        <w:t xml:space="preserve"> (Unilever, 2025a).</w:t>
      </w:r>
    </w:p>
    <w:p w14:paraId="2C04363F" w14:textId="77777777" w:rsidR="00A2609B" w:rsidRDefault="00A2609B" w:rsidP="00A2609B">
      <w:pPr>
        <w:jc w:val="center"/>
      </w:pPr>
      <w:r>
        <w:rPr>
          <w:noProof/>
        </w:rPr>
        <w:lastRenderedPageBreak/>
        <w:drawing>
          <wp:inline distT="0" distB="0" distL="0" distR="0" wp14:anchorId="6EB7004F" wp14:editId="7D93D70C">
            <wp:extent cx="5394960" cy="36059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usg.png"/>
                    <pic:cNvPicPr/>
                  </pic:nvPicPr>
                  <pic:blipFill>
                    <a:blip r:embed="rId12"/>
                    <a:stretch>
                      <a:fillRect/>
                    </a:stretch>
                  </pic:blipFill>
                  <pic:spPr>
                    <a:xfrm>
                      <a:off x="0" y="0"/>
                      <a:ext cx="5394960" cy="3605994"/>
                    </a:xfrm>
                    <a:prstGeom prst="rect">
                      <a:avLst/>
                    </a:prstGeom>
                  </pic:spPr>
                </pic:pic>
              </a:graphicData>
            </a:graphic>
          </wp:inline>
        </w:drawing>
      </w:r>
    </w:p>
    <w:p w14:paraId="38A1E9ED" w14:textId="77777777" w:rsidR="00A2609B" w:rsidRPr="00A2609B" w:rsidRDefault="00A2609B" w:rsidP="00A2609B">
      <w:pPr>
        <w:jc w:val="center"/>
        <w:rPr>
          <w:i/>
          <w:iCs/>
          <w:sz w:val="22"/>
          <w:szCs w:val="20"/>
        </w:rPr>
      </w:pPr>
      <w:r w:rsidRPr="00A2609B">
        <w:rPr>
          <w:i/>
          <w:iCs/>
          <w:sz w:val="22"/>
          <w:szCs w:val="20"/>
        </w:rPr>
        <w:t>Figure 4. Underlying sales growth by business group, FY2024. Source: compiled from Unilever (2025b).</w:t>
      </w:r>
    </w:p>
    <w:p w14:paraId="2A8A3881" w14:textId="77777777" w:rsidR="006A6A7C" w:rsidRDefault="006A6A7C" w:rsidP="006A6A7C">
      <w:r>
        <w:t xml:space="preserve">Strategic alignment against business objectives is </w:t>
      </w:r>
      <w:proofErr w:type="gramStart"/>
      <w:r>
        <w:t>fairly high</w:t>
      </w:r>
      <w:proofErr w:type="gramEnd"/>
      <w:r>
        <w:t xml:space="preserve">. Climate action facilitates supply resilience, energy efficiency and risk management. Nature and regenerative agriculture </w:t>
      </w:r>
      <w:proofErr w:type="gramStart"/>
      <w:r>
        <w:t>is</w:t>
      </w:r>
      <w:proofErr w:type="gramEnd"/>
      <w:r>
        <w:t xml:space="preserve"> directly related to agricultural raw material security. Plastic downsizing is associated with regulatory readiness and packaging innovativeness. The livelihood initiatives contribute to the stability of suppliers and their route-to-market resilience in cases where small retailers and producers are still commercially significant, particularly in emerging markets (Unilever, 2025e). Targets set by the company to have its suppliers who sign its Living Wage Promise by 2026 (50 percent of its procurement spend) and to assist 2.5 million SMEs within its retail value chain to expand their business by 2026 are a clear effort to link social impact with commercial capabilities (Unilever, 2025e).</w:t>
      </w:r>
    </w:p>
    <w:p w14:paraId="13A67A0B" w14:textId="77777777" w:rsidR="006A6A7C" w:rsidRDefault="006A6A7C" w:rsidP="006A6A7C">
      <w:r>
        <w:t xml:space="preserve">Importantly, though, CSR alignment must not be exaggerated. </w:t>
      </w:r>
      <w:proofErr w:type="gramStart"/>
      <w:r>
        <w:t>Similar to</w:t>
      </w:r>
      <w:proofErr w:type="gramEnd"/>
      <w:r>
        <w:t xml:space="preserve"> most multinationals, Unilever continues to experience the dilemma of sustainability aspiration versus business reality including input pressure, portfolio focus and differing market willingness to pay. There is a danger that sustainability is most powerful where it, as well, generates commercial payback, and slower where trade-offs are more difficult to make. However, in comparison to most of its counterparts, Unilever has a </w:t>
      </w:r>
      <w:proofErr w:type="gramStart"/>
      <w:r>
        <w:t>fairly developed</w:t>
      </w:r>
      <w:proofErr w:type="gramEnd"/>
      <w:r>
        <w:t xml:space="preserve"> procedure of encompassing CSR in strategic management instead of marginal philanthropy.</w:t>
      </w:r>
    </w:p>
    <w:p w14:paraId="2D3B1A7B" w14:textId="74A4AEEA" w:rsidR="00A2609B" w:rsidRDefault="006A6A7C" w:rsidP="006A6A7C">
      <w:r>
        <w:lastRenderedPageBreak/>
        <w:t xml:space="preserve">More stringent is the opinion that the sustainability of Unilever is strategically significant when it enhances resilience, access, trust or operating efficiency simultaneously. Regenerative agriculture will enable continuity of supply, redesign packaging will help mitigate regulatory risk, and plausible social impact will enable </w:t>
      </w:r>
      <w:proofErr w:type="spellStart"/>
      <w:r>
        <w:t>licence</w:t>
      </w:r>
      <w:proofErr w:type="spellEnd"/>
      <w:r>
        <w:t xml:space="preserve"> to operate with the retailers, governments and civil society actors. The most </w:t>
      </w:r>
      <w:proofErr w:type="gramStart"/>
      <w:r>
        <w:t>compelling</w:t>
      </w:r>
      <w:proofErr w:type="gramEnd"/>
      <w:r>
        <w:t xml:space="preserve"> is hence not the fact that sustainability is next to </w:t>
      </w:r>
      <w:proofErr w:type="gramStart"/>
      <w:r>
        <w:t>strategy, but</w:t>
      </w:r>
      <w:proofErr w:type="gramEnd"/>
      <w:r>
        <w:t xml:space="preserve"> varies the quality of strategy when associated with quantifiable commercial and operational results.</w:t>
      </w:r>
    </w:p>
    <w:p w14:paraId="4F739A74" w14:textId="77777777" w:rsidR="00A2609B" w:rsidRDefault="00A2609B" w:rsidP="00A2609B">
      <w:pPr>
        <w:pStyle w:val="Heading2"/>
        <w:numPr>
          <w:ilvl w:val="0"/>
          <w:numId w:val="0"/>
        </w:numPr>
      </w:pPr>
      <w:bookmarkStart w:id="8" w:name="_Toc223962484"/>
      <w:r>
        <w:t>4. Comprehensive and holistic view: Balanced Scorecard</w:t>
      </w:r>
      <w:bookmarkEnd w:id="8"/>
    </w:p>
    <w:p w14:paraId="1112FC72" w14:textId="77777777" w:rsidR="006A6A7C" w:rsidRDefault="006A6A7C" w:rsidP="006A6A7C">
      <w:r>
        <w:t xml:space="preserve">Balanced Scorecard is most effective in the case of Unilever since the performance of the company relies on aligning the financial and non-financial motives within a highly complex </w:t>
      </w:r>
      <w:proofErr w:type="spellStart"/>
      <w:r>
        <w:t>organisation</w:t>
      </w:r>
      <w:proofErr w:type="spellEnd"/>
      <w:r>
        <w:t xml:space="preserve"> (Kaplan and Norton, 1992). The strategy of the company is translated to four perspectives as shown in Table 2.</w:t>
      </w:r>
    </w:p>
    <w:p w14:paraId="12A7E4E2" w14:textId="206B55B7" w:rsidR="00A2609B" w:rsidRDefault="006A6A7C" w:rsidP="006A6A7C">
      <w:r>
        <w:t xml:space="preserve">Under the financial perspective, the main aim is profitable growth as opposed to growth by any means. The 2024 results indicate that Unilever is heading </w:t>
      </w:r>
      <w:proofErr w:type="gramStart"/>
      <w:r>
        <w:t>into</w:t>
      </w:r>
      <w:proofErr w:type="gramEnd"/>
      <w:r>
        <w:t xml:space="preserve"> the right direction as the underlying sales growth is 4.2 percent, the underlying operating margin stands at 18.4 percent, and the free cash flow is EUR6.9 billion (Unilever, 2025b). These measures show that the company enhanced quality of growth through integrating volume growth and margin growth. Appropriate targets would then be the sustenance of the underlying sales growth between 3 and 5 percent, additional small margin growth, and high cash conversion. Strategic plans are productivity savings, </w:t>
      </w:r>
      <w:proofErr w:type="gramStart"/>
      <w:r>
        <w:t>concentrate</w:t>
      </w:r>
      <w:proofErr w:type="gramEnd"/>
      <w:r>
        <w:t xml:space="preserve"> investment and portfolio simplification on Power Brands.</w:t>
      </w:r>
    </w:p>
    <w:p w14:paraId="4E04796F" w14:textId="77777777" w:rsidR="00A2609B" w:rsidRDefault="00A2609B" w:rsidP="00A2609B">
      <w:r w:rsidRPr="00A2609B">
        <w:rPr>
          <w:b/>
          <w:bCs/>
        </w:rPr>
        <w:t>Table 2.</w:t>
      </w:r>
      <w:r>
        <w:t xml:space="preserve"> Balanced Scorecard framework tailored to Unilever’s strategy.</w:t>
      </w:r>
    </w:p>
    <w:tbl>
      <w:tblPr>
        <w:tblW w:w="0" w:type="auto"/>
        <w:jc w:val="center"/>
        <w:tblBorders>
          <w:top w:val="single" w:sz="8" w:space="0" w:color="BFC5D2"/>
          <w:left w:val="single" w:sz="8" w:space="0" w:color="BFC5D2"/>
          <w:bottom w:val="single" w:sz="8" w:space="0" w:color="BFC5D2"/>
          <w:right w:val="single" w:sz="8" w:space="0" w:color="BFC5D2"/>
          <w:insideH w:val="single" w:sz="8" w:space="0" w:color="BFC5D2"/>
          <w:insideV w:val="single" w:sz="8" w:space="0" w:color="BFC5D2"/>
        </w:tblBorders>
        <w:tblLayout w:type="fixed"/>
        <w:tblLook w:val="04A0" w:firstRow="1" w:lastRow="0" w:firstColumn="1" w:lastColumn="0" w:noHBand="0" w:noVBand="1"/>
      </w:tblPr>
      <w:tblGrid>
        <w:gridCol w:w="1247"/>
        <w:gridCol w:w="2268"/>
        <w:gridCol w:w="2041"/>
        <w:gridCol w:w="1871"/>
        <w:gridCol w:w="2268"/>
      </w:tblGrid>
      <w:tr w:rsidR="00A2609B" w14:paraId="7B281CA0" w14:textId="77777777" w:rsidTr="00F70DD1">
        <w:trPr>
          <w:jc w:val="center"/>
        </w:trPr>
        <w:tc>
          <w:tcPr>
            <w:tcW w:w="1247" w:type="dxa"/>
            <w:shd w:val="clear" w:color="auto" w:fill="D9E2F3"/>
            <w:tcMar>
              <w:top w:w="100" w:type="dxa"/>
              <w:left w:w="120" w:type="dxa"/>
              <w:bottom w:w="100" w:type="dxa"/>
              <w:right w:w="120" w:type="dxa"/>
            </w:tcMar>
            <w:vAlign w:val="center"/>
          </w:tcPr>
          <w:p w14:paraId="1CB36E2B" w14:textId="77777777" w:rsidR="00A2609B" w:rsidRPr="00A2609B" w:rsidRDefault="00A2609B" w:rsidP="00A2609B">
            <w:pPr>
              <w:rPr>
                <w:b/>
                <w:bCs/>
              </w:rPr>
            </w:pPr>
            <w:r w:rsidRPr="00A2609B">
              <w:rPr>
                <w:b/>
                <w:bCs/>
              </w:rPr>
              <w:t>Perspective</w:t>
            </w:r>
          </w:p>
        </w:tc>
        <w:tc>
          <w:tcPr>
            <w:tcW w:w="2268" w:type="dxa"/>
            <w:shd w:val="clear" w:color="auto" w:fill="D9E2F3"/>
            <w:tcMar>
              <w:top w:w="100" w:type="dxa"/>
              <w:left w:w="120" w:type="dxa"/>
              <w:bottom w:w="100" w:type="dxa"/>
              <w:right w:w="120" w:type="dxa"/>
            </w:tcMar>
            <w:vAlign w:val="center"/>
          </w:tcPr>
          <w:p w14:paraId="2A962F1B" w14:textId="77777777" w:rsidR="00A2609B" w:rsidRPr="00A2609B" w:rsidRDefault="00A2609B" w:rsidP="00A2609B">
            <w:pPr>
              <w:rPr>
                <w:b/>
                <w:bCs/>
              </w:rPr>
            </w:pPr>
            <w:r w:rsidRPr="00A2609B">
              <w:rPr>
                <w:b/>
                <w:bCs/>
              </w:rPr>
              <w:t>Strategic objective</w:t>
            </w:r>
          </w:p>
        </w:tc>
        <w:tc>
          <w:tcPr>
            <w:tcW w:w="2041" w:type="dxa"/>
            <w:shd w:val="clear" w:color="auto" w:fill="D9E2F3"/>
            <w:tcMar>
              <w:top w:w="100" w:type="dxa"/>
              <w:left w:w="120" w:type="dxa"/>
              <w:bottom w:w="100" w:type="dxa"/>
              <w:right w:w="120" w:type="dxa"/>
            </w:tcMar>
            <w:vAlign w:val="center"/>
          </w:tcPr>
          <w:p w14:paraId="5E99DD39" w14:textId="77777777" w:rsidR="00A2609B" w:rsidRPr="00A2609B" w:rsidRDefault="00A2609B" w:rsidP="00A2609B">
            <w:pPr>
              <w:rPr>
                <w:b/>
                <w:bCs/>
              </w:rPr>
            </w:pPr>
            <w:r w:rsidRPr="00A2609B">
              <w:rPr>
                <w:b/>
                <w:bCs/>
              </w:rPr>
              <w:t>Illustrative KPI</w:t>
            </w:r>
          </w:p>
        </w:tc>
        <w:tc>
          <w:tcPr>
            <w:tcW w:w="1871" w:type="dxa"/>
            <w:shd w:val="clear" w:color="auto" w:fill="D9E2F3"/>
            <w:tcMar>
              <w:top w:w="100" w:type="dxa"/>
              <w:left w:w="120" w:type="dxa"/>
              <w:bottom w:w="100" w:type="dxa"/>
              <w:right w:w="120" w:type="dxa"/>
            </w:tcMar>
            <w:vAlign w:val="center"/>
          </w:tcPr>
          <w:p w14:paraId="4FC8B94F" w14:textId="77777777" w:rsidR="00A2609B" w:rsidRPr="00A2609B" w:rsidRDefault="00A2609B" w:rsidP="00A2609B">
            <w:pPr>
              <w:rPr>
                <w:b/>
                <w:bCs/>
              </w:rPr>
            </w:pPr>
            <w:r w:rsidRPr="00A2609B">
              <w:rPr>
                <w:b/>
                <w:bCs/>
              </w:rPr>
              <w:t>Indicative target direction</w:t>
            </w:r>
          </w:p>
        </w:tc>
        <w:tc>
          <w:tcPr>
            <w:tcW w:w="2268" w:type="dxa"/>
            <w:shd w:val="clear" w:color="auto" w:fill="D9E2F3"/>
            <w:tcMar>
              <w:top w:w="100" w:type="dxa"/>
              <w:left w:w="120" w:type="dxa"/>
              <w:bottom w:w="100" w:type="dxa"/>
              <w:right w:w="120" w:type="dxa"/>
            </w:tcMar>
            <w:vAlign w:val="center"/>
          </w:tcPr>
          <w:p w14:paraId="6279F13A" w14:textId="77777777" w:rsidR="00A2609B" w:rsidRPr="00A2609B" w:rsidRDefault="00A2609B" w:rsidP="00A2609B">
            <w:pPr>
              <w:rPr>
                <w:b/>
                <w:bCs/>
              </w:rPr>
            </w:pPr>
            <w:r w:rsidRPr="00A2609B">
              <w:rPr>
                <w:b/>
                <w:bCs/>
              </w:rPr>
              <w:t>Key initiative</w:t>
            </w:r>
          </w:p>
        </w:tc>
      </w:tr>
      <w:tr w:rsidR="00A2609B" w14:paraId="2EF3DA9A" w14:textId="77777777" w:rsidTr="00F70DD1">
        <w:trPr>
          <w:jc w:val="center"/>
        </w:trPr>
        <w:tc>
          <w:tcPr>
            <w:tcW w:w="1247" w:type="dxa"/>
            <w:tcMar>
              <w:top w:w="100" w:type="dxa"/>
              <w:left w:w="120" w:type="dxa"/>
              <w:bottom w:w="100" w:type="dxa"/>
              <w:right w:w="120" w:type="dxa"/>
            </w:tcMar>
            <w:vAlign w:val="center"/>
          </w:tcPr>
          <w:p w14:paraId="4CDF2F2B" w14:textId="77777777" w:rsidR="00A2609B" w:rsidRDefault="00A2609B" w:rsidP="00A2609B">
            <w:r>
              <w:t>Financial</w:t>
            </w:r>
          </w:p>
        </w:tc>
        <w:tc>
          <w:tcPr>
            <w:tcW w:w="2268" w:type="dxa"/>
            <w:tcMar>
              <w:top w:w="100" w:type="dxa"/>
              <w:left w:w="120" w:type="dxa"/>
              <w:bottom w:w="100" w:type="dxa"/>
              <w:right w:w="120" w:type="dxa"/>
            </w:tcMar>
            <w:vAlign w:val="center"/>
          </w:tcPr>
          <w:p w14:paraId="29216701" w14:textId="77777777" w:rsidR="00A2609B" w:rsidRDefault="00A2609B" w:rsidP="00A2609B">
            <w:r>
              <w:t>Raise profitable growth quality</w:t>
            </w:r>
          </w:p>
        </w:tc>
        <w:tc>
          <w:tcPr>
            <w:tcW w:w="2041" w:type="dxa"/>
            <w:tcMar>
              <w:top w:w="100" w:type="dxa"/>
              <w:left w:w="120" w:type="dxa"/>
              <w:bottom w:w="100" w:type="dxa"/>
              <w:right w:w="120" w:type="dxa"/>
            </w:tcMar>
            <w:vAlign w:val="center"/>
          </w:tcPr>
          <w:p w14:paraId="017957CD" w14:textId="77777777" w:rsidR="00A2609B" w:rsidRDefault="00A2609B" w:rsidP="00A2609B">
            <w:r>
              <w:t>Underlying sales growth, gross margin, operating margin, cash conversion</w:t>
            </w:r>
          </w:p>
        </w:tc>
        <w:tc>
          <w:tcPr>
            <w:tcW w:w="1871" w:type="dxa"/>
            <w:tcMar>
              <w:top w:w="100" w:type="dxa"/>
              <w:left w:w="120" w:type="dxa"/>
              <w:bottom w:w="100" w:type="dxa"/>
              <w:right w:w="120" w:type="dxa"/>
            </w:tcMar>
            <w:vAlign w:val="center"/>
          </w:tcPr>
          <w:p w14:paraId="2729FD0F" w14:textId="77777777" w:rsidR="00A2609B" w:rsidRDefault="00A2609B" w:rsidP="00A2609B">
            <w:r>
              <w:t>Sustain growth while protecting margin quality</w:t>
            </w:r>
          </w:p>
        </w:tc>
        <w:tc>
          <w:tcPr>
            <w:tcW w:w="2268" w:type="dxa"/>
            <w:tcMar>
              <w:top w:w="100" w:type="dxa"/>
              <w:left w:w="120" w:type="dxa"/>
              <w:bottom w:w="100" w:type="dxa"/>
              <w:right w:w="120" w:type="dxa"/>
            </w:tcMar>
            <w:vAlign w:val="center"/>
          </w:tcPr>
          <w:p w14:paraId="10DDFB06" w14:textId="77777777" w:rsidR="00A2609B" w:rsidRDefault="00A2609B" w:rsidP="00A2609B">
            <w:r>
              <w:t>Sharper portfolio concentration and revenue growth management</w:t>
            </w:r>
          </w:p>
        </w:tc>
      </w:tr>
      <w:tr w:rsidR="00A2609B" w14:paraId="5B820DBF" w14:textId="77777777" w:rsidTr="00F70DD1">
        <w:trPr>
          <w:jc w:val="center"/>
        </w:trPr>
        <w:tc>
          <w:tcPr>
            <w:tcW w:w="1247" w:type="dxa"/>
            <w:tcMar>
              <w:top w:w="100" w:type="dxa"/>
              <w:left w:w="120" w:type="dxa"/>
              <w:bottom w:w="100" w:type="dxa"/>
              <w:right w:w="120" w:type="dxa"/>
            </w:tcMar>
            <w:vAlign w:val="center"/>
          </w:tcPr>
          <w:p w14:paraId="5C1617BA" w14:textId="77777777" w:rsidR="00A2609B" w:rsidRDefault="00A2609B" w:rsidP="00A2609B">
            <w:r>
              <w:t>Customer</w:t>
            </w:r>
          </w:p>
        </w:tc>
        <w:tc>
          <w:tcPr>
            <w:tcW w:w="2268" w:type="dxa"/>
            <w:tcMar>
              <w:top w:w="100" w:type="dxa"/>
              <w:left w:w="120" w:type="dxa"/>
              <w:bottom w:w="100" w:type="dxa"/>
              <w:right w:w="120" w:type="dxa"/>
            </w:tcMar>
            <w:vAlign w:val="center"/>
          </w:tcPr>
          <w:p w14:paraId="56993198" w14:textId="77777777" w:rsidR="00A2609B" w:rsidRDefault="00A2609B" w:rsidP="00A2609B">
            <w:r>
              <w:t xml:space="preserve">Strengthen superiority, </w:t>
            </w:r>
            <w:r>
              <w:lastRenderedPageBreak/>
              <w:t>penetration and repeat purchase</w:t>
            </w:r>
          </w:p>
        </w:tc>
        <w:tc>
          <w:tcPr>
            <w:tcW w:w="2041" w:type="dxa"/>
            <w:tcMar>
              <w:top w:w="100" w:type="dxa"/>
              <w:left w:w="120" w:type="dxa"/>
              <w:bottom w:w="100" w:type="dxa"/>
              <w:right w:w="120" w:type="dxa"/>
            </w:tcMar>
            <w:vAlign w:val="center"/>
          </w:tcPr>
          <w:p w14:paraId="4E106F7B" w14:textId="77777777" w:rsidR="00A2609B" w:rsidRDefault="00A2609B" w:rsidP="00A2609B">
            <w:r>
              <w:lastRenderedPageBreak/>
              <w:t xml:space="preserve">Brand power scores, household </w:t>
            </w:r>
            <w:r>
              <w:lastRenderedPageBreak/>
              <w:t>penetration, market share, e-commerce growth</w:t>
            </w:r>
          </w:p>
        </w:tc>
        <w:tc>
          <w:tcPr>
            <w:tcW w:w="1871" w:type="dxa"/>
            <w:tcMar>
              <w:top w:w="100" w:type="dxa"/>
              <w:left w:w="120" w:type="dxa"/>
              <w:bottom w:w="100" w:type="dxa"/>
              <w:right w:w="120" w:type="dxa"/>
            </w:tcMar>
            <w:vAlign w:val="center"/>
          </w:tcPr>
          <w:p w14:paraId="6791A4A9" w14:textId="77777777" w:rsidR="00A2609B" w:rsidRDefault="00A2609B" w:rsidP="00A2609B">
            <w:r>
              <w:lastRenderedPageBreak/>
              <w:t xml:space="preserve">Broader penetration with </w:t>
            </w:r>
            <w:r>
              <w:lastRenderedPageBreak/>
              <w:t>stronger premium credibility</w:t>
            </w:r>
          </w:p>
        </w:tc>
        <w:tc>
          <w:tcPr>
            <w:tcW w:w="2268" w:type="dxa"/>
            <w:tcMar>
              <w:top w:w="100" w:type="dxa"/>
              <w:left w:w="120" w:type="dxa"/>
              <w:bottom w:w="100" w:type="dxa"/>
              <w:right w:w="120" w:type="dxa"/>
            </w:tcMar>
            <w:vAlign w:val="center"/>
          </w:tcPr>
          <w:p w14:paraId="5966E593" w14:textId="77777777" w:rsidR="00A2609B" w:rsidRDefault="00A2609B" w:rsidP="00A2609B">
            <w:r>
              <w:lastRenderedPageBreak/>
              <w:t xml:space="preserve">Power Brand investment, demand </w:t>
            </w:r>
            <w:r>
              <w:lastRenderedPageBreak/>
              <w:t>spaces innovation and channel-specific activation</w:t>
            </w:r>
          </w:p>
        </w:tc>
      </w:tr>
      <w:tr w:rsidR="00A2609B" w14:paraId="53B22708" w14:textId="77777777" w:rsidTr="00F70DD1">
        <w:trPr>
          <w:jc w:val="center"/>
        </w:trPr>
        <w:tc>
          <w:tcPr>
            <w:tcW w:w="1247" w:type="dxa"/>
            <w:tcMar>
              <w:top w:w="100" w:type="dxa"/>
              <w:left w:w="120" w:type="dxa"/>
              <w:bottom w:w="100" w:type="dxa"/>
              <w:right w:w="120" w:type="dxa"/>
            </w:tcMar>
            <w:vAlign w:val="center"/>
          </w:tcPr>
          <w:p w14:paraId="27562DF5" w14:textId="77777777" w:rsidR="00A2609B" w:rsidRDefault="00A2609B" w:rsidP="00A2609B">
            <w:r>
              <w:lastRenderedPageBreak/>
              <w:t>Internal processes</w:t>
            </w:r>
          </w:p>
        </w:tc>
        <w:tc>
          <w:tcPr>
            <w:tcW w:w="2268" w:type="dxa"/>
            <w:tcMar>
              <w:top w:w="100" w:type="dxa"/>
              <w:left w:w="120" w:type="dxa"/>
              <w:bottom w:w="100" w:type="dxa"/>
              <w:right w:w="120" w:type="dxa"/>
            </w:tcMar>
            <w:vAlign w:val="center"/>
          </w:tcPr>
          <w:p w14:paraId="302DD41D" w14:textId="77777777" w:rsidR="00A2609B" w:rsidRDefault="00A2609B" w:rsidP="00A2609B">
            <w:r>
              <w:t>Improve innovation speed, supply resilience and execution quality</w:t>
            </w:r>
          </w:p>
        </w:tc>
        <w:tc>
          <w:tcPr>
            <w:tcW w:w="2041" w:type="dxa"/>
            <w:tcMar>
              <w:top w:w="100" w:type="dxa"/>
              <w:left w:w="120" w:type="dxa"/>
              <w:bottom w:w="100" w:type="dxa"/>
              <w:right w:w="120" w:type="dxa"/>
            </w:tcMar>
            <w:vAlign w:val="center"/>
          </w:tcPr>
          <w:p w14:paraId="692F3AA5" w14:textId="77777777" w:rsidR="00A2609B" w:rsidRDefault="00A2609B" w:rsidP="00A2609B">
            <w:r>
              <w:t>Time to market, forecast accuracy, service levels, savings delivery, waste reduction</w:t>
            </w:r>
          </w:p>
        </w:tc>
        <w:tc>
          <w:tcPr>
            <w:tcW w:w="1871" w:type="dxa"/>
            <w:tcMar>
              <w:top w:w="100" w:type="dxa"/>
              <w:left w:w="120" w:type="dxa"/>
              <w:bottom w:w="100" w:type="dxa"/>
              <w:right w:w="120" w:type="dxa"/>
            </w:tcMar>
            <w:vAlign w:val="center"/>
          </w:tcPr>
          <w:p w14:paraId="53E9AB2D" w14:textId="77777777" w:rsidR="00A2609B" w:rsidRDefault="00A2609B" w:rsidP="00A2609B">
            <w:r>
              <w:t>Faster launches with fewer execution losses</w:t>
            </w:r>
          </w:p>
        </w:tc>
        <w:tc>
          <w:tcPr>
            <w:tcW w:w="2268" w:type="dxa"/>
            <w:tcMar>
              <w:top w:w="100" w:type="dxa"/>
              <w:left w:w="120" w:type="dxa"/>
              <w:bottom w:w="100" w:type="dxa"/>
              <w:right w:w="120" w:type="dxa"/>
            </w:tcMar>
            <w:vAlign w:val="center"/>
          </w:tcPr>
          <w:p w14:paraId="4658B204" w14:textId="77777777" w:rsidR="00A2609B" w:rsidRDefault="00A2609B" w:rsidP="00A2609B">
            <w:r>
              <w:t>Digital supply chain planning, complexity reduction and end-to-end category accountability</w:t>
            </w:r>
          </w:p>
        </w:tc>
      </w:tr>
      <w:tr w:rsidR="00A2609B" w14:paraId="0FD77899" w14:textId="77777777" w:rsidTr="00F70DD1">
        <w:trPr>
          <w:jc w:val="center"/>
        </w:trPr>
        <w:tc>
          <w:tcPr>
            <w:tcW w:w="1247" w:type="dxa"/>
            <w:tcMar>
              <w:top w:w="100" w:type="dxa"/>
              <w:left w:w="120" w:type="dxa"/>
              <w:bottom w:w="100" w:type="dxa"/>
              <w:right w:w="120" w:type="dxa"/>
            </w:tcMar>
            <w:vAlign w:val="center"/>
          </w:tcPr>
          <w:p w14:paraId="7490471A" w14:textId="77777777" w:rsidR="00A2609B" w:rsidRDefault="00A2609B" w:rsidP="00A2609B">
            <w:r>
              <w:t>Learning and growth</w:t>
            </w:r>
          </w:p>
        </w:tc>
        <w:tc>
          <w:tcPr>
            <w:tcW w:w="2268" w:type="dxa"/>
            <w:tcMar>
              <w:top w:w="100" w:type="dxa"/>
              <w:left w:w="120" w:type="dxa"/>
              <w:bottom w:w="100" w:type="dxa"/>
              <w:right w:w="120" w:type="dxa"/>
            </w:tcMar>
            <w:vAlign w:val="center"/>
          </w:tcPr>
          <w:p w14:paraId="5E04B18C" w14:textId="77777777" w:rsidR="00A2609B" w:rsidRDefault="00A2609B" w:rsidP="00A2609B">
            <w:r>
              <w:t xml:space="preserve">Build a simpler, more capable, performance-led </w:t>
            </w:r>
            <w:proofErr w:type="spellStart"/>
            <w:r>
              <w:t>organisation</w:t>
            </w:r>
            <w:proofErr w:type="spellEnd"/>
          </w:p>
        </w:tc>
        <w:tc>
          <w:tcPr>
            <w:tcW w:w="2041" w:type="dxa"/>
            <w:tcMar>
              <w:top w:w="100" w:type="dxa"/>
              <w:left w:w="120" w:type="dxa"/>
              <w:bottom w:w="100" w:type="dxa"/>
              <w:right w:w="120" w:type="dxa"/>
            </w:tcMar>
            <w:vAlign w:val="center"/>
          </w:tcPr>
          <w:p w14:paraId="751C207F" w14:textId="77777777" w:rsidR="00A2609B" w:rsidRDefault="00A2609B" w:rsidP="00A2609B">
            <w:r>
              <w:t>Critical talent retention, capability training, employee engagement, digital adoption</w:t>
            </w:r>
          </w:p>
        </w:tc>
        <w:tc>
          <w:tcPr>
            <w:tcW w:w="1871" w:type="dxa"/>
            <w:tcMar>
              <w:top w:w="100" w:type="dxa"/>
              <w:left w:w="120" w:type="dxa"/>
              <w:bottom w:w="100" w:type="dxa"/>
              <w:right w:w="120" w:type="dxa"/>
            </w:tcMar>
            <w:vAlign w:val="center"/>
          </w:tcPr>
          <w:p w14:paraId="5317A3C4" w14:textId="77777777" w:rsidR="00A2609B" w:rsidRDefault="00A2609B" w:rsidP="00A2609B">
            <w:r>
              <w:t>Higher capability density and stronger accountability</w:t>
            </w:r>
          </w:p>
        </w:tc>
        <w:tc>
          <w:tcPr>
            <w:tcW w:w="2268" w:type="dxa"/>
            <w:tcMar>
              <w:top w:w="100" w:type="dxa"/>
              <w:left w:w="120" w:type="dxa"/>
              <w:bottom w:w="100" w:type="dxa"/>
              <w:right w:w="120" w:type="dxa"/>
            </w:tcMar>
            <w:vAlign w:val="center"/>
          </w:tcPr>
          <w:p w14:paraId="4CF28B51" w14:textId="77777777" w:rsidR="00A2609B" w:rsidRDefault="00A2609B" w:rsidP="00A2609B">
            <w:r>
              <w:t>Leadership reset, skill investment and clearer decision rights</w:t>
            </w:r>
          </w:p>
        </w:tc>
      </w:tr>
    </w:tbl>
    <w:p w14:paraId="11D7C76B" w14:textId="77777777" w:rsidR="006A6A7C" w:rsidRDefault="006A6A7C" w:rsidP="006A6A7C">
      <w:r>
        <w:t xml:space="preserve">In customer perspective, the aim of Unilever is to enhance brand preference, perceived superiority and availability. Proper KPIs are market share performance, brand power growth, digital engagement and distribution breadth. The focus on larger innovations and greater brand investment in the company implies that the customer outcomes are being viewed as the pillar of </w:t>
      </w:r>
      <w:proofErr w:type="gramStart"/>
      <w:r>
        <w:t>the financial</w:t>
      </w:r>
      <w:proofErr w:type="gramEnd"/>
      <w:r>
        <w:t xml:space="preserve"> performance and not one of its by-products (Unilever, 2025b). The targets would be relevant in terms of higher growth in Power Brands of above category, better share in priority markets, and higher penetration of digital commerce. These initiatives are premium innovation, targeted media expenditure, and </w:t>
      </w:r>
      <w:proofErr w:type="spellStart"/>
      <w:r>
        <w:t>customised</w:t>
      </w:r>
      <w:proofErr w:type="spellEnd"/>
      <w:r>
        <w:t xml:space="preserve"> affordability structure.</w:t>
      </w:r>
    </w:p>
    <w:p w14:paraId="1E0A02DB" w14:textId="77777777" w:rsidR="006A6A7C" w:rsidRDefault="006A6A7C" w:rsidP="006A6A7C">
      <w:r>
        <w:t xml:space="preserve">Under the internal business process, such priorities are </w:t>
      </w:r>
      <w:proofErr w:type="gramStart"/>
      <w:r>
        <w:t>supply</w:t>
      </w:r>
      <w:proofErr w:type="gramEnd"/>
      <w:r>
        <w:t xml:space="preserve"> chain resilience, quicker innovation cycles, improved gross margin management and regulatory compliance. Gross margin, on-shelf availability, innovation hit rate, productivity savings and progress in plastic reduction or supplier compliance where strategically material should be included as KPIs. According to the ice cream separation and productivity </w:t>
      </w:r>
      <w:proofErr w:type="spellStart"/>
      <w:r>
        <w:t>programme</w:t>
      </w:r>
      <w:proofErr w:type="spellEnd"/>
      <w:r>
        <w:t>, the management also regards the portfolio governance and the simplification of operating models as internal process concerns, rather than financial performance (Reuters, 2024a).</w:t>
      </w:r>
    </w:p>
    <w:p w14:paraId="011C3AC5" w14:textId="77777777" w:rsidR="006A6A7C" w:rsidRDefault="006A6A7C" w:rsidP="006A6A7C">
      <w:r>
        <w:lastRenderedPageBreak/>
        <w:t xml:space="preserve">Learning and growth perspective would require Unilever to have a more focused, digitally capable and execution-oriented </w:t>
      </w:r>
      <w:proofErr w:type="spellStart"/>
      <w:r>
        <w:t>organisation</w:t>
      </w:r>
      <w:proofErr w:type="spellEnd"/>
      <w:r>
        <w:t xml:space="preserve">. Relevant indicators are employee engagement, critical talent retention, data capability, strength of pipeline innovation and leadership effectiveness. Unilever reports an employee engagement score of 79% and says that 87% of employees are proud to work at the company, which gives the perspective a good point of reference (Unilever, 2025c). Nevertheless, with the process of restructuring still underway, </w:t>
      </w:r>
      <w:proofErr w:type="spellStart"/>
      <w:r>
        <w:t>organisational</w:t>
      </w:r>
      <w:proofErr w:type="spellEnd"/>
      <w:r>
        <w:t xml:space="preserve"> commitment will be a significant challenge in the simplification of the company. Growth and learning </w:t>
      </w:r>
      <w:proofErr w:type="gramStart"/>
      <w:r>
        <w:t>is</w:t>
      </w:r>
      <w:proofErr w:type="gramEnd"/>
      <w:r>
        <w:t xml:space="preserve"> not thus an abstract HR concern but it is core to the question of whether implementation of strategy is credible.</w:t>
      </w:r>
    </w:p>
    <w:p w14:paraId="07F6E523" w14:textId="33073550" w:rsidR="00A2609B" w:rsidRDefault="006A6A7C" w:rsidP="006A6A7C">
      <w:r>
        <w:t xml:space="preserve">The Balanced Scorecard proves that the strategy of Unilever should be evaluated as a complex system. In 2024, financial performance was better </w:t>
      </w:r>
      <w:proofErr w:type="gramStart"/>
      <w:r>
        <w:t>due to the fact that</w:t>
      </w:r>
      <w:proofErr w:type="gramEnd"/>
      <w:r>
        <w:t xml:space="preserve"> customer, process and capability levers shifted towards a better direction. That a thin concentration on margin would fail to capture that brand investment, the quality of innovation, digital implementation and workforce competency are the processes by which sustainable performance is generated.</w:t>
      </w:r>
    </w:p>
    <w:p w14:paraId="25C121B2" w14:textId="77777777" w:rsidR="00A2609B" w:rsidRDefault="00A2609B" w:rsidP="00A2609B">
      <w:pPr>
        <w:pStyle w:val="Heading2"/>
        <w:numPr>
          <w:ilvl w:val="0"/>
          <w:numId w:val="0"/>
        </w:numPr>
      </w:pPr>
      <w:bookmarkStart w:id="9" w:name="_Toc223962485"/>
      <w:r>
        <w:t>5. Strategic choices and implementation</w:t>
      </w:r>
      <w:bookmarkEnd w:id="9"/>
    </w:p>
    <w:p w14:paraId="5F7C596C" w14:textId="77777777" w:rsidR="006A6A7C" w:rsidRDefault="006A6A7C" w:rsidP="006A6A7C">
      <w:r>
        <w:t xml:space="preserve">Unilever at the business level is a dominant strategic option of differentiated broad-market competition as opposed to pure cost leadership. Consumer buying </w:t>
      </w:r>
      <w:proofErr w:type="spellStart"/>
      <w:r>
        <w:t>behaviour</w:t>
      </w:r>
      <w:proofErr w:type="spellEnd"/>
      <w:r>
        <w:t xml:space="preserve"> in the personal care, beauty and foods category is determined by brand trust, perceived efficiency, sensory experience and availability. When firms develop superior performance, Porter (1985) claims that differentiation can be used to reinforce it as the buyers will develop value which they are ready to reward. This reasoning is more applicable to Unilever than cost leadership since the strongest brands of the company compete based on performance, emotional resonance and innovation as opposed to low-price positioning. With that said, Unilever will also require cost effectiveness </w:t>
      </w:r>
      <w:proofErr w:type="gramStart"/>
      <w:r>
        <w:t>in order to</w:t>
      </w:r>
      <w:proofErr w:type="gramEnd"/>
      <w:r>
        <w:t xml:space="preserve"> be competitive on the mass-market level, particularly in emerging markets where cost is paramount. Its actual option is thus high-end differentiation backed by rigorous cost structure.</w:t>
      </w:r>
    </w:p>
    <w:p w14:paraId="407F747A" w14:textId="77777777" w:rsidR="006A6A7C" w:rsidRDefault="006A6A7C" w:rsidP="006A6A7C">
      <w:r>
        <w:t xml:space="preserve">At the corporate level, Unilever can take </w:t>
      </w:r>
      <w:proofErr w:type="gramStart"/>
      <w:r>
        <w:t>a number of</w:t>
      </w:r>
      <w:proofErr w:type="gramEnd"/>
      <w:r>
        <w:t xml:space="preserve"> strategic choices: it can proceed with the broad diversification, concentrate more on the higher-growth categories, engage in selective acquisitions, or simplify the portfolio further. The present trend is also obviously towards portfolio focus and selective reshaping as opposed to empire-building. The ice cream business separation is a strategically important move as it implies that the management is of the opinion that the category is seasonal, its capital requirements and the capital margin profile do not fit well with the other portfolio (Reuters, 2024a). This is a company level action to a higher level of coherency. Personally, I believe Unilever needs to </w:t>
      </w:r>
      <w:r>
        <w:lastRenderedPageBreak/>
        <w:t>stick to this direction. Disciplined focus on the categories where the company has better brand economics, innovation advantage and scalability, particularly Beauty and Wellbeing, Personal Care and advantaged positions in Foods is the best corporate strategy, not major diversification.</w:t>
      </w:r>
    </w:p>
    <w:p w14:paraId="74A449E7" w14:textId="77777777" w:rsidR="006A6A7C" w:rsidRDefault="006A6A7C" w:rsidP="006A6A7C">
      <w:r>
        <w:t xml:space="preserve">In terms of international strategy, Unilever must deepen emerging market, as opposed to expanding on its own merit. As 58% of the turnover is already in the emerging market, the strategic question is not whether to </w:t>
      </w:r>
      <w:proofErr w:type="spellStart"/>
      <w:r>
        <w:t>internationalise</w:t>
      </w:r>
      <w:proofErr w:type="spellEnd"/>
      <w:r>
        <w:t xml:space="preserve"> further, but how to enhance the performance of the execution in high potential markets and the resilience of the execution in the more volatile ones (Unilever, 2025c). This necessitates </w:t>
      </w:r>
      <w:proofErr w:type="spellStart"/>
      <w:r>
        <w:t>localisation</w:t>
      </w:r>
      <w:proofErr w:type="spellEnd"/>
      <w:r>
        <w:t xml:space="preserve"> of innovation, pricing structure, digital retail enablement and supply chain responsiveness.</w:t>
      </w:r>
    </w:p>
    <w:p w14:paraId="5DB41E19" w14:textId="77777777" w:rsidR="006A6A7C" w:rsidRDefault="006A6A7C" w:rsidP="006A6A7C">
      <w:r>
        <w:t xml:space="preserve">The more challenging issue is implementation. Diagnosis is hardly a constraint of strategic change; </w:t>
      </w:r>
      <w:proofErr w:type="spellStart"/>
      <w:r>
        <w:t>organisational</w:t>
      </w:r>
      <w:proofErr w:type="spellEnd"/>
      <w:r>
        <w:t xml:space="preserve"> traction is. The management of Unilever has made visible moves in the Growth Action Plan, concentration of Power Brands, productivity </w:t>
      </w:r>
      <w:proofErr w:type="spellStart"/>
      <w:r>
        <w:t>programme</w:t>
      </w:r>
      <w:proofErr w:type="spellEnd"/>
      <w:r>
        <w:t xml:space="preserve"> and separation of ice cream. Such efforts are indicators of seriousness. However, the risk of implementation is still strong as the company is large, geographically spread, and complex in its history. Reducing 7,500 positions can lead to efficiency, yet it will also create uncertainty, loss in capabilities and internal opposition unless logic is effectively converted into local operating models (Reuters, 2024a). The further change in CEO in 2025 with Fernando Fernandez only confirms that the board desires quicker performance, although a change in leadership may accelerate and </w:t>
      </w:r>
      <w:proofErr w:type="spellStart"/>
      <w:r>
        <w:t>destabilise</w:t>
      </w:r>
      <w:proofErr w:type="spellEnd"/>
      <w:r>
        <w:t xml:space="preserve"> a change based on how priorities are upheld consistently (Reuters, 2025a).</w:t>
      </w:r>
    </w:p>
    <w:p w14:paraId="61F39699" w14:textId="77777777" w:rsidR="006A6A7C" w:rsidRDefault="006A6A7C" w:rsidP="006A6A7C">
      <w:r>
        <w:t>In general, Unilever has handled change in 2024 than many critics predicted which is evident in improved margin, volume growth and more focused portfolio decisions. Nevertheless, the transformation must be deemed as not complete. One year of good figures is not a sign of a changed strategic structure, but an indication of improvement.</w:t>
      </w:r>
    </w:p>
    <w:p w14:paraId="0269AC27" w14:textId="58E54C8A" w:rsidR="00A2609B" w:rsidRDefault="006A6A7C" w:rsidP="006A6A7C">
      <w:r>
        <w:t>Nevertheless, implementation risk is high since poor ideas are not the only way strategy renewal in a large multinational can fail. It usually fails due to unequal managerial translation. The category teams can be aware of the direction, whereas the market level teams continue to work with inherited complexity, conflicting KPIs or excessive approval systems. It is against this reason that implementation should be viewed as a control-system problem as much as a leadership problem. The scorecard, incentive design, portfolio governance and talent allocation must all serve to strengthen the same priorities in case strategic intent is to transform into repeatable execution.</w:t>
      </w:r>
    </w:p>
    <w:p w14:paraId="2AFDFCA2" w14:textId="77777777" w:rsidR="00A2609B" w:rsidRDefault="00A2609B" w:rsidP="00A2609B">
      <w:pPr>
        <w:pStyle w:val="Heading2"/>
        <w:numPr>
          <w:ilvl w:val="0"/>
          <w:numId w:val="0"/>
        </w:numPr>
      </w:pPr>
      <w:bookmarkStart w:id="10" w:name="_Toc223962486"/>
      <w:r>
        <w:lastRenderedPageBreak/>
        <w:t>6. Strategic evaluation and recommendations</w:t>
      </w:r>
      <w:bookmarkEnd w:id="10"/>
    </w:p>
    <w:p w14:paraId="6CD189A0" w14:textId="64D87265" w:rsidR="00A2609B" w:rsidRDefault="006A6A7C" w:rsidP="00A2609B">
      <w:r w:rsidRPr="006A6A7C">
        <w:t xml:space="preserve">An analysis that is </w:t>
      </w:r>
      <w:proofErr w:type="gramStart"/>
      <w:r w:rsidRPr="006A6A7C">
        <w:t>informed</w:t>
      </w:r>
      <w:proofErr w:type="gramEnd"/>
      <w:r w:rsidRPr="006A6A7C">
        <w:t xml:space="preserve"> by SWOT indicates that Unilever has a lot of strengths in its present approach. It has global brands of the world, deep global presence, enhanced emerging market presence, enhanced discipline of margins, a more focused brand structure and plausible sustainability governance. The opportunities are </w:t>
      </w:r>
      <w:proofErr w:type="spellStart"/>
      <w:r w:rsidRPr="006A6A7C">
        <w:t>premiumisation</w:t>
      </w:r>
      <w:proofErr w:type="spellEnd"/>
      <w:r w:rsidRPr="006A6A7C">
        <w:t xml:space="preserve"> in Beauty &amp; Wellbeing, digital enabled implementation in emerging markets, finer capital allocation and additional supply chain productivity</w:t>
      </w:r>
      <w:r w:rsidR="00A2609B">
        <w:t>.</w:t>
      </w:r>
    </w:p>
    <w:p w14:paraId="3D99A780" w14:textId="77777777" w:rsidR="00A2609B" w:rsidRDefault="00A2609B" w:rsidP="00A2609B">
      <w:r w:rsidRPr="00A2609B">
        <w:rPr>
          <w:b/>
          <w:bCs/>
        </w:rPr>
        <w:t>Table 3.</w:t>
      </w:r>
      <w:r>
        <w:t xml:space="preserve"> Summary strategic evaluation and response priorities.</w:t>
      </w:r>
    </w:p>
    <w:tbl>
      <w:tblPr>
        <w:tblW w:w="0" w:type="auto"/>
        <w:jc w:val="center"/>
        <w:tblBorders>
          <w:top w:val="single" w:sz="8" w:space="0" w:color="BFC5D2"/>
          <w:left w:val="single" w:sz="8" w:space="0" w:color="BFC5D2"/>
          <w:bottom w:val="single" w:sz="8" w:space="0" w:color="BFC5D2"/>
          <w:right w:val="single" w:sz="8" w:space="0" w:color="BFC5D2"/>
          <w:insideH w:val="single" w:sz="8" w:space="0" w:color="BFC5D2"/>
          <w:insideV w:val="single" w:sz="8" w:space="0" w:color="BFC5D2"/>
        </w:tblBorders>
        <w:tblLayout w:type="fixed"/>
        <w:tblLook w:val="04A0" w:firstRow="1" w:lastRow="0" w:firstColumn="1" w:lastColumn="0" w:noHBand="0" w:noVBand="1"/>
      </w:tblPr>
      <w:tblGrid>
        <w:gridCol w:w="1587"/>
        <w:gridCol w:w="2268"/>
        <w:gridCol w:w="1871"/>
        <w:gridCol w:w="2324"/>
        <w:gridCol w:w="1247"/>
      </w:tblGrid>
      <w:tr w:rsidR="00A2609B" w14:paraId="568E893D" w14:textId="77777777" w:rsidTr="00F70DD1">
        <w:trPr>
          <w:jc w:val="center"/>
        </w:trPr>
        <w:tc>
          <w:tcPr>
            <w:tcW w:w="1587" w:type="dxa"/>
            <w:shd w:val="clear" w:color="auto" w:fill="D9E2F3"/>
            <w:tcMar>
              <w:top w:w="100" w:type="dxa"/>
              <w:left w:w="120" w:type="dxa"/>
              <w:bottom w:w="100" w:type="dxa"/>
              <w:right w:w="120" w:type="dxa"/>
            </w:tcMar>
            <w:vAlign w:val="center"/>
          </w:tcPr>
          <w:p w14:paraId="4ABBB463" w14:textId="77777777" w:rsidR="00A2609B" w:rsidRPr="00A2609B" w:rsidRDefault="00A2609B" w:rsidP="00A2609B">
            <w:pPr>
              <w:rPr>
                <w:b/>
                <w:bCs/>
              </w:rPr>
            </w:pPr>
            <w:r w:rsidRPr="00A2609B">
              <w:rPr>
                <w:b/>
                <w:bCs/>
              </w:rPr>
              <w:t>Priority issue</w:t>
            </w:r>
          </w:p>
        </w:tc>
        <w:tc>
          <w:tcPr>
            <w:tcW w:w="2268" w:type="dxa"/>
            <w:shd w:val="clear" w:color="auto" w:fill="D9E2F3"/>
            <w:tcMar>
              <w:top w:w="100" w:type="dxa"/>
              <w:left w:w="120" w:type="dxa"/>
              <w:bottom w:w="100" w:type="dxa"/>
              <w:right w:w="120" w:type="dxa"/>
            </w:tcMar>
            <w:vAlign w:val="center"/>
          </w:tcPr>
          <w:p w14:paraId="1E042078" w14:textId="77777777" w:rsidR="00A2609B" w:rsidRPr="00A2609B" w:rsidRDefault="00A2609B" w:rsidP="00A2609B">
            <w:pPr>
              <w:rPr>
                <w:b/>
                <w:bCs/>
              </w:rPr>
            </w:pPr>
            <w:r w:rsidRPr="00A2609B">
              <w:rPr>
                <w:b/>
                <w:bCs/>
              </w:rPr>
              <w:t>Diagnosis</w:t>
            </w:r>
          </w:p>
        </w:tc>
        <w:tc>
          <w:tcPr>
            <w:tcW w:w="1871" w:type="dxa"/>
            <w:shd w:val="clear" w:color="auto" w:fill="D9E2F3"/>
            <w:tcMar>
              <w:top w:w="100" w:type="dxa"/>
              <w:left w:w="120" w:type="dxa"/>
              <w:bottom w:w="100" w:type="dxa"/>
              <w:right w:w="120" w:type="dxa"/>
            </w:tcMar>
            <w:vAlign w:val="center"/>
          </w:tcPr>
          <w:p w14:paraId="1F5E61A7" w14:textId="77777777" w:rsidR="00A2609B" w:rsidRPr="00A2609B" w:rsidRDefault="00A2609B" w:rsidP="00A2609B">
            <w:pPr>
              <w:rPr>
                <w:b/>
                <w:bCs/>
              </w:rPr>
            </w:pPr>
            <w:r w:rsidRPr="00A2609B">
              <w:rPr>
                <w:b/>
                <w:bCs/>
              </w:rPr>
              <w:t>Risk if unmanaged</w:t>
            </w:r>
          </w:p>
        </w:tc>
        <w:tc>
          <w:tcPr>
            <w:tcW w:w="2324" w:type="dxa"/>
            <w:shd w:val="clear" w:color="auto" w:fill="D9E2F3"/>
            <w:tcMar>
              <w:top w:w="100" w:type="dxa"/>
              <w:left w:w="120" w:type="dxa"/>
              <w:bottom w:w="100" w:type="dxa"/>
              <w:right w:w="120" w:type="dxa"/>
            </w:tcMar>
            <w:vAlign w:val="center"/>
          </w:tcPr>
          <w:p w14:paraId="02D51724" w14:textId="77777777" w:rsidR="00A2609B" w:rsidRPr="00A2609B" w:rsidRDefault="00A2609B" w:rsidP="00A2609B">
            <w:pPr>
              <w:rPr>
                <w:b/>
                <w:bCs/>
              </w:rPr>
            </w:pPr>
            <w:r w:rsidRPr="00A2609B">
              <w:rPr>
                <w:b/>
                <w:bCs/>
              </w:rPr>
              <w:t>Strategic response</w:t>
            </w:r>
          </w:p>
        </w:tc>
        <w:tc>
          <w:tcPr>
            <w:tcW w:w="1247" w:type="dxa"/>
            <w:shd w:val="clear" w:color="auto" w:fill="D9E2F3"/>
            <w:tcMar>
              <w:top w:w="100" w:type="dxa"/>
              <w:left w:w="120" w:type="dxa"/>
              <w:bottom w:w="100" w:type="dxa"/>
              <w:right w:w="120" w:type="dxa"/>
            </w:tcMar>
            <w:vAlign w:val="center"/>
          </w:tcPr>
          <w:p w14:paraId="43E580E4" w14:textId="77777777" w:rsidR="00A2609B" w:rsidRPr="00A2609B" w:rsidRDefault="00A2609B" w:rsidP="00A2609B">
            <w:pPr>
              <w:rPr>
                <w:b/>
                <w:bCs/>
              </w:rPr>
            </w:pPr>
            <w:r w:rsidRPr="00A2609B">
              <w:rPr>
                <w:b/>
                <w:bCs/>
              </w:rPr>
              <w:t>Time horizon</w:t>
            </w:r>
          </w:p>
        </w:tc>
      </w:tr>
      <w:tr w:rsidR="00A2609B" w14:paraId="42F3F2A5" w14:textId="77777777" w:rsidTr="00F70DD1">
        <w:trPr>
          <w:jc w:val="center"/>
        </w:trPr>
        <w:tc>
          <w:tcPr>
            <w:tcW w:w="1587" w:type="dxa"/>
            <w:tcMar>
              <w:top w:w="100" w:type="dxa"/>
              <w:left w:w="120" w:type="dxa"/>
              <w:bottom w:w="100" w:type="dxa"/>
              <w:right w:w="120" w:type="dxa"/>
            </w:tcMar>
            <w:vAlign w:val="center"/>
          </w:tcPr>
          <w:p w14:paraId="3533D4E8" w14:textId="77777777" w:rsidR="00A2609B" w:rsidRDefault="00A2609B" w:rsidP="00A2609B">
            <w:r>
              <w:t>Portfolio complexity</w:t>
            </w:r>
          </w:p>
        </w:tc>
        <w:tc>
          <w:tcPr>
            <w:tcW w:w="2268" w:type="dxa"/>
            <w:tcMar>
              <w:top w:w="100" w:type="dxa"/>
              <w:left w:w="120" w:type="dxa"/>
              <w:bottom w:w="100" w:type="dxa"/>
              <w:right w:w="120" w:type="dxa"/>
            </w:tcMar>
            <w:vAlign w:val="center"/>
          </w:tcPr>
          <w:p w14:paraId="207BA9C4" w14:textId="77777777" w:rsidR="00A2609B" w:rsidRDefault="00A2609B" w:rsidP="00A2609B">
            <w:r>
              <w:t>Breadth can dilute investment and attention</w:t>
            </w:r>
          </w:p>
        </w:tc>
        <w:tc>
          <w:tcPr>
            <w:tcW w:w="1871" w:type="dxa"/>
            <w:tcMar>
              <w:top w:w="100" w:type="dxa"/>
              <w:left w:w="120" w:type="dxa"/>
              <w:bottom w:w="100" w:type="dxa"/>
              <w:right w:w="120" w:type="dxa"/>
            </w:tcMar>
            <w:vAlign w:val="center"/>
          </w:tcPr>
          <w:p w14:paraId="432C83BE" w14:textId="77777777" w:rsidR="00A2609B" w:rsidRDefault="00A2609B" w:rsidP="00A2609B">
            <w:r>
              <w:t>Subscale brands and slower decision making</w:t>
            </w:r>
          </w:p>
        </w:tc>
        <w:tc>
          <w:tcPr>
            <w:tcW w:w="2324" w:type="dxa"/>
            <w:tcMar>
              <w:top w:w="100" w:type="dxa"/>
              <w:left w:w="120" w:type="dxa"/>
              <w:bottom w:w="100" w:type="dxa"/>
              <w:right w:w="120" w:type="dxa"/>
            </w:tcMar>
            <w:vAlign w:val="center"/>
          </w:tcPr>
          <w:p w14:paraId="1DC6EB10" w14:textId="77777777" w:rsidR="00A2609B" w:rsidRDefault="00A2609B" w:rsidP="00A2609B">
            <w:r>
              <w:t>Concentrate around growth platforms and exit low-quality complexity</w:t>
            </w:r>
          </w:p>
        </w:tc>
        <w:tc>
          <w:tcPr>
            <w:tcW w:w="1247" w:type="dxa"/>
            <w:tcMar>
              <w:top w:w="100" w:type="dxa"/>
              <w:left w:w="120" w:type="dxa"/>
              <w:bottom w:w="100" w:type="dxa"/>
              <w:right w:w="120" w:type="dxa"/>
            </w:tcMar>
            <w:vAlign w:val="center"/>
          </w:tcPr>
          <w:p w14:paraId="733492E3" w14:textId="77777777" w:rsidR="00A2609B" w:rsidRDefault="00A2609B" w:rsidP="00A2609B">
            <w:r>
              <w:t>Short to medium term</w:t>
            </w:r>
          </w:p>
        </w:tc>
      </w:tr>
      <w:tr w:rsidR="00A2609B" w14:paraId="5C7FF016" w14:textId="77777777" w:rsidTr="00F70DD1">
        <w:trPr>
          <w:jc w:val="center"/>
        </w:trPr>
        <w:tc>
          <w:tcPr>
            <w:tcW w:w="1587" w:type="dxa"/>
            <w:tcMar>
              <w:top w:w="100" w:type="dxa"/>
              <w:left w:w="120" w:type="dxa"/>
              <w:bottom w:w="100" w:type="dxa"/>
              <w:right w:w="120" w:type="dxa"/>
            </w:tcMar>
            <w:vAlign w:val="center"/>
          </w:tcPr>
          <w:p w14:paraId="23B0783D" w14:textId="77777777" w:rsidR="00A2609B" w:rsidRDefault="00A2609B" w:rsidP="00A2609B">
            <w:r>
              <w:t>Emerging-market execution</w:t>
            </w:r>
          </w:p>
        </w:tc>
        <w:tc>
          <w:tcPr>
            <w:tcW w:w="2268" w:type="dxa"/>
            <w:tcMar>
              <w:top w:w="100" w:type="dxa"/>
              <w:left w:w="120" w:type="dxa"/>
              <w:bottom w:w="100" w:type="dxa"/>
              <w:right w:w="120" w:type="dxa"/>
            </w:tcMar>
            <w:vAlign w:val="center"/>
          </w:tcPr>
          <w:p w14:paraId="44017CE6" w14:textId="77777777" w:rsidR="00A2609B" w:rsidRDefault="00A2609B" w:rsidP="00A2609B">
            <w:r>
              <w:t xml:space="preserve">Growth is strong but affordability and </w:t>
            </w:r>
            <w:proofErr w:type="spellStart"/>
            <w:r>
              <w:t>premiumisation</w:t>
            </w:r>
            <w:proofErr w:type="spellEnd"/>
            <w:r>
              <w:t xml:space="preserve"> must both be managed</w:t>
            </w:r>
          </w:p>
        </w:tc>
        <w:tc>
          <w:tcPr>
            <w:tcW w:w="1871" w:type="dxa"/>
            <w:tcMar>
              <w:top w:w="100" w:type="dxa"/>
              <w:left w:w="120" w:type="dxa"/>
              <w:bottom w:w="100" w:type="dxa"/>
              <w:right w:w="120" w:type="dxa"/>
            </w:tcMar>
            <w:vAlign w:val="center"/>
          </w:tcPr>
          <w:p w14:paraId="08215B00" w14:textId="77777777" w:rsidR="00A2609B" w:rsidRDefault="00A2609B" w:rsidP="00A2609B">
            <w:r>
              <w:t>Volume loss at the low end or weak value capture at the top end</w:t>
            </w:r>
          </w:p>
        </w:tc>
        <w:tc>
          <w:tcPr>
            <w:tcW w:w="2324" w:type="dxa"/>
            <w:tcMar>
              <w:top w:w="100" w:type="dxa"/>
              <w:left w:w="120" w:type="dxa"/>
              <w:bottom w:w="100" w:type="dxa"/>
              <w:right w:w="120" w:type="dxa"/>
            </w:tcMar>
            <w:vAlign w:val="center"/>
          </w:tcPr>
          <w:p w14:paraId="02ACC181" w14:textId="77777777" w:rsidR="00A2609B" w:rsidRDefault="00A2609B" w:rsidP="00A2609B">
            <w:r>
              <w:t>Adopt a dual-engine model by segment and channel</w:t>
            </w:r>
          </w:p>
        </w:tc>
        <w:tc>
          <w:tcPr>
            <w:tcW w:w="1247" w:type="dxa"/>
            <w:tcMar>
              <w:top w:w="100" w:type="dxa"/>
              <w:left w:w="120" w:type="dxa"/>
              <w:bottom w:w="100" w:type="dxa"/>
              <w:right w:w="120" w:type="dxa"/>
            </w:tcMar>
            <w:vAlign w:val="center"/>
          </w:tcPr>
          <w:p w14:paraId="388835AD" w14:textId="77777777" w:rsidR="00A2609B" w:rsidRDefault="00A2609B" w:rsidP="00A2609B">
            <w:r>
              <w:t>Immediate and ongoing</w:t>
            </w:r>
          </w:p>
        </w:tc>
      </w:tr>
      <w:tr w:rsidR="00A2609B" w14:paraId="591F73ED" w14:textId="77777777" w:rsidTr="00F70DD1">
        <w:trPr>
          <w:jc w:val="center"/>
        </w:trPr>
        <w:tc>
          <w:tcPr>
            <w:tcW w:w="1587" w:type="dxa"/>
            <w:tcMar>
              <w:top w:w="100" w:type="dxa"/>
              <w:left w:w="120" w:type="dxa"/>
              <w:bottom w:w="100" w:type="dxa"/>
              <w:right w:w="120" w:type="dxa"/>
            </w:tcMar>
            <w:vAlign w:val="center"/>
          </w:tcPr>
          <w:p w14:paraId="332A5C5A" w14:textId="77777777" w:rsidR="00A2609B" w:rsidRDefault="00A2609B" w:rsidP="00A2609B">
            <w:r>
              <w:t>Sustainability integration</w:t>
            </w:r>
          </w:p>
        </w:tc>
        <w:tc>
          <w:tcPr>
            <w:tcW w:w="2268" w:type="dxa"/>
            <w:tcMar>
              <w:top w:w="100" w:type="dxa"/>
              <w:left w:w="120" w:type="dxa"/>
              <w:bottom w:w="100" w:type="dxa"/>
              <w:right w:w="120" w:type="dxa"/>
            </w:tcMar>
            <w:vAlign w:val="center"/>
          </w:tcPr>
          <w:p w14:paraId="7B25B2CC" w14:textId="77777777" w:rsidR="00A2609B" w:rsidRDefault="00A2609B" w:rsidP="00A2609B">
            <w:r>
              <w:t>Strong commitments exist but commercial linkage is uneven</w:t>
            </w:r>
          </w:p>
        </w:tc>
        <w:tc>
          <w:tcPr>
            <w:tcW w:w="1871" w:type="dxa"/>
            <w:tcMar>
              <w:top w:w="100" w:type="dxa"/>
              <w:left w:w="120" w:type="dxa"/>
              <w:bottom w:w="100" w:type="dxa"/>
              <w:right w:w="120" w:type="dxa"/>
            </w:tcMar>
            <w:vAlign w:val="center"/>
          </w:tcPr>
          <w:p w14:paraId="70492E99" w14:textId="77777777" w:rsidR="00A2609B" w:rsidRDefault="00A2609B" w:rsidP="00A2609B">
            <w:r>
              <w:t xml:space="preserve">CSR seen as cost </w:t>
            </w:r>
            <w:proofErr w:type="spellStart"/>
            <w:r>
              <w:t>centre</w:t>
            </w:r>
            <w:proofErr w:type="spellEnd"/>
            <w:r>
              <w:t xml:space="preserve"> rather than strategic lever</w:t>
            </w:r>
          </w:p>
        </w:tc>
        <w:tc>
          <w:tcPr>
            <w:tcW w:w="2324" w:type="dxa"/>
            <w:tcMar>
              <w:top w:w="100" w:type="dxa"/>
              <w:left w:w="120" w:type="dxa"/>
              <w:bottom w:w="100" w:type="dxa"/>
              <w:right w:w="120" w:type="dxa"/>
            </w:tcMar>
            <w:vAlign w:val="center"/>
          </w:tcPr>
          <w:p w14:paraId="428D9267" w14:textId="77777777" w:rsidR="00A2609B" w:rsidRDefault="00A2609B" w:rsidP="00A2609B">
            <w:r>
              <w:t>Tie climate, packaging and sourcing metrics to category scorecards</w:t>
            </w:r>
          </w:p>
        </w:tc>
        <w:tc>
          <w:tcPr>
            <w:tcW w:w="1247" w:type="dxa"/>
            <w:tcMar>
              <w:top w:w="100" w:type="dxa"/>
              <w:left w:w="120" w:type="dxa"/>
              <w:bottom w:w="100" w:type="dxa"/>
              <w:right w:w="120" w:type="dxa"/>
            </w:tcMar>
            <w:vAlign w:val="center"/>
          </w:tcPr>
          <w:p w14:paraId="4C3645C5" w14:textId="77777777" w:rsidR="00A2609B" w:rsidRDefault="00A2609B" w:rsidP="00A2609B">
            <w:r>
              <w:t>Medium term</w:t>
            </w:r>
          </w:p>
        </w:tc>
      </w:tr>
      <w:tr w:rsidR="00A2609B" w14:paraId="4A10C9A9" w14:textId="77777777" w:rsidTr="00F70DD1">
        <w:trPr>
          <w:jc w:val="center"/>
        </w:trPr>
        <w:tc>
          <w:tcPr>
            <w:tcW w:w="1587" w:type="dxa"/>
            <w:tcMar>
              <w:top w:w="100" w:type="dxa"/>
              <w:left w:w="120" w:type="dxa"/>
              <w:bottom w:w="100" w:type="dxa"/>
              <w:right w:w="120" w:type="dxa"/>
            </w:tcMar>
            <w:vAlign w:val="center"/>
          </w:tcPr>
          <w:p w14:paraId="26AF3160" w14:textId="77777777" w:rsidR="00A2609B" w:rsidRDefault="00A2609B" w:rsidP="00A2609B">
            <w:r>
              <w:t>Transformation capability</w:t>
            </w:r>
          </w:p>
        </w:tc>
        <w:tc>
          <w:tcPr>
            <w:tcW w:w="2268" w:type="dxa"/>
            <w:tcMar>
              <w:top w:w="100" w:type="dxa"/>
              <w:left w:w="120" w:type="dxa"/>
              <w:bottom w:w="100" w:type="dxa"/>
              <w:right w:w="120" w:type="dxa"/>
            </w:tcMar>
            <w:vAlign w:val="center"/>
          </w:tcPr>
          <w:p w14:paraId="2A060765" w14:textId="77777777" w:rsidR="00A2609B" w:rsidRDefault="00A2609B" w:rsidP="00A2609B">
            <w:r>
              <w:t>Restructuring can improve focus but disrupt talent and routines</w:t>
            </w:r>
          </w:p>
        </w:tc>
        <w:tc>
          <w:tcPr>
            <w:tcW w:w="1871" w:type="dxa"/>
            <w:tcMar>
              <w:top w:w="100" w:type="dxa"/>
              <w:left w:w="120" w:type="dxa"/>
              <w:bottom w:w="100" w:type="dxa"/>
              <w:right w:w="120" w:type="dxa"/>
            </w:tcMar>
            <w:vAlign w:val="center"/>
          </w:tcPr>
          <w:p w14:paraId="44566729" w14:textId="77777777" w:rsidR="00A2609B" w:rsidRDefault="00A2609B" w:rsidP="00A2609B">
            <w:r>
              <w:t>Execution fatigue and capability leakage</w:t>
            </w:r>
          </w:p>
        </w:tc>
        <w:tc>
          <w:tcPr>
            <w:tcW w:w="2324" w:type="dxa"/>
            <w:tcMar>
              <w:top w:w="100" w:type="dxa"/>
              <w:left w:w="120" w:type="dxa"/>
              <w:bottom w:w="100" w:type="dxa"/>
              <w:right w:w="120" w:type="dxa"/>
            </w:tcMar>
            <w:vAlign w:val="center"/>
          </w:tcPr>
          <w:p w14:paraId="41C075F2" w14:textId="77777777" w:rsidR="00A2609B" w:rsidRDefault="00A2609B" w:rsidP="00A2609B">
            <w:r>
              <w:t>Protect critical teams and sequence change more carefully</w:t>
            </w:r>
          </w:p>
        </w:tc>
        <w:tc>
          <w:tcPr>
            <w:tcW w:w="1247" w:type="dxa"/>
            <w:tcMar>
              <w:top w:w="100" w:type="dxa"/>
              <w:left w:w="120" w:type="dxa"/>
              <w:bottom w:w="100" w:type="dxa"/>
              <w:right w:w="120" w:type="dxa"/>
            </w:tcMar>
            <w:vAlign w:val="center"/>
          </w:tcPr>
          <w:p w14:paraId="0F79ADE4" w14:textId="77777777" w:rsidR="00A2609B" w:rsidRDefault="00A2609B" w:rsidP="00A2609B">
            <w:r>
              <w:t>Immediate</w:t>
            </w:r>
          </w:p>
        </w:tc>
      </w:tr>
    </w:tbl>
    <w:p w14:paraId="5894F334" w14:textId="77777777" w:rsidR="006A6A7C" w:rsidRDefault="006A6A7C" w:rsidP="006A6A7C">
      <w:r>
        <w:lastRenderedPageBreak/>
        <w:t xml:space="preserve">Weaknesses remain. The </w:t>
      </w:r>
      <w:proofErr w:type="spellStart"/>
      <w:r>
        <w:t>organisation</w:t>
      </w:r>
      <w:proofErr w:type="spellEnd"/>
      <w:r>
        <w:t xml:space="preserve"> remains complicated. There are categories that experience slow growth in the market. The breadth of the portfolio still may dilute the attention of a strategy, and transformation fatigue is an actual threat. Risks involve fluctuation of commodities, intensifying regulations, pressure by retailers, competition by own-label, geopolitical risk and unstable consumer confidence. Reuters (2025b) also points out the emergence of smaller challenger brands within the food categories of the United States, with even a large legacy brand able to lose ground with undermined agility and perceived value.</w:t>
      </w:r>
    </w:p>
    <w:p w14:paraId="65430940" w14:textId="77777777" w:rsidR="006A6A7C" w:rsidRDefault="006A6A7C" w:rsidP="006A6A7C">
      <w:r>
        <w:t xml:space="preserve">The rationale of Ansoff can be applied in this context since the primary </w:t>
      </w:r>
      <w:proofErr w:type="gramStart"/>
      <w:r>
        <w:t>manner in which</w:t>
      </w:r>
      <w:proofErr w:type="gramEnd"/>
      <w:r>
        <w:t xml:space="preserve"> Unilever can achieve its strongest </w:t>
      </w:r>
      <w:proofErr w:type="gramStart"/>
      <w:r>
        <w:t>near term</w:t>
      </w:r>
      <w:proofErr w:type="gramEnd"/>
      <w:r>
        <w:t xml:space="preserve"> growth is through market penetration and product development as opposed to diversification that are not related (Ansoff, 1957). Market penetration is appealing in the sense that there is still headroom in many of the Power Brands due to a superior execution. The development of the products is also important since the quality of innovation is one of the key differentiators in personal care, wellbeing and chosen food divisions. Market development is important in some geographies, yet the development should be undertaken by effective route-to-market and not headline expansion.</w:t>
      </w:r>
    </w:p>
    <w:p w14:paraId="57C6C3A6" w14:textId="77777777" w:rsidR="006A6A7C" w:rsidRDefault="006A6A7C" w:rsidP="006A6A7C">
      <w:r>
        <w:t xml:space="preserve">It is </w:t>
      </w:r>
      <w:proofErr w:type="gramStart"/>
      <w:r>
        <w:t>on the basis of</w:t>
      </w:r>
      <w:proofErr w:type="gramEnd"/>
      <w:r>
        <w:t xml:space="preserve"> this assessment that four recommendations are suggested.</w:t>
      </w:r>
    </w:p>
    <w:p w14:paraId="7F4CAA9E" w14:textId="77777777" w:rsidR="006A6A7C" w:rsidRDefault="006A6A7C" w:rsidP="006A6A7C">
      <w:r>
        <w:t xml:space="preserve">To begin with, Unilever ought to pursue more strategic focus on fewer growth platforms and not fewer brands alone. The Power Brand </w:t>
      </w:r>
      <w:proofErr w:type="spellStart"/>
      <w:r>
        <w:t>programme</w:t>
      </w:r>
      <w:proofErr w:type="spellEnd"/>
      <w:r>
        <w:t xml:space="preserve"> is </w:t>
      </w:r>
      <w:proofErr w:type="gramStart"/>
      <w:r>
        <w:t>to</w:t>
      </w:r>
      <w:proofErr w:type="gramEnd"/>
      <w:r>
        <w:t xml:space="preserve"> the right direction, though the company must take a step further to arrange growth platforms around the winning propositions like wellbeing, premium personal care, hygiene efficacy and high-conviction foods sub-categories. This would enhance coherence in investment and fragmentation in innovation, media and R&amp;D.</w:t>
      </w:r>
    </w:p>
    <w:p w14:paraId="3B3A5E25" w14:textId="77777777" w:rsidR="006A6A7C" w:rsidRDefault="006A6A7C" w:rsidP="006A6A7C">
      <w:r>
        <w:t xml:space="preserve">Second, Unilever ought to develop a more defined dual-engine model of emerging markets. One of the engines must be affordability, access and local relevance; the other </w:t>
      </w:r>
      <w:proofErr w:type="spellStart"/>
      <w:r>
        <w:t>premiumisation</w:t>
      </w:r>
      <w:proofErr w:type="spellEnd"/>
      <w:r>
        <w:t xml:space="preserve"> in urban and digitally connected segments. The risk of taking emerging markets as one block can lead to strategic underperformance. A more divided model would be more appropriate in the 58% exposure of the company to emerging markets and enhance both resilience and growth quality (Unilever, 2025c).</w:t>
      </w:r>
    </w:p>
    <w:p w14:paraId="493A76E6" w14:textId="77777777" w:rsidR="006A6A7C" w:rsidRDefault="006A6A7C" w:rsidP="006A6A7C">
      <w:r>
        <w:t xml:space="preserve">Third, the company ought to make sustainability metrics more business scorecard-linked at category and market level. Unilever already enjoys better sustainability governance than most of its </w:t>
      </w:r>
      <w:proofErr w:type="gramStart"/>
      <w:r>
        <w:t>competitors, but</w:t>
      </w:r>
      <w:proofErr w:type="gramEnd"/>
      <w:r>
        <w:t xml:space="preserve"> will only be able to enhance competitive advantage as environmental and social measurements are entrenched in brand, procurement and supply chain decision-making. They can be sourcing resilience </w:t>
      </w:r>
      <w:r>
        <w:lastRenderedPageBreak/>
        <w:t xml:space="preserve">indicators, packaging intensity metrics and coverage of living wage among strategically exposed categories of suppliers. This would ensure that CSR is more functional and </w:t>
      </w:r>
      <w:proofErr w:type="spellStart"/>
      <w:r>
        <w:t>decentralised</w:t>
      </w:r>
      <w:proofErr w:type="spellEnd"/>
      <w:r>
        <w:t>.</w:t>
      </w:r>
    </w:p>
    <w:p w14:paraId="62F03E01" w14:textId="77777777" w:rsidR="006A6A7C" w:rsidRDefault="006A6A7C" w:rsidP="006A6A7C">
      <w:r>
        <w:t xml:space="preserve">Fourth, Unilever ought to safeguard implementation capacity </w:t>
      </w:r>
      <w:proofErr w:type="gramStart"/>
      <w:r>
        <w:t>in the course of</w:t>
      </w:r>
      <w:proofErr w:type="gramEnd"/>
      <w:r>
        <w:t xml:space="preserve"> restructuring by ringfencing with key commercial, digital and R&amp;D talent. Excessive changes kill the abilities that are required to make them. It is not surprising that the board wants things to be done immediately but the sustainability of the change in the long run requires the knowledge and leadership capacity to maintain the change. Such recommendation is in line with resource-based theory that highlights that capabilities that are embedded in </w:t>
      </w:r>
      <w:proofErr w:type="spellStart"/>
      <w:r>
        <w:t>organisations</w:t>
      </w:r>
      <w:proofErr w:type="spellEnd"/>
      <w:r>
        <w:t xml:space="preserve"> are hard to create in case they are spread (Barney, 1991; Teece, Pisano and </w:t>
      </w:r>
      <w:proofErr w:type="spellStart"/>
      <w:r>
        <w:t>Shuen</w:t>
      </w:r>
      <w:proofErr w:type="spellEnd"/>
      <w:r>
        <w:t>, 1997).</w:t>
      </w:r>
    </w:p>
    <w:p w14:paraId="35878E25" w14:textId="77777777" w:rsidR="006A6A7C" w:rsidRDefault="006A6A7C" w:rsidP="006A6A7C">
      <w:r>
        <w:t>All these suggestions would bring Unilever to a more sustainable strategic renewal instead of a successful recovery year. The company does not require a drastic re-invention. It requires more coherence, stronger resource focus, enhancements in market specific execution as well as more integration between sustainability and operating performance.</w:t>
      </w:r>
    </w:p>
    <w:p w14:paraId="355388B1" w14:textId="3945281D" w:rsidR="00A2609B" w:rsidRDefault="006A6A7C" w:rsidP="006A6A7C">
      <w:r>
        <w:t xml:space="preserve">Their joint rationale is sanity. Strategic focus is elevated in recommendation one. In recommendation two, it safeguards relevance in new markets. The third recommendation helps avoid making sustainability look like it is not connected to commercial management. Recommendation four is a protective measure of </w:t>
      </w:r>
      <w:proofErr w:type="spellStart"/>
      <w:r>
        <w:t>organisational</w:t>
      </w:r>
      <w:proofErr w:type="spellEnd"/>
      <w:r>
        <w:t xml:space="preserve"> ability to carry out all the other priorities. The recommendations can be said to reinstate each other in that sense, as opposed to being standalone solutions. That is important since the short calls to holistic strategic assessment, and holistic strategy is only plausible when the actions suggested are a system</w:t>
      </w:r>
      <w:r w:rsidR="00A2609B">
        <w:t>.</w:t>
      </w:r>
    </w:p>
    <w:p w14:paraId="20224F5E" w14:textId="77777777" w:rsidR="00A2609B" w:rsidRDefault="00A2609B">
      <w:pPr>
        <w:spacing w:after="160" w:line="278" w:lineRule="auto"/>
        <w:jc w:val="left"/>
        <w:rPr>
          <w:rFonts w:eastAsiaTheme="majorEastAsia" w:cstheme="majorBidi"/>
          <w:b/>
          <w:sz w:val="32"/>
          <w:szCs w:val="40"/>
        </w:rPr>
      </w:pPr>
      <w:r>
        <w:br w:type="page"/>
      </w:r>
    </w:p>
    <w:p w14:paraId="60AFC896" w14:textId="4D99CB8A" w:rsidR="00A2609B" w:rsidRDefault="00A2609B" w:rsidP="00A2609B">
      <w:pPr>
        <w:pStyle w:val="Heading1"/>
        <w:numPr>
          <w:ilvl w:val="0"/>
          <w:numId w:val="0"/>
        </w:numPr>
        <w:jc w:val="both"/>
      </w:pPr>
      <w:bookmarkStart w:id="11" w:name="_Toc223962487"/>
      <w:r>
        <w:lastRenderedPageBreak/>
        <w:t>Section 2: Reflective account using Gibbs’ reflective cycle</w:t>
      </w:r>
      <w:bookmarkEnd w:id="11"/>
    </w:p>
    <w:p w14:paraId="52AF1DF9" w14:textId="77777777" w:rsidR="00A2609B" w:rsidRDefault="00A2609B" w:rsidP="00A2609B">
      <w:pPr>
        <w:pStyle w:val="Heading2"/>
        <w:numPr>
          <w:ilvl w:val="0"/>
          <w:numId w:val="0"/>
        </w:numPr>
      </w:pPr>
      <w:bookmarkStart w:id="12" w:name="_Toc223962488"/>
      <w:r>
        <w:t>Description</w:t>
      </w:r>
      <w:bookmarkEnd w:id="12"/>
    </w:p>
    <w:p w14:paraId="231DC07C" w14:textId="306D7176" w:rsidR="00A2609B" w:rsidRDefault="006A6A7C" w:rsidP="00A2609B">
      <w:r w:rsidRPr="006A6A7C">
        <w:t xml:space="preserve">When I was preparing this report, I was not writing by </w:t>
      </w:r>
      <w:proofErr w:type="gramStart"/>
      <w:r w:rsidRPr="006A6A7C">
        <w:t>intuition</w:t>
      </w:r>
      <w:proofErr w:type="gramEnd"/>
      <w:r w:rsidRPr="006A6A7C">
        <w:t xml:space="preserve"> but I was doing it in stages. I have started by reading the assessment brief thoroughly to ensure that the report format would reflect the </w:t>
      </w:r>
      <w:proofErr w:type="gramStart"/>
      <w:r w:rsidRPr="006A6A7C">
        <w:t>sections necessary</w:t>
      </w:r>
      <w:proofErr w:type="gramEnd"/>
      <w:r w:rsidRPr="006A6A7C">
        <w:t xml:space="preserve"> rather than lapse into a general company profile. This initial choice informed the entire process since it caused me to approach the task as a strategic analysis exercise with clear requirements regarding PESTEL, VRIO, CSR, Balanced Scorecard, strategic choice and reflection. I have then chosen Unilever due to the good access to annual reports, strategy reports, sustainability reports and plausible business journalism, as well as the fact that it was distinct </w:t>
      </w:r>
      <w:proofErr w:type="gramStart"/>
      <w:r w:rsidRPr="006A6A7C">
        <w:t>enough as</w:t>
      </w:r>
      <w:proofErr w:type="gramEnd"/>
      <w:r w:rsidRPr="006A6A7C">
        <w:t xml:space="preserve"> compared to </w:t>
      </w:r>
      <w:proofErr w:type="gramStart"/>
      <w:r w:rsidRPr="006A6A7C">
        <w:t>single brand</w:t>
      </w:r>
      <w:proofErr w:type="gramEnd"/>
      <w:r w:rsidRPr="006A6A7C">
        <w:t xml:space="preserve"> companies. Once I chose the company, I collected official sources, followed by the interpretation of evidence using theory instead of imposing abstract structures on the company</w:t>
      </w:r>
      <w:r w:rsidR="00A2609B">
        <w:t>.</w:t>
      </w:r>
    </w:p>
    <w:p w14:paraId="476E2585" w14:textId="77777777" w:rsidR="00A2609B" w:rsidRDefault="00A2609B" w:rsidP="00A2609B">
      <w:pPr>
        <w:pStyle w:val="Heading2"/>
        <w:numPr>
          <w:ilvl w:val="0"/>
          <w:numId w:val="0"/>
        </w:numPr>
      </w:pPr>
      <w:bookmarkStart w:id="13" w:name="_Toc223962489"/>
      <w:r>
        <w:t>Feelings</w:t>
      </w:r>
      <w:bookmarkEnd w:id="13"/>
    </w:p>
    <w:p w14:paraId="67A23C4D" w14:textId="42AD9B21" w:rsidR="00A2609B" w:rsidRDefault="006A6A7C" w:rsidP="00A2609B">
      <w:r w:rsidRPr="006A6A7C">
        <w:t xml:space="preserve">Initially, I was enticed to Unilever due to the amount of information available to the public that the company seemed to be simpler to </w:t>
      </w:r>
      <w:proofErr w:type="spellStart"/>
      <w:r w:rsidRPr="006A6A7C">
        <w:t>analyse</w:t>
      </w:r>
      <w:proofErr w:type="spellEnd"/>
      <w:r w:rsidRPr="006A6A7C">
        <w:t xml:space="preserve">. </w:t>
      </w:r>
      <w:proofErr w:type="gramStart"/>
      <w:r w:rsidRPr="006A6A7C">
        <w:t>I however</w:t>
      </w:r>
      <w:proofErr w:type="gramEnd"/>
      <w:r w:rsidRPr="006A6A7C">
        <w:t xml:space="preserve"> noticed, as I began to read, that this overload of information has brought about another issue: selectivity. Unilever is highly reporting on the brands, business groups, governance, sustainability and performance, and it could have been simple to write a descriptive report with too many disconnected facts. I thus was a bit unsure on how to be critical and brief simultaneously. I also identified a risk of excessive sympathy to management </w:t>
      </w:r>
      <w:proofErr w:type="spellStart"/>
      <w:r w:rsidRPr="006A6A7C">
        <w:t>storeys</w:t>
      </w:r>
      <w:proofErr w:type="spellEnd"/>
      <w:r w:rsidRPr="006A6A7C">
        <w:t xml:space="preserve">, especially since annual reports are convincing documents besides informational documents. This caused me to be even more </w:t>
      </w:r>
      <w:proofErr w:type="spellStart"/>
      <w:r w:rsidRPr="006A6A7C">
        <w:t>sceptical</w:t>
      </w:r>
      <w:proofErr w:type="spellEnd"/>
      <w:r w:rsidRPr="006A6A7C">
        <w:t xml:space="preserve"> and compelled me to challenge official assertions with independent news reports and strategic theory</w:t>
      </w:r>
      <w:r w:rsidR="00A2609B">
        <w:t>.</w:t>
      </w:r>
    </w:p>
    <w:p w14:paraId="55F03FC5" w14:textId="77777777" w:rsidR="00A2609B" w:rsidRDefault="00A2609B" w:rsidP="00A2609B">
      <w:pPr>
        <w:pStyle w:val="Heading2"/>
        <w:numPr>
          <w:ilvl w:val="0"/>
          <w:numId w:val="0"/>
        </w:numPr>
      </w:pPr>
      <w:bookmarkStart w:id="14" w:name="_Toc223962490"/>
      <w:r>
        <w:t>Evaluation</w:t>
      </w:r>
      <w:bookmarkEnd w:id="14"/>
    </w:p>
    <w:p w14:paraId="7E5504E0" w14:textId="77777777" w:rsidR="006A6A7C" w:rsidRDefault="006A6A7C" w:rsidP="006A6A7C">
      <w:r>
        <w:t xml:space="preserve">My process performed well in </w:t>
      </w:r>
      <w:proofErr w:type="gramStart"/>
      <w:r>
        <w:t>a number of</w:t>
      </w:r>
      <w:proofErr w:type="gramEnd"/>
      <w:r>
        <w:t xml:space="preserve"> aspects. The brevity as the </w:t>
      </w:r>
      <w:proofErr w:type="spellStart"/>
      <w:r>
        <w:t>organising</w:t>
      </w:r>
      <w:proofErr w:type="spellEnd"/>
      <w:r>
        <w:t xml:space="preserve"> logic assisted me to maintain the report in line and the imbalance of content was avoided. An official source would have provided the report with a better evidence base, particularly regarding the current performance, </w:t>
      </w:r>
      <w:proofErr w:type="gramStart"/>
      <w:r>
        <w:t>sustainability</w:t>
      </w:r>
      <w:proofErr w:type="gramEnd"/>
      <w:r>
        <w:t xml:space="preserve"> governance and strategic priorities. I also discovered that integrating theories enhanced better judgement. To give an example, PESTEL has been used to explain external pressures, whereas VRIO has allowed me to avoid the assumption that all resources of a large company necessarily create </w:t>
      </w:r>
      <w:proofErr w:type="gramStart"/>
      <w:r>
        <w:t>advantage</w:t>
      </w:r>
      <w:proofErr w:type="gramEnd"/>
      <w:r>
        <w:t xml:space="preserve">. It was also the Balanced Scorecard section that was quite helpful as it helped me to tie </w:t>
      </w:r>
      <w:r>
        <w:lastRenderedPageBreak/>
        <w:t>together financial outcomes with customer, process and capability drivers and not to consider them separately.</w:t>
      </w:r>
    </w:p>
    <w:p w14:paraId="1F7CC1E6" w14:textId="52A16F08" w:rsidR="00A2609B" w:rsidRDefault="006A6A7C" w:rsidP="006A6A7C">
      <w:r>
        <w:t xml:space="preserve">What was not as effective on the first try was the fact that I tended to gather too many points. At the initial level, I had a lot of material than that which the report could exploit. Part of the information was interesting but not to the point of the assignment question. This has given me a lesson that critical analysis is not only about inclusion, but also about exclusion. The other issue was that of differentiating between the change that is already proven and the one that is yet to be </w:t>
      </w:r>
      <w:proofErr w:type="spellStart"/>
      <w:r>
        <w:t>realised</w:t>
      </w:r>
      <w:proofErr w:type="spellEnd"/>
      <w:r>
        <w:t xml:space="preserve">. The </w:t>
      </w:r>
      <w:proofErr w:type="spellStart"/>
      <w:r>
        <w:t>storey</w:t>
      </w:r>
      <w:proofErr w:type="spellEnd"/>
      <w:r>
        <w:t xml:space="preserve"> of transformation at Unilever is interesting, yet I was forced to remember that a single year of excellent performance does not necessarily indicate long-term strategic achievement</w:t>
      </w:r>
      <w:r w:rsidR="00A2609B">
        <w:t>.</w:t>
      </w:r>
    </w:p>
    <w:p w14:paraId="10276601" w14:textId="77777777" w:rsidR="00A2609B" w:rsidRDefault="00A2609B" w:rsidP="00A2609B">
      <w:pPr>
        <w:pStyle w:val="Heading2"/>
        <w:numPr>
          <w:ilvl w:val="0"/>
          <w:numId w:val="0"/>
        </w:numPr>
      </w:pPr>
      <w:bookmarkStart w:id="15" w:name="_Toc223962491"/>
      <w:r>
        <w:t>Analysis</w:t>
      </w:r>
      <w:bookmarkEnd w:id="15"/>
    </w:p>
    <w:p w14:paraId="1E068091" w14:textId="77777777" w:rsidR="006A6A7C" w:rsidRDefault="006A6A7C" w:rsidP="006A6A7C">
      <w:r>
        <w:t xml:space="preserve">The model developed by Gibbs provokes one to think about the reason events took place in the way they did and the primary lesson to be learnt in this situation is that of the </w:t>
      </w:r>
      <w:proofErr w:type="spellStart"/>
      <w:r>
        <w:t>connexion</w:t>
      </w:r>
      <w:proofErr w:type="spellEnd"/>
      <w:r>
        <w:t xml:space="preserve"> between evidence and interpretation. Strategic management frameworks are effective, although they should be applied in a critical manner. Had I been mechanical in the use of PESTEL or SWOT, the report would have been descriptive and mechanical. Rather, I attempted to inquire </w:t>
      </w:r>
      <w:proofErr w:type="gramStart"/>
      <w:r>
        <w:t>of</w:t>
      </w:r>
      <w:proofErr w:type="gramEnd"/>
      <w:r>
        <w:t xml:space="preserve"> which external forces had the greatest impact on Unilever and which internal strengths were </w:t>
      </w:r>
      <w:proofErr w:type="gramStart"/>
      <w:r>
        <w:t>actually hard</w:t>
      </w:r>
      <w:proofErr w:type="gramEnd"/>
      <w:r>
        <w:t xml:space="preserve"> to copy. This compelled me to go beyond classification of factors to their strategic importance.</w:t>
      </w:r>
    </w:p>
    <w:p w14:paraId="7A7F0500" w14:textId="74AD83D1" w:rsidR="006A6A7C" w:rsidRDefault="006A6A7C" w:rsidP="006A6A7C">
      <w:r>
        <w:t xml:space="preserve">The other valuable lesson is the application of </w:t>
      </w:r>
      <w:proofErr w:type="gramStart"/>
      <w:r>
        <w:t>the corporate</w:t>
      </w:r>
      <w:proofErr w:type="gramEnd"/>
      <w:r>
        <w:t xml:space="preserve"> reporting. The official disclosures of Unilever are abundant, but they tend to put the company in a positive perspective. This does not render them </w:t>
      </w:r>
      <w:proofErr w:type="gramStart"/>
      <w:r>
        <w:t>unreliable</w:t>
      </w:r>
      <w:proofErr w:type="gramEnd"/>
      <w:r>
        <w:t xml:space="preserve"> but it implies that the analyst should read them with discipline. I got to know how to distinguish between what is reported and what is demonstrated. As a case in point, the Growth Action Plan, productivity </w:t>
      </w:r>
      <w:proofErr w:type="spellStart"/>
      <w:r>
        <w:t>programme</w:t>
      </w:r>
      <w:proofErr w:type="spellEnd"/>
      <w:r>
        <w:t xml:space="preserve"> and sustainability promise of the company are strategically significant, but the actual analysis job is to evaluate to what extent they are becoming competitive advantage, traction of implementation and </w:t>
      </w:r>
      <w:proofErr w:type="spellStart"/>
      <w:r>
        <w:t>organisational</w:t>
      </w:r>
      <w:proofErr w:type="spellEnd"/>
      <w:r>
        <w:t xml:space="preserve"> coherence. This thinking process enhanced my value of strategic analysis as a form of judgement in incomplete information.</w:t>
      </w:r>
    </w:p>
    <w:p w14:paraId="3D0D34DD" w14:textId="70C9C826" w:rsidR="00A2609B" w:rsidRDefault="006A6A7C" w:rsidP="006A6A7C">
      <w:r>
        <w:t xml:space="preserve">The process also enhanced my knowledge on sustainability as a strategic issue. Prior to compiling the report, I was inclined to think of CSR as an independent appraisal part that will be completed after the strategy discussion. The research process helped me to </w:t>
      </w:r>
      <w:proofErr w:type="spellStart"/>
      <w:r>
        <w:t>realise</w:t>
      </w:r>
      <w:proofErr w:type="spellEnd"/>
      <w:r>
        <w:t xml:space="preserve"> that in the case of a company such as Unilever, the issue of sustainability cannot be discussed without sourcing risk, regulation, brand legitimacy and supply resilience. This altered my understanding of the CSR section and the recommendation section.</w:t>
      </w:r>
    </w:p>
    <w:p w14:paraId="3EB1D8D4" w14:textId="77777777" w:rsidR="00A2609B" w:rsidRDefault="00A2609B" w:rsidP="00A2609B">
      <w:pPr>
        <w:pStyle w:val="Heading2"/>
        <w:numPr>
          <w:ilvl w:val="0"/>
          <w:numId w:val="0"/>
        </w:numPr>
      </w:pPr>
      <w:bookmarkStart w:id="16" w:name="_Toc223962492"/>
      <w:r>
        <w:lastRenderedPageBreak/>
        <w:t>Conclusion</w:t>
      </w:r>
      <w:bookmarkEnd w:id="16"/>
    </w:p>
    <w:p w14:paraId="47D80EFD" w14:textId="125D3C86" w:rsidR="00A2609B" w:rsidRDefault="006A6A7C" w:rsidP="00A2609B">
      <w:proofErr w:type="gramStart"/>
      <w:r w:rsidRPr="006A6A7C">
        <w:t>On the whole</w:t>
      </w:r>
      <w:proofErr w:type="gramEnd"/>
      <w:r w:rsidRPr="006A6A7C">
        <w:t xml:space="preserve">, the process enhanced my technical knowledge of strategic management tools as well as my practical knowledge of the use of the tools. I came to understand that good analysis is based on rigorous source selection, close correspondence to the task of assessment and readiness to challenge management narratives. I also got to know that financial </w:t>
      </w:r>
      <w:proofErr w:type="gramStart"/>
      <w:r w:rsidRPr="006A6A7C">
        <w:t>outputs</w:t>
      </w:r>
      <w:proofErr w:type="gramEnd"/>
      <w:r w:rsidRPr="006A6A7C">
        <w:t xml:space="preserve"> should not be considered as the sole measure of strategy. These interactions among brand investment, the quality of innovation, route-to-market ability, </w:t>
      </w:r>
      <w:proofErr w:type="spellStart"/>
      <w:r w:rsidRPr="006A6A7C">
        <w:t>organisational</w:t>
      </w:r>
      <w:proofErr w:type="spellEnd"/>
      <w:r w:rsidRPr="006A6A7C">
        <w:t xml:space="preserve"> simplification and sustainability governance are all at play in the case of Unilever to determine </w:t>
      </w:r>
      <w:proofErr w:type="gramStart"/>
      <w:r w:rsidRPr="006A6A7C">
        <w:t>the long</w:t>
      </w:r>
      <w:proofErr w:type="gramEnd"/>
      <w:r w:rsidRPr="006A6A7C">
        <w:t xml:space="preserve">-term performance. The process of preparing the report thus assisted me in getting out of </w:t>
      </w:r>
      <w:proofErr w:type="gramStart"/>
      <w:r w:rsidRPr="006A6A7C">
        <w:t>a model</w:t>
      </w:r>
      <w:proofErr w:type="gramEnd"/>
      <w:r w:rsidRPr="006A6A7C">
        <w:t xml:space="preserve">-by-model thinking to </w:t>
      </w:r>
      <w:proofErr w:type="gramStart"/>
      <w:r w:rsidRPr="006A6A7C">
        <w:t>a more</w:t>
      </w:r>
      <w:proofErr w:type="gramEnd"/>
      <w:r w:rsidRPr="006A6A7C">
        <w:t xml:space="preserve"> holistic strategic thinking</w:t>
      </w:r>
      <w:r w:rsidR="00A2609B">
        <w:t>.</w:t>
      </w:r>
    </w:p>
    <w:p w14:paraId="46C3CECF" w14:textId="77777777" w:rsidR="00A2609B" w:rsidRDefault="00A2609B" w:rsidP="00A2609B">
      <w:pPr>
        <w:pStyle w:val="Heading2"/>
        <w:numPr>
          <w:ilvl w:val="0"/>
          <w:numId w:val="0"/>
        </w:numPr>
      </w:pPr>
      <w:bookmarkStart w:id="17" w:name="_Toc223962493"/>
      <w:r>
        <w:t>Action plan</w:t>
      </w:r>
      <w:bookmarkEnd w:id="17"/>
    </w:p>
    <w:p w14:paraId="5CDC710D" w14:textId="77777777" w:rsidR="006A6A7C" w:rsidRDefault="006A6A7C" w:rsidP="006A6A7C">
      <w:r>
        <w:t xml:space="preserve">To enhance my process better in future assignments, there are four things I would do. To start with, I would prepare a more precise source map by initially dividing official, academic and independent </w:t>
      </w:r>
      <w:proofErr w:type="gramStart"/>
      <w:r>
        <w:t>sources</w:t>
      </w:r>
      <w:proofErr w:type="gramEnd"/>
      <w:r>
        <w:t xml:space="preserve"> making the triangulation process more systematic. Second, I would develop a temporary argument frame and then gather sufficient evidence, which would </w:t>
      </w:r>
      <w:proofErr w:type="spellStart"/>
      <w:r>
        <w:t>minimise</w:t>
      </w:r>
      <w:proofErr w:type="spellEnd"/>
      <w:r>
        <w:t xml:space="preserve"> the chances of over-gathering and enhance selectivity. Third, I would evaluate each of the frameworks by asking a brief evaluative question, like, so what does this mean to competitive advantage, to make sure that the analysis is critical. Fourth, I would spend more time on the process of reviewing the coherence of sections, as the best reports are not </w:t>
      </w:r>
      <w:proofErr w:type="gramStart"/>
      <w:r>
        <w:t>well-researched</w:t>
      </w:r>
      <w:proofErr w:type="gramEnd"/>
      <w:r>
        <w:t xml:space="preserve"> but rather integrated. Such </w:t>
      </w:r>
      <w:proofErr w:type="spellStart"/>
      <w:r>
        <w:t>practises</w:t>
      </w:r>
      <w:proofErr w:type="spellEnd"/>
      <w:r>
        <w:t xml:space="preserve"> would make my future employment more goal-oriented, more judgmental, and more rhetorically convincing.</w:t>
      </w:r>
    </w:p>
    <w:p w14:paraId="0FE9F1D7" w14:textId="77777777" w:rsidR="006A6A7C" w:rsidRDefault="006A6A7C" w:rsidP="006A6A7C">
      <w:r>
        <w:t xml:space="preserve">I would also be more intentional in transforming the analytical structures into visual representation. The points where the argument was most clear in this report were the points where the narrative analysis was </w:t>
      </w:r>
      <w:proofErr w:type="gramStart"/>
      <w:r>
        <w:t>combined together</w:t>
      </w:r>
      <w:proofErr w:type="gramEnd"/>
      <w:r>
        <w:t xml:space="preserve"> with a structured summary, including the VRIO and scorecard logic. That is what I learned presentation is not different to critical thinking. Properly designed tables and figures </w:t>
      </w:r>
      <w:proofErr w:type="gramStart"/>
      <w:r>
        <w:t>are capable of compelling</w:t>
      </w:r>
      <w:proofErr w:type="gramEnd"/>
      <w:r>
        <w:t xml:space="preserve"> more acute </w:t>
      </w:r>
      <w:proofErr w:type="spellStart"/>
      <w:r>
        <w:t>prioritisation</w:t>
      </w:r>
      <w:proofErr w:type="spellEnd"/>
      <w:r>
        <w:t xml:space="preserve"> since vague claims are instantly exposed.</w:t>
      </w:r>
    </w:p>
    <w:p w14:paraId="51D8BEBF" w14:textId="2D9DB383" w:rsidR="00A2609B" w:rsidRDefault="006A6A7C" w:rsidP="006A6A7C">
      <w:r>
        <w:t xml:space="preserve">Lastly, I would also allocate more time to final synthesis. The final step of the report was the transition of the correct section-wise analysis to a combined strategic judgement. That is the level that is most linked with high marks since it not only shows an understanding of tools but also how to integrate them into a logical managerial case. Next time, I would safeguard additional time on that stage of synthesis instead of making it an editing </w:t>
      </w:r>
      <w:proofErr w:type="spellStart"/>
      <w:r>
        <w:t>endeavour</w:t>
      </w:r>
      <w:proofErr w:type="spellEnd"/>
      <w:r w:rsidR="00A2609B">
        <w:t>.</w:t>
      </w:r>
    </w:p>
    <w:p w14:paraId="6FC8FFC4" w14:textId="77777777" w:rsidR="00A2609B" w:rsidRDefault="00A2609B">
      <w:pPr>
        <w:spacing w:after="160" w:line="278" w:lineRule="auto"/>
        <w:jc w:val="left"/>
        <w:rPr>
          <w:rFonts w:eastAsiaTheme="majorEastAsia" w:cstheme="majorBidi"/>
          <w:b/>
          <w:sz w:val="32"/>
          <w:szCs w:val="40"/>
        </w:rPr>
      </w:pPr>
      <w:r>
        <w:br w:type="page"/>
      </w:r>
    </w:p>
    <w:p w14:paraId="031A8094" w14:textId="36582D27" w:rsidR="00A2609B" w:rsidRDefault="00A2609B" w:rsidP="00A2609B">
      <w:pPr>
        <w:pStyle w:val="Heading1"/>
        <w:numPr>
          <w:ilvl w:val="0"/>
          <w:numId w:val="0"/>
        </w:numPr>
        <w:jc w:val="both"/>
      </w:pPr>
      <w:bookmarkStart w:id="18" w:name="_Toc223962494"/>
      <w:r>
        <w:lastRenderedPageBreak/>
        <w:t>References</w:t>
      </w:r>
      <w:bookmarkEnd w:id="18"/>
    </w:p>
    <w:p w14:paraId="2B8B99F1" w14:textId="77777777" w:rsidR="00A2609B" w:rsidRPr="00A2609B" w:rsidRDefault="00A2609B" w:rsidP="00A2609B">
      <w:r w:rsidRPr="00A2609B">
        <w:t xml:space="preserve">Ansoff, H.I. (1957) ‘Strategies for diversification’, </w:t>
      </w:r>
      <w:r w:rsidRPr="00A2609B">
        <w:rPr>
          <w:i/>
          <w:iCs/>
        </w:rPr>
        <w:t>Harvard Business Review</w:t>
      </w:r>
      <w:r w:rsidRPr="00A2609B">
        <w:t>, 35(5), pp. 113–124.</w:t>
      </w:r>
    </w:p>
    <w:p w14:paraId="259D86D9" w14:textId="77777777" w:rsidR="00A2609B" w:rsidRPr="00A2609B" w:rsidRDefault="00A2609B" w:rsidP="00A2609B">
      <w:r w:rsidRPr="00A2609B">
        <w:t xml:space="preserve">Barney, J. (1991) ‘Firm resources and sustained competitive advantage’, </w:t>
      </w:r>
      <w:r w:rsidRPr="00A2609B">
        <w:rPr>
          <w:i/>
          <w:iCs/>
        </w:rPr>
        <w:t>Journal of Management</w:t>
      </w:r>
      <w:r w:rsidRPr="00A2609B">
        <w:t xml:space="preserve">, 17(1), pp. 99–120. Available at: </w:t>
      </w:r>
      <w:hyperlink r:id="rId13" w:history="1">
        <w:r w:rsidRPr="00A2609B">
          <w:rPr>
            <w:rStyle w:val="Hyperlink"/>
          </w:rPr>
          <w:t>https://doi.org/10.1177/014920639101700108</w:t>
        </w:r>
      </w:hyperlink>
      <w:r w:rsidRPr="00A2609B">
        <w:t xml:space="preserve"> (Accessed: 8 March 2026).</w:t>
      </w:r>
    </w:p>
    <w:p w14:paraId="274AF392" w14:textId="77777777" w:rsidR="00A2609B" w:rsidRPr="00A2609B" w:rsidRDefault="00A2609B" w:rsidP="00A2609B">
      <w:r w:rsidRPr="00A2609B">
        <w:t xml:space="preserve">Gibbs, G. (1988) </w:t>
      </w:r>
      <w:r w:rsidRPr="00A2609B">
        <w:rPr>
          <w:i/>
          <w:iCs/>
        </w:rPr>
        <w:t>Learning by Doing: A Guide to Teaching and Learning Methods</w:t>
      </w:r>
      <w:r w:rsidRPr="00A2609B">
        <w:t>. Oxford: Further Education Unit, Oxford Polytechnic.</w:t>
      </w:r>
    </w:p>
    <w:p w14:paraId="016EFF7C" w14:textId="77777777" w:rsidR="00A2609B" w:rsidRPr="00A2609B" w:rsidRDefault="00A2609B" w:rsidP="00A2609B">
      <w:r w:rsidRPr="00A2609B">
        <w:t xml:space="preserve">Grant, R.M. (1991) ‘The resource-based theory of competitive advantage: implications for strategy formulation’, </w:t>
      </w:r>
      <w:r w:rsidRPr="00A2609B">
        <w:rPr>
          <w:i/>
          <w:iCs/>
        </w:rPr>
        <w:t>California Management Review</w:t>
      </w:r>
      <w:r w:rsidRPr="00A2609B">
        <w:t xml:space="preserve">, 33(3), pp. 114–135. Available at: </w:t>
      </w:r>
      <w:hyperlink r:id="rId14" w:history="1">
        <w:r w:rsidRPr="00A2609B">
          <w:rPr>
            <w:rStyle w:val="Hyperlink"/>
          </w:rPr>
          <w:t>https://doi.org/10.2307/41166664</w:t>
        </w:r>
      </w:hyperlink>
      <w:r w:rsidRPr="00A2609B">
        <w:t xml:space="preserve"> (Accessed: 8 March 2026).</w:t>
      </w:r>
    </w:p>
    <w:p w14:paraId="1A4BEA8D" w14:textId="77777777" w:rsidR="00A2609B" w:rsidRPr="00A2609B" w:rsidRDefault="00A2609B" w:rsidP="00A2609B">
      <w:r w:rsidRPr="00A2609B">
        <w:t xml:space="preserve">Kaplan, R.S. and Norton, D.P. (1992) ‘The balanced scorecard: measures that drive performance’, </w:t>
      </w:r>
      <w:r w:rsidRPr="00A2609B">
        <w:rPr>
          <w:i/>
          <w:iCs/>
        </w:rPr>
        <w:t>Harvard Business Review</w:t>
      </w:r>
      <w:r w:rsidRPr="00A2609B">
        <w:t>, 70(1), pp. 71–79.</w:t>
      </w:r>
    </w:p>
    <w:p w14:paraId="6D71E708" w14:textId="77777777" w:rsidR="00A2609B" w:rsidRPr="00A2609B" w:rsidRDefault="00A2609B" w:rsidP="00A2609B">
      <w:r w:rsidRPr="00A2609B">
        <w:t xml:space="preserve">Porter, M.E. (1985) </w:t>
      </w:r>
      <w:r w:rsidRPr="00A2609B">
        <w:rPr>
          <w:i/>
          <w:iCs/>
        </w:rPr>
        <w:t>Competitive Advantage: Creating and Sustaining Superior Performance</w:t>
      </w:r>
      <w:r w:rsidRPr="00A2609B">
        <w:t>. New York: Free Press.</w:t>
      </w:r>
    </w:p>
    <w:p w14:paraId="45B91202" w14:textId="77777777" w:rsidR="00A2609B" w:rsidRPr="00A2609B" w:rsidRDefault="00A2609B" w:rsidP="00A2609B">
      <w:r w:rsidRPr="00A2609B">
        <w:t>Reuters (2024</w:t>
      </w:r>
      <w:proofErr w:type="gramStart"/>
      <w:r w:rsidRPr="00A2609B">
        <w:t>a) ‘</w:t>
      </w:r>
      <w:proofErr w:type="gramEnd"/>
      <w:r w:rsidRPr="00A2609B">
        <w:t xml:space="preserve">Unilever to spin off ice cream business, cut 7,500 jobs for cost savings’, 19 March. Available at: </w:t>
      </w:r>
      <w:hyperlink r:id="rId15" w:history="1">
        <w:r w:rsidRPr="00A2609B">
          <w:rPr>
            <w:rStyle w:val="Hyperlink"/>
          </w:rPr>
          <w:t>https://www.reuters.com/markets/deals/unilever-spin-off-ben-jerrys-unit-launches-cost-savings-plan-2024-03-19/</w:t>
        </w:r>
      </w:hyperlink>
      <w:r w:rsidRPr="00A2609B">
        <w:t xml:space="preserve"> (Accessed: 8 March 2026).</w:t>
      </w:r>
    </w:p>
    <w:p w14:paraId="67F4AEC4" w14:textId="77777777" w:rsidR="00A2609B" w:rsidRPr="00A2609B" w:rsidRDefault="00A2609B" w:rsidP="00A2609B">
      <w:r w:rsidRPr="00A2609B">
        <w:t>Reuters (2025</w:t>
      </w:r>
      <w:proofErr w:type="gramStart"/>
      <w:r w:rsidRPr="00A2609B">
        <w:t>a) ‘</w:t>
      </w:r>
      <w:proofErr w:type="gramEnd"/>
      <w:r w:rsidRPr="00A2609B">
        <w:t xml:space="preserve">Who is Unilever’s new CEO Fernando Fernandez?’, 25 February. Available at: </w:t>
      </w:r>
      <w:hyperlink r:id="rId16" w:history="1">
        <w:r w:rsidRPr="00A2609B">
          <w:rPr>
            <w:rStyle w:val="Hyperlink"/>
          </w:rPr>
          <w:t>https://www.reuters.com/business/retail-consumer/who-is-unilevers-new-ceo-fernando-fernandez-2025-02-25/</w:t>
        </w:r>
      </w:hyperlink>
      <w:r w:rsidRPr="00A2609B">
        <w:t xml:space="preserve"> (Accessed: 8 March 2026).</w:t>
      </w:r>
    </w:p>
    <w:p w14:paraId="30E17F74" w14:textId="77777777" w:rsidR="00A2609B" w:rsidRPr="00A2609B" w:rsidRDefault="00A2609B" w:rsidP="00A2609B">
      <w:r w:rsidRPr="00A2609B">
        <w:t>Reuters (2025</w:t>
      </w:r>
      <w:proofErr w:type="gramStart"/>
      <w:r w:rsidRPr="00A2609B">
        <w:t>b) ‘</w:t>
      </w:r>
      <w:proofErr w:type="gramEnd"/>
      <w:r w:rsidRPr="00A2609B">
        <w:t xml:space="preserve">Shoppers turn to smaller food brands, </w:t>
      </w:r>
      <w:proofErr w:type="gramStart"/>
      <w:r w:rsidRPr="00A2609B">
        <w:t>cutting into</w:t>
      </w:r>
      <w:proofErr w:type="gramEnd"/>
      <w:r w:rsidRPr="00A2609B">
        <w:t xml:space="preserve"> Unilever, P&amp;G profits’, 3 March. Available at: </w:t>
      </w:r>
      <w:hyperlink r:id="rId17" w:history="1">
        <w:r w:rsidRPr="00A2609B">
          <w:rPr>
            <w:rStyle w:val="Hyperlink"/>
          </w:rPr>
          <w:t>https://www.reuters.com/business/retail-consumer/shoppers-turn-smaller-food-brands-cutting-into-unilever-pg-profits-2025-03-03/</w:t>
        </w:r>
      </w:hyperlink>
      <w:r w:rsidRPr="00A2609B">
        <w:t xml:space="preserve"> (Accessed: 8 March 2026).</w:t>
      </w:r>
    </w:p>
    <w:p w14:paraId="55E34E58" w14:textId="77777777" w:rsidR="00A2609B" w:rsidRPr="00A2609B" w:rsidRDefault="00A2609B" w:rsidP="00A2609B">
      <w:r w:rsidRPr="00A2609B">
        <w:t xml:space="preserve">Reuters (2025c) ‘India’s Hindustan Unilever drops to 8-month low on margin concerns’, 23 January. Available at: </w:t>
      </w:r>
      <w:hyperlink r:id="rId18" w:history="1">
        <w:r w:rsidRPr="00A2609B">
          <w:rPr>
            <w:rStyle w:val="Hyperlink"/>
          </w:rPr>
          <w:t>https://www.reuters.com/business/retail-consumer/indias-hindustan-unilever-drops-8-month-low-margin-concerns-2025-01-23/</w:t>
        </w:r>
      </w:hyperlink>
      <w:r w:rsidRPr="00A2609B">
        <w:t xml:space="preserve"> (Accessed: 8 March 2026).</w:t>
      </w:r>
    </w:p>
    <w:p w14:paraId="0C417192" w14:textId="77777777" w:rsidR="00A2609B" w:rsidRPr="00A2609B" w:rsidRDefault="00A2609B" w:rsidP="00A2609B">
      <w:r w:rsidRPr="00A2609B">
        <w:t xml:space="preserve">Teece, D.J., Pisano, G. and </w:t>
      </w:r>
      <w:proofErr w:type="spellStart"/>
      <w:r w:rsidRPr="00A2609B">
        <w:t>Shuen</w:t>
      </w:r>
      <w:proofErr w:type="spellEnd"/>
      <w:r w:rsidRPr="00A2609B">
        <w:t xml:space="preserve">, A. (1997) ‘Dynamic capabilities and strategic management’, </w:t>
      </w:r>
      <w:r w:rsidRPr="00A2609B">
        <w:rPr>
          <w:i/>
          <w:iCs/>
        </w:rPr>
        <w:t>Strategic Management Journal</w:t>
      </w:r>
      <w:r w:rsidRPr="00A2609B">
        <w:t xml:space="preserve">, 18(7), pp. 509–533. Available at: </w:t>
      </w:r>
      <w:hyperlink r:id="rId19" w:history="1">
        <w:r w:rsidRPr="00A2609B">
          <w:rPr>
            <w:rStyle w:val="Hyperlink"/>
          </w:rPr>
          <w:t>https://doi.org/10.1002/(SICI)1097-0266(199708)18:7%3C509::AID-SMJ882%3E3.0.CO;2-Z</w:t>
        </w:r>
      </w:hyperlink>
      <w:r w:rsidRPr="00A2609B">
        <w:t xml:space="preserve"> (Accessed: 8 March 2026).</w:t>
      </w:r>
    </w:p>
    <w:p w14:paraId="45AE9B39" w14:textId="77777777" w:rsidR="00A2609B" w:rsidRPr="00A2609B" w:rsidRDefault="00A2609B" w:rsidP="00A2609B">
      <w:r w:rsidRPr="00A2609B">
        <w:lastRenderedPageBreak/>
        <w:t xml:space="preserve">Unilever (2025a) </w:t>
      </w:r>
      <w:r w:rsidRPr="00A2609B">
        <w:rPr>
          <w:i/>
          <w:iCs/>
        </w:rPr>
        <w:t>Annual Report and Accounts 2024</w:t>
      </w:r>
      <w:r w:rsidRPr="00A2609B">
        <w:t xml:space="preserve">. Available at: </w:t>
      </w:r>
      <w:hyperlink r:id="rId20" w:history="1">
        <w:r w:rsidRPr="00A2609B">
          <w:rPr>
            <w:rStyle w:val="Hyperlink"/>
          </w:rPr>
          <w:t>https://www.unilever.com/files/unilever-annual-report-and-accounts-2024.pdf</w:t>
        </w:r>
      </w:hyperlink>
      <w:r w:rsidRPr="00A2609B">
        <w:t xml:space="preserve"> (Accessed: 8 March 2026).</w:t>
      </w:r>
    </w:p>
    <w:p w14:paraId="5685A17D" w14:textId="77777777" w:rsidR="00A2609B" w:rsidRPr="00A2609B" w:rsidRDefault="00A2609B" w:rsidP="00A2609B">
      <w:r w:rsidRPr="00A2609B">
        <w:t xml:space="preserve">Unilever (2025b) </w:t>
      </w:r>
      <w:r w:rsidRPr="00A2609B">
        <w:rPr>
          <w:i/>
          <w:iCs/>
        </w:rPr>
        <w:t>2024 Full Year Results</w:t>
      </w:r>
      <w:r w:rsidRPr="00A2609B">
        <w:t xml:space="preserve">. Available at: </w:t>
      </w:r>
      <w:hyperlink r:id="rId21" w:history="1">
        <w:r w:rsidRPr="00A2609B">
          <w:rPr>
            <w:rStyle w:val="Hyperlink"/>
          </w:rPr>
          <w:t>https://www.unilever.com/files/ir-q4-2024-full-announcement.pdf</w:t>
        </w:r>
      </w:hyperlink>
      <w:r w:rsidRPr="00A2609B">
        <w:t xml:space="preserve"> (Accessed: 8 March 2026).</w:t>
      </w:r>
    </w:p>
    <w:p w14:paraId="5F9112B2" w14:textId="77777777" w:rsidR="00A2609B" w:rsidRPr="00A2609B" w:rsidRDefault="00A2609B" w:rsidP="00A2609B">
      <w:r w:rsidRPr="00A2609B">
        <w:t xml:space="preserve">Unilever (2025c) </w:t>
      </w:r>
      <w:r w:rsidRPr="00A2609B">
        <w:rPr>
          <w:i/>
          <w:iCs/>
        </w:rPr>
        <w:t>At a glance</w:t>
      </w:r>
      <w:r w:rsidRPr="00A2609B">
        <w:t xml:space="preserve">. Available at: </w:t>
      </w:r>
      <w:hyperlink r:id="rId22" w:history="1">
        <w:r w:rsidRPr="00A2609B">
          <w:rPr>
            <w:rStyle w:val="Hyperlink"/>
          </w:rPr>
          <w:t>https://www.unilever.com/our-company/at-a-glance/</w:t>
        </w:r>
      </w:hyperlink>
      <w:r w:rsidRPr="00A2609B">
        <w:t xml:space="preserve"> (Accessed: 8 March 2026).</w:t>
      </w:r>
    </w:p>
    <w:p w14:paraId="5B873225" w14:textId="77777777" w:rsidR="00A2609B" w:rsidRPr="00A2609B" w:rsidRDefault="00A2609B" w:rsidP="00A2609B">
      <w:r w:rsidRPr="00A2609B">
        <w:t xml:space="preserve">Unilever (2025d) </w:t>
      </w:r>
      <w:r w:rsidRPr="00A2609B">
        <w:rPr>
          <w:i/>
          <w:iCs/>
        </w:rPr>
        <w:t>Climate</w:t>
      </w:r>
      <w:r w:rsidRPr="00A2609B">
        <w:t xml:space="preserve">. Available at: </w:t>
      </w:r>
      <w:hyperlink r:id="rId23" w:history="1">
        <w:r w:rsidRPr="00A2609B">
          <w:rPr>
            <w:rStyle w:val="Hyperlink"/>
          </w:rPr>
          <w:t>https://www.unilever.com/sustainability/climate/</w:t>
        </w:r>
      </w:hyperlink>
      <w:r w:rsidRPr="00A2609B">
        <w:t xml:space="preserve"> (Accessed: 8 March 2026).</w:t>
      </w:r>
    </w:p>
    <w:p w14:paraId="6C9B9C77" w14:textId="77777777" w:rsidR="00A2609B" w:rsidRPr="00A2609B" w:rsidRDefault="00A2609B" w:rsidP="00A2609B">
      <w:r w:rsidRPr="00A2609B">
        <w:t xml:space="preserve">Unilever (2025e) </w:t>
      </w:r>
      <w:r w:rsidRPr="00A2609B">
        <w:rPr>
          <w:i/>
          <w:iCs/>
        </w:rPr>
        <w:t>Improving livelihoods in our global value chain</w:t>
      </w:r>
      <w:r w:rsidRPr="00A2609B">
        <w:t xml:space="preserve">. Available at: </w:t>
      </w:r>
      <w:hyperlink r:id="rId24" w:history="1">
        <w:r w:rsidRPr="00A2609B">
          <w:rPr>
            <w:rStyle w:val="Hyperlink"/>
          </w:rPr>
          <w:t>https://www.unilever.com/planet-and-society/protect-and-regenerate-nature/empowering-smallholder-farmers/</w:t>
        </w:r>
      </w:hyperlink>
      <w:r w:rsidRPr="00A2609B">
        <w:t xml:space="preserve"> (Accessed: 8 March 2026).</w:t>
      </w:r>
    </w:p>
    <w:p w14:paraId="32C0EB47" w14:textId="77777777" w:rsidR="00E11B02" w:rsidRPr="00A2609B" w:rsidRDefault="00E11B02" w:rsidP="00A2609B"/>
    <w:sectPr w:rsidR="00E11B02" w:rsidRPr="00A2609B" w:rsidSect="002C4CB1">
      <w:footerReference w:type="default" r:id="rId25"/>
      <w:pgSz w:w="12240" w:h="15840"/>
      <w:pgMar w:top="1134" w:right="1134" w:bottom="1020" w:left="1247"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5E422" w14:textId="77777777" w:rsidR="00A84F6B" w:rsidRDefault="00A84F6B" w:rsidP="002C4CB1">
      <w:pPr>
        <w:spacing w:after="0" w:line="240" w:lineRule="auto"/>
      </w:pPr>
      <w:r>
        <w:separator/>
      </w:r>
    </w:p>
  </w:endnote>
  <w:endnote w:type="continuationSeparator" w:id="0">
    <w:p w14:paraId="656523E3" w14:textId="77777777" w:rsidR="00A84F6B" w:rsidRDefault="00A84F6B" w:rsidP="002C4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27230" w14:textId="77777777" w:rsidR="002C4CB1" w:rsidRDefault="002C4CB1" w:rsidP="00A2609B">
    <w:pPr>
      <w:pStyle w:val="Footer"/>
    </w:pPr>
    <w:r>
      <w:t xml:space="preserve">LCMB7003 Strategic Management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FCCDD" w14:textId="77777777" w:rsidR="00A84F6B" w:rsidRDefault="00A84F6B" w:rsidP="002C4CB1">
      <w:pPr>
        <w:spacing w:after="0" w:line="240" w:lineRule="auto"/>
      </w:pPr>
      <w:r>
        <w:separator/>
      </w:r>
    </w:p>
  </w:footnote>
  <w:footnote w:type="continuationSeparator" w:id="0">
    <w:p w14:paraId="6968B071" w14:textId="77777777" w:rsidR="00A84F6B" w:rsidRDefault="00A84F6B" w:rsidP="002C4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D133DD"/>
    <w:multiLevelType w:val="multilevel"/>
    <w:tmpl w:val="E59651FC"/>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039281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09B"/>
    <w:rsid w:val="000564AE"/>
    <w:rsid w:val="00056726"/>
    <w:rsid w:val="000C31A2"/>
    <w:rsid w:val="000F0338"/>
    <w:rsid w:val="00140693"/>
    <w:rsid w:val="00151852"/>
    <w:rsid w:val="00190A92"/>
    <w:rsid w:val="001957E3"/>
    <w:rsid w:val="001B7D35"/>
    <w:rsid w:val="001D25C0"/>
    <w:rsid w:val="00201B8E"/>
    <w:rsid w:val="00277E1A"/>
    <w:rsid w:val="002952B6"/>
    <w:rsid w:val="002C4CB1"/>
    <w:rsid w:val="002D45BB"/>
    <w:rsid w:val="002E0F1C"/>
    <w:rsid w:val="003046F1"/>
    <w:rsid w:val="00323BE3"/>
    <w:rsid w:val="00342BBA"/>
    <w:rsid w:val="0037245F"/>
    <w:rsid w:val="0037535D"/>
    <w:rsid w:val="00422CA9"/>
    <w:rsid w:val="004279A8"/>
    <w:rsid w:val="004309B4"/>
    <w:rsid w:val="00437A97"/>
    <w:rsid w:val="0045184A"/>
    <w:rsid w:val="004575C9"/>
    <w:rsid w:val="004659A3"/>
    <w:rsid w:val="004D42E4"/>
    <w:rsid w:val="004E21AB"/>
    <w:rsid w:val="004E36D3"/>
    <w:rsid w:val="004F316D"/>
    <w:rsid w:val="00510925"/>
    <w:rsid w:val="00510933"/>
    <w:rsid w:val="00532BDC"/>
    <w:rsid w:val="005331B1"/>
    <w:rsid w:val="005430EF"/>
    <w:rsid w:val="00557ACC"/>
    <w:rsid w:val="00586471"/>
    <w:rsid w:val="005F511E"/>
    <w:rsid w:val="0060229C"/>
    <w:rsid w:val="00627372"/>
    <w:rsid w:val="00647B4C"/>
    <w:rsid w:val="006A6A7C"/>
    <w:rsid w:val="006D2C76"/>
    <w:rsid w:val="006F7B56"/>
    <w:rsid w:val="007057E8"/>
    <w:rsid w:val="007102A3"/>
    <w:rsid w:val="00797059"/>
    <w:rsid w:val="007B56DC"/>
    <w:rsid w:val="007C4C87"/>
    <w:rsid w:val="007E6568"/>
    <w:rsid w:val="00810061"/>
    <w:rsid w:val="008138E3"/>
    <w:rsid w:val="008229F9"/>
    <w:rsid w:val="00824A64"/>
    <w:rsid w:val="00830ACE"/>
    <w:rsid w:val="008F1206"/>
    <w:rsid w:val="00933818"/>
    <w:rsid w:val="0093541A"/>
    <w:rsid w:val="00982D62"/>
    <w:rsid w:val="00A2609B"/>
    <w:rsid w:val="00A320CF"/>
    <w:rsid w:val="00A328AC"/>
    <w:rsid w:val="00A70F13"/>
    <w:rsid w:val="00A72376"/>
    <w:rsid w:val="00A73F6B"/>
    <w:rsid w:val="00A7535E"/>
    <w:rsid w:val="00A84F6B"/>
    <w:rsid w:val="00AF0355"/>
    <w:rsid w:val="00AF1211"/>
    <w:rsid w:val="00B030E5"/>
    <w:rsid w:val="00B43A5F"/>
    <w:rsid w:val="00B509EB"/>
    <w:rsid w:val="00B76D07"/>
    <w:rsid w:val="00B86354"/>
    <w:rsid w:val="00BA6FC3"/>
    <w:rsid w:val="00BB1BA8"/>
    <w:rsid w:val="00BD4F14"/>
    <w:rsid w:val="00BF3E59"/>
    <w:rsid w:val="00C13D92"/>
    <w:rsid w:val="00C4131A"/>
    <w:rsid w:val="00C846A9"/>
    <w:rsid w:val="00C868E0"/>
    <w:rsid w:val="00CB6625"/>
    <w:rsid w:val="00CB75E0"/>
    <w:rsid w:val="00CD6A3D"/>
    <w:rsid w:val="00CE1E0F"/>
    <w:rsid w:val="00CE360C"/>
    <w:rsid w:val="00D23F4A"/>
    <w:rsid w:val="00D676CA"/>
    <w:rsid w:val="00D92CC8"/>
    <w:rsid w:val="00DB3D7D"/>
    <w:rsid w:val="00DF1F34"/>
    <w:rsid w:val="00E11B02"/>
    <w:rsid w:val="00E42F2D"/>
    <w:rsid w:val="00E45272"/>
    <w:rsid w:val="00E57B47"/>
    <w:rsid w:val="00EA0DD4"/>
    <w:rsid w:val="00FA287D"/>
    <w:rsid w:val="00FC7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36BB9"/>
  <w15:chartTrackingRefBased/>
  <w15:docId w15:val="{79BBAE99-DC0C-42FB-9914-C7EBE9A0E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09B"/>
    <w:pPr>
      <w:spacing w:after="200" w:line="360" w:lineRule="auto"/>
      <w:jc w:val="both"/>
    </w:pPr>
    <w:rPr>
      <w:rFonts w:ascii="Times New Roman" w:eastAsia="Calibri" w:hAnsi="Times New Roman"/>
      <w:kern w:val="0"/>
      <w:szCs w:val="22"/>
      <w14:ligatures w14:val="none"/>
    </w:rPr>
  </w:style>
  <w:style w:type="paragraph" w:styleId="Heading1">
    <w:name w:val="heading 1"/>
    <w:basedOn w:val="Normal"/>
    <w:next w:val="Normal"/>
    <w:link w:val="Heading1Char"/>
    <w:uiPriority w:val="9"/>
    <w:qFormat/>
    <w:rsid w:val="00D676CA"/>
    <w:pPr>
      <w:keepNext/>
      <w:keepLines/>
      <w:numPr>
        <w:numId w:val="1"/>
      </w:numPr>
      <w:spacing w:before="360" w:after="80"/>
      <w:jc w:val="center"/>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D676CA"/>
    <w:pPr>
      <w:keepNext/>
      <w:keepLines/>
      <w:numPr>
        <w:ilvl w:val="1"/>
        <w:numId w:val="1"/>
      </w:numPr>
      <w:spacing w:before="160" w:after="80"/>
      <w:jc w:val="left"/>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D676CA"/>
    <w:pPr>
      <w:keepNext/>
      <w:keepLines/>
      <w:numPr>
        <w:ilvl w:val="2"/>
        <w:numId w:val="1"/>
      </w:numPr>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A2609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2609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2609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2609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2609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2609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6CA"/>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676CA"/>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D676CA"/>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A2609B"/>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A2609B"/>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A2609B"/>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A2609B"/>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A2609B"/>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A2609B"/>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A260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09B"/>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2609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09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2609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609B"/>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A2609B"/>
    <w:pPr>
      <w:ind w:left="720"/>
      <w:contextualSpacing/>
    </w:pPr>
  </w:style>
  <w:style w:type="character" w:styleId="IntenseEmphasis">
    <w:name w:val="Intense Emphasis"/>
    <w:basedOn w:val="DefaultParagraphFont"/>
    <w:uiPriority w:val="21"/>
    <w:qFormat/>
    <w:rsid w:val="00A2609B"/>
    <w:rPr>
      <w:i/>
      <w:iCs/>
      <w:color w:val="2F5496" w:themeColor="accent1" w:themeShade="BF"/>
    </w:rPr>
  </w:style>
  <w:style w:type="paragraph" w:styleId="IntenseQuote">
    <w:name w:val="Intense Quote"/>
    <w:basedOn w:val="Normal"/>
    <w:next w:val="Normal"/>
    <w:link w:val="IntenseQuoteChar"/>
    <w:uiPriority w:val="30"/>
    <w:qFormat/>
    <w:rsid w:val="00A260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609B"/>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A2609B"/>
    <w:rPr>
      <w:b/>
      <w:bCs/>
      <w:smallCaps/>
      <w:color w:val="2F5496" w:themeColor="accent1" w:themeShade="BF"/>
      <w:spacing w:val="5"/>
    </w:rPr>
  </w:style>
  <w:style w:type="paragraph" w:styleId="Footer">
    <w:name w:val="footer"/>
    <w:basedOn w:val="Normal"/>
    <w:link w:val="FooterChar"/>
    <w:uiPriority w:val="99"/>
    <w:unhideWhenUsed/>
    <w:rsid w:val="00A260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09B"/>
    <w:rPr>
      <w:rFonts w:ascii="Calibri" w:eastAsia="Calibri" w:hAnsi="Calibri"/>
      <w:kern w:val="0"/>
      <w:sz w:val="22"/>
      <w:szCs w:val="22"/>
      <w14:ligatures w14:val="none"/>
    </w:rPr>
  </w:style>
  <w:style w:type="table" w:styleId="TableGrid">
    <w:name w:val="Table Grid"/>
    <w:basedOn w:val="TableNormal"/>
    <w:uiPriority w:val="59"/>
    <w:rsid w:val="00A2609B"/>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Style">
    <w:name w:val="TitleStyle"/>
    <w:rsid w:val="00A2609B"/>
    <w:pPr>
      <w:spacing w:after="200" w:line="276" w:lineRule="auto"/>
    </w:pPr>
    <w:rPr>
      <w:rFonts w:ascii="Cambria" w:eastAsia="Cambria" w:hAnsi="Cambria"/>
      <w:b/>
      <w:color w:val="1F2D4A"/>
      <w:kern w:val="0"/>
      <w:sz w:val="44"/>
      <w:szCs w:val="22"/>
      <w14:ligatures w14:val="none"/>
    </w:rPr>
  </w:style>
  <w:style w:type="paragraph" w:customStyle="1" w:styleId="SubTitleStyle">
    <w:name w:val="SubTitleStyle"/>
    <w:rsid w:val="00A2609B"/>
    <w:pPr>
      <w:spacing w:after="200" w:line="276" w:lineRule="auto"/>
    </w:pPr>
    <w:rPr>
      <w:rFonts w:ascii="Cambria" w:eastAsia="Cambria" w:hAnsi="Cambria"/>
      <w:color w:val="464646"/>
      <w:kern w:val="0"/>
      <w:sz w:val="26"/>
      <w:szCs w:val="22"/>
      <w14:ligatures w14:val="none"/>
    </w:rPr>
  </w:style>
  <w:style w:type="paragraph" w:customStyle="1" w:styleId="Heading1Custom">
    <w:name w:val="Heading1Custom"/>
    <w:rsid w:val="00A2609B"/>
    <w:pPr>
      <w:spacing w:before="240" w:after="120" w:line="276" w:lineRule="auto"/>
    </w:pPr>
    <w:rPr>
      <w:rFonts w:ascii="Cambria" w:eastAsia="Cambria" w:hAnsi="Cambria"/>
      <w:b/>
      <w:color w:val="1F2D4A"/>
      <w:kern w:val="0"/>
      <w:sz w:val="30"/>
      <w:szCs w:val="22"/>
      <w14:ligatures w14:val="none"/>
    </w:rPr>
  </w:style>
  <w:style w:type="paragraph" w:customStyle="1" w:styleId="Heading2Custom">
    <w:name w:val="Heading2Custom"/>
    <w:rsid w:val="00A2609B"/>
    <w:pPr>
      <w:spacing w:before="200" w:after="80" w:line="276" w:lineRule="auto"/>
    </w:pPr>
    <w:rPr>
      <w:rFonts w:ascii="Cambria" w:eastAsia="Cambria" w:hAnsi="Cambria"/>
      <w:b/>
      <w:color w:val="324664"/>
      <w:kern w:val="0"/>
      <w:sz w:val="25"/>
      <w:szCs w:val="22"/>
      <w14:ligatures w14:val="none"/>
    </w:rPr>
  </w:style>
  <w:style w:type="paragraph" w:customStyle="1" w:styleId="BodyCustom">
    <w:name w:val="BodyCustom"/>
    <w:rsid w:val="00A2609B"/>
    <w:pPr>
      <w:spacing w:after="120" w:line="360" w:lineRule="auto"/>
      <w:jc w:val="both"/>
    </w:pPr>
    <w:rPr>
      <w:rFonts w:ascii="Calibri" w:eastAsia="Calibri" w:hAnsi="Calibri"/>
      <w:kern w:val="0"/>
      <w:sz w:val="22"/>
      <w:szCs w:val="22"/>
      <w14:ligatures w14:val="none"/>
    </w:rPr>
  </w:style>
  <w:style w:type="paragraph" w:customStyle="1" w:styleId="CaptionCustom">
    <w:name w:val="CaptionCustom"/>
    <w:rsid w:val="00A2609B"/>
    <w:pPr>
      <w:spacing w:before="60" w:line="276" w:lineRule="auto"/>
      <w:jc w:val="center"/>
    </w:pPr>
    <w:rPr>
      <w:rFonts w:ascii="Calibri" w:eastAsia="Calibri" w:hAnsi="Calibri"/>
      <w:i/>
      <w:color w:val="5A5A5A"/>
      <w:kern w:val="0"/>
      <w:sz w:val="19"/>
      <w:szCs w:val="22"/>
      <w14:ligatures w14:val="none"/>
    </w:rPr>
  </w:style>
  <w:style w:type="paragraph" w:customStyle="1" w:styleId="RefCustom">
    <w:name w:val="RefCustom"/>
    <w:rsid w:val="00A2609B"/>
    <w:pPr>
      <w:spacing w:after="60" w:line="360" w:lineRule="auto"/>
    </w:pPr>
    <w:rPr>
      <w:rFonts w:ascii="Calibri" w:eastAsia="Calibri" w:hAnsi="Calibri"/>
      <w:kern w:val="0"/>
      <w:sz w:val="21"/>
      <w:szCs w:val="22"/>
      <w14:ligatures w14:val="none"/>
    </w:rPr>
  </w:style>
  <w:style w:type="paragraph" w:customStyle="1" w:styleId="TableText">
    <w:name w:val="TableText"/>
    <w:rsid w:val="00A2609B"/>
    <w:pPr>
      <w:spacing w:after="0" w:line="276" w:lineRule="auto"/>
    </w:pPr>
    <w:rPr>
      <w:rFonts w:ascii="Calibri" w:eastAsia="Calibri" w:hAnsi="Calibri"/>
      <w:kern w:val="0"/>
      <w:sz w:val="20"/>
      <w:szCs w:val="22"/>
      <w14:ligatures w14:val="none"/>
    </w:rPr>
  </w:style>
  <w:style w:type="character" w:styleId="Hyperlink">
    <w:name w:val="Hyperlink"/>
    <w:basedOn w:val="DefaultParagraphFont"/>
    <w:uiPriority w:val="99"/>
    <w:unhideWhenUsed/>
    <w:rsid w:val="00A2609B"/>
    <w:rPr>
      <w:color w:val="0563C1" w:themeColor="hyperlink"/>
      <w:u w:val="single"/>
    </w:rPr>
  </w:style>
  <w:style w:type="character" w:styleId="UnresolvedMention">
    <w:name w:val="Unresolved Mention"/>
    <w:basedOn w:val="DefaultParagraphFont"/>
    <w:uiPriority w:val="99"/>
    <w:semiHidden/>
    <w:unhideWhenUsed/>
    <w:rsid w:val="00A2609B"/>
    <w:rPr>
      <w:color w:val="605E5C"/>
      <w:shd w:val="clear" w:color="auto" w:fill="E1DFDD"/>
    </w:rPr>
  </w:style>
  <w:style w:type="paragraph" w:styleId="TOCHeading">
    <w:name w:val="TOC Heading"/>
    <w:basedOn w:val="Heading1"/>
    <w:next w:val="Normal"/>
    <w:uiPriority w:val="39"/>
    <w:unhideWhenUsed/>
    <w:qFormat/>
    <w:rsid w:val="002C4CB1"/>
    <w:pPr>
      <w:numPr>
        <w:numId w:val="0"/>
      </w:numPr>
      <w:spacing w:before="240"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2C4CB1"/>
    <w:pPr>
      <w:spacing w:after="100"/>
    </w:pPr>
  </w:style>
  <w:style w:type="paragraph" w:styleId="TOC2">
    <w:name w:val="toc 2"/>
    <w:basedOn w:val="Normal"/>
    <w:next w:val="Normal"/>
    <w:autoRedefine/>
    <w:uiPriority w:val="39"/>
    <w:unhideWhenUsed/>
    <w:rsid w:val="002C4CB1"/>
    <w:pPr>
      <w:spacing w:after="100"/>
      <w:ind w:left="240"/>
    </w:pPr>
  </w:style>
  <w:style w:type="paragraph" w:styleId="TOC3">
    <w:name w:val="toc 3"/>
    <w:basedOn w:val="Normal"/>
    <w:next w:val="Normal"/>
    <w:autoRedefine/>
    <w:uiPriority w:val="39"/>
    <w:unhideWhenUsed/>
    <w:rsid w:val="002C4CB1"/>
    <w:pPr>
      <w:spacing w:after="100"/>
      <w:ind w:left="480"/>
    </w:pPr>
  </w:style>
  <w:style w:type="paragraph" w:styleId="Header">
    <w:name w:val="header"/>
    <w:basedOn w:val="Normal"/>
    <w:link w:val="HeaderChar"/>
    <w:uiPriority w:val="99"/>
    <w:unhideWhenUsed/>
    <w:rsid w:val="002C4C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CB1"/>
    <w:rPr>
      <w:rFonts w:ascii="Times New Roman" w:eastAsia="Calibri"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77/014920639101700108" TargetMode="External"/><Relationship Id="rId18" Type="http://schemas.openxmlformats.org/officeDocument/2006/relationships/hyperlink" Target="https://www.reuters.com/business/retail-consumer/indias-hindustan-unilever-drops-8-month-low-margin-concerns-2025-01-2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ilever.com/files/ir-q4-2024-full-announcement.pdf"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reuters.com/business/retail-consumer/shoppers-turn-smaller-food-brands-cutting-into-unilever-pg-profits-2025-03-0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uters.com/business/retail-consumer/who-is-unilevers-new-ceo-fernando-fernandez-2025-02-25/" TargetMode="External"/><Relationship Id="rId20" Type="http://schemas.openxmlformats.org/officeDocument/2006/relationships/hyperlink" Target="https://www.unilever.com/files/unilever-annual-report-and-accounts-20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unilever.com/planet-and-society/protect-and-regenerate-nature/empowering-smallholder-farmers/" TargetMode="External"/><Relationship Id="rId5" Type="http://schemas.openxmlformats.org/officeDocument/2006/relationships/footnotes" Target="footnotes.xml"/><Relationship Id="rId15" Type="http://schemas.openxmlformats.org/officeDocument/2006/relationships/hyperlink" Target="https://www.reuters.com/markets/deals/unilever-spin-off-ben-jerrys-unit-launches-cost-savings-plan-2024-03-19/" TargetMode="External"/><Relationship Id="rId23" Type="http://schemas.openxmlformats.org/officeDocument/2006/relationships/hyperlink" Target="https://www.unilever.com/sustainability/climate/" TargetMode="External"/><Relationship Id="rId10" Type="http://schemas.openxmlformats.org/officeDocument/2006/relationships/image" Target="media/image3.png"/><Relationship Id="rId19" Type="http://schemas.openxmlformats.org/officeDocument/2006/relationships/hyperlink" Target="https://doi.org/10.1002/(SICI)1097-0266(199708)18:7%3C509::AID-SMJ882%3E3.0.CO;2-Z"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2307/41166664" TargetMode="External"/><Relationship Id="rId22" Type="http://schemas.openxmlformats.org/officeDocument/2006/relationships/hyperlink" Target="https://www.unilever.com/our-company/at-a-glan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24</Pages>
  <Words>7306</Words>
  <Characters>43545</Characters>
  <Application>Microsoft Office Word</Application>
  <DocSecurity>0</DocSecurity>
  <Lines>806</Lines>
  <Paragraphs>273</Paragraphs>
  <ScaleCrop>false</ScaleCrop>
  <Company/>
  <LinksUpToDate>false</LinksUpToDate>
  <CharactersWithSpaces>50578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SAIFUDDIN</cp:lastModifiedBy>
  <cp:revision>8</cp:revision>
  <dcterms:created xsi:type="dcterms:W3CDTF">2026-03-09T09:19:00Z</dcterms:created>
  <dcterms:modified xsi:type="dcterms:W3CDTF">2026-03-24T10:06:00Z</dcterms:modified>
</cp:coreProperties>
</file>