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4CE3E752"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Student name:</w:t>
      </w:r>
      <w:r w:rsidR="00612EEE" w:rsidRPr="00612EEE">
        <w:rPr>
          <w:rFonts w:ascii="Arial" w:hAnsi="Arial" w:cs="Arial"/>
          <w:b/>
          <w:bCs/>
          <w:sz w:val="32"/>
          <w:szCs w:val="32"/>
        </w:rPr>
        <w:t xml:space="preserve"> Adriana Rodrigues Bissoli</w:t>
      </w:r>
    </w:p>
    <w:p w14:paraId="3C83A8A7" w14:textId="4BF9F5C5"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Student ID:</w:t>
      </w:r>
      <w:r w:rsidR="00612EEE" w:rsidRPr="00612EEE">
        <w:rPr>
          <w:rFonts w:ascii="Arial" w:hAnsi="Arial" w:cs="Arial"/>
          <w:b/>
          <w:bCs/>
          <w:sz w:val="32"/>
          <w:szCs w:val="32"/>
        </w:rPr>
        <w:t xml:space="preserve"> 2337158</w:t>
      </w:r>
    </w:p>
    <w:p w14:paraId="1A779480" w14:textId="1E7A3283" w:rsidR="00612EEE" w:rsidRPr="00612EEE" w:rsidRDefault="00EB12BC"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 xml:space="preserve">Module name: </w:t>
      </w:r>
      <w:r w:rsidR="00612EEE" w:rsidRPr="00612EEE">
        <w:rPr>
          <w:rFonts w:ascii="Arial" w:hAnsi="Arial" w:cs="Arial"/>
          <w:b/>
          <w:bCs/>
          <w:sz w:val="32"/>
          <w:szCs w:val="32"/>
        </w:rPr>
        <w:t>Introduction to Physiology</w:t>
      </w:r>
    </w:p>
    <w:p w14:paraId="4FD97C8C" w14:textId="6B0C1E20"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Module code:</w:t>
      </w:r>
      <w:r w:rsidR="00612EEE" w:rsidRPr="00612EEE">
        <w:rPr>
          <w:rFonts w:ascii="Arial" w:hAnsi="Arial" w:cs="Arial"/>
          <w:b/>
          <w:bCs/>
          <w:sz w:val="32"/>
          <w:szCs w:val="32"/>
        </w:rPr>
        <w:t xml:space="preserve"> (BMHP5023)</w:t>
      </w:r>
    </w:p>
    <w:p w14:paraId="1EB8202C" w14:textId="77777777" w:rsidR="00612EEE" w:rsidRPr="00612EEE" w:rsidRDefault="00EB12BC"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Lecturer name:</w:t>
      </w:r>
      <w:r w:rsidR="00612EEE" w:rsidRPr="00612EEE">
        <w:rPr>
          <w:rFonts w:ascii="Arial" w:hAnsi="Arial" w:cs="Arial"/>
          <w:b/>
          <w:bCs/>
          <w:sz w:val="32"/>
          <w:szCs w:val="32"/>
        </w:rPr>
        <w:t xml:space="preserve"> Shaila Hussain</w:t>
      </w:r>
    </w:p>
    <w:p w14:paraId="7D89BFCC" w14:textId="77777777" w:rsidR="00612EEE" w:rsidRPr="00612EEE" w:rsidRDefault="001B7A40"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 xml:space="preserve">Assessment: </w:t>
      </w:r>
      <w:r w:rsidR="00612EEE" w:rsidRPr="00612EEE">
        <w:rPr>
          <w:rFonts w:ascii="Arial" w:hAnsi="Arial" w:cs="Arial"/>
          <w:b/>
          <w:bCs/>
          <w:sz w:val="32"/>
          <w:szCs w:val="32"/>
        </w:rPr>
        <w:t>Case Study Report</w:t>
      </w:r>
    </w:p>
    <w:p w14:paraId="288FE355" w14:textId="77777777" w:rsidR="00612EEE" w:rsidRPr="00C03A91" w:rsidRDefault="00612EEE" w:rsidP="00612EEE">
      <w:pPr>
        <w:tabs>
          <w:tab w:val="left" w:pos="6540"/>
        </w:tabs>
        <w:spacing w:line="360" w:lineRule="auto"/>
        <w:rPr>
          <w:rFonts w:ascii="Arial" w:hAnsi="Arial" w:cs="Arial"/>
          <w:sz w:val="28"/>
          <w:szCs w:val="28"/>
        </w:rPr>
      </w:pPr>
    </w:p>
    <w:p w14:paraId="53B923F4" w14:textId="3310EED9" w:rsidR="001B7A40" w:rsidRPr="00C03A91" w:rsidRDefault="001B7A40"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6A36ACFC" w14:textId="3A69058A" w:rsidR="001A3DF6" w:rsidRDefault="001A3DF6" w:rsidP="00533330">
      <w:pPr>
        <w:pStyle w:val="Heading1"/>
      </w:pPr>
      <w:bookmarkStart w:id="0" w:name="_Toc215688890"/>
      <w:bookmarkStart w:id="1" w:name="_Toc215688962"/>
      <w:bookmarkStart w:id="2" w:name="_Toc215690928"/>
      <w:bookmarkStart w:id="3" w:name="_Toc215691254"/>
      <w:bookmarkStart w:id="4" w:name="_Toc215691982"/>
      <w:r>
        <w:lastRenderedPageBreak/>
        <w:t>Table Content</w:t>
      </w:r>
      <w:bookmarkEnd w:id="0"/>
      <w:bookmarkEnd w:id="1"/>
      <w:bookmarkEnd w:id="2"/>
      <w:bookmarkEnd w:id="3"/>
      <w:bookmarkEnd w:id="4"/>
    </w:p>
    <w:p w14:paraId="1919D595" w14:textId="77777777" w:rsidR="001A3DF6" w:rsidRDefault="001A3DF6" w:rsidP="00533330">
      <w:pPr>
        <w:pStyle w:val="Heading1"/>
      </w:pPr>
    </w:p>
    <w:sdt>
      <w:sdtPr>
        <w:id w:val="339435710"/>
        <w:docPartObj>
          <w:docPartGallery w:val="Table of Contents"/>
          <w:docPartUnique/>
        </w:docPartObj>
      </w:sdtPr>
      <w:sdtEndPr>
        <w:rPr>
          <w:rFonts w:ascii="Times New Roman" w:eastAsiaTheme="minorHAnsi" w:hAnsi="Times New Roman" w:cstheme="minorBidi"/>
          <w:b/>
          <w:bCs/>
          <w:noProof/>
          <w:color w:val="auto"/>
          <w:sz w:val="24"/>
          <w:lang w:val="en-GB"/>
        </w:rPr>
      </w:sdtEndPr>
      <w:sdtContent>
        <w:p w14:paraId="4878FAAA" w14:textId="3875612C" w:rsidR="00314DF8" w:rsidRDefault="00314DF8">
          <w:pPr>
            <w:pStyle w:val="TOCHeading"/>
          </w:pPr>
          <w:r>
            <w:t>Contents</w:t>
          </w:r>
        </w:p>
        <w:p w14:paraId="6B57A454" w14:textId="30E0DBD2" w:rsidR="00314DF8" w:rsidRDefault="00314DF8">
          <w:pPr>
            <w:pStyle w:val="TOC1"/>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691982" w:history="1">
            <w:r w:rsidRPr="004F68E7">
              <w:rPr>
                <w:rStyle w:val="Hyperlink"/>
                <w:noProof/>
              </w:rPr>
              <w:t>Table Content</w:t>
            </w:r>
            <w:r>
              <w:rPr>
                <w:noProof/>
                <w:webHidden/>
              </w:rPr>
              <w:tab/>
            </w:r>
            <w:r>
              <w:rPr>
                <w:noProof/>
                <w:webHidden/>
              </w:rPr>
              <w:fldChar w:fldCharType="begin"/>
            </w:r>
            <w:r>
              <w:rPr>
                <w:noProof/>
                <w:webHidden/>
              </w:rPr>
              <w:instrText xml:space="preserve"> PAGEREF _Toc215691982 \h </w:instrText>
            </w:r>
            <w:r>
              <w:rPr>
                <w:noProof/>
                <w:webHidden/>
              </w:rPr>
            </w:r>
            <w:r>
              <w:rPr>
                <w:noProof/>
                <w:webHidden/>
              </w:rPr>
              <w:fldChar w:fldCharType="separate"/>
            </w:r>
            <w:r>
              <w:rPr>
                <w:noProof/>
                <w:webHidden/>
              </w:rPr>
              <w:t>2</w:t>
            </w:r>
            <w:r>
              <w:rPr>
                <w:noProof/>
                <w:webHidden/>
              </w:rPr>
              <w:fldChar w:fldCharType="end"/>
            </w:r>
          </w:hyperlink>
        </w:p>
        <w:p w14:paraId="1C480A94" w14:textId="51A74DCB" w:rsidR="00314DF8" w:rsidRDefault="00314DF8">
          <w:pPr>
            <w:pStyle w:val="TOC1"/>
            <w:rPr>
              <w:rFonts w:asciiTheme="minorHAnsi" w:eastAsiaTheme="minorEastAsia" w:hAnsiTheme="minorHAnsi"/>
              <w:noProof/>
              <w:kern w:val="2"/>
              <w:szCs w:val="24"/>
              <w:lang w:eastAsia="en-GB"/>
              <w14:ligatures w14:val="standardContextual"/>
            </w:rPr>
          </w:pPr>
          <w:hyperlink w:anchor="_Toc215691983" w:history="1">
            <w:r w:rsidRPr="004F68E7">
              <w:rPr>
                <w:rStyle w:val="Hyperlink"/>
                <w:noProof/>
              </w:rPr>
              <w:t>Introduction</w:t>
            </w:r>
            <w:r>
              <w:rPr>
                <w:noProof/>
                <w:webHidden/>
              </w:rPr>
              <w:tab/>
            </w:r>
            <w:r>
              <w:rPr>
                <w:noProof/>
                <w:webHidden/>
              </w:rPr>
              <w:fldChar w:fldCharType="begin"/>
            </w:r>
            <w:r>
              <w:rPr>
                <w:noProof/>
                <w:webHidden/>
              </w:rPr>
              <w:instrText xml:space="preserve"> PAGEREF _Toc215691983 \h </w:instrText>
            </w:r>
            <w:r>
              <w:rPr>
                <w:noProof/>
                <w:webHidden/>
              </w:rPr>
            </w:r>
            <w:r>
              <w:rPr>
                <w:noProof/>
                <w:webHidden/>
              </w:rPr>
              <w:fldChar w:fldCharType="separate"/>
            </w:r>
            <w:r>
              <w:rPr>
                <w:noProof/>
                <w:webHidden/>
              </w:rPr>
              <w:t>3</w:t>
            </w:r>
            <w:r>
              <w:rPr>
                <w:noProof/>
                <w:webHidden/>
              </w:rPr>
              <w:fldChar w:fldCharType="end"/>
            </w:r>
          </w:hyperlink>
        </w:p>
        <w:p w14:paraId="12CA7E26" w14:textId="7C0E127A" w:rsidR="00314DF8" w:rsidRDefault="00314DF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691984" w:history="1">
            <w:r w:rsidRPr="004F68E7">
              <w:rPr>
                <w:rStyle w:val="Hyperlink"/>
                <w:noProof/>
              </w:rPr>
              <w:t>Diagrams of Treatment and management of type 2 Diabetes.</w:t>
            </w:r>
            <w:r>
              <w:rPr>
                <w:noProof/>
                <w:webHidden/>
              </w:rPr>
              <w:tab/>
            </w:r>
            <w:r>
              <w:rPr>
                <w:noProof/>
                <w:webHidden/>
              </w:rPr>
              <w:fldChar w:fldCharType="begin"/>
            </w:r>
            <w:r>
              <w:rPr>
                <w:noProof/>
                <w:webHidden/>
              </w:rPr>
              <w:instrText xml:space="preserve"> PAGEREF _Toc215691984 \h </w:instrText>
            </w:r>
            <w:r>
              <w:rPr>
                <w:noProof/>
                <w:webHidden/>
              </w:rPr>
            </w:r>
            <w:r>
              <w:rPr>
                <w:noProof/>
                <w:webHidden/>
              </w:rPr>
              <w:fldChar w:fldCharType="separate"/>
            </w:r>
            <w:r>
              <w:rPr>
                <w:noProof/>
                <w:webHidden/>
              </w:rPr>
              <w:t>7</w:t>
            </w:r>
            <w:r>
              <w:rPr>
                <w:noProof/>
                <w:webHidden/>
              </w:rPr>
              <w:fldChar w:fldCharType="end"/>
            </w:r>
          </w:hyperlink>
        </w:p>
        <w:p w14:paraId="7D563BFC" w14:textId="509E665B" w:rsidR="00314DF8" w:rsidRDefault="00314DF8">
          <w:pPr>
            <w:pStyle w:val="TOC1"/>
            <w:rPr>
              <w:rFonts w:asciiTheme="minorHAnsi" w:eastAsiaTheme="minorEastAsia" w:hAnsiTheme="minorHAnsi"/>
              <w:noProof/>
              <w:kern w:val="2"/>
              <w:szCs w:val="24"/>
              <w:lang w:eastAsia="en-GB"/>
              <w14:ligatures w14:val="standardContextual"/>
            </w:rPr>
          </w:pPr>
          <w:hyperlink w:anchor="_Toc215691985" w:history="1">
            <w:r w:rsidRPr="004F68E7">
              <w:rPr>
                <w:rStyle w:val="Hyperlink"/>
                <w:noProof/>
              </w:rPr>
              <w:t>Cellular Metabolism in T2DM.</w:t>
            </w:r>
            <w:r>
              <w:rPr>
                <w:noProof/>
                <w:webHidden/>
              </w:rPr>
              <w:tab/>
            </w:r>
            <w:r>
              <w:rPr>
                <w:noProof/>
                <w:webHidden/>
              </w:rPr>
              <w:fldChar w:fldCharType="begin"/>
            </w:r>
            <w:r>
              <w:rPr>
                <w:noProof/>
                <w:webHidden/>
              </w:rPr>
              <w:instrText xml:space="preserve"> PAGEREF _Toc215691985 \h </w:instrText>
            </w:r>
            <w:r>
              <w:rPr>
                <w:noProof/>
                <w:webHidden/>
              </w:rPr>
            </w:r>
            <w:r>
              <w:rPr>
                <w:noProof/>
                <w:webHidden/>
              </w:rPr>
              <w:fldChar w:fldCharType="separate"/>
            </w:r>
            <w:r>
              <w:rPr>
                <w:noProof/>
                <w:webHidden/>
              </w:rPr>
              <w:t>8</w:t>
            </w:r>
            <w:r>
              <w:rPr>
                <w:noProof/>
                <w:webHidden/>
              </w:rPr>
              <w:fldChar w:fldCharType="end"/>
            </w:r>
          </w:hyperlink>
        </w:p>
        <w:p w14:paraId="70483DFC" w14:textId="3CCAE9BB" w:rsidR="00314DF8" w:rsidRDefault="00314DF8">
          <w:pPr>
            <w:pStyle w:val="TOC1"/>
            <w:rPr>
              <w:rFonts w:asciiTheme="minorHAnsi" w:eastAsiaTheme="minorEastAsia" w:hAnsiTheme="minorHAnsi"/>
              <w:noProof/>
              <w:kern w:val="2"/>
              <w:szCs w:val="24"/>
              <w:lang w:eastAsia="en-GB"/>
              <w14:ligatures w14:val="standardContextual"/>
            </w:rPr>
          </w:pPr>
          <w:hyperlink w:anchor="_Toc215691986" w:history="1">
            <w:r w:rsidRPr="004F68E7">
              <w:rPr>
                <w:rStyle w:val="Hyperlink"/>
                <w:noProof/>
              </w:rPr>
              <w:t>Recording and tracking blood sugar levels for T2DM.</w:t>
            </w:r>
            <w:r>
              <w:rPr>
                <w:noProof/>
                <w:webHidden/>
              </w:rPr>
              <w:tab/>
            </w:r>
            <w:r>
              <w:rPr>
                <w:noProof/>
                <w:webHidden/>
              </w:rPr>
              <w:fldChar w:fldCharType="begin"/>
            </w:r>
            <w:r>
              <w:rPr>
                <w:noProof/>
                <w:webHidden/>
              </w:rPr>
              <w:instrText xml:space="preserve"> PAGEREF _Toc215691986 \h </w:instrText>
            </w:r>
            <w:r>
              <w:rPr>
                <w:noProof/>
                <w:webHidden/>
              </w:rPr>
            </w:r>
            <w:r>
              <w:rPr>
                <w:noProof/>
                <w:webHidden/>
              </w:rPr>
              <w:fldChar w:fldCharType="separate"/>
            </w:r>
            <w:r>
              <w:rPr>
                <w:noProof/>
                <w:webHidden/>
              </w:rPr>
              <w:t>9</w:t>
            </w:r>
            <w:r>
              <w:rPr>
                <w:noProof/>
                <w:webHidden/>
              </w:rPr>
              <w:fldChar w:fldCharType="end"/>
            </w:r>
          </w:hyperlink>
        </w:p>
        <w:p w14:paraId="1E7EEE1A" w14:textId="6B67C69B" w:rsidR="00314DF8" w:rsidRDefault="00314DF8">
          <w:pPr>
            <w:pStyle w:val="TOC1"/>
            <w:rPr>
              <w:rFonts w:asciiTheme="minorHAnsi" w:eastAsiaTheme="minorEastAsia" w:hAnsiTheme="minorHAnsi"/>
              <w:noProof/>
              <w:kern w:val="2"/>
              <w:szCs w:val="24"/>
              <w:lang w:eastAsia="en-GB"/>
              <w14:ligatures w14:val="standardContextual"/>
            </w:rPr>
          </w:pPr>
          <w:hyperlink w:anchor="_Toc215691987" w:history="1">
            <w:r w:rsidRPr="004F68E7">
              <w:rPr>
                <w:rStyle w:val="Hyperlink"/>
                <w:noProof/>
              </w:rPr>
              <w:t>Recommendations</w:t>
            </w:r>
            <w:r>
              <w:rPr>
                <w:noProof/>
                <w:webHidden/>
              </w:rPr>
              <w:tab/>
            </w:r>
            <w:r>
              <w:rPr>
                <w:noProof/>
                <w:webHidden/>
              </w:rPr>
              <w:fldChar w:fldCharType="begin"/>
            </w:r>
            <w:r>
              <w:rPr>
                <w:noProof/>
                <w:webHidden/>
              </w:rPr>
              <w:instrText xml:space="preserve"> PAGEREF _Toc215691987 \h </w:instrText>
            </w:r>
            <w:r>
              <w:rPr>
                <w:noProof/>
                <w:webHidden/>
              </w:rPr>
            </w:r>
            <w:r>
              <w:rPr>
                <w:noProof/>
                <w:webHidden/>
              </w:rPr>
              <w:fldChar w:fldCharType="separate"/>
            </w:r>
            <w:r>
              <w:rPr>
                <w:noProof/>
                <w:webHidden/>
              </w:rPr>
              <w:t>11</w:t>
            </w:r>
            <w:r>
              <w:rPr>
                <w:noProof/>
                <w:webHidden/>
              </w:rPr>
              <w:fldChar w:fldCharType="end"/>
            </w:r>
          </w:hyperlink>
        </w:p>
        <w:p w14:paraId="0681112C" w14:textId="02BC24DB" w:rsidR="00314DF8" w:rsidRDefault="00314DF8">
          <w:pPr>
            <w:pStyle w:val="TOC1"/>
            <w:rPr>
              <w:rFonts w:asciiTheme="minorHAnsi" w:eastAsiaTheme="minorEastAsia" w:hAnsiTheme="minorHAnsi"/>
              <w:noProof/>
              <w:kern w:val="2"/>
              <w:szCs w:val="24"/>
              <w:lang w:eastAsia="en-GB"/>
              <w14:ligatures w14:val="standardContextual"/>
            </w:rPr>
          </w:pPr>
          <w:hyperlink w:anchor="_Toc215691988" w:history="1">
            <w:r w:rsidRPr="004F68E7">
              <w:rPr>
                <w:rStyle w:val="Hyperlink"/>
                <w:noProof/>
              </w:rPr>
              <w:t>Conclusion</w:t>
            </w:r>
            <w:r>
              <w:rPr>
                <w:noProof/>
                <w:webHidden/>
              </w:rPr>
              <w:tab/>
            </w:r>
            <w:r>
              <w:rPr>
                <w:noProof/>
                <w:webHidden/>
              </w:rPr>
              <w:fldChar w:fldCharType="begin"/>
            </w:r>
            <w:r>
              <w:rPr>
                <w:noProof/>
                <w:webHidden/>
              </w:rPr>
              <w:instrText xml:space="preserve"> PAGEREF _Toc215691988 \h </w:instrText>
            </w:r>
            <w:r>
              <w:rPr>
                <w:noProof/>
                <w:webHidden/>
              </w:rPr>
            </w:r>
            <w:r>
              <w:rPr>
                <w:noProof/>
                <w:webHidden/>
              </w:rPr>
              <w:fldChar w:fldCharType="separate"/>
            </w:r>
            <w:r>
              <w:rPr>
                <w:noProof/>
                <w:webHidden/>
              </w:rPr>
              <w:t>13</w:t>
            </w:r>
            <w:r>
              <w:rPr>
                <w:noProof/>
                <w:webHidden/>
              </w:rPr>
              <w:fldChar w:fldCharType="end"/>
            </w:r>
          </w:hyperlink>
        </w:p>
        <w:p w14:paraId="207C8187" w14:textId="25BE5324" w:rsidR="00314DF8" w:rsidRDefault="00314DF8">
          <w:pPr>
            <w:pStyle w:val="TOC1"/>
            <w:rPr>
              <w:rFonts w:asciiTheme="minorHAnsi" w:eastAsiaTheme="minorEastAsia" w:hAnsiTheme="minorHAnsi"/>
              <w:noProof/>
              <w:kern w:val="2"/>
              <w:szCs w:val="24"/>
              <w:lang w:eastAsia="en-GB"/>
              <w14:ligatures w14:val="standardContextual"/>
            </w:rPr>
          </w:pPr>
          <w:hyperlink w:anchor="_Toc215691989" w:history="1">
            <w:r w:rsidRPr="004F68E7">
              <w:rPr>
                <w:rStyle w:val="Hyperlink"/>
                <w:noProof/>
              </w:rPr>
              <w:t>References</w:t>
            </w:r>
            <w:r>
              <w:rPr>
                <w:noProof/>
                <w:webHidden/>
              </w:rPr>
              <w:tab/>
            </w:r>
            <w:r>
              <w:rPr>
                <w:noProof/>
                <w:webHidden/>
              </w:rPr>
              <w:fldChar w:fldCharType="begin"/>
            </w:r>
            <w:r>
              <w:rPr>
                <w:noProof/>
                <w:webHidden/>
              </w:rPr>
              <w:instrText xml:space="preserve"> PAGEREF _Toc215691989 \h </w:instrText>
            </w:r>
            <w:r>
              <w:rPr>
                <w:noProof/>
                <w:webHidden/>
              </w:rPr>
            </w:r>
            <w:r>
              <w:rPr>
                <w:noProof/>
                <w:webHidden/>
              </w:rPr>
              <w:fldChar w:fldCharType="separate"/>
            </w:r>
            <w:r>
              <w:rPr>
                <w:noProof/>
                <w:webHidden/>
              </w:rPr>
              <w:t>14</w:t>
            </w:r>
            <w:r>
              <w:rPr>
                <w:noProof/>
                <w:webHidden/>
              </w:rPr>
              <w:fldChar w:fldCharType="end"/>
            </w:r>
          </w:hyperlink>
        </w:p>
        <w:p w14:paraId="643516C2" w14:textId="1188641D" w:rsidR="00314DF8" w:rsidRDefault="00314DF8">
          <w:r>
            <w:rPr>
              <w:b/>
              <w:bCs/>
              <w:noProof/>
            </w:rPr>
            <w:fldChar w:fldCharType="end"/>
          </w:r>
        </w:p>
      </w:sdtContent>
    </w:sdt>
    <w:p w14:paraId="4C817E47" w14:textId="4778F727" w:rsidR="00EF3E3D" w:rsidRDefault="00EF3E3D" w:rsidP="00AC285B">
      <w:pPr>
        <w:pStyle w:val="Heading1"/>
      </w:pPr>
    </w:p>
    <w:p w14:paraId="646D5A18" w14:textId="1012D437" w:rsidR="002E0A1A" w:rsidRDefault="002E0A1A" w:rsidP="00533330">
      <w:pPr>
        <w:pStyle w:val="Heading1"/>
      </w:pPr>
    </w:p>
    <w:p w14:paraId="5F95AFC5" w14:textId="77777777" w:rsidR="001A3DF6" w:rsidRDefault="001A3DF6" w:rsidP="00533330">
      <w:pPr>
        <w:pStyle w:val="Heading1"/>
      </w:pPr>
    </w:p>
    <w:p w14:paraId="62D01766" w14:textId="77777777" w:rsidR="001A3DF6" w:rsidRDefault="001A3DF6" w:rsidP="00533330">
      <w:pPr>
        <w:pStyle w:val="Heading1"/>
      </w:pPr>
    </w:p>
    <w:p w14:paraId="0628CE4F" w14:textId="77777777" w:rsidR="001A3DF6" w:rsidRDefault="001A3DF6" w:rsidP="00533330">
      <w:pPr>
        <w:pStyle w:val="Heading1"/>
      </w:pPr>
    </w:p>
    <w:p w14:paraId="3EC4B997" w14:textId="77777777" w:rsidR="001A3DF6" w:rsidRDefault="001A3DF6" w:rsidP="00533330">
      <w:pPr>
        <w:pStyle w:val="Heading1"/>
      </w:pPr>
    </w:p>
    <w:p w14:paraId="46D51579" w14:textId="77777777" w:rsidR="001A3DF6" w:rsidRDefault="001A3DF6" w:rsidP="00533330">
      <w:pPr>
        <w:pStyle w:val="Heading1"/>
      </w:pPr>
    </w:p>
    <w:p w14:paraId="29EFB397" w14:textId="77777777" w:rsidR="001A3DF6" w:rsidRDefault="001A3DF6" w:rsidP="00533330">
      <w:pPr>
        <w:pStyle w:val="Heading1"/>
      </w:pPr>
    </w:p>
    <w:p w14:paraId="2A08F7CA" w14:textId="77777777" w:rsidR="001A3DF6" w:rsidRDefault="001A3DF6" w:rsidP="00533330">
      <w:pPr>
        <w:pStyle w:val="Heading1"/>
      </w:pPr>
    </w:p>
    <w:p w14:paraId="4696A736" w14:textId="77777777" w:rsidR="001A3DF6" w:rsidRDefault="001A3DF6" w:rsidP="00533330">
      <w:pPr>
        <w:pStyle w:val="Heading1"/>
      </w:pPr>
    </w:p>
    <w:p w14:paraId="6D83C05A" w14:textId="77777777" w:rsidR="002E0A1A" w:rsidRDefault="002E0A1A" w:rsidP="00533330">
      <w:pPr>
        <w:pStyle w:val="Heading1"/>
      </w:pPr>
      <w:bookmarkStart w:id="5" w:name="_Toc215688891"/>
      <w:bookmarkStart w:id="6" w:name="_Toc215688963"/>
    </w:p>
    <w:p w14:paraId="26335F4B" w14:textId="77777777" w:rsidR="002E0A1A" w:rsidRDefault="002E0A1A" w:rsidP="00533330">
      <w:pPr>
        <w:pStyle w:val="Heading1"/>
      </w:pPr>
    </w:p>
    <w:p w14:paraId="4BFDE9FE" w14:textId="77777777" w:rsidR="00AC285B" w:rsidRDefault="00AC285B" w:rsidP="00533330">
      <w:pPr>
        <w:pStyle w:val="Heading1"/>
      </w:pPr>
      <w:bookmarkStart w:id="7" w:name="_Toc215690438"/>
      <w:bookmarkStart w:id="8" w:name="_Toc215690929"/>
      <w:bookmarkStart w:id="9" w:name="_Toc215691255"/>
    </w:p>
    <w:p w14:paraId="4B03557C" w14:textId="584AE346" w:rsidR="0063726F" w:rsidRPr="00086587" w:rsidRDefault="000C4EDA" w:rsidP="00533330">
      <w:pPr>
        <w:pStyle w:val="Heading1"/>
      </w:pPr>
      <w:bookmarkStart w:id="10" w:name="_Toc215691983"/>
      <w:r w:rsidRPr="00086587">
        <w:t>Introduction</w:t>
      </w:r>
      <w:bookmarkEnd w:id="5"/>
      <w:bookmarkEnd w:id="6"/>
      <w:bookmarkEnd w:id="7"/>
      <w:bookmarkEnd w:id="8"/>
      <w:bookmarkEnd w:id="9"/>
      <w:bookmarkEnd w:id="10"/>
      <w:r w:rsidR="00C03A91" w:rsidRPr="00086587">
        <w:t xml:space="preserve"> </w:t>
      </w:r>
    </w:p>
    <w:p w14:paraId="06AEDAAD" w14:textId="3F560263" w:rsidR="004C2FA1" w:rsidRPr="00086587" w:rsidRDefault="002B10D3"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This case study report explores the key considerations for managing patients with type 2 diabetes who attend a general practice clinic. It outlines the role of the practice nurse in supporting ongoing care, monitoring health status, and guiding patients through personalised management plans. The report explains what type 2 diabetes is and describes how the body normally regulates blood glucose levels, highlighting what happens when this process becomes impaired. It also emphasises the importance of lifestyle-based interventions such as balanced nutrition, increased physical activity, weight management, and smoking cessation in improving blood sugar control and reducing long-term risks. Recommendations are provided to help healthcare professionals deliver effective education, encourage patient engagement, and ensure regular review of treatment goals. Overall, the report underscores that well-structured care plans, supported by a collaborative approach, are essential for improving outcomes for people living with type 2 diabetes.</w:t>
      </w:r>
    </w:p>
    <w:p w14:paraId="3ECE0EB1" w14:textId="7EE541F5" w:rsidR="00FD7392" w:rsidRPr="00086587" w:rsidRDefault="00FD7392" w:rsidP="00086587">
      <w:pPr>
        <w:tabs>
          <w:tab w:val="left" w:pos="6540"/>
        </w:tabs>
        <w:spacing w:line="360" w:lineRule="auto"/>
        <w:jc w:val="both"/>
        <w:rPr>
          <w:rFonts w:ascii="Arial" w:hAnsi="Arial" w:cs="Arial"/>
          <w:b/>
          <w:bCs/>
          <w:sz w:val="22"/>
        </w:rPr>
      </w:pPr>
      <w:r w:rsidRPr="00086587">
        <w:rPr>
          <w:rFonts w:ascii="Arial" w:hAnsi="Arial" w:cs="Arial"/>
          <w:b/>
          <w:bCs/>
          <w:sz w:val="22"/>
        </w:rPr>
        <w:t>What is diabetes</w:t>
      </w:r>
      <w:r w:rsidR="002E0A1A" w:rsidRPr="00086587">
        <w:rPr>
          <w:rFonts w:ascii="Arial" w:hAnsi="Arial" w:cs="Arial"/>
          <w:b/>
          <w:bCs/>
          <w:sz w:val="22"/>
        </w:rPr>
        <w:t xml:space="preserve"> T2DM</w:t>
      </w:r>
      <w:r w:rsidRPr="00086587">
        <w:rPr>
          <w:rFonts w:ascii="Arial" w:hAnsi="Arial" w:cs="Arial"/>
          <w:b/>
          <w:bCs/>
          <w:sz w:val="22"/>
        </w:rPr>
        <w:t xml:space="preserve">, and the types? Risk factors associated with it. </w:t>
      </w:r>
    </w:p>
    <w:p w14:paraId="52E7A72B" w14:textId="4E6CDCBD" w:rsidR="00EF3E3D" w:rsidRDefault="002C2506" w:rsidP="00086587">
      <w:pPr>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lastRenderedPageBreak/>
        <w:t xml:space="preserve">More than 3.2 million people in the UK are at risk of developing </w:t>
      </w:r>
      <w:r w:rsidR="003F24F9" w:rsidRPr="00086587">
        <w:rPr>
          <w:rFonts w:ascii="Arial" w:hAnsi="Arial" w:cs="Arial"/>
          <w:color w:val="171717" w:themeColor="background2" w:themeShade="1A"/>
          <w:sz w:val="22"/>
        </w:rPr>
        <w:t>Type 2 diabetes</w:t>
      </w:r>
      <w:r w:rsidR="00E53BE8" w:rsidRPr="00086587">
        <w:rPr>
          <w:rFonts w:ascii="Arial" w:hAnsi="Arial" w:cs="Arial"/>
          <w:color w:val="171717" w:themeColor="background2" w:themeShade="1A"/>
          <w:sz w:val="22"/>
        </w:rPr>
        <w:t xml:space="preserve"> (T2D</w:t>
      </w:r>
      <w:r w:rsidR="00243DC2" w:rsidRPr="00086587">
        <w:rPr>
          <w:rFonts w:ascii="Arial" w:hAnsi="Arial" w:cs="Arial"/>
          <w:color w:val="171717" w:themeColor="background2" w:themeShade="1A"/>
          <w:sz w:val="22"/>
        </w:rPr>
        <w:t>M</w:t>
      </w:r>
      <w:r w:rsidR="00E53BE8" w:rsidRPr="00086587">
        <w:rPr>
          <w:rFonts w:ascii="Arial" w:hAnsi="Arial" w:cs="Arial"/>
          <w:color w:val="171717" w:themeColor="background2" w:themeShade="1A"/>
          <w:sz w:val="22"/>
        </w:rPr>
        <w:t xml:space="preserve">) which </w:t>
      </w:r>
      <w:r w:rsidR="003F24F9" w:rsidRPr="00086587">
        <w:rPr>
          <w:rFonts w:ascii="Arial" w:hAnsi="Arial" w:cs="Arial"/>
          <w:color w:val="171717" w:themeColor="background2" w:themeShade="1A"/>
          <w:sz w:val="22"/>
        </w:rPr>
        <w:t>is a long-term condition where the body becomes resistant to insulin or cannot use it effectively, causing elevated blood glucose levels. The main forms of diabetes include type 1, type 2, gestational diabetes, and several less common secondary types. Type 2 is the most widespread and often develops gradually in adulthood. Several factors increase the likelihood of developing it, including being overweight, limited physical activity, poor diet, family history, older age, high blood pressure, and certain ethnic backgrounds. Lifestyle habits such as smoking and chronic stress can also contribute to insulin resistance and raise overall risk.</w:t>
      </w:r>
      <w:r w:rsidR="00EE0103" w:rsidRPr="00086587">
        <w:rPr>
          <w:rFonts w:ascii="Arial" w:hAnsi="Arial" w:cs="Arial"/>
          <w:color w:val="171717" w:themeColor="background2" w:themeShade="1A"/>
          <w:sz w:val="22"/>
        </w:rPr>
        <w:t xml:space="preserve"> (Diabetes UK, 202</w:t>
      </w:r>
      <w:r w:rsidRPr="00086587">
        <w:rPr>
          <w:rFonts w:ascii="Arial" w:hAnsi="Arial" w:cs="Arial"/>
          <w:color w:val="171717" w:themeColor="background2" w:themeShade="1A"/>
          <w:sz w:val="22"/>
        </w:rPr>
        <w:t>3</w:t>
      </w:r>
      <w:r w:rsidR="00EE0103" w:rsidRPr="00086587">
        <w:rPr>
          <w:rFonts w:ascii="Arial" w:hAnsi="Arial" w:cs="Arial"/>
          <w:color w:val="171717" w:themeColor="background2" w:themeShade="1A"/>
          <w:sz w:val="22"/>
        </w:rPr>
        <w:t>)</w:t>
      </w:r>
      <w:r w:rsidR="00EF3E3D">
        <w:rPr>
          <w:rFonts w:ascii="Arial" w:hAnsi="Arial" w:cs="Arial"/>
          <w:color w:val="171717" w:themeColor="background2" w:themeShade="1A"/>
          <w:sz w:val="22"/>
        </w:rPr>
        <w:t>.</w:t>
      </w:r>
    </w:p>
    <w:p w14:paraId="08D9B73A" w14:textId="77777777" w:rsidR="00EF3E3D" w:rsidRDefault="00EF3E3D" w:rsidP="00086587">
      <w:pPr>
        <w:spacing w:line="360" w:lineRule="auto"/>
        <w:jc w:val="both"/>
        <w:rPr>
          <w:rFonts w:ascii="Arial" w:hAnsi="Arial" w:cs="Arial"/>
          <w:color w:val="171717" w:themeColor="background2" w:themeShade="1A"/>
          <w:sz w:val="22"/>
        </w:rPr>
      </w:pPr>
    </w:p>
    <w:p w14:paraId="58B3798B" w14:textId="77777777" w:rsidR="00EF3E3D" w:rsidRDefault="00EF3E3D" w:rsidP="00086587">
      <w:pPr>
        <w:spacing w:line="360" w:lineRule="auto"/>
        <w:jc w:val="both"/>
        <w:rPr>
          <w:rFonts w:ascii="Arial" w:hAnsi="Arial" w:cs="Arial"/>
          <w:color w:val="171717" w:themeColor="background2" w:themeShade="1A"/>
          <w:sz w:val="22"/>
        </w:rPr>
      </w:pPr>
    </w:p>
    <w:p w14:paraId="66963BCE" w14:textId="77777777" w:rsidR="00EF3E3D" w:rsidRDefault="00EF3E3D" w:rsidP="00086587">
      <w:pPr>
        <w:spacing w:line="360" w:lineRule="auto"/>
        <w:jc w:val="both"/>
        <w:rPr>
          <w:rFonts w:ascii="Arial" w:hAnsi="Arial" w:cs="Arial"/>
          <w:color w:val="171717" w:themeColor="background2" w:themeShade="1A"/>
          <w:sz w:val="22"/>
        </w:rPr>
      </w:pPr>
    </w:p>
    <w:p w14:paraId="7209E773" w14:textId="77777777" w:rsidR="00EF3E3D" w:rsidRDefault="00EF3E3D" w:rsidP="00086587">
      <w:pPr>
        <w:spacing w:line="360" w:lineRule="auto"/>
        <w:jc w:val="both"/>
        <w:rPr>
          <w:rFonts w:ascii="Arial" w:hAnsi="Arial" w:cs="Arial"/>
          <w:color w:val="171717" w:themeColor="background2" w:themeShade="1A"/>
          <w:sz w:val="22"/>
        </w:rPr>
      </w:pPr>
    </w:p>
    <w:p w14:paraId="200E2D4D" w14:textId="77777777" w:rsidR="00EF3E3D" w:rsidRDefault="00EF3E3D" w:rsidP="00086587">
      <w:pPr>
        <w:spacing w:line="360" w:lineRule="auto"/>
        <w:jc w:val="both"/>
        <w:rPr>
          <w:rFonts w:ascii="Arial" w:hAnsi="Arial" w:cs="Arial"/>
          <w:color w:val="171717" w:themeColor="background2" w:themeShade="1A"/>
          <w:sz w:val="22"/>
        </w:rPr>
      </w:pPr>
    </w:p>
    <w:p w14:paraId="4351600F" w14:textId="77777777" w:rsidR="00EF3E3D" w:rsidRDefault="00EF3E3D" w:rsidP="00086587">
      <w:pPr>
        <w:spacing w:line="360" w:lineRule="auto"/>
        <w:jc w:val="both"/>
        <w:rPr>
          <w:rFonts w:ascii="Arial" w:hAnsi="Arial" w:cs="Arial"/>
          <w:color w:val="171717" w:themeColor="background2" w:themeShade="1A"/>
          <w:sz w:val="22"/>
        </w:rPr>
      </w:pPr>
    </w:p>
    <w:p w14:paraId="3E1C65E3" w14:textId="77777777" w:rsidR="00EF3E3D" w:rsidRDefault="00EF3E3D" w:rsidP="00086587">
      <w:pPr>
        <w:spacing w:line="360" w:lineRule="auto"/>
        <w:jc w:val="both"/>
        <w:rPr>
          <w:rFonts w:ascii="Arial" w:hAnsi="Arial" w:cs="Arial"/>
          <w:color w:val="171717" w:themeColor="background2" w:themeShade="1A"/>
          <w:sz w:val="22"/>
        </w:rPr>
      </w:pPr>
    </w:p>
    <w:p w14:paraId="07D53F28" w14:textId="77777777" w:rsidR="00EF3E3D" w:rsidRDefault="00EF3E3D" w:rsidP="00086587">
      <w:pPr>
        <w:spacing w:line="360" w:lineRule="auto"/>
        <w:jc w:val="both"/>
        <w:rPr>
          <w:rFonts w:ascii="Arial" w:hAnsi="Arial" w:cs="Arial"/>
          <w:color w:val="171717" w:themeColor="background2" w:themeShade="1A"/>
          <w:sz w:val="22"/>
        </w:rPr>
      </w:pPr>
    </w:p>
    <w:p w14:paraId="4D40EA64" w14:textId="77777777" w:rsidR="00EF3E3D" w:rsidRDefault="00EF3E3D" w:rsidP="00086587">
      <w:pPr>
        <w:spacing w:line="360" w:lineRule="auto"/>
        <w:jc w:val="both"/>
        <w:rPr>
          <w:rFonts w:ascii="Arial" w:hAnsi="Arial" w:cs="Arial"/>
          <w:color w:val="171717" w:themeColor="background2" w:themeShade="1A"/>
          <w:sz w:val="22"/>
        </w:rPr>
      </w:pPr>
    </w:p>
    <w:p w14:paraId="2ABE40F8" w14:textId="77777777" w:rsidR="00EF3E3D" w:rsidRDefault="00EF3E3D" w:rsidP="00086587">
      <w:pPr>
        <w:spacing w:line="360" w:lineRule="auto"/>
        <w:jc w:val="both"/>
        <w:rPr>
          <w:rFonts w:ascii="Arial" w:hAnsi="Arial" w:cs="Arial"/>
          <w:b/>
          <w:bCs/>
          <w:sz w:val="22"/>
        </w:rPr>
      </w:pPr>
    </w:p>
    <w:p w14:paraId="295D6850" w14:textId="77777777" w:rsidR="00EF3E3D" w:rsidRDefault="00EF3E3D" w:rsidP="00086587">
      <w:pPr>
        <w:spacing w:line="360" w:lineRule="auto"/>
        <w:jc w:val="both"/>
        <w:rPr>
          <w:rFonts w:ascii="Arial" w:hAnsi="Arial" w:cs="Arial"/>
          <w:b/>
          <w:bCs/>
          <w:sz w:val="22"/>
        </w:rPr>
      </w:pPr>
    </w:p>
    <w:p w14:paraId="2A5FDDDE" w14:textId="77777777" w:rsidR="00EF3E3D" w:rsidRDefault="00EF3E3D" w:rsidP="00086587">
      <w:pPr>
        <w:spacing w:line="360" w:lineRule="auto"/>
        <w:jc w:val="both"/>
        <w:rPr>
          <w:rFonts w:ascii="Arial" w:hAnsi="Arial" w:cs="Arial"/>
          <w:b/>
          <w:bCs/>
          <w:sz w:val="22"/>
        </w:rPr>
      </w:pPr>
    </w:p>
    <w:p w14:paraId="40FE80E0" w14:textId="77777777" w:rsidR="00EF3E3D" w:rsidRDefault="00EF3E3D" w:rsidP="00086587">
      <w:pPr>
        <w:spacing w:line="360" w:lineRule="auto"/>
        <w:jc w:val="both"/>
        <w:rPr>
          <w:rFonts w:ascii="Arial" w:hAnsi="Arial" w:cs="Arial"/>
          <w:b/>
          <w:bCs/>
          <w:sz w:val="22"/>
        </w:rPr>
      </w:pPr>
    </w:p>
    <w:p w14:paraId="0A8528B1" w14:textId="3ACF6265" w:rsidR="00C03A91" w:rsidRPr="00EF3E3D" w:rsidRDefault="000F7E43" w:rsidP="00086587">
      <w:pPr>
        <w:spacing w:line="360" w:lineRule="auto"/>
        <w:jc w:val="both"/>
        <w:rPr>
          <w:rFonts w:ascii="Arial" w:hAnsi="Arial" w:cs="Arial"/>
          <w:color w:val="171717" w:themeColor="background2" w:themeShade="1A"/>
          <w:sz w:val="22"/>
        </w:rPr>
      </w:pPr>
      <w:r w:rsidRPr="00086587">
        <w:rPr>
          <w:rFonts w:ascii="Arial" w:hAnsi="Arial" w:cs="Arial"/>
          <w:b/>
          <w:bCs/>
          <w:sz w:val="22"/>
        </w:rPr>
        <w:t>D</w:t>
      </w:r>
      <w:r w:rsidR="00FD7392" w:rsidRPr="00086587">
        <w:rPr>
          <w:rFonts w:ascii="Arial" w:hAnsi="Arial" w:cs="Arial"/>
          <w:b/>
          <w:bCs/>
          <w:sz w:val="22"/>
        </w:rPr>
        <w:t xml:space="preserve">iagrams </w:t>
      </w:r>
      <w:r w:rsidR="002E0A1A" w:rsidRPr="00086587">
        <w:rPr>
          <w:rFonts w:ascii="Arial" w:hAnsi="Arial" w:cs="Arial"/>
          <w:b/>
          <w:bCs/>
          <w:sz w:val="22"/>
        </w:rPr>
        <w:t xml:space="preserve">of </w:t>
      </w:r>
      <w:r w:rsidR="00B04642" w:rsidRPr="00086587">
        <w:rPr>
          <w:rFonts w:ascii="Arial" w:hAnsi="Arial" w:cs="Arial"/>
          <w:b/>
          <w:bCs/>
          <w:sz w:val="22"/>
        </w:rPr>
        <w:t>Pathophysiology</w:t>
      </w:r>
      <w:r w:rsidR="00FD7392" w:rsidRPr="00086587">
        <w:rPr>
          <w:rFonts w:ascii="Arial" w:hAnsi="Arial" w:cs="Arial"/>
          <w:b/>
          <w:bCs/>
          <w:sz w:val="22"/>
        </w:rPr>
        <w:t xml:space="preserve"> </w:t>
      </w:r>
      <w:r w:rsidRPr="00086587">
        <w:rPr>
          <w:rFonts w:ascii="Arial" w:hAnsi="Arial" w:cs="Arial"/>
          <w:b/>
          <w:bCs/>
          <w:sz w:val="22"/>
        </w:rPr>
        <w:t>T2DM.</w:t>
      </w:r>
      <w:r w:rsidR="00FD7392" w:rsidRPr="00086587">
        <w:rPr>
          <w:rFonts w:ascii="Arial" w:hAnsi="Arial" w:cs="Arial"/>
          <w:b/>
          <w:bCs/>
          <w:sz w:val="22"/>
        </w:rPr>
        <w:t xml:space="preserve"> </w:t>
      </w:r>
    </w:p>
    <w:p w14:paraId="19ACD123" w14:textId="77777777" w:rsidR="00A6336B" w:rsidRPr="00086587" w:rsidRDefault="00A6336B" w:rsidP="00086587">
      <w:pPr>
        <w:tabs>
          <w:tab w:val="left" w:pos="6540"/>
        </w:tabs>
        <w:spacing w:line="360" w:lineRule="auto"/>
        <w:jc w:val="both"/>
        <w:rPr>
          <w:rFonts w:ascii="Arial" w:hAnsi="Arial" w:cs="Arial"/>
          <w:sz w:val="22"/>
        </w:rPr>
      </w:pPr>
      <w:r w:rsidRPr="00086587">
        <w:rPr>
          <w:rFonts w:ascii="Arial" w:hAnsi="Arial" w:cs="Arial"/>
          <w:sz w:val="22"/>
        </w:rPr>
        <w:t>The diagram shows T2DM pathophysiology, where the pancreas produces insulin, but the body’s cells become resistant to it. This reduces glucose uptake, causing blood sugar to rise. Over time, the pancreas becomes overworked and insulin production declines, illustrating how insulin dysfunction and pancreatic fatigue contribute to ongoing hyperglycaemia</w:t>
      </w:r>
    </w:p>
    <w:p w14:paraId="5D6C2AA5" w14:textId="77777777" w:rsidR="00A6336B" w:rsidRPr="00086587" w:rsidRDefault="00A6336B" w:rsidP="00086587">
      <w:pPr>
        <w:spacing w:line="360" w:lineRule="auto"/>
        <w:jc w:val="both"/>
        <w:rPr>
          <w:rFonts w:ascii="Arial" w:hAnsi="Arial" w:cs="Arial"/>
          <w:b/>
          <w:bCs/>
          <w:sz w:val="22"/>
        </w:rPr>
      </w:pPr>
    </w:p>
    <w:p w14:paraId="4C9A7E1E" w14:textId="77777777" w:rsidR="002E0A1A" w:rsidRPr="00086587" w:rsidRDefault="00535AAC" w:rsidP="00086587">
      <w:pPr>
        <w:tabs>
          <w:tab w:val="left" w:pos="6540"/>
        </w:tabs>
        <w:spacing w:line="360" w:lineRule="auto"/>
        <w:jc w:val="both"/>
        <w:rPr>
          <w:rFonts w:ascii="Arial" w:hAnsi="Arial" w:cs="Arial"/>
          <w:color w:val="8EAADB" w:themeColor="accent1" w:themeTint="99"/>
          <w:sz w:val="22"/>
        </w:rPr>
      </w:pPr>
      <w:r w:rsidRPr="00086587">
        <w:rPr>
          <w:rFonts w:ascii="Arial" w:hAnsi="Arial" w:cs="Arial"/>
          <w:noProof/>
          <w:color w:val="8EAADB" w:themeColor="accent1" w:themeTint="99"/>
          <w:sz w:val="22"/>
        </w:rPr>
        <w:lastRenderedPageBreak/>
        <w:drawing>
          <wp:inline distT="0" distB="0" distL="0" distR="0" wp14:anchorId="4719939C" wp14:editId="11E490D7">
            <wp:extent cx="5731510" cy="3255645"/>
            <wp:effectExtent l="0" t="0" r="2540" b="1905"/>
            <wp:docPr id="1504342373" name="Picture 1" descr="Pathophysiology Of Type 2 Diabetes Mellitus In Diagram Precisely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hophysiology Of Type 2 Diabetes Mellitus In Diagram Precisely Wha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55645"/>
                    </a:xfrm>
                    <a:prstGeom prst="rect">
                      <a:avLst/>
                    </a:prstGeom>
                    <a:noFill/>
                    <a:ln>
                      <a:noFill/>
                    </a:ln>
                  </pic:spPr>
                </pic:pic>
              </a:graphicData>
            </a:graphic>
          </wp:inline>
        </w:drawing>
      </w:r>
      <w:r w:rsidR="00C00DFA" w:rsidRPr="00086587">
        <w:rPr>
          <w:rFonts w:ascii="Arial" w:hAnsi="Arial" w:cs="Arial"/>
          <w:sz w:val="22"/>
        </w:rPr>
        <w:t>(Galicia-Garcia et al., 2020)</w:t>
      </w:r>
    </w:p>
    <w:p w14:paraId="2BC9B07C" w14:textId="77777777" w:rsidR="00EF3E3D" w:rsidRDefault="00EF3E3D" w:rsidP="00086587">
      <w:pPr>
        <w:tabs>
          <w:tab w:val="left" w:pos="6540"/>
        </w:tabs>
        <w:spacing w:line="360" w:lineRule="auto"/>
        <w:jc w:val="both"/>
        <w:rPr>
          <w:rFonts w:ascii="Arial" w:hAnsi="Arial" w:cs="Arial"/>
          <w:b/>
          <w:bCs/>
          <w:sz w:val="22"/>
        </w:rPr>
      </w:pPr>
    </w:p>
    <w:p w14:paraId="35B29F3A" w14:textId="7D5472EC" w:rsidR="007A7297" w:rsidRPr="00086587" w:rsidRDefault="007A7297" w:rsidP="00086587">
      <w:pPr>
        <w:tabs>
          <w:tab w:val="left" w:pos="6540"/>
        </w:tabs>
        <w:spacing w:line="360" w:lineRule="auto"/>
        <w:jc w:val="both"/>
        <w:rPr>
          <w:rFonts w:ascii="Arial" w:hAnsi="Arial" w:cs="Arial"/>
          <w:color w:val="8EAADB" w:themeColor="accent1" w:themeTint="99"/>
          <w:sz w:val="22"/>
        </w:rPr>
      </w:pPr>
      <w:r w:rsidRPr="00086587">
        <w:rPr>
          <w:rFonts w:ascii="Arial" w:hAnsi="Arial" w:cs="Arial"/>
          <w:b/>
          <w:bCs/>
          <w:sz w:val="22"/>
        </w:rPr>
        <w:t>Relate it to the endocrine system</w:t>
      </w:r>
    </w:p>
    <w:p w14:paraId="1D682126" w14:textId="07D25E27" w:rsidR="00817801" w:rsidRPr="00086587" w:rsidRDefault="008E52B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The condition known as Type 2 Diabetes Mellitus is fundamentally an endocrine disorder because it involves dysfunction in the hormone-regulating system of the body specifically the hormone Insulin, which is released by the Pancreas. In this condition, either insufficient insulin is produced or the body’s cells become resistant to insulin’s effects, preventing glucose from entering cells and causing elevated blood sugar. </w:t>
      </w:r>
    </w:p>
    <w:p w14:paraId="700A92EB" w14:textId="77777777" w:rsidR="00243DC2" w:rsidRPr="00086587" w:rsidRDefault="008E52B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The endocrine system’s disruption of insulin regulation leads to long-term complications affecting organs and tissues. Managing the condition often requires lifestyle modification, oral medications, and sometimes insulin therapy, all addressing the underlying hormonal and metabolic imbalance.</w:t>
      </w:r>
      <w:r w:rsidR="002E501F" w:rsidRPr="00086587">
        <w:rPr>
          <w:rFonts w:ascii="Arial" w:hAnsi="Arial" w:cs="Arial"/>
          <w:color w:val="171717" w:themeColor="background2" w:themeShade="1A"/>
          <w:sz w:val="22"/>
        </w:rPr>
        <w:br/>
      </w:r>
    </w:p>
    <w:p w14:paraId="4E239AC7" w14:textId="65CE6D23" w:rsidR="00066CEE" w:rsidRPr="00086587" w:rsidRDefault="00066CEE"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When a person has Type 2 Diabetes, maintaining safe and effective blood sugar levels becomes more complex because the body’s usual mechanisms are disrupted. Under normal conditions, the hormone Insulin is released from the pancreas in response to rising glucose after a meal it signals cells in tissues like muscle and fat to take up this glucose for energy, while the liver stores or releases glucose to keep levels steady</w:t>
      </w:r>
      <w:r w:rsidR="00252F11" w:rsidRPr="00086587">
        <w:rPr>
          <w:rFonts w:ascii="Arial" w:hAnsi="Arial" w:cs="Arial"/>
          <w:color w:val="171717" w:themeColor="background2" w:themeShade="1A"/>
          <w:sz w:val="22"/>
        </w:rPr>
        <w:t> (CDC, 2024)</w:t>
      </w:r>
      <w:r w:rsidR="00243DC2" w:rsidRPr="00086587">
        <w:rPr>
          <w:rFonts w:ascii="Arial" w:hAnsi="Arial" w:cs="Arial"/>
          <w:color w:val="171717" w:themeColor="background2" w:themeShade="1A"/>
          <w:sz w:val="22"/>
        </w:rPr>
        <w:t>.</w:t>
      </w:r>
    </w:p>
    <w:p w14:paraId="7290E9C2" w14:textId="77777777" w:rsidR="005C7862" w:rsidRPr="00086587" w:rsidRDefault="00066CEE"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lastRenderedPageBreak/>
        <w:t>In type 2 diabetes, two major problems emerge first, the body’s cells become less responsive to insulin resistance, so glucose remains in the bloodstream instead of being taken up efficiently.</w:t>
      </w:r>
    </w:p>
    <w:p w14:paraId="5680CE50" w14:textId="77777777" w:rsidR="005C7862" w:rsidRPr="00086587" w:rsidRDefault="00066CEE"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Second, over time the pancreas cannot sustain the increased insulin production needed to overcome this resistance, so overall insulin levels may fall or be insufficient for demand. </w:t>
      </w:r>
    </w:p>
    <w:p w14:paraId="28842C5F" w14:textId="7DBF0ADB" w:rsidR="003D03EB" w:rsidRPr="00086587" w:rsidRDefault="00066CEE"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To manage blood sugar in this context, strategies focus on both improving insulin sensitivity and reducing glucose load. Lifestyle changes</w:t>
      </w:r>
      <w:r w:rsidR="00252F11"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such as regular physical activity, maintaining a healthy weight, and choosing complex carbohydrates</w:t>
      </w:r>
      <w:r w:rsidR="00252F11"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help cells respond better to insulin and reduce glucose spikes. Simultaneously, medications may be used to decrease liver glucose output, increase insulin action, or support remaining pancreatic function. By combining these approaches, blood sugar levels are brought closer to the safe range, reducing the risk of complications associated with chronic high glucose</w:t>
      </w:r>
      <w:r w:rsidR="00243DC2" w:rsidRPr="00086587">
        <w:rPr>
          <w:rFonts w:ascii="Arial" w:hAnsi="Arial" w:cs="Arial"/>
          <w:color w:val="171717" w:themeColor="background2" w:themeShade="1A"/>
          <w:sz w:val="22"/>
        </w:rPr>
        <w:t xml:space="preserve"> </w:t>
      </w:r>
      <w:r w:rsidR="004A5D7C" w:rsidRPr="00086587">
        <w:rPr>
          <w:rFonts w:ascii="Arial" w:hAnsi="Arial" w:cs="Arial"/>
          <w:color w:val="171717" w:themeColor="background2" w:themeShade="1A"/>
          <w:sz w:val="22"/>
        </w:rPr>
        <w:t>(Care Learning, 2025)</w:t>
      </w:r>
      <w:r w:rsidR="00243DC2" w:rsidRPr="00086587">
        <w:rPr>
          <w:rFonts w:ascii="Arial" w:hAnsi="Arial" w:cs="Arial"/>
          <w:color w:val="171717" w:themeColor="background2" w:themeShade="1A"/>
          <w:sz w:val="22"/>
        </w:rPr>
        <w:t>.</w:t>
      </w:r>
    </w:p>
    <w:p w14:paraId="574B9C83" w14:textId="77777777" w:rsidR="00143B27" w:rsidRPr="00086587" w:rsidRDefault="00143B27" w:rsidP="00086587">
      <w:pPr>
        <w:tabs>
          <w:tab w:val="left" w:pos="6540"/>
        </w:tabs>
        <w:spacing w:line="360" w:lineRule="auto"/>
        <w:jc w:val="both"/>
        <w:rPr>
          <w:rFonts w:ascii="Arial" w:hAnsi="Arial" w:cs="Arial"/>
          <w:color w:val="171717" w:themeColor="background2" w:themeShade="1A"/>
          <w:sz w:val="22"/>
        </w:rPr>
      </w:pPr>
    </w:p>
    <w:p w14:paraId="0B675999" w14:textId="77777777" w:rsidR="00143B27" w:rsidRPr="00086587" w:rsidRDefault="00143B27" w:rsidP="00086587">
      <w:pPr>
        <w:tabs>
          <w:tab w:val="left" w:pos="6540"/>
        </w:tabs>
        <w:spacing w:line="360" w:lineRule="auto"/>
        <w:jc w:val="both"/>
        <w:rPr>
          <w:rFonts w:ascii="Arial" w:hAnsi="Arial" w:cs="Arial"/>
          <w:color w:val="171717" w:themeColor="background2" w:themeShade="1A"/>
          <w:sz w:val="22"/>
        </w:rPr>
      </w:pPr>
    </w:p>
    <w:p w14:paraId="346067C1" w14:textId="77777777" w:rsidR="00EF3E3D" w:rsidRDefault="00EF3E3D" w:rsidP="00086587">
      <w:pPr>
        <w:tabs>
          <w:tab w:val="left" w:pos="6540"/>
        </w:tabs>
        <w:spacing w:line="360" w:lineRule="auto"/>
        <w:jc w:val="both"/>
        <w:rPr>
          <w:rFonts w:ascii="Arial" w:hAnsi="Arial" w:cs="Arial"/>
          <w:b/>
          <w:bCs/>
          <w:sz w:val="22"/>
        </w:rPr>
      </w:pPr>
    </w:p>
    <w:p w14:paraId="4FE502FF" w14:textId="77777777" w:rsidR="00EF3E3D" w:rsidRDefault="00EF3E3D" w:rsidP="00086587">
      <w:pPr>
        <w:tabs>
          <w:tab w:val="left" w:pos="6540"/>
        </w:tabs>
        <w:spacing w:line="360" w:lineRule="auto"/>
        <w:jc w:val="both"/>
        <w:rPr>
          <w:rFonts w:ascii="Arial" w:hAnsi="Arial" w:cs="Arial"/>
          <w:b/>
          <w:bCs/>
          <w:sz w:val="22"/>
        </w:rPr>
      </w:pPr>
    </w:p>
    <w:p w14:paraId="01A47D99" w14:textId="77777777" w:rsidR="00AC285B" w:rsidRDefault="00AC285B" w:rsidP="00EF3E3D">
      <w:pPr>
        <w:pStyle w:val="Heading2"/>
      </w:pPr>
      <w:bookmarkStart w:id="11" w:name="_Toc215690930"/>
      <w:bookmarkStart w:id="12" w:name="_Toc215691256"/>
    </w:p>
    <w:p w14:paraId="401EBE8F" w14:textId="77777777" w:rsidR="00AC285B" w:rsidRDefault="00AC285B" w:rsidP="00EF3E3D">
      <w:pPr>
        <w:pStyle w:val="Heading2"/>
      </w:pPr>
    </w:p>
    <w:p w14:paraId="5AC4323E" w14:textId="77777777" w:rsidR="00AC285B" w:rsidRDefault="00AC285B" w:rsidP="00EF3E3D">
      <w:pPr>
        <w:pStyle w:val="Heading2"/>
      </w:pPr>
    </w:p>
    <w:p w14:paraId="291978F0" w14:textId="77777777" w:rsidR="00AC285B" w:rsidRDefault="00AC285B" w:rsidP="00EF3E3D">
      <w:pPr>
        <w:pStyle w:val="Heading2"/>
      </w:pPr>
    </w:p>
    <w:p w14:paraId="53505B45" w14:textId="77777777" w:rsidR="00AC285B" w:rsidRDefault="00AC285B" w:rsidP="00EF3E3D">
      <w:pPr>
        <w:pStyle w:val="Heading2"/>
      </w:pPr>
    </w:p>
    <w:p w14:paraId="2F80B7E3" w14:textId="77777777" w:rsidR="00AC285B" w:rsidRDefault="00AC285B" w:rsidP="00EF3E3D">
      <w:pPr>
        <w:pStyle w:val="Heading2"/>
      </w:pPr>
    </w:p>
    <w:p w14:paraId="7B4AF468" w14:textId="77777777" w:rsidR="00AC285B" w:rsidRDefault="00AC285B" w:rsidP="00EF3E3D">
      <w:pPr>
        <w:pStyle w:val="Heading2"/>
      </w:pPr>
    </w:p>
    <w:p w14:paraId="60A521D4" w14:textId="77777777" w:rsidR="00AC285B" w:rsidRDefault="00AC285B" w:rsidP="00EF3E3D">
      <w:pPr>
        <w:pStyle w:val="Heading2"/>
      </w:pPr>
    </w:p>
    <w:p w14:paraId="07FFA283" w14:textId="77777777" w:rsidR="00AC285B" w:rsidRDefault="00AC285B" w:rsidP="00EF3E3D">
      <w:pPr>
        <w:pStyle w:val="Heading2"/>
      </w:pPr>
    </w:p>
    <w:p w14:paraId="24BEF9B3" w14:textId="77777777" w:rsidR="00AC285B" w:rsidRDefault="00AC285B" w:rsidP="00EF3E3D">
      <w:pPr>
        <w:pStyle w:val="Heading2"/>
      </w:pPr>
    </w:p>
    <w:p w14:paraId="79876318" w14:textId="77777777" w:rsidR="00AC285B" w:rsidRDefault="00AC285B" w:rsidP="00EF3E3D">
      <w:pPr>
        <w:pStyle w:val="Heading2"/>
      </w:pPr>
    </w:p>
    <w:p w14:paraId="23B51C47" w14:textId="77777777" w:rsidR="00AC285B" w:rsidRDefault="00AC285B" w:rsidP="00EF3E3D">
      <w:pPr>
        <w:pStyle w:val="Heading2"/>
      </w:pPr>
    </w:p>
    <w:p w14:paraId="0C6EDED6" w14:textId="77777777" w:rsidR="00AC285B" w:rsidRDefault="00AC285B" w:rsidP="00EF3E3D">
      <w:pPr>
        <w:pStyle w:val="Heading2"/>
      </w:pPr>
    </w:p>
    <w:p w14:paraId="5FE7C53C" w14:textId="77777777" w:rsidR="00AC285B" w:rsidRDefault="00AC285B" w:rsidP="00EF3E3D">
      <w:pPr>
        <w:pStyle w:val="Heading2"/>
      </w:pPr>
    </w:p>
    <w:p w14:paraId="197C4C6F" w14:textId="77777777" w:rsidR="00AC285B" w:rsidRDefault="00AC285B" w:rsidP="00EF3E3D">
      <w:pPr>
        <w:pStyle w:val="Heading2"/>
      </w:pPr>
    </w:p>
    <w:p w14:paraId="4CA33A6F" w14:textId="77777777" w:rsidR="00AC285B" w:rsidRDefault="00AC285B" w:rsidP="00EF3E3D">
      <w:pPr>
        <w:pStyle w:val="Heading2"/>
      </w:pPr>
    </w:p>
    <w:p w14:paraId="49FAA99E" w14:textId="77777777" w:rsidR="00AC285B" w:rsidRDefault="00AC285B" w:rsidP="00EF3E3D">
      <w:pPr>
        <w:pStyle w:val="Heading2"/>
      </w:pPr>
    </w:p>
    <w:p w14:paraId="206E6106" w14:textId="77777777" w:rsidR="00AC285B" w:rsidRDefault="00AC285B" w:rsidP="00EF3E3D">
      <w:pPr>
        <w:pStyle w:val="Heading2"/>
      </w:pPr>
    </w:p>
    <w:p w14:paraId="47363B27" w14:textId="77777777" w:rsidR="00AC285B" w:rsidRDefault="00AC285B" w:rsidP="00EF3E3D">
      <w:pPr>
        <w:pStyle w:val="Heading2"/>
      </w:pPr>
    </w:p>
    <w:p w14:paraId="215D316A" w14:textId="77777777" w:rsidR="00AC285B" w:rsidRDefault="00AC285B" w:rsidP="00EF3E3D">
      <w:pPr>
        <w:pStyle w:val="Heading2"/>
      </w:pPr>
    </w:p>
    <w:p w14:paraId="23DA92B3" w14:textId="4B373E48" w:rsidR="003D03EB" w:rsidRDefault="000F7E43" w:rsidP="00AC285B">
      <w:pPr>
        <w:pStyle w:val="Heading2"/>
        <w:spacing w:line="360" w:lineRule="auto"/>
        <w:jc w:val="both"/>
      </w:pPr>
      <w:bookmarkStart w:id="13" w:name="_Toc215691984"/>
      <w:r w:rsidRPr="00EF3E3D">
        <w:t>Di</w:t>
      </w:r>
      <w:r w:rsidR="00FD7392" w:rsidRPr="00EF3E3D">
        <w:t>agrams</w:t>
      </w:r>
      <w:r w:rsidRPr="00EF3E3D">
        <w:t xml:space="preserve"> </w:t>
      </w:r>
      <w:r w:rsidR="00B04642" w:rsidRPr="00EF3E3D">
        <w:t>of Treatment</w:t>
      </w:r>
      <w:r w:rsidRPr="00EF3E3D">
        <w:t xml:space="preserve"> and management of type 2 Diabetes.</w:t>
      </w:r>
      <w:bookmarkEnd w:id="11"/>
      <w:bookmarkEnd w:id="12"/>
      <w:bookmarkEnd w:id="13"/>
    </w:p>
    <w:p w14:paraId="4CD35048" w14:textId="77777777" w:rsidR="00AC285B" w:rsidRPr="00AC285B" w:rsidRDefault="00AC285B" w:rsidP="00AC285B">
      <w:pPr>
        <w:spacing w:line="360" w:lineRule="auto"/>
        <w:jc w:val="both"/>
      </w:pPr>
    </w:p>
    <w:p w14:paraId="684D0420" w14:textId="36E40515" w:rsidR="00DC6EDB" w:rsidRPr="00086587" w:rsidRDefault="00265D9B" w:rsidP="00086587">
      <w:pPr>
        <w:tabs>
          <w:tab w:val="left" w:pos="6540"/>
        </w:tabs>
        <w:spacing w:line="360" w:lineRule="auto"/>
        <w:ind w:left="720"/>
        <w:jc w:val="both"/>
        <w:rPr>
          <w:rFonts w:ascii="Arial" w:hAnsi="Arial" w:cs="Arial"/>
          <w:color w:val="8EAADB" w:themeColor="accent1" w:themeTint="99"/>
          <w:sz w:val="22"/>
        </w:rPr>
      </w:pPr>
      <w:r w:rsidRPr="00086587">
        <w:rPr>
          <w:rFonts w:ascii="Arial" w:hAnsi="Arial" w:cs="Arial"/>
          <w:noProof/>
          <w:sz w:val="22"/>
        </w:rPr>
        <w:drawing>
          <wp:inline distT="0" distB="0" distL="0" distR="0" wp14:anchorId="466B4BFD" wp14:editId="2B6A815C">
            <wp:extent cx="5334000" cy="3002280"/>
            <wp:effectExtent l="0" t="0" r="0" b="7620"/>
            <wp:docPr id="1861429157" name="Picture 2" descr="Management and Treatment of Type 2 Diabetes - Slide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ment and Treatment of Type 2 Diabetes - Slide Sh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3002280"/>
                    </a:xfrm>
                    <a:prstGeom prst="rect">
                      <a:avLst/>
                    </a:prstGeom>
                    <a:noFill/>
                    <a:ln>
                      <a:noFill/>
                    </a:ln>
                  </pic:spPr>
                </pic:pic>
              </a:graphicData>
            </a:graphic>
          </wp:inline>
        </w:drawing>
      </w:r>
    </w:p>
    <w:p w14:paraId="63A5A150" w14:textId="2F76FBB8" w:rsidR="001A3DF6" w:rsidRPr="00086587" w:rsidRDefault="001A3DF6" w:rsidP="00086587">
      <w:pPr>
        <w:tabs>
          <w:tab w:val="left" w:pos="6540"/>
        </w:tabs>
        <w:spacing w:line="360" w:lineRule="auto"/>
        <w:ind w:left="720"/>
        <w:jc w:val="both"/>
        <w:rPr>
          <w:rFonts w:ascii="Arial" w:hAnsi="Arial" w:cs="Arial"/>
          <w:color w:val="000000" w:themeColor="text1"/>
          <w:sz w:val="22"/>
        </w:rPr>
      </w:pPr>
      <w:r w:rsidRPr="00086587">
        <w:rPr>
          <w:rFonts w:ascii="Arial" w:hAnsi="Arial" w:cs="Arial"/>
          <w:color w:val="000000" w:themeColor="text1"/>
          <w:sz w:val="22"/>
        </w:rPr>
        <w:t> (Kanaley et al., 2022)</w:t>
      </w:r>
    </w:p>
    <w:p w14:paraId="36C6F776" w14:textId="77777777" w:rsidR="00E53BE8" w:rsidRPr="00086587" w:rsidRDefault="00E53BE8"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Essentially, controlling a dysregulated endocrine system is an active process in Type 2 Diabetes that involves maintaining healthy blood sugar levels. It is possible to maintain blood sugar within a safe and effective range by externally doing the tasks that the body's internal </w:t>
      </w:r>
      <w:r w:rsidRPr="00086587">
        <w:rPr>
          <w:rFonts w:ascii="Arial" w:hAnsi="Arial" w:cs="Arial"/>
          <w:color w:val="171717" w:themeColor="background2" w:themeShade="1A"/>
          <w:sz w:val="22"/>
        </w:rPr>
        <w:lastRenderedPageBreak/>
        <w:t>hormonal system can no longer do on its own through food, exercise, medication, and regular monitoring.  </w:t>
      </w:r>
    </w:p>
    <w:p w14:paraId="0B61EFCF" w14:textId="48E5E675" w:rsidR="00DC6EDB" w:rsidRPr="00086587" w:rsidRDefault="00C174D8" w:rsidP="00086587">
      <w:pPr>
        <w:tabs>
          <w:tab w:val="left" w:pos="6540"/>
        </w:tabs>
        <w:spacing w:line="360" w:lineRule="auto"/>
        <w:jc w:val="both"/>
        <w:rPr>
          <w:rFonts w:ascii="Arial" w:eastAsia="Times New Roman" w:hAnsi="Arial" w:cs="Arial"/>
          <w:color w:val="171717" w:themeColor="background2" w:themeShade="1A"/>
          <w:sz w:val="22"/>
          <w:lang w:eastAsia="en-GB"/>
        </w:rPr>
      </w:pPr>
      <w:r w:rsidRPr="00086587">
        <w:rPr>
          <w:rFonts w:ascii="Arial" w:eastAsia="Times New Roman" w:hAnsi="Arial" w:cs="Arial"/>
          <w:color w:val="171717" w:themeColor="background2" w:themeShade="1A"/>
          <w:sz w:val="22"/>
          <w:lang w:eastAsia="en-GB"/>
        </w:rPr>
        <w:t>In type 2 diabetes, the body struggles to regulate blood sugar because cells become resistant to insulin, the hormone that helps glucose enter cells for energy. Normally, insulin acts like a key, unlocking cells so sugar from the bloodstream can be used or stored. When resistance develops, glucose builds up in the blood instead of being absorbed efficiently. To keep levels safe, the body relies on several strategies. The pancreas may produce extra insulin at first, but over time this response weakens. Lifestyle changes such as balanced eating, regular physical activity, and maintaining a healthy weight help improve how cells respond to insulin. Exercise, for example, makes muscles more sensitive to glucose uptake, lowering blood sugar naturally. Medications can also support regulation by either boosting insulin production, reducing liver glucose release, or improving insulin sensitivity. Monitoring blood sugar levels is essential, as it allows adjustments in diet, activity, or medication to prevent dangerous highs or lows. The overall goal is to maintain glucose within a range that provides energy for daily needs without causing damage to organs and blood vessels. This careful balance helps protect long-term health and reduces complications linked to diabetes.</w:t>
      </w:r>
    </w:p>
    <w:p w14:paraId="7E5E8C97" w14:textId="77777777" w:rsidR="002E0A1A" w:rsidRPr="00086587" w:rsidRDefault="002E0A1A" w:rsidP="00086587">
      <w:pPr>
        <w:tabs>
          <w:tab w:val="left" w:pos="6540"/>
        </w:tabs>
        <w:spacing w:line="360" w:lineRule="auto"/>
        <w:jc w:val="both"/>
        <w:rPr>
          <w:rFonts w:ascii="Arial" w:hAnsi="Arial" w:cs="Arial"/>
          <w:color w:val="171717" w:themeColor="background2" w:themeShade="1A"/>
          <w:sz w:val="22"/>
        </w:rPr>
      </w:pPr>
    </w:p>
    <w:p w14:paraId="6C918D43" w14:textId="4FA76298" w:rsidR="000C4EDA" w:rsidRPr="00086587" w:rsidRDefault="007A7297" w:rsidP="00533330">
      <w:pPr>
        <w:pStyle w:val="Heading1"/>
      </w:pPr>
      <w:bookmarkStart w:id="14" w:name="_Toc215688892"/>
      <w:bookmarkStart w:id="15" w:name="_Toc215688964"/>
      <w:bookmarkStart w:id="16" w:name="_Toc215690931"/>
      <w:bookmarkStart w:id="17" w:name="_Toc215691257"/>
      <w:bookmarkStart w:id="18" w:name="_Toc215691985"/>
      <w:r w:rsidRPr="00086587">
        <w:t>Cellular Metabolism</w:t>
      </w:r>
      <w:r w:rsidR="000C4EDA" w:rsidRPr="00086587">
        <w:t xml:space="preserve"> </w:t>
      </w:r>
      <w:r w:rsidR="000F7E43" w:rsidRPr="00086587">
        <w:t>in T2DM.</w:t>
      </w:r>
      <w:bookmarkEnd w:id="14"/>
      <w:bookmarkEnd w:id="15"/>
      <w:bookmarkEnd w:id="16"/>
      <w:bookmarkEnd w:id="17"/>
      <w:bookmarkEnd w:id="18"/>
    </w:p>
    <w:p w14:paraId="6A0045A1" w14:textId="758F105B" w:rsidR="00A87FEF"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Physical health in individuals with T2DM is heavily influenced by lifestyle factors, including activity, social interaction, nutrition, alcohol use, smoking, sleep, and co-morbid conditions.</w:t>
      </w:r>
    </w:p>
    <w:p w14:paraId="10B15751" w14:textId="1F241D06" w:rsidR="00673F39"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Activity levels</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w:t>
      </w:r>
      <w:r w:rsidR="002F2AA3" w:rsidRPr="00086587">
        <w:rPr>
          <w:rFonts w:ascii="Arial" w:hAnsi="Arial" w:cs="Arial"/>
          <w:color w:val="171717" w:themeColor="background2" w:themeShade="1A"/>
          <w:sz w:val="22"/>
        </w:rPr>
        <w:t>r</w:t>
      </w:r>
      <w:r w:rsidRPr="00086587">
        <w:rPr>
          <w:rFonts w:ascii="Arial" w:hAnsi="Arial" w:cs="Arial"/>
          <w:color w:val="171717" w:themeColor="background2" w:themeShade="1A"/>
          <w:sz w:val="22"/>
        </w:rPr>
        <w:t>egular physical activity is beneficial for glucose regulation and insulin sensitivity. Individuals with low activity or prolonged sedentary behaviour have higher risk of developing T2DM and worsening outcomes</w:t>
      </w:r>
      <w:r w:rsidR="00733BA7" w:rsidRPr="00086587">
        <w:rPr>
          <w:rFonts w:ascii="Arial" w:hAnsi="Arial" w:cs="Arial"/>
          <w:color w:val="171717" w:themeColor="background2" w:themeShade="1A"/>
          <w:sz w:val="22"/>
        </w:rPr>
        <w:t> (Yadav, 2022)</w:t>
      </w:r>
      <w:r w:rsidR="007B4FD6" w:rsidRPr="00086587">
        <w:rPr>
          <w:rFonts w:ascii="Arial" w:hAnsi="Arial" w:cs="Arial"/>
          <w:color w:val="171717" w:themeColor="background2" w:themeShade="1A"/>
          <w:sz w:val="22"/>
        </w:rPr>
        <w:t>.</w:t>
      </w:r>
    </w:p>
    <w:p w14:paraId="641BBEB8" w14:textId="1BB52DF9" w:rsidR="00A87FEF"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For example, one large Chinese study found people with light physical activity were substantially more likely to have T2DM than those engaging in vigorous activity. </w:t>
      </w:r>
    </w:p>
    <w:p w14:paraId="4D478FC4" w14:textId="77777777" w:rsidR="00564E4C"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Therefore, encouraging moderate to vigorous activity, and breaking up long sitting periods, is essential for physical health in T2DM.</w:t>
      </w:r>
    </w:p>
    <w:p w14:paraId="419EF0CF" w14:textId="77777777" w:rsidR="000F7E43" w:rsidRPr="00086587" w:rsidRDefault="00243DC2"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There are several aspect to T2DM these are 1 </w:t>
      </w:r>
      <w:r w:rsidR="00564E4C" w:rsidRPr="00086587">
        <w:rPr>
          <w:rFonts w:ascii="Arial" w:hAnsi="Arial" w:cs="Arial"/>
          <w:color w:val="171717" w:themeColor="background2" w:themeShade="1A"/>
          <w:sz w:val="22"/>
        </w:rPr>
        <w:t>S</w:t>
      </w:r>
      <w:r w:rsidR="00A87FEF" w:rsidRPr="00086587">
        <w:rPr>
          <w:rFonts w:ascii="Arial" w:hAnsi="Arial" w:cs="Arial"/>
          <w:color w:val="171717" w:themeColor="background2" w:themeShade="1A"/>
          <w:sz w:val="22"/>
        </w:rPr>
        <w:t>ocial interaction</w:t>
      </w:r>
      <w:r w:rsidR="000F7E43" w:rsidRPr="00086587">
        <w:rPr>
          <w:rFonts w:ascii="Arial" w:hAnsi="Arial" w:cs="Arial"/>
          <w:color w:val="171717" w:themeColor="background2" w:themeShade="1A"/>
          <w:sz w:val="22"/>
        </w:rPr>
        <w:t>: A</w:t>
      </w:r>
      <w:r w:rsidR="00A87FEF" w:rsidRPr="00086587">
        <w:rPr>
          <w:rFonts w:ascii="Arial" w:hAnsi="Arial" w:cs="Arial"/>
          <w:color w:val="171717" w:themeColor="background2" w:themeShade="1A"/>
          <w:sz w:val="22"/>
        </w:rPr>
        <w:t>lthough less studied than other factors, social connection is recognised in broader healthy-lifestyle indices</w:t>
      </w:r>
      <w:r w:rsidR="00564E4C" w:rsidRPr="00086587">
        <w:rPr>
          <w:rFonts w:ascii="Arial" w:hAnsi="Arial" w:cs="Arial"/>
          <w:color w:val="171717" w:themeColor="background2" w:themeShade="1A"/>
          <w:sz w:val="22"/>
        </w:rPr>
        <w:t xml:space="preserve">, </w:t>
      </w:r>
      <w:r w:rsidR="00A87FEF" w:rsidRPr="00086587">
        <w:rPr>
          <w:rFonts w:ascii="Arial" w:hAnsi="Arial" w:cs="Arial"/>
          <w:color w:val="171717" w:themeColor="background2" w:themeShade="1A"/>
          <w:sz w:val="22"/>
        </w:rPr>
        <w:t>including in one UK Biobank cohort as one of the low</w:t>
      </w:r>
      <w:r w:rsidR="00A87FEF" w:rsidRPr="00086587">
        <w:rPr>
          <w:rFonts w:ascii="Cambria Math" w:hAnsi="Cambria Math" w:cs="Cambria Math"/>
          <w:color w:val="171717" w:themeColor="background2" w:themeShade="1A"/>
          <w:sz w:val="22"/>
        </w:rPr>
        <w:t>‐</w:t>
      </w:r>
      <w:r w:rsidR="00A87FEF" w:rsidRPr="00086587">
        <w:rPr>
          <w:rFonts w:ascii="Arial" w:hAnsi="Arial" w:cs="Arial"/>
          <w:color w:val="171717" w:themeColor="background2" w:themeShade="1A"/>
          <w:sz w:val="22"/>
        </w:rPr>
        <w:t>risk behaviours that reduce mortality in people with T2DM. Good social interaction supports mental health, encourages adherence to lifestyle changes, and may indirectly improve physical health outcomes.</w:t>
      </w:r>
    </w:p>
    <w:p w14:paraId="6FC508F9" w14:textId="09890A2C" w:rsidR="00673F39" w:rsidRPr="00086587" w:rsidRDefault="00243DC2"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lastRenderedPageBreak/>
        <w:t xml:space="preserve">2 </w:t>
      </w:r>
      <w:r w:rsidR="00A87FEF" w:rsidRPr="00086587">
        <w:rPr>
          <w:rFonts w:ascii="Arial" w:hAnsi="Arial" w:cs="Arial"/>
          <w:color w:val="171717" w:themeColor="background2" w:themeShade="1A"/>
          <w:sz w:val="22"/>
        </w:rPr>
        <w:t xml:space="preserve">Nutrition: A high-quality diet abundant in vegetables, whole grains, lean protein and low in processed meats and sugar-sweetened </w:t>
      </w:r>
      <w:r w:rsidR="00612EEE" w:rsidRPr="00086587">
        <w:rPr>
          <w:rFonts w:ascii="Arial" w:hAnsi="Arial" w:cs="Arial"/>
          <w:color w:val="171717" w:themeColor="background2" w:themeShade="1A"/>
          <w:sz w:val="22"/>
        </w:rPr>
        <w:t>beverages helps</w:t>
      </w:r>
      <w:r w:rsidR="00A87FEF" w:rsidRPr="00086587">
        <w:rPr>
          <w:rFonts w:ascii="Arial" w:hAnsi="Arial" w:cs="Arial"/>
          <w:color w:val="171717" w:themeColor="background2" w:themeShade="1A"/>
          <w:sz w:val="22"/>
        </w:rPr>
        <w:t xml:space="preserve"> in managing weight, insulin resistance and glycaemic control</w:t>
      </w:r>
      <w:r w:rsidRPr="00086587">
        <w:rPr>
          <w:rFonts w:ascii="Arial" w:hAnsi="Arial" w:cs="Arial"/>
          <w:color w:val="171717" w:themeColor="background2" w:themeShade="1A"/>
          <w:sz w:val="22"/>
        </w:rPr>
        <w:t xml:space="preserve"> </w:t>
      </w:r>
      <w:r w:rsidR="00C42BFA" w:rsidRPr="00086587">
        <w:rPr>
          <w:rFonts w:ascii="Arial" w:hAnsi="Arial" w:cs="Arial"/>
          <w:color w:val="171717" w:themeColor="background2" w:themeShade="1A"/>
          <w:sz w:val="22"/>
        </w:rPr>
        <w:t>(Diabetes UK, 2022).</w:t>
      </w:r>
      <w:r w:rsidR="00673F39" w:rsidRPr="00086587">
        <w:rPr>
          <w:rFonts w:ascii="Arial" w:hAnsi="Arial" w:cs="Arial"/>
          <w:color w:val="171717" w:themeColor="background2" w:themeShade="1A"/>
          <w:sz w:val="22"/>
        </w:rPr>
        <w:t xml:space="preserve"> </w:t>
      </w:r>
      <w:r w:rsidR="00A87FEF" w:rsidRPr="00086587">
        <w:rPr>
          <w:rFonts w:ascii="Arial" w:hAnsi="Arial" w:cs="Arial"/>
          <w:color w:val="171717" w:themeColor="background2" w:themeShade="1A"/>
          <w:sz w:val="22"/>
        </w:rPr>
        <w:t xml:space="preserve"> </w:t>
      </w:r>
    </w:p>
    <w:p w14:paraId="139AD527" w14:textId="55D3C6FC" w:rsidR="00A87FEF" w:rsidRPr="00086587" w:rsidRDefault="00243DC2" w:rsidP="00086587">
      <w:pPr>
        <w:tabs>
          <w:tab w:val="left" w:pos="6540"/>
        </w:tabs>
        <w:spacing w:line="360" w:lineRule="auto"/>
        <w:jc w:val="both"/>
        <w:rPr>
          <w:rFonts w:ascii="Arial" w:hAnsi="Arial" w:cs="Arial"/>
          <w:b/>
          <w:bCs/>
          <w:color w:val="000000" w:themeColor="text1"/>
          <w:sz w:val="22"/>
        </w:rPr>
      </w:pPr>
      <w:r w:rsidRPr="00086587">
        <w:rPr>
          <w:rFonts w:ascii="Arial" w:hAnsi="Arial" w:cs="Arial"/>
          <w:b/>
          <w:bCs/>
          <w:color w:val="000000" w:themeColor="text1"/>
          <w:sz w:val="22"/>
        </w:rPr>
        <w:t>Other lifestyle factors that contribute to T2DM are p</w:t>
      </w:r>
      <w:r w:rsidR="00A87FEF" w:rsidRPr="00086587">
        <w:rPr>
          <w:rFonts w:ascii="Arial" w:hAnsi="Arial" w:cs="Arial"/>
          <w:b/>
          <w:bCs/>
          <w:color w:val="000000" w:themeColor="text1"/>
          <w:sz w:val="22"/>
        </w:rPr>
        <w:t>oor diet</w:t>
      </w:r>
      <w:r w:rsidR="00C00DFA" w:rsidRPr="00086587">
        <w:rPr>
          <w:rFonts w:ascii="Arial" w:hAnsi="Arial" w:cs="Arial"/>
          <w:b/>
          <w:bCs/>
          <w:color w:val="000000" w:themeColor="text1"/>
          <w:sz w:val="22"/>
        </w:rPr>
        <w:t>.</w:t>
      </w:r>
    </w:p>
    <w:p w14:paraId="0F38AA92" w14:textId="3C6765A9" w:rsidR="002D0F04" w:rsidRPr="00086587" w:rsidRDefault="002D0F04" w:rsidP="00086587">
      <w:pPr>
        <w:tabs>
          <w:tab w:val="left" w:pos="6540"/>
        </w:tabs>
        <w:spacing w:line="360" w:lineRule="auto"/>
        <w:jc w:val="both"/>
        <w:rPr>
          <w:rFonts w:ascii="Arial" w:hAnsi="Arial" w:cs="Arial"/>
          <w:color w:val="00B050"/>
          <w:sz w:val="22"/>
        </w:rPr>
      </w:pPr>
    </w:p>
    <w:p w14:paraId="5C30BDAA" w14:textId="77777777" w:rsidR="002D0F04"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Alcohol consumption: Moderate alcohol intake may in some populations correlate with lower risk, but heavy or binge drinking is harmful, especially given its impact on weight, liver and metabolic health.</w:t>
      </w:r>
      <w:r w:rsidR="002D0F04"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For someone with T2DM, limiting alcohol is prudent to avoid interference with glucose control and additional metabolic burden.</w:t>
      </w:r>
    </w:p>
    <w:p w14:paraId="011ED7C5" w14:textId="54E90151" w:rsidR="00A87FEF"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Smoking</w:t>
      </w:r>
      <w:r w:rsidR="002D0F04"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is clearly associated with increased risk of T2DM and worse outcomes among those already diagnosed.</w:t>
      </w:r>
      <w:r w:rsidR="002D0F04" w:rsidRPr="00086587">
        <w:rPr>
          <w:rFonts w:ascii="Arial" w:hAnsi="Arial" w:cs="Arial"/>
          <w:color w:val="171717" w:themeColor="background2" w:themeShade="1A"/>
          <w:sz w:val="22"/>
        </w:rPr>
        <w:t xml:space="preserve"> S</w:t>
      </w:r>
      <w:r w:rsidRPr="00086587">
        <w:rPr>
          <w:rFonts w:ascii="Arial" w:hAnsi="Arial" w:cs="Arial"/>
          <w:color w:val="171717" w:themeColor="background2" w:themeShade="1A"/>
          <w:sz w:val="22"/>
        </w:rPr>
        <w:t>moking exacerbates cardiovascular risk, vascular damage and insulin resistance, thereby compounding the physical health burden.</w:t>
      </w:r>
    </w:p>
    <w:p w14:paraId="634FA3AF" w14:textId="77777777" w:rsidR="002D0F04" w:rsidRPr="00086587" w:rsidRDefault="00A87FEF"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Sleep patterns: Both poor sleep quality and abnormal sleep duration</w:t>
      </w:r>
      <w:r w:rsidR="002F2AA3"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too short or too long</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are linked to higher T2DM risk and poorer control. </w:t>
      </w:r>
      <w:r w:rsidR="00EC4279" w:rsidRPr="00086587">
        <w:rPr>
          <w:rFonts w:ascii="Arial" w:hAnsi="Arial" w:cs="Arial"/>
          <w:color w:val="171717" w:themeColor="background2" w:themeShade="1A"/>
          <w:sz w:val="22"/>
        </w:rPr>
        <w:t> </w:t>
      </w:r>
      <w:r w:rsidRPr="00086587">
        <w:rPr>
          <w:rFonts w:ascii="Arial" w:hAnsi="Arial" w:cs="Arial"/>
          <w:color w:val="171717" w:themeColor="background2" w:themeShade="1A"/>
          <w:sz w:val="22"/>
        </w:rPr>
        <w:t>Regular, adequate sleep is part of the lifestyle bundle that seems to protect against progression and complications of T2DM.</w:t>
      </w:r>
    </w:p>
    <w:p w14:paraId="2B1FC77B" w14:textId="77777777" w:rsidR="00393503" w:rsidRPr="00086587" w:rsidRDefault="00A87FEF" w:rsidP="00086587">
      <w:pPr>
        <w:tabs>
          <w:tab w:val="left" w:pos="6540"/>
        </w:tabs>
        <w:spacing w:line="360" w:lineRule="auto"/>
        <w:jc w:val="both"/>
        <w:rPr>
          <w:rFonts w:ascii="Arial" w:hAnsi="Arial" w:cs="Arial"/>
          <w:color w:val="00B050"/>
          <w:sz w:val="22"/>
        </w:rPr>
      </w:pPr>
      <w:r w:rsidRPr="00086587">
        <w:rPr>
          <w:rFonts w:ascii="Arial" w:hAnsi="Arial" w:cs="Arial"/>
          <w:color w:val="171717" w:themeColor="background2" w:themeShade="1A"/>
          <w:sz w:val="22"/>
        </w:rPr>
        <w:t>Existing health conditions</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w:t>
      </w:r>
      <w:r w:rsidR="00BC78A7" w:rsidRPr="00086587">
        <w:rPr>
          <w:rFonts w:ascii="Arial" w:hAnsi="Arial" w:cs="Arial"/>
          <w:color w:val="171717" w:themeColor="background2" w:themeShade="1A"/>
          <w:sz w:val="22"/>
        </w:rPr>
        <w:t>many</w:t>
      </w:r>
      <w:r w:rsidRPr="00086587">
        <w:rPr>
          <w:rFonts w:ascii="Arial" w:hAnsi="Arial" w:cs="Arial"/>
          <w:color w:val="171717" w:themeColor="background2" w:themeShade="1A"/>
          <w:sz w:val="22"/>
        </w:rPr>
        <w:t xml:space="preserve"> people with T2DM have or develop co</w:t>
      </w:r>
      <w:r w:rsidRPr="00086587">
        <w:rPr>
          <w:rFonts w:ascii="Cambria Math" w:hAnsi="Cambria Math" w:cs="Cambria Math"/>
          <w:color w:val="171717" w:themeColor="background2" w:themeShade="1A"/>
          <w:sz w:val="22"/>
        </w:rPr>
        <w:t>‐</w:t>
      </w:r>
      <w:r w:rsidRPr="00086587">
        <w:rPr>
          <w:rFonts w:ascii="Arial" w:hAnsi="Arial" w:cs="Arial"/>
          <w:color w:val="171717" w:themeColor="background2" w:themeShade="1A"/>
          <w:sz w:val="22"/>
        </w:rPr>
        <w:t>morbidities such as hypertension, dyslipidaemia, cardiovascular disease, or obesity, which compound physical health risks. Studies show that even those with similar diabetes severity had markedly better mortality outcomes when following a healthy lifestyle.</w:t>
      </w:r>
      <w:r w:rsidR="00393503" w:rsidRPr="00086587">
        <w:rPr>
          <w:rFonts w:ascii="Arial" w:hAnsi="Arial" w:cs="Arial"/>
          <w:color w:val="171717" w:themeColor="background2" w:themeShade="1A"/>
          <w:sz w:val="22"/>
        </w:rPr>
        <w:t xml:space="preserve"> </w:t>
      </w:r>
      <w:r w:rsidR="00393503" w:rsidRPr="00086587">
        <w:rPr>
          <w:rFonts w:ascii="Arial" w:hAnsi="Arial" w:cs="Arial"/>
          <w:color w:val="171717" w:themeColor="background2" w:themeShade="1A"/>
          <w:sz w:val="22"/>
        </w:rPr>
        <w:t>In summary, for someone living with type 2 diabetes the physical health outlook is significantly shaped by how active they are, how well they eat, whether they smoke or drink excess, how well they sleep, how socially connected they are, and whether other conditions are present. Addressing these modifiable factors offers meaningful scope to improve health outcomes, rather than focusing solely on medication.</w:t>
      </w:r>
    </w:p>
    <w:p w14:paraId="1E7FEE50" w14:textId="7D347B2B" w:rsidR="00A87FEF" w:rsidRPr="00086587" w:rsidRDefault="00DB6066"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 (Ahmed, Tsiami and Khan, 2023)</w:t>
      </w:r>
      <w:r w:rsidR="00673F39" w:rsidRPr="00086587">
        <w:rPr>
          <w:rFonts w:ascii="Arial" w:hAnsi="Arial" w:cs="Arial"/>
          <w:color w:val="171717" w:themeColor="background2" w:themeShade="1A"/>
          <w:sz w:val="22"/>
        </w:rPr>
        <w:t>.</w:t>
      </w:r>
    </w:p>
    <w:p w14:paraId="679DFB51" w14:textId="227385C7" w:rsidR="00A87FEF" w:rsidRPr="00086587" w:rsidRDefault="00A87FEF" w:rsidP="00086587">
      <w:pPr>
        <w:tabs>
          <w:tab w:val="left" w:pos="6540"/>
        </w:tabs>
        <w:spacing w:line="360" w:lineRule="auto"/>
        <w:jc w:val="both"/>
        <w:rPr>
          <w:rFonts w:ascii="Arial" w:hAnsi="Arial" w:cs="Arial"/>
          <w:color w:val="8EAADB" w:themeColor="accent1" w:themeTint="99"/>
          <w:sz w:val="22"/>
        </w:rPr>
      </w:pPr>
    </w:p>
    <w:p w14:paraId="3310F405" w14:textId="77777777" w:rsidR="00C03A91" w:rsidRPr="00086587" w:rsidRDefault="00C03A91" w:rsidP="00086587">
      <w:pPr>
        <w:tabs>
          <w:tab w:val="left" w:pos="6540"/>
        </w:tabs>
        <w:spacing w:line="360" w:lineRule="auto"/>
        <w:jc w:val="both"/>
        <w:rPr>
          <w:rFonts w:ascii="Arial" w:hAnsi="Arial" w:cs="Arial"/>
          <w:sz w:val="22"/>
        </w:rPr>
      </w:pPr>
    </w:p>
    <w:p w14:paraId="00AEA37C" w14:textId="36A38D42" w:rsidR="000C4EDA" w:rsidRPr="00086587" w:rsidRDefault="007A7297" w:rsidP="00533330">
      <w:pPr>
        <w:pStyle w:val="Heading1"/>
      </w:pPr>
      <w:bookmarkStart w:id="19" w:name="_Toc215688893"/>
      <w:bookmarkStart w:id="20" w:name="_Toc215688965"/>
      <w:bookmarkStart w:id="21" w:name="_Toc215690932"/>
      <w:bookmarkStart w:id="22" w:name="_Toc215691258"/>
      <w:bookmarkStart w:id="23" w:name="_Toc215691986"/>
      <w:r w:rsidRPr="00086587">
        <w:t xml:space="preserve">Recording and tracking blood sugar levels for </w:t>
      </w:r>
      <w:bookmarkEnd w:id="19"/>
      <w:bookmarkEnd w:id="20"/>
      <w:r w:rsidR="00086587" w:rsidRPr="00086587">
        <w:t>T2DM.</w:t>
      </w:r>
      <w:bookmarkEnd w:id="21"/>
      <w:bookmarkEnd w:id="22"/>
      <w:bookmarkEnd w:id="23"/>
    </w:p>
    <w:p w14:paraId="73E20EC5" w14:textId="12BF0A20" w:rsidR="001B7A40" w:rsidRPr="00086587" w:rsidRDefault="007A7297"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Examine how recording and tracking blood sugar levels help individuals with Type 2 diabetes to safely manage their condition. </w:t>
      </w:r>
    </w:p>
    <w:p w14:paraId="72250934" w14:textId="4031C153" w:rsidR="00DD1F59" w:rsidRPr="00086587" w:rsidRDefault="00DD1F59"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Recording and tracking blood-sugar levels plays a key role in helping </w:t>
      </w:r>
      <w:r w:rsidR="00D23D65" w:rsidRPr="00086587">
        <w:rPr>
          <w:rFonts w:ascii="Arial" w:hAnsi="Arial" w:cs="Arial"/>
          <w:color w:val="171717" w:themeColor="background2" w:themeShade="1A"/>
          <w:sz w:val="22"/>
        </w:rPr>
        <w:t xml:space="preserve">patients </w:t>
      </w:r>
      <w:r w:rsidRPr="00086587">
        <w:rPr>
          <w:rFonts w:ascii="Arial" w:hAnsi="Arial" w:cs="Arial"/>
          <w:color w:val="171717" w:themeColor="background2" w:themeShade="1A"/>
          <w:sz w:val="22"/>
        </w:rPr>
        <w:t xml:space="preserve">with T2DM manage their condition safely and proactively. By regularly logging measurements whether </w:t>
      </w:r>
      <w:r w:rsidRPr="00086587">
        <w:rPr>
          <w:rFonts w:ascii="Arial" w:hAnsi="Arial" w:cs="Arial"/>
          <w:color w:val="171717" w:themeColor="background2" w:themeShade="1A"/>
          <w:sz w:val="22"/>
        </w:rPr>
        <w:lastRenderedPageBreak/>
        <w:t>through finger-pricks, a continuous glucose monitor (CGM) or a connected app an individual can observe how meals, physical activity, sleep, stress and medications influence their glucose. This insight makes self-care far more informed rather than just relying on routine lab tests.</w:t>
      </w:r>
      <w:r w:rsidR="00D23D65"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For example, recent meta-analysis shows that using digital self-monitoring and remote support in T2DM resulted in a significant reduction in HbA1c</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average blood-sugar control over roughly three months</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and improvements in fasting and post-meal glucose levels, compared to less frequent or no structured monitoring (Uhl et al., 2023)</w:t>
      </w:r>
      <w:r w:rsidR="00673F39" w:rsidRPr="00086587">
        <w:rPr>
          <w:rFonts w:ascii="Arial" w:hAnsi="Arial" w:cs="Arial"/>
          <w:color w:val="171717" w:themeColor="background2" w:themeShade="1A"/>
          <w:sz w:val="22"/>
        </w:rPr>
        <w:t>.</w:t>
      </w:r>
    </w:p>
    <w:p w14:paraId="0C35B665" w14:textId="4FD271B5" w:rsidR="00DB6066" w:rsidRPr="00086587" w:rsidRDefault="00DD1F59"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Meanwhile, studies comparing CGM to standard self-monitoring found modest but meaningful improvements in HbA1c (0.3 %) and increased time in range periods when blood sugar is in target, which is linked to fewer highs and lows.</w:t>
      </w:r>
    </w:p>
    <w:p w14:paraId="1433073D" w14:textId="258D9194" w:rsidR="00DD1F59" w:rsidRPr="00086587" w:rsidRDefault="00DD1F59"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In practical terms, tracking gives the person feedback loops: they might see that a certain food causes a spike, or that going for a 20-minute walk lowers their level the next morning. They also gain early warning of patterns</w:t>
      </w:r>
      <w:r w:rsidR="002F2AA3"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e.g., nocturnal rises or frequent lows</w:t>
      </w:r>
      <w:r w:rsidR="002F2AA3" w:rsidRPr="00086587">
        <w:rPr>
          <w:rFonts w:ascii="Arial" w:hAnsi="Arial" w:cs="Arial"/>
          <w:color w:val="171717" w:themeColor="background2" w:themeShade="1A"/>
          <w:sz w:val="22"/>
        </w:rPr>
        <w:t>,</w:t>
      </w:r>
      <w:r w:rsidRPr="00086587">
        <w:rPr>
          <w:rFonts w:ascii="Arial" w:hAnsi="Arial" w:cs="Arial"/>
          <w:color w:val="171717" w:themeColor="background2" w:themeShade="1A"/>
          <w:sz w:val="22"/>
        </w:rPr>
        <w:t xml:space="preserve"> which can prompt timely discussions with their healthcare provider about needing adjustments in medication or lifestyle. Moreover, with connected tools, data can be shared remotely with clinicians, improving responsiveness and reducing the risk of dangerous hypoglycaemia or hyperglycaemia. </w:t>
      </w:r>
    </w:p>
    <w:p w14:paraId="5030757E" w14:textId="5760FD73" w:rsidR="00DD1F59" w:rsidRPr="00086587" w:rsidRDefault="00DD1F59"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In short, regular tracking turns a passive chronic condition into an actively managed one</w:t>
      </w:r>
      <w:r w:rsidR="00612EEE" w:rsidRPr="00086587">
        <w:rPr>
          <w:rFonts w:ascii="Arial" w:hAnsi="Arial" w:cs="Arial"/>
          <w:color w:val="171717" w:themeColor="background2" w:themeShade="1A"/>
          <w:sz w:val="22"/>
        </w:rPr>
        <w:t xml:space="preserve"> </w:t>
      </w:r>
      <w:r w:rsidRPr="00086587">
        <w:rPr>
          <w:rFonts w:ascii="Arial" w:hAnsi="Arial" w:cs="Arial"/>
          <w:color w:val="171717" w:themeColor="background2" w:themeShade="1A"/>
          <w:sz w:val="22"/>
        </w:rPr>
        <w:t>empowering the individual, improving safety, and helping maintain or restore better glucose control over time (Morris-Murray and Frazzitta, 2024)</w:t>
      </w:r>
    </w:p>
    <w:p w14:paraId="40A9BF80" w14:textId="1F47BEA1" w:rsidR="007A7297" w:rsidRPr="00086587" w:rsidRDefault="00EB3D50" w:rsidP="00086587">
      <w:pPr>
        <w:tabs>
          <w:tab w:val="left" w:pos="6540"/>
        </w:tabs>
        <w:spacing w:line="360" w:lineRule="auto"/>
        <w:jc w:val="both"/>
        <w:rPr>
          <w:rFonts w:ascii="Arial" w:hAnsi="Arial" w:cs="Arial"/>
          <w:b/>
          <w:bCs/>
          <w:sz w:val="22"/>
        </w:rPr>
      </w:pPr>
      <w:r w:rsidRPr="00086587">
        <w:rPr>
          <w:rFonts w:ascii="Arial" w:hAnsi="Arial" w:cs="Arial"/>
          <w:b/>
          <w:bCs/>
          <w:sz w:val="22"/>
        </w:rPr>
        <w:t>T</w:t>
      </w:r>
      <w:r w:rsidR="007A7297" w:rsidRPr="00086587">
        <w:rPr>
          <w:rFonts w:ascii="Arial" w:hAnsi="Arial" w:cs="Arial"/>
          <w:b/>
          <w:bCs/>
          <w:sz w:val="22"/>
        </w:rPr>
        <w:t>he importance of tracking and recording</w:t>
      </w:r>
      <w:r w:rsidR="00086587" w:rsidRPr="00086587">
        <w:rPr>
          <w:rFonts w:ascii="Arial" w:hAnsi="Arial" w:cs="Arial"/>
          <w:b/>
          <w:bCs/>
          <w:sz w:val="22"/>
        </w:rPr>
        <w:t>.</w:t>
      </w:r>
    </w:p>
    <w:p w14:paraId="11B03E51" w14:textId="485FF26D" w:rsidR="00716B70" w:rsidRPr="00086587" w:rsidRDefault="00EB3D5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T</w:t>
      </w:r>
      <w:r w:rsidR="00716B70" w:rsidRPr="00086587">
        <w:rPr>
          <w:rFonts w:ascii="Arial" w:hAnsi="Arial" w:cs="Arial"/>
          <w:color w:val="171717" w:themeColor="background2" w:themeShade="1A"/>
          <w:sz w:val="22"/>
        </w:rPr>
        <w:t xml:space="preserve">racking and recording are vital for managing Type 2 Diabetes Mellitus because consistent self-monitoring of glucose, diet, physical activity and medication helps identify trends, informs treatment adjustments, and fosters day-to-day awareness of how lifestyle affects blood sugar. For example, technology-assisted monitoring helped participants visualise how their actions influenced glucose and motivated healthier choices. </w:t>
      </w:r>
    </w:p>
    <w:p w14:paraId="3BB4358F" w14:textId="5D710EC8" w:rsidR="00716B70" w:rsidRPr="00086587" w:rsidRDefault="00716B7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 Without such tracking, subtle deteriorations in glycaemic control may go unnoticed, delaying therapy adjustment and increasing the risk of long-term complications such as cardiovascular, renal or retinal damage. In short not recording means reduced insight, delayed responses and greater harm.</w:t>
      </w:r>
      <w:r w:rsidR="00DB76E3" w:rsidRPr="00086587">
        <w:rPr>
          <w:rFonts w:ascii="Arial" w:hAnsi="Arial" w:cs="Arial"/>
          <w:color w:val="171717" w:themeColor="background2" w:themeShade="1A"/>
          <w:sz w:val="22"/>
        </w:rPr>
        <w:t xml:space="preserve"> (Kerr et al., 2024)</w:t>
      </w:r>
      <w:r w:rsidR="00673F39" w:rsidRPr="00086587">
        <w:rPr>
          <w:rFonts w:ascii="Arial" w:hAnsi="Arial" w:cs="Arial"/>
          <w:color w:val="171717" w:themeColor="background2" w:themeShade="1A"/>
          <w:sz w:val="22"/>
        </w:rPr>
        <w:t>.</w:t>
      </w:r>
    </w:p>
    <w:p w14:paraId="189B8F71" w14:textId="77777777" w:rsidR="001B7A40" w:rsidRPr="00086587" w:rsidRDefault="001B7A40" w:rsidP="00086587">
      <w:pPr>
        <w:spacing w:line="360" w:lineRule="auto"/>
        <w:jc w:val="both"/>
        <w:rPr>
          <w:rFonts w:ascii="Arial" w:hAnsi="Arial" w:cs="Arial"/>
          <w:sz w:val="22"/>
        </w:rPr>
      </w:pPr>
    </w:p>
    <w:p w14:paraId="012D50EF" w14:textId="4726CBF7" w:rsidR="001B7A40" w:rsidRPr="00086587" w:rsidRDefault="001B7A40" w:rsidP="00533330">
      <w:pPr>
        <w:pStyle w:val="Heading1"/>
      </w:pPr>
      <w:bookmarkStart w:id="24" w:name="_Toc215688894"/>
      <w:bookmarkStart w:id="25" w:name="_Toc215688966"/>
      <w:bookmarkStart w:id="26" w:name="_Toc215690933"/>
      <w:bookmarkStart w:id="27" w:name="_Toc215691259"/>
      <w:bookmarkStart w:id="28" w:name="_Toc215691987"/>
      <w:r w:rsidRPr="00086587">
        <w:lastRenderedPageBreak/>
        <w:t>Recommend</w:t>
      </w:r>
      <w:r w:rsidR="007A7297" w:rsidRPr="00086587">
        <w:t>ations</w:t>
      </w:r>
      <w:bookmarkEnd w:id="24"/>
      <w:bookmarkEnd w:id="25"/>
      <w:bookmarkEnd w:id="26"/>
      <w:bookmarkEnd w:id="27"/>
      <w:bookmarkEnd w:id="28"/>
    </w:p>
    <w:p w14:paraId="388CF7DC" w14:textId="036A0CF9" w:rsidR="001B7A40" w:rsidRPr="00086587" w:rsidRDefault="00C03A91"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Include relevant recommendations of proposed evidence-based strategies in terms of health and social care, including health promotion, to improve their overall health and well-being of the person of </w:t>
      </w:r>
      <w:r w:rsidR="007A7297" w:rsidRPr="00086587">
        <w:rPr>
          <w:rFonts w:ascii="Arial" w:hAnsi="Arial" w:cs="Arial"/>
          <w:color w:val="171717" w:themeColor="background2" w:themeShade="1A"/>
          <w:sz w:val="22"/>
        </w:rPr>
        <w:t xml:space="preserve">a person with diabetes and how lifestyle changes could improve their condition. </w:t>
      </w:r>
    </w:p>
    <w:p w14:paraId="49FD7359" w14:textId="336FA747" w:rsidR="00B03B30" w:rsidRPr="00086587" w:rsidRDefault="00D23D65"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As a GP Practice </w:t>
      </w:r>
      <w:r w:rsidR="00564E4C" w:rsidRPr="00086587">
        <w:rPr>
          <w:rFonts w:ascii="Arial" w:hAnsi="Arial" w:cs="Arial"/>
          <w:color w:val="171717" w:themeColor="background2" w:themeShade="1A"/>
          <w:sz w:val="22"/>
        </w:rPr>
        <w:t>nurse,</w:t>
      </w:r>
      <w:r w:rsidRPr="00086587">
        <w:rPr>
          <w:rFonts w:ascii="Arial" w:hAnsi="Arial" w:cs="Arial"/>
          <w:color w:val="171717" w:themeColor="background2" w:themeShade="1A"/>
          <w:sz w:val="22"/>
        </w:rPr>
        <w:t xml:space="preserve"> the </w:t>
      </w:r>
      <w:r w:rsidR="00B03B30" w:rsidRPr="00086587">
        <w:rPr>
          <w:rFonts w:ascii="Arial" w:hAnsi="Arial" w:cs="Arial"/>
          <w:color w:val="171717" w:themeColor="background2" w:themeShade="1A"/>
          <w:sz w:val="22"/>
        </w:rPr>
        <w:t>recommendations for</w:t>
      </w:r>
      <w:r w:rsidRPr="00086587">
        <w:rPr>
          <w:rFonts w:ascii="Arial" w:hAnsi="Arial" w:cs="Arial"/>
          <w:color w:val="171717" w:themeColor="background2" w:themeShade="1A"/>
          <w:sz w:val="22"/>
        </w:rPr>
        <w:t xml:space="preserve"> patients with T2DM would be to </w:t>
      </w:r>
      <w:r w:rsidR="00B03B30" w:rsidRPr="00086587">
        <w:rPr>
          <w:rFonts w:ascii="Arial" w:hAnsi="Arial" w:cs="Arial"/>
          <w:color w:val="171717" w:themeColor="background2" w:themeShade="1A"/>
          <w:sz w:val="22"/>
        </w:rPr>
        <w:t xml:space="preserve">improve overall health and wellbeing </w:t>
      </w:r>
      <w:r w:rsidRPr="00086587">
        <w:rPr>
          <w:rFonts w:ascii="Arial" w:hAnsi="Arial" w:cs="Arial"/>
          <w:color w:val="171717" w:themeColor="background2" w:themeShade="1A"/>
          <w:sz w:val="22"/>
        </w:rPr>
        <w:t>particularly</w:t>
      </w:r>
      <w:r w:rsidR="00B03B30" w:rsidRPr="00086587">
        <w:rPr>
          <w:rFonts w:ascii="Arial" w:hAnsi="Arial" w:cs="Arial"/>
          <w:color w:val="171717" w:themeColor="background2" w:themeShade="1A"/>
          <w:sz w:val="22"/>
        </w:rPr>
        <w:t xml:space="preserve"> via lifestyle change</w:t>
      </w:r>
      <w:r w:rsidR="00673F39" w:rsidRPr="00086587">
        <w:rPr>
          <w:rFonts w:ascii="Arial" w:hAnsi="Arial" w:cs="Arial"/>
          <w:color w:val="171717" w:themeColor="background2" w:themeShade="1A"/>
          <w:sz w:val="22"/>
        </w:rPr>
        <w:t>.</w:t>
      </w:r>
    </w:p>
    <w:p w14:paraId="1B3EF3F4" w14:textId="5058EAE8"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People should be supported through structured programmes that combine nutritional modification, physical activity, and behaviour-change components for example, guided self-monitoring, regular feedback and peer support. Research shows such integrated interventions can reduce HbA1c, improve weight and quality of life. </w:t>
      </w:r>
    </w:p>
    <w:p w14:paraId="69AA3CC6" w14:textId="285C9960"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Dietary advice should emphasise patterns such as the Mediterranean diet or a low-glycaemic-index/low-carbohydrate approach, increasing fibre, whole grains, legumes, vegetables and healthy fats, while reducing saturated fat, refined carbohydrates and excess energy intake. These dietary changes have been shown to improve glycaemic control and body composition. </w:t>
      </w:r>
      <w:r w:rsidR="00F56271" w:rsidRPr="00086587">
        <w:rPr>
          <w:rFonts w:ascii="Arial" w:hAnsi="Arial" w:cs="Arial"/>
          <w:color w:val="171717" w:themeColor="background2" w:themeShade="1A"/>
          <w:sz w:val="22"/>
        </w:rPr>
        <w:t>(Williams, Jones and Stephens, 2022</w:t>
      </w:r>
      <w:r w:rsidR="00EE74EF" w:rsidRPr="00086587">
        <w:rPr>
          <w:rFonts w:ascii="Arial" w:hAnsi="Arial" w:cs="Arial"/>
          <w:color w:val="171717" w:themeColor="background2" w:themeShade="1A"/>
          <w:sz w:val="22"/>
        </w:rPr>
        <w:t>).</w:t>
      </w:r>
    </w:p>
    <w:p w14:paraId="42EA5511" w14:textId="77777777" w:rsidR="00B03B30" w:rsidRPr="00086587" w:rsidRDefault="00B03B30" w:rsidP="00086587">
      <w:pPr>
        <w:tabs>
          <w:tab w:val="left" w:pos="6540"/>
        </w:tabs>
        <w:spacing w:line="360" w:lineRule="auto"/>
        <w:jc w:val="both"/>
        <w:rPr>
          <w:rFonts w:ascii="Arial" w:hAnsi="Arial" w:cs="Arial"/>
          <w:color w:val="171717" w:themeColor="background2" w:themeShade="1A"/>
          <w:sz w:val="22"/>
        </w:rPr>
      </w:pPr>
    </w:p>
    <w:p w14:paraId="671F855E" w14:textId="642D0FDD"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Physical activity should be </w:t>
      </w:r>
      <w:r w:rsidR="00F56271" w:rsidRPr="00086587">
        <w:rPr>
          <w:rFonts w:ascii="Arial" w:hAnsi="Arial" w:cs="Arial"/>
          <w:color w:val="171717" w:themeColor="background2" w:themeShade="1A"/>
          <w:sz w:val="22"/>
        </w:rPr>
        <w:t>promoted including</w:t>
      </w:r>
      <w:r w:rsidRPr="00086587">
        <w:rPr>
          <w:rFonts w:ascii="Arial" w:hAnsi="Arial" w:cs="Arial"/>
          <w:color w:val="171717" w:themeColor="background2" w:themeShade="1A"/>
          <w:sz w:val="22"/>
        </w:rPr>
        <w:t xml:space="preserve"> a combination of moderate aerobic exercise, resistance training, and daily movement and supported by health professionals or social care networks. Exercise enhances insulin sensitivity, helps manage weight and supports cardiovascular health. </w:t>
      </w:r>
    </w:p>
    <w:p w14:paraId="6ECFD444" w14:textId="6A6A37E6"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Health promotion efforts in social care should integrate social support, education, and self-management skills, addressing barriers e.g., motivation, access, literacy, and leveraging peer or family networks to reinforce change. Studies emphasise that bolstering autonomy, competence and relatedness empowers people to make sustained changes. </w:t>
      </w:r>
    </w:p>
    <w:p w14:paraId="030103A4" w14:textId="602CB7A8"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By adopting these strategies, individuals may achieve better glycaemic control, reduce medication needs, lower risk of complications and enhance quality of life</w:t>
      </w:r>
      <w:r w:rsidR="001D733C" w:rsidRPr="00086587">
        <w:rPr>
          <w:rFonts w:ascii="Arial" w:hAnsi="Arial" w:cs="Arial"/>
          <w:color w:val="171717" w:themeColor="background2" w:themeShade="1A"/>
          <w:sz w:val="22"/>
        </w:rPr>
        <w:t xml:space="preserve"> (</w:t>
      </w:r>
      <w:proofErr w:type="spellStart"/>
      <w:r w:rsidR="001D733C" w:rsidRPr="00086587">
        <w:rPr>
          <w:rFonts w:ascii="Arial" w:hAnsi="Arial" w:cs="Arial"/>
          <w:color w:val="171717" w:themeColor="background2" w:themeShade="1A"/>
          <w:sz w:val="22"/>
        </w:rPr>
        <w:t>Colagiuri</w:t>
      </w:r>
      <w:proofErr w:type="spellEnd"/>
      <w:r w:rsidR="001D733C" w:rsidRPr="00086587">
        <w:rPr>
          <w:rFonts w:ascii="Arial" w:hAnsi="Arial" w:cs="Arial"/>
          <w:color w:val="171717" w:themeColor="background2" w:themeShade="1A"/>
          <w:sz w:val="22"/>
        </w:rPr>
        <w:t xml:space="preserve"> and Ceriello, 2025)</w:t>
      </w:r>
      <w:r w:rsidR="00EE74EF" w:rsidRPr="00086587">
        <w:rPr>
          <w:rFonts w:ascii="Arial" w:hAnsi="Arial" w:cs="Arial"/>
          <w:color w:val="171717" w:themeColor="background2" w:themeShade="1A"/>
          <w:sz w:val="22"/>
        </w:rPr>
        <w:t>.</w:t>
      </w:r>
    </w:p>
    <w:p w14:paraId="54FBB05C" w14:textId="1016F642" w:rsidR="007A7297" w:rsidRPr="00086587" w:rsidRDefault="00EB3D50" w:rsidP="00086587">
      <w:pPr>
        <w:tabs>
          <w:tab w:val="left" w:pos="6540"/>
        </w:tabs>
        <w:spacing w:line="360" w:lineRule="auto"/>
        <w:jc w:val="both"/>
        <w:rPr>
          <w:rFonts w:ascii="Arial" w:hAnsi="Arial" w:cs="Arial"/>
          <w:b/>
          <w:bCs/>
          <w:sz w:val="22"/>
        </w:rPr>
      </w:pPr>
      <w:r w:rsidRPr="00086587">
        <w:rPr>
          <w:rFonts w:ascii="Arial" w:hAnsi="Arial" w:cs="Arial"/>
          <w:b/>
          <w:bCs/>
          <w:sz w:val="22"/>
        </w:rPr>
        <w:t>I</w:t>
      </w:r>
      <w:r w:rsidR="007A7297" w:rsidRPr="00086587">
        <w:rPr>
          <w:rFonts w:ascii="Arial" w:hAnsi="Arial" w:cs="Arial"/>
          <w:b/>
          <w:bCs/>
          <w:sz w:val="22"/>
        </w:rPr>
        <w:t>nterventions and or lifestyle changes that an individual</w:t>
      </w:r>
      <w:r w:rsidR="001A3DF6" w:rsidRPr="00086587">
        <w:rPr>
          <w:rFonts w:ascii="Arial" w:hAnsi="Arial" w:cs="Arial"/>
          <w:b/>
          <w:bCs/>
          <w:sz w:val="22"/>
        </w:rPr>
        <w:t xml:space="preserve"> </w:t>
      </w:r>
      <w:r w:rsidR="007A7297" w:rsidRPr="00086587">
        <w:rPr>
          <w:rFonts w:ascii="Arial" w:hAnsi="Arial" w:cs="Arial"/>
          <w:b/>
          <w:bCs/>
          <w:sz w:val="22"/>
        </w:rPr>
        <w:t>to manage their diabete</w:t>
      </w:r>
      <w:r w:rsidR="001A3DF6" w:rsidRPr="00086587">
        <w:rPr>
          <w:rFonts w:ascii="Arial" w:hAnsi="Arial" w:cs="Arial"/>
          <w:b/>
          <w:bCs/>
          <w:sz w:val="22"/>
        </w:rPr>
        <w:t>s</w:t>
      </w:r>
      <w:r w:rsidR="007A7297" w:rsidRPr="00086587">
        <w:rPr>
          <w:rFonts w:ascii="Arial" w:hAnsi="Arial" w:cs="Arial"/>
          <w:b/>
          <w:bCs/>
          <w:sz w:val="22"/>
        </w:rPr>
        <w:t xml:space="preserve">. </w:t>
      </w:r>
    </w:p>
    <w:p w14:paraId="7561DE3B" w14:textId="23899F3E" w:rsidR="00B03B30" w:rsidRPr="00086587" w:rsidRDefault="00564E4C"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I</w:t>
      </w:r>
      <w:r w:rsidR="00B03B30" w:rsidRPr="00086587">
        <w:rPr>
          <w:rFonts w:ascii="Arial" w:hAnsi="Arial" w:cs="Arial"/>
          <w:color w:val="171717" w:themeColor="background2" w:themeShade="1A"/>
          <w:sz w:val="22"/>
        </w:rPr>
        <w:t xml:space="preserve">ndividual with </w:t>
      </w:r>
      <w:r w:rsidR="00D23D65" w:rsidRPr="00086587">
        <w:rPr>
          <w:rFonts w:ascii="Arial" w:hAnsi="Arial" w:cs="Arial"/>
          <w:color w:val="171717" w:themeColor="background2" w:themeShade="1A"/>
          <w:sz w:val="22"/>
        </w:rPr>
        <w:t>T2DM</w:t>
      </w:r>
      <w:r w:rsidR="00B03B30" w:rsidRPr="00086587">
        <w:rPr>
          <w:rFonts w:ascii="Arial" w:hAnsi="Arial" w:cs="Arial"/>
          <w:color w:val="171717" w:themeColor="background2" w:themeShade="1A"/>
          <w:sz w:val="22"/>
        </w:rPr>
        <w:t xml:space="preserve"> can adopt a diet rich in vegetables, whole grains, legumes, and healthy fats (e.g., a Mediterranean-style diet) and reduce refined carbohydrates and saturated fats; this dietary approach has been shown to significantly improve glycaemic control. </w:t>
      </w:r>
    </w:p>
    <w:p w14:paraId="13E65EB9" w14:textId="2A248230"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lastRenderedPageBreak/>
        <w:t xml:space="preserve">Engage in regular physical </w:t>
      </w:r>
      <w:r w:rsidR="001D733C" w:rsidRPr="00086587">
        <w:rPr>
          <w:rFonts w:ascii="Arial" w:hAnsi="Arial" w:cs="Arial"/>
          <w:color w:val="171717" w:themeColor="background2" w:themeShade="1A"/>
          <w:sz w:val="22"/>
        </w:rPr>
        <w:t>activity aiming</w:t>
      </w:r>
      <w:r w:rsidRPr="00086587">
        <w:rPr>
          <w:rFonts w:ascii="Arial" w:hAnsi="Arial" w:cs="Arial"/>
          <w:color w:val="171717" w:themeColor="background2" w:themeShade="1A"/>
          <w:sz w:val="22"/>
        </w:rPr>
        <w:t xml:space="preserve"> for 30–60 minutes per session, at least three times per week, including both aerobic and resistance </w:t>
      </w:r>
      <w:r w:rsidR="001D733C" w:rsidRPr="00086587">
        <w:rPr>
          <w:rFonts w:ascii="Arial" w:hAnsi="Arial" w:cs="Arial"/>
          <w:color w:val="171717" w:themeColor="background2" w:themeShade="1A"/>
          <w:sz w:val="22"/>
        </w:rPr>
        <w:t>exercises which</w:t>
      </w:r>
      <w:r w:rsidRPr="00086587">
        <w:rPr>
          <w:rFonts w:ascii="Arial" w:hAnsi="Arial" w:cs="Arial"/>
          <w:color w:val="171717" w:themeColor="background2" w:themeShade="1A"/>
          <w:sz w:val="22"/>
        </w:rPr>
        <w:t xml:space="preserve"> supports improved HbA</w:t>
      </w:r>
      <w:r w:rsidR="001D733C" w:rsidRPr="00086587">
        <w:rPr>
          <w:rFonts w:ascii="Arial" w:hAnsi="Arial" w:cs="Arial"/>
          <w:color w:val="171717" w:themeColor="background2" w:themeShade="1A"/>
          <w:sz w:val="22"/>
        </w:rPr>
        <w:t xml:space="preserve">1c, </w:t>
      </w:r>
      <w:r w:rsidRPr="00086587">
        <w:rPr>
          <w:rFonts w:ascii="Arial" w:hAnsi="Arial" w:cs="Arial"/>
          <w:color w:val="171717" w:themeColor="background2" w:themeShade="1A"/>
          <w:sz w:val="22"/>
        </w:rPr>
        <w:t xml:space="preserve">fasting glucose and reduced cardiovascular risk. </w:t>
      </w:r>
    </w:p>
    <w:p w14:paraId="6A6DEFD9" w14:textId="13B92821"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Combine diet + exercise interventions (rather than one alone) for maximal </w:t>
      </w:r>
      <w:r w:rsidR="001D733C" w:rsidRPr="00086587">
        <w:rPr>
          <w:rFonts w:ascii="Arial" w:hAnsi="Arial" w:cs="Arial"/>
          <w:color w:val="171717" w:themeColor="background2" w:themeShade="1A"/>
          <w:sz w:val="22"/>
        </w:rPr>
        <w:t>benefit studies</w:t>
      </w:r>
      <w:r w:rsidRPr="00086587">
        <w:rPr>
          <w:rFonts w:ascii="Arial" w:hAnsi="Arial" w:cs="Arial"/>
          <w:color w:val="171717" w:themeColor="background2" w:themeShade="1A"/>
          <w:sz w:val="22"/>
        </w:rPr>
        <w:t xml:space="preserve"> show larger reductions in HbA</w:t>
      </w:r>
      <w:r w:rsidR="001D733C" w:rsidRPr="00086587">
        <w:rPr>
          <w:rFonts w:ascii="Arial" w:hAnsi="Arial" w:cs="Arial"/>
          <w:color w:val="171717" w:themeColor="background2" w:themeShade="1A"/>
          <w:sz w:val="22"/>
        </w:rPr>
        <w:t xml:space="preserve">1c, </w:t>
      </w:r>
      <w:r w:rsidRPr="00086587">
        <w:rPr>
          <w:rFonts w:ascii="Arial" w:hAnsi="Arial" w:cs="Arial"/>
          <w:color w:val="171717" w:themeColor="background2" w:themeShade="1A"/>
          <w:sz w:val="22"/>
        </w:rPr>
        <w:t xml:space="preserve">and weight when both are applied together. </w:t>
      </w:r>
    </w:p>
    <w:p w14:paraId="464D0C20" w14:textId="64A6BDA4" w:rsidR="00B03B30"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Incorporate self-management support and family involvement: exercise programmes that include self- or family-management lead to better glucose control and reduced complications. </w:t>
      </w:r>
    </w:p>
    <w:p w14:paraId="4FA38C50" w14:textId="0C6FDB39" w:rsidR="002F2AA3" w:rsidRPr="00086587" w:rsidRDefault="00B03B30" w:rsidP="00086587">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By making these changes consistently, the individual can improve glucose levels, reduce reliance on medications, and lower the risk of complications associated with type 2 diabetes</w:t>
      </w:r>
      <w:r w:rsidR="007F439E" w:rsidRPr="00086587">
        <w:rPr>
          <w:rFonts w:ascii="Arial" w:hAnsi="Arial" w:cs="Arial"/>
          <w:color w:val="171717" w:themeColor="background2" w:themeShade="1A"/>
          <w:sz w:val="22"/>
        </w:rPr>
        <w:t> (NICE, 2022)</w:t>
      </w:r>
      <w:r w:rsidR="009A02DE" w:rsidRPr="00086587">
        <w:rPr>
          <w:rFonts w:ascii="Arial" w:hAnsi="Arial" w:cs="Arial"/>
          <w:color w:val="171717" w:themeColor="background2" w:themeShade="1A"/>
          <w:sz w:val="22"/>
        </w:rPr>
        <w:t>.</w:t>
      </w:r>
    </w:p>
    <w:p w14:paraId="04C4531D" w14:textId="77777777" w:rsidR="009A02DE" w:rsidRPr="00086587" w:rsidRDefault="009A02DE" w:rsidP="00533330">
      <w:pPr>
        <w:pStyle w:val="Heading1"/>
      </w:pPr>
    </w:p>
    <w:p w14:paraId="16641564" w14:textId="77777777" w:rsidR="009A02DE" w:rsidRPr="00086587" w:rsidRDefault="009A02DE" w:rsidP="00533330">
      <w:pPr>
        <w:pStyle w:val="Heading1"/>
      </w:pPr>
    </w:p>
    <w:p w14:paraId="75AAF653" w14:textId="77777777" w:rsidR="00564E4C" w:rsidRPr="00086587" w:rsidRDefault="00564E4C" w:rsidP="00533330">
      <w:pPr>
        <w:pStyle w:val="Heading1"/>
      </w:pPr>
    </w:p>
    <w:p w14:paraId="5DDFD5AB" w14:textId="77777777" w:rsidR="00564E4C" w:rsidRPr="00086587" w:rsidRDefault="00564E4C" w:rsidP="00533330">
      <w:pPr>
        <w:pStyle w:val="Heading1"/>
      </w:pPr>
    </w:p>
    <w:p w14:paraId="0F3D743D" w14:textId="77777777" w:rsidR="00564E4C" w:rsidRPr="00086587" w:rsidRDefault="00564E4C" w:rsidP="00533330">
      <w:pPr>
        <w:pStyle w:val="Heading1"/>
      </w:pPr>
    </w:p>
    <w:p w14:paraId="508382B0" w14:textId="77777777" w:rsidR="00564E4C" w:rsidRPr="00086587" w:rsidRDefault="00564E4C" w:rsidP="00533330">
      <w:pPr>
        <w:pStyle w:val="Heading1"/>
      </w:pPr>
    </w:p>
    <w:p w14:paraId="06E11458" w14:textId="77777777" w:rsidR="00C00DFA" w:rsidRPr="00086587" w:rsidRDefault="00C00DFA" w:rsidP="00533330">
      <w:pPr>
        <w:pStyle w:val="Heading1"/>
      </w:pPr>
    </w:p>
    <w:p w14:paraId="477DCB90" w14:textId="77777777" w:rsidR="00C00DFA" w:rsidRPr="00086587" w:rsidRDefault="00C00DFA" w:rsidP="00533330">
      <w:pPr>
        <w:pStyle w:val="Heading1"/>
      </w:pPr>
    </w:p>
    <w:p w14:paraId="096958E3" w14:textId="77777777" w:rsidR="00C00DFA" w:rsidRPr="00086587" w:rsidRDefault="00C00DFA" w:rsidP="00533330">
      <w:pPr>
        <w:pStyle w:val="Heading1"/>
      </w:pPr>
    </w:p>
    <w:p w14:paraId="46BEC501" w14:textId="77777777" w:rsidR="00533330" w:rsidRDefault="00533330" w:rsidP="00533330">
      <w:pPr>
        <w:pStyle w:val="Heading1"/>
      </w:pPr>
      <w:bookmarkStart w:id="29" w:name="_Toc215688895"/>
      <w:bookmarkStart w:id="30" w:name="_Toc215688967"/>
    </w:p>
    <w:p w14:paraId="3C0CDDCB" w14:textId="77777777" w:rsidR="00533330" w:rsidRDefault="00533330" w:rsidP="00533330">
      <w:pPr>
        <w:pStyle w:val="Heading1"/>
      </w:pPr>
    </w:p>
    <w:p w14:paraId="6F953411" w14:textId="77777777" w:rsidR="00533330" w:rsidRDefault="00533330" w:rsidP="00533330">
      <w:pPr>
        <w:pStyle w:val="Heading1"/>
      </w:pPr>
    </w:p>
    <w:p w14:paraId="49EE5AC8" w14:textId="77777777" w:rsidR="00533330" w:rsidRDefault="00533330" w:rsidP="00533330">
      <w:pPr>
        <w:pStyle w:val="Heading1"/>
      </w:pPr>
    </w:p>
    <w:p w14:paraId="7F626E74" w14:textId="77777777" w:rsidR="00533330" w:rsidRDefault="00533330" w:rsidP="00533330">
      <w:pPr>
        <w:pStyle w:val="Heading1"/>
      </w:pPr>
    </w:p>
    <w:p w14:paraId="1970DE02" w14:textId="581D841F" w:rsidR="001B7A40" w:rsidRPr="00086587" w:rsidRDefault="001B7A40" w:rsidP="00533330">
      <w:pPr>
        <w:pStyle w:val="Heading1"/>
      </w:pPr>
      <w:bookmarkStart w:id="31" w:name="_Toc215690934"/>
      <w:bookmarkStart w:id="32" w:name="_Toc215691260"/>
      <w:bookmarkStart w:id="33" w:name="_Toc215691988"/>
      <w:r w:rsidRPr="00086587">
        <w:t>Conclusion</w:t>
      </w:r>
      <w:bookmarkEnd w:id="29"/>
      <w:bookmarkEnd w:id="30"/>
      <w:bookmarkEnd w:id="31"/>
      <w:bookmarkEnd w:id="32"/>
      <w:bookmarkEnd w:id="33"/>
    </w:p>
    <w:p w14:paraId="08E99182" w14:textId="49C7CC6E" w:rsidR="001B7A40" w:rsidRPr="00086587" w:rsidRDefault="00D23D65" w:rsidP="00086587">
      <w:pPr>
        <w:spacing w:line="360" w:lineRule="auto"/>
        <w:jc w:val="both"/>
        <w:rPr>
          <w:rFonts w:ascii="Arial" w:hAnsi="Arial" w:cs="Arial"/>
          <w:sz w:val="22"/>
        </w:rPr>
      </w:pPr>
      <w:r w:rsidRPr="00086587">
        <w:rPr>
          <w:rFonts w:ascii="Arial" w:hAnsi="Arial" w:cs="Arial"/>
          <w:sz w:val="22"/>
        </w:rPr>
        <w:t xml:space="preserve">To conclude, </w:t>
      </w:r>
      <w:r w:rsidR="00AE5D58" w:rsidRPr="00086587">
        <w:rPr>
          <w:rFonts w:ascii="Arial" w:hAnsi="Arial" w:cs="Arial"/>
          <w:sz w:val="22"/>
        </w:rPr>
        <w:t>T</w:t>
      </w:r>
      <w:r w:rsidRPr="00086587">
        <w:rPr>
          <w:rFonts w:ascii="Arial" w:hAnsi="Arial" w:cs="Arial"/>
          <w:sz w:val="22"/>
        </w:rPr>
        <w:t xml:space="preserve">2DM </w:t>
      </w:r>
      <w:r w:rsidR="00AE5D58" w:rsidRPr="00086587">
        <w:rPr>
          <w:rFonts w:ascii="Arial" w:hAnsi="Arial" w:cs="Arial"/>
          <w:sz w:val="22"/>
        </w:rPr>
        <w:t>is a long-term condition caused by insulin resistance and impaired glucose regulation. Its management relies on a balance of medication, healthy eating, regular physical activity, and ongoing self-monitoring. Evidence from recent studies (2020–2025) highlights that lifestyle interventions such as adopting a Mediterranean-style diet, maintaining a healthy weight, and engaging in regular exercise can effectively control blood sugar and reduce complications. Empowering individuals through education, digital self-management tools, and social support further improves long-term outcomes. Overall, early intervention, consistent self-care, and collaboration between health and social care professionals are key to improving wellbeing and preventing disease progression.</w:t>
      </w:r>
    </w:p>
    <w:p w14:paraId="5BCBB22C" w14:textId="7E8A924B" w:rsidR="001B7A40" w:rsidRPr="00086587" w:rsidRDefault="001B7A40" w:rsidP="00086587">
      <w:pPr>
        <w:spacing w:line="360" w:lineRule="auto"/>
        <w:jc w:val="both"/>
        <w:rPr>
          <w:rFonts w:ascii="Arial" w:hAnsi="Arial" w:cs="Arial"/>
          <w:sz w:val="22"/>
        </w:rPr>
      </w:pPr>
      <w:r w:rsidRPr="00086587">
        <w:rPr>
          <w:rFonts w:ascii="Arial" w:hAnsi="Arial" w:cs="Arial"/>
          <w:sz w:val="22"/>
        </w:rPr>
        <w:br w:type="page"/>
      </w:r>
    </w:p>
    <w:p w14:paraId="40F036AE" w14:textId="600811B1" w:rsidR="00AC285B" w:rsidRPr="00AC285B" w:rsidRDefault="00AC285B" w:rsidP="00314DF8">
      <w:pPr>
        <w:pStyle w:val="Heading1"/>
      </w:pPr>
      <w:bookmarkStart w:id="34" w:name="_Toc215691989"/>
      <w:r w:rsidRPr="00AC285B">
        <w:lastRenderedPageBreak/>
        <w:t>References</w:t>
      </w:r>
      <w:bookmarkEnd w:id="34"/>
    </w:p>
    <w:p w14:paraId="104DEECF" w14:textId="4AF1544C" w:rsidR="0066388C" w:rsidRPr="00086587" w:rsidRDefault="0066388C" w:rsidP="00086587">
      <w:pPr>
        <w:spacing w:line="360" w:lineRule="auto"/>
        <w:jc w:val="both"/>
        <w:rPr>
          <w:rFonts w:ascii="Arial" w:hAnsi="Arial" w:cs="Arial"/>
          <w:sz w:val="22"/>
        </w:rPr>
      </w:pPr>
    </w:p>
    <w:p w14:paraId="63A217C2" w14:textId="45187534" w:rsidR="00A66DDA" w:rsidRPr="00086587" w:rsidRDefault="001D733C" w:rsidP="00086587">
      <w:pPr>
        <w:spacing w:line="360" w:lineRule="auto"/>
        <w:jc w:val="both"/>
        <w:rPr>
          <w:rFonts w:ascii="Arial" w:hAnsi="Arial" w:cs="Arial"/>
          <w:sz w:val="22"/>
        </w:rPr>
      </w:pPr>
      <w:r w:rsidRPr="00086587">
        <w:rPr>
          <w:rFonts w:ascii="Arial" w:hAnsi="Arial" w:cs="Arial"/>
          <w:sz w:val="22"/>
        </w:rPr>
        <w:t xml:space="preserve">1. </w:t>
      </w:r>
      <w:r w:rsidR="00A66DDA" w:rsidRPr="00086587">
        <w:rPr>
          <w:rFonts w:ascii="Arial" w:hAnsi="Arial" w:cs="Arial"/>
          <w:sz w:val="22"/>
        </w:rPr>
        <w:t>Dey, R.K. (2023) ‘Diabetes mellitus: a comprehensive review of pathophysiology, management, and emerging therapeutic approaches’, Journal of Diabetes Medication &amp; Care, 6(4), pp. 96-100.</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6B197159" w14:textId="6FB2EB4B" w:rsidR="00EE0103" w:rsidRPr="00086587" w:rsidRDefault="001D733C" w:rsidP="00086587">
      <w:pPr>
        <w:spacing w:line="360" w:lineRule="auto"/>
        <w:jc w:val="both"/>
        <w:rPr>
          <w:rFonts w:ascii="Arial" w:hAnsi="Arial" w:cs="Arial"/>
          <w:sz w:val="22"/>
        </w:rPr>
      </w:pPr>
      <w:r w:rsidRPr="00086587">
        <w:rPr>
          <w:rFonts w:ascii="Arial" w:hAnsi="Arial" w:cs="Arial"/>
          <w:sz w:val="22"/>
        </w:rPr>
        <w:t xml:space="preserve">2. </w:t>
      </w:r>
      <w:r w:rsidR="00EE0103" w:rsidRPr="00086587">
        <w:rPr>
          <w:rFonts w:ascii="Arial" w:hAnsi="Arial" w:cs="Arial"/>
          <w:sz w:val="22"/>
        </w:rPr>
        <w:t>Diabetes UK (2020). </w:t>
      </w:r>
      <w:r w:rsidR="00EE0103" w:rsidRPr="00086587">
        <w:rPr>
          <w:rFonts w:ascii="Arial" w:hAnsi="Arial" w:cs="Arial"/>
          <w:i/>
          <w:iCs/>
          <w:sz w:val="22"/>
        </w:rPr>
        <w:t>Diabetes Risk Factors</w:t>
      </w:r>
      <w:r w:rsidR="00EE0103" w:rsidRPr="00086587">
        <w:rPr>
          <w:rFonts w:ascii="Arial" w:hAnsi="Arial" w:cs="Arial"/>
          <w:sz w:val="22"/>
        </w:rPr>
        <w:t xml:space="preserve">. [online] Diabetes UK. Available at: </w:t>
      </w:r>
      <w:hyperlink r:id="rId12" w:history="1">
        <w:r w:rsidR="00252F11" w:rsidRPr="00086587">
          <w:rPr>
            <w:rStyle w:val="Hyperlink"/>
            <w:rFonts w:ascii="Arial" w:hAnsi="Arial" w:cs="Arial"/>
            <w:sz w:val="22"/>
          </w:rPr>
          <w:t>https://www.diabetes.org.uk/about-diabetes/type-2-diabetes/diabetes-risk-factors</w:t>
        </w:r>
      </w:hyperlink>
      <w:r w:rsidR="00EE0103" w:rsidRPr="00086587">
        <w:rPr>
          <w:rFonts w:ascii="Arial" w:hAnsi="Arial" w:cs="Arial"/>
          <w:sz w:val="22"/>
        </w:rPr>
        <w:t>.</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7304E39B" w14:textId="36C8D4CD" w:rsidR="00203C95" w:rsidRPr="00086587" w:rsidRDefault="001D733C" w:rsidP="00086587">
      <w:pPr>
        <w:spacing w:line="360" w:lineRule="auto"/>
        <w:jc w:val="both"/>
        <w:rPr>
          <w:rFonts w:ascii="Arial" w:hAnsi="Arial" w:cs="Arial"/>
          <w:sz w:val="22"/>
        </w:rPr>
      </w:pPr>
      <w:r w:rsidRPr="00086587">
        <w:rPr>
          <w:rFonts w:ascii="Arial" w:hAnsi="Arial" w:cs="Arial"/>
          <w:sz w:val="22"/>
        </w:rPr>
        <w:t>3.</w:t>
      </w:r>
      <w:r w:rsidR="00252F11" w:rsidRPr="00086587">
        <w:rPr>
          <w:rFonts w:ascii="Arial" w:hAnsi="Arial" w:cs="Arial"/>
          <w:sz w:val="22"/>
        </w:rPr>
        <w:t>CDC (2024). </w:t>
      </w:r>
      <w:r w:rsidR="00252F11" w:rsidRPr="00086587">
        <w:rPr>
          <w:rFonts w:ascii="Arial" w:hAnsi="Arial" w:cs="Arial"/>
          <w:i/>
          <w:iCs/>
          <w:sz w:val="22"/>
        </w:rPr>
        <w:t>About Insulin Resistance and Type 2 Diabetes</w:t>
      </w:r>
      <w:r w:rsidR="00252F11" w:rsidRPr="00086587">
        <w:rPr>
          <w:rFonts w:ascii="Arial" w:hAnsi="Arial" w:cs="Arial"/>
          <w:sz w:val="22"/>
        </w:rPr>
        <w:t xml:space="preserve">. [online] Diabetes. Available at: </w:t>
      </w:r>
      <w:hyperlink r:id="rId13" w:history="1">
        <w:r w:rsidR="00203C95" w:rsidRPr="00086587">
          <w:rPr>
            <w:rStyle w:val="Hyperlink"/>
            <w:rFonts w:ascii="Arial" w:hAnsi="Arial" w:cs="Arial"/>
            <w:sz w:val="22"/>
          </w:rPr>
          <w:t>https://www.cdc.gov/diabetes/about/insulin-resistance-type-2-diabetes.html</w:t>
        </w:r>
      </w:hyperlink>
      <w:r w:rsidR="00252F11" w:rsidRPr="00086587">
        <w:rPr>
          <w:rFonts w:ascii="Arial" w:hAnsi="Arial" w:cs="Arial"/>
          <w:sz w:val="22"/>
        </w:rPr>
        <w:t>.</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7DAFD438" w14:textId="67C6CEAA" w:rsidR="004A5D7C" w:rsidRPr="00086587" w:rsidRDefault="00203C95" w:rsidP="00086587">
      <w:pPr>
        <w:spacing w:line="360" w:lineRule="auto"/>
        <w:jc w:val="both"/>
        <w:rPr>
          <w:rFonts w:ascii="Arial" w:hAnsi="Arial" w:cs="Arial"/>
          <w:sz w:val="22"/>
        </w:rPr>
      </w:pPr>
      <w:r w:rsidRPr="00086587">
        <w:rPr>
          <w:rFonts w:ascii="Arial" w:hAnsi="Arial" w:cs="Arial"/>
          <w:sz w:val="22"/>
        </w:rPr>
        <w:t>‌</w:t>
      </w:r>
      <w:r w:rsidR="001D733C" w:rsidRPr="00086587">
        <w:rPr>
          <w:rFonts w:ascii="Arial" w:hAnsi="Arial" w:cs="Arial"/>
          <w:sz w:val="22"/>
        </w:rPr>
        <w:t xml:space="preserve">4. </w:t>
      </w:r>
      <w:r w:rsidR="004A5D7C" w:rsidRPr="00086587">
        <w:rPr>
          <w:rFonts w:ascii="Arial" w:hAnsi="Arial" w:cs="Arial"/>
          <w:sz w:val="22"/>
        </w:rPr>
        <w:t>Care Learning (2025). </w:t>
      </w:r>
      <w:r w:rsidR="004A5D7C" w:rsidRPr="00086587">
        <w:rPr>
          <w:rFonts w:ascii="Arial" w:hAnsi="Arial" w:cs="Arial"/>
          <w:i/>
          <w:iCs/>
          <w:sz w:val="22"/>
        </w:rPr>
        <w:t>4.1. Explain the regulation of blood sugar – Care Learning</w:t>
      </w:r>
      <w:r w:rsidR="004A5D7C" w:rsidRPr="00086587">
        <w:rPr>
          <w:rFonts w:ascii="Arial" w:hAnsi="Arial" w:cs="Arial"/>
          <w:sz w:val="22"/>
        </w:rPr>
        <w:t xml:space="preserve">. [online] Care Learning. Available at: </w:t>
      </w:r>
      <w:hyperlink r:id="rId14" w:history="1">
        <w:r w:rsidR="00E2042F" w:rsidRPr="00086587">
          <w:rPr>
            <w:rStyle w:val="Hyperlink"/>
            <w:rFonts w:ascii="Arial" w:hAnsi="Arial" w:cs="Arial"/>
            <w:sz w:val="22"/>
          </w:rPr>
          <w:t>https://carelearning.org.uk/qualifications/level-3-extended-hsc/hsccmo2-biochemistry/4-1-explain-the-regulation-of-blood-sugar/</w:t>
        </w:r>
      </w:hyperlink>
      <w:r w:rsidR="004A5D7C" w:rsidRPr="00086587">
        <w:rPr>
          <w:rFonts w:ascii="Arial" w:hAnsi="Arial" w:cs="Arial"/>
          <w:sz w:val="22"/>
        </w:rPr>
        <w:t>.</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2909960E" w14:textId="2A2BE8B3" w:rsidR="00733BA7" w:rsidRPr="00086587" w:rsidRDefault="001D733C" w:rsidP="00086587">
      <w:pPr>
        <w:spacing w:line="360" w:lineRule="auto"/>
        <w:jc w:val="both"/>
        <w:rPr>
          <w:rFonts w:ascii="Arial" w:hAnsi="Arial" w:cs="Arial"/>
          <w:sz w:val="22"/>
        </w:rPr>
      </w:pPr>
      <w:r w:rsidRPr="00086587">
        <w:rPr>
          <w:rFonts w:ascii="Arial" w:hAnsi="Arial" w:cs="Arial"/>
          <w:sz w:val="22"/>
        </w:rPr>
        <w:t xml:space="preserve">5. </w:t>
      </w:r>
      <w:r w:rsidR="00733BA7" w:rsidRPr="00086587">
        <w:rPr>
          <w:rFonts w:ascii="Arial" w:hAnsi="Arial" w:cs="Arial"/>
          <w:sz w:val="22"/>
        </w:rPr>
        <w:t>Yadav, M. (2022). Diet, sleep and exercise: The keystones of healthy lifestyle for medical students. </w:t>
      </w:r>
      <w:r w:rsidR="00733BA7" w:rsidRPr="00086587">
        <w:rPr>
          <w:rFonts w:ascii="Arial" w:hAnsi="Arial" w:cs="Arial"/>
          <w:i/>
          <w:iCs/>
          <w:sz w:val="22"/>
        </w:rPr>
        <w:t>Journal of Nepal Medical Association</w:t>
      </w:r>
      <w:r w:rsidR="00733BA7" w:rsidRPr="00086587">
        <w:rPr>
          <w:rFonts w:ascii="Arial" w:hAnsi="Arial" w:cs="Arial"/>
          <w:sz w:val="22"/>
        </w:rPr>
        <w:t xml:space="preserve">, [online] 60(253), pp.841–843. </w:t>
      </w:r>
      <w:proofErr w:type="spellStart"/>
      <w:proofErr w:type="gramStart"/>
      <w:r w:rsidR="00733BA7" w:rsidRPr="00086587">
        <w:rPr>
          <w:rFonts w:ascii="Arial" w:hAnsi="Arial" w:cs="Arial"/>
          <w:sz w:val="22"/>
        </w:rPr>
        <w:t>doi:https</w:t>
      </w:r>
      <w:proofErr w:type="spellEnd"/>
      <w:r w:rsidR="00733BA7" w:rsidRPr="00086587">
        <w:rPr>
          <w:rFonts w:ascii="Arial" w:hAnsi="Arial" w:cs="Arial"/>
          <w:sz w:val="22"/>
        </w:rPr>
        <w:t>://doi.org/10.31729/jnma.7355</w:t>
      </w:r>
      <w:proofErr w:type="gramEnd"/>
      <w:r w:rsidR="00733BA7" w:rsidRPr="00086587">
        <w:rPr>
          <w:rFonts w:ascii="Arial" w:hAnsi="Arial" w:cs="Arial"/>
          <w:sz w:val="22"/>
        </w:rPr>
        <w:t>.</w:t>
      </w:r>
      <w:r w:rsidR="00EE74EF" w:rsidRPr="00086587">
        <w:rPr>
          <w:rFonts w:ascii="Arial" w:hAnsi="Arial" w:cs="Arial"/>
          <w:sz w:val="22"/>
        </w:rPr>
        <w:t xml:space="preserve"> (Accessed 21</w:t>
      </w:r>
      <w:proofErr w:type="gramStart"/>
      <w:r w:rsidR="00564E4C" w:rsidRPr="00086587">
        <w:rPr>
          <w:rFonts w:ascii="Arial" w:hAnsi="Arial" w:cs="Arial"/>
          <w:sz w:val="22"/>
          <w:vertAlign w:val="superscript"/>
        </w:rPr>
        <w:t>st</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1931FB72" w14:textId="0AF65A41" w:rsidR="00DB6066" w:rsidRPr="00086587" w:rsidRDefault="00FD494A" w:rsidP="00086587">
      <w:pPr>
        <w:spacing w:line="360" w:lineRule="auto"/>
        <w:jc w:val="both"/>
        <w:rPr>
          <w:rFonts w:ascii="Arial" w:hAnsi="Arial" w:cs="Arial"/>
          <w:sz w:val="22"/>
        </w:rPr>
      </w:pPr>
      <w:r w:rsidRPr="00086587">
        <w:rPr>
          <w:rFonts w:ascii="Arial" w:hAnsi="Arial" w:cs="Arial"/>
          <w:sz w:val="22"/>
        </w:rPr>
        <w:t xml:space="preserve">6. </w:t>
      </w:r>
      <w:r w:rsidR="00DB6066" w:rsidRPr="00086587">
        <w:rPr>
          <w:rFonts w:ascii="Arial" w:hAnsi="Arial" w:cs="Arial"/>
          <w:sz w:val="22"/>
        </w:rPr>
        <w:t>Ahmed, A., Tsiami, A. and Khan, H.T.A. (2023). Effects of dietary and lifestyle management on type 2 diabetes development among ethnic minority adults living in the UK: A generational shift. </w:t>
      </w:r>
      <w:r w:rsidR="00DB6066" w:rsidRPr="00086587">
        <w:rPr>
          <w:rFonts w:ascii="Arial" w:hAnsi="Arial" w:cs="Arial"/>
          <w:i/>
          <w:iCs/>
          <w:sz w:val="22"/>
        </w:rPr>
        <w:t>International Journal of Gastronomy and Food Science</w:t>
      </w:r>
      <w:r w:rsidR="00DB6066" w:rsidRPr="00086587">
        <w:rPr>
          <w:rFonts w:ascii="Arial" w:hAnsi="Arial" w:cs="Arial"/>
          <w:sz w:val="22"/>
        </w:rPr>
        <w:t xml:space="preserve">, 31, p.100634. </w:t>
      </w:r>
      <w:proofErr w:type="spellStart"/>
      <w:proofErr w:type="gramStart"/>
      <w:r w:rsidR="00DB6066" w:rsidRPr="00086587">
        <w:rPr>
          <w:rFonts w:ascii="Arial" w:hAnsi="Arial" w:cs="Arial"/>
          <w:sz w:val="22"/>
        </w:rPr>
        <w:t>doi:https</w:t>
      </w:r>
      <w:proofErr w:type="spellEnd"/>
      <w:r w:rsidR="00DB6066" w:rsidRPr="00086587">
        <w:rPr>
          <w:rFonts w:ascii="Arial" w:hAnsi="Arial" w:cs="Arial"/>
          <w:sz w:val="22"/>
        </w:rPr>
        <w:t>://doi.org/10.1016/j.ijgfs.2022.100634</w:t>
      </w:r>
      <w:proofErr w:type="gramEnd"/>
      <w:r w:rsidR="00EE74EF" w:rsidRPr="00086587">
        <w:rPr>
          <w:rFonts w:ascii="Arial" w:hAnsi="Arial" w:cs="Arial"/>
          <w:sz w:val="22"/>
        </w:rPr>
        <w:t xml:space="preserve">. (Accessed </w:t>
      </w:r>
      <w:r w:rsidR="00564E4C" w:rsidRPr="00086587">
        <w:rPr>
          <w:rFonts w:ascii="Arial" w:hAnsi="Arial" w:cs="Arial"/>
          <w:sz w:val="22"/>
        </w:rPr>
        <w:t>21</w:t>
      </w:r>
      <w:r w:rsidR="00564E4C" w:rsidRPr="00086587">
        <w:rPr>
          <w:rFonts w:ascii="Arial" w:hAnsi="Arial" w:cs="Arial"/>
          <w:sz w:val="22"/>
          <w:vertAlign w:val="superscript"/>
        </w:rPr>
        <w:t>st</w:t>
      </w:r>
      <w:r w:rsidR="00564E4C" w:rsidRPr="00086587">
        <w:rPr>
          <w:rFonts w:ascii="Arial" w:hAnsi="Arial" w:cs="Arial"/>
          <w:sz w:val="22"/>
        </w:rPr>
        <w:t xml:space="preserve"> </w:t>
      </w:r>
      <w:r w:rsidR="00EE74EF" w:rsidRPr="00086587">
        <w:rPr>
          <w:rFonts w:ascii="Arial" w:hAnsi="Arial" w:cs="Arial"/>
          <w:sz w:val="22"/>
        </w:rPr>
        <w:t>November 2025).</w:t>
      </w:r>
    </w:p>
    <w:p w14:paraId="707ADA59" w14:textId="6E441680" w:rsidR="00DD1F59" w:rsidRPr="00086587" w:rsidRDefault="00FD494A" w:rsidP="00086587">
      <w:pPr>
        <w:spacing w:line="360" w:lineRule="auto"/>
        <w:jc w:val="both"/>
        <w:rPr>
          <w:rFonts w:ascii="Arial" w:hAnsi="Arial" w:cs="Arial"/>
          <w:sz w:val="22"/>
        </w:rPr>
      </w:pPr>
      <w:r w:rsidRPr="00086587">
        <w:rPr>
          <w:rFonts w:ascii="Arial" w:hAnsi="Arial" w:cs="Arial"/>
          <w:sz w:val="22"/>
        </w:rPr>
        <w:t xml:space="preserve">7. </w:t>
      </w:r>
      <w:r w:rsidR="00DD1F59" w:rsidRPr="00086587">
        <w:rPr>
          <w:rFonts w:ascii="Arial" w:hAnsi="Arial" w:cs="Arial"/>
          <w:sz w:val="22"/>
        </w:rPr>
        <w:t>Uhl, S., Choure, A., Rouse, B., Loblack, A. and Reaven, P. (2023). Effectiveness of continuous glucose monitoring on metrics of glycemic control in type 2 diabetes mellitus: A systematic review and meta-analysis of randomized controlled trials. </w:t>
      </w:r>
      <w:r w:rsidR="00DD1F59" w:rsidRPr="00086587">
        <w:rPr>
          <w:rFonts w:ascii="Arial" w:hAnsi="Arial" w:cs="Arial"/>
          <w:i/>
          <w:iCs/>
          <w:sz w:val="22"/>
        </w:rPr>
        <w:t>The Journal of Clinical Endocrinology and Metabolism</w:t>
      </w:r>
      <w:r w:rsidR="00DD1F59" w:rsidRPr="00086587">
        <w:rPr>
          <w:rFonts w:ascii="Arial" w:hAnsi="Arial" w:cs="Arial"/>
          <w:sz w:val="22"/>
        </w:rPr>
        <w:t xml:space="preserve">, [online] 109(4), </w:t>
      </w:r>
      <w:proofErr w:type="gramStart"/>
      <w:r w:rsidR="00DD1F59" w:rsidRPr="00086587">
        <w:rPr>
          <w:rFonts w:ascii="Arial" w:hAnsi="Arial" w:cs="Arial"/>
          <w:sz w:val="22"/>
        </w:rPr>
        <w:t>p.dgad</w:t>
      </w:r>
      <w:proofErr w:type="gramEnd"/>
      <w:r w:rsidR="00DD1F59" w:rsidRPr="00086587">
        <w:rPr>
          <w:rFonts w:ascii="Arial" w:hAnsi="Arial" w:cs="Arial"/>
          <w:sz w:val="22"/>
        </w:rPr>
        <w:t xml:space="preserve">652. </w:t>
      </w:r>
      <w:proofErr w:type="spellStart"/>
      <w:proofErr w:type="gramStart"/>
      <w:r w:rsidR="00DD1F59" w:rsidRPr="00086587">
        <w:rPr>
          <w:rFonts w:ascii="Arial" w:hAnsi="Arial" w:cs="Arial"/>
          <w:sz w:val="22"/>
        </w:rPr>
        <w:t>doi:https</w:t>
      </w:r>
      <w:proofErr w:type="spellEnd"/>
      <w:r w:rsidR="00DD1F59" w:rsidRPr="00086587">
        <w:rPr>
          <w:rFonts w:ascii="Arial" w:hAnsi="Arial" w:cs="Arial"/>
          <w:sz w:val="22"/>
        </w:rPr>
        <w:t>://doi.org/10.1210/</w:t>
      </w:r>
      <w:proofErr w:type="spellStart"/>
      <w:r w:rsidR="00DD1F59" w:rsidRPr="00086587">
        <w:rPr>
          <w:rFonts w:ascii="Arial" w:hAnsi="Arial" w:cs="Arial"/>
          <w:sz w:val="22"/>
        </w:rPr>
        <w:t>clinem</w:t>
      </w:r>
      <w:proofErr w:type="spellEnd"/>
      <w:r w:rsidR="00DD1F59" w:rsidRPr="00086587">
        <w:rPr>
          <w:rFonts w:ascii="Arial" w:hAnsi="Arial" w:cs="Arial"/>
          <w:sz w:val="22"/>
        </w:rPr>
        <w:t>/dgad652</w:t>
      </w:r>
      <w:proofErr w:type="gramEnd"/>
      <w:r w:rsidR="00DD1F59" w:rsidRPr="00086587">
        <w:rPr>
          <w:rFonts w:ascii="Arial" w:hAnsi="Arial" w:cs="Arial"/>
          <w:sz w:val="22"/>
        </w:rPr>
        <w:t>.</w:t>
      </w:r>
      <w:r w:rsidR="00EE74EF" w:rsidRPr="00086587">
        <w:rPr>
          <w:rFonts w:ascii="Arial" w:hAnsi="Arial" w:cs="Arial"/>
          <w:sz w:val="22"/>
        </w:rPr>
        <w:t xml:space="preserve"> (Accessed </w:t>
      </w:r>
      <w:r w:rsidR="00564E4C" w:rsidRPr="00086587">
        <w:rPr>
          <w:rFonts w:ascii="Arial" w:hAnsi="Arial" w:cs="Arial"/>
          <w:sz w:val="22"/>
        </w:rPr>
        <w:t>23</w:t>
      </w:r>
      <w:proofErr w:type="gramStart"/>
      <w:r w:rsidR="00564E4C" w:rsidRPr="00086587">
        <w:rPr>
          <w:rFonts w:ascii="Arial" w:hAnsi="Arial" w:cs="Arial"/>
          <w:sz w:val="22"/>
          <w:vertAlign w:val="superscript"/>
        </w:rPr>
        <w:t>rd</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0F34C393" w14:textId="4C4B0337" w:rsidR="00DD1F59" w:rsidRPr="00086587" w:rsidRDefault="00FD494A" w:rsidP="00086587">
      <w:pPr>
        <w:spacing w:line="360" w:lineRule="auto"/>
        <w:jc w:val="both"/>
        <w:rPr>
          <w:rFonts w:ascii="Arial" w:hAnsi="Arial" w:cs="Arial"/>
          <w:sz w:val="22"/>
        </w:rPr>
      </w:pPr>
      <w:r w:rsidRPr="00086587">
        <w:rPr>
          <w:rFonts w:ascii="Arial" w:hAnsi="Arial" w:cs="Arial"/>
          <w:sz w:val="22"/>
        </w:rPr>
        <w:t xml:space="preserve">8. </w:t>
      </w:r>
      <w:r w:rsidR="00DD1F59" w:rsidRPr="00086587">
        <w:rPr>
          <w:rFonts w:ascii="Arial" w:hAnsi="Arial" w:cs="Arial"/>
          <w:sz w:val="22"/>
        </w:rPr>
        <w:t>Morris-Murray, M. and Frazzitta, M. (2024). Using continuous glucose monitoring to measure and improve quality metrics: Updates on the Healthcare Effectiveness Data and Information Set 2024 Glucose Management Indicator measure. </w:t>
      </w:r>
      <w:r w:rsidR="00DD1F59" w:rsidRPr="00086587">
        <w:rPr>
          <w:rFonts w:ascii="Arial" w:hAnsi="Arial" w:cs="Arial"/>
          <w:i/>
          <w:iCs/>
          <w:sz w:val="22"/>
        </w:rPr>
        <w:t>Journal of Managed Care &amp; Specialty Pharmacy</w:t>
      </w:r>
      <w:r w:rsidR="00DD1F59" w:rsidRPr="00086587">
        <w:rPr>
          <w:rFonts w:ascii="Arial" w:hAnsi="Arial" w:cs="Arial"/>
          <w:sz w:val="22"/>
        </w:rPr>
        <w:t xml:space="preserve">, 30(10-b Suppl), </w:t>
      </w:r>
      <w:proofErr w:type="gramStart"/>
      <w:r w:rsidR="00DD1F59" w:rsidRPr="00086587">
        <w:rPr>
          <w:rFonts w:ascii="Arial" w:hAnsi="Arial" w:cs="Arial"/>
          <w:sz w:val="22"/>
        </w:rPr>
        <w:t>pp.S</w:t>
      </w:r>
      <w:proofErr w:type="gramEnd"/>
      <w:r w:rsidR="00DD1F59" w:rsidRPr="00086587">
        <w:rPr>
          <w:rFonts w:ascii="Arial" w:hAnsi="Arial" w:cs="Arial"/>
          <w:sz w:val="22"/>
        </w:rPr>
        <w:t xml:space="preserve">30–S39. </w:t>
      </w:r>
      <w:proofErr w:type="spellStart"/>
      <w:proofErr w:type="gramStart"/>
      <w:r w:rsidR="00DD1F59" w:rsidRPr="00086587">
        <w:rPr>
          <w:rFonts w:ascii="Arial" w:hAnsi="Arial" w:cs="Arial"/>
          <w:sz w:val="22"/>
        </w:rPr>
        <w:t>doi:https</w:t>
      </w:r>
      <w:proofErr w:type="spellEnd"/>
      <w:r w:rsidR="00DD1F59" w:rsidRPr="00086587">
        <w:rPr>
          <w:rFonts w:ascii="Arial" w:hAnsi="Arial" w:cs="Arial"/>
          <w:sz w:val="22"/>
        </w:rPr>
        <w:t>://doi.org/10.18553/jmcp.2024.30.10-b.s30</w:t>
      </w:r>
      <w:proofErr w:type="gramEnd"/>
      <w:r w:rsidR="00DD1F59" w:rsidRPr="00086587">
        <w:rPr>
          <w:rFonts w:ascii="Arial" w:hAnsi="Arial" w:cs="Arial"/>
          <w:sz w:val="22"/>
        </w:rPr>
        <w:t>.</w:t>
      </w:r>
      <w:r w:rsidR="00EE74EF" w:rsidRPr="00086587">
        <w:rPr>
          <w:rFonts w:ascii="Arial" w:hAnsi="Arial" w:cs="Arial"/>
          <w:sz w:val="22"/>
        </w:rPr>
        <w:t xml:space="preserve"> (Accessed </w:t>
      </w:r>
      <w:r w:rsidR="00564E4C" w:rsidRPr="00086587">
        <w:rPr>
          <w:rFonts w:ascii="Arial" w:hAnsi="Arial" w:cs="Arial"/>
          <w:sz w:val="22"/>
        </w:rPr>
        <w:t>23</w:t>
      </w:r>
      <w:proofErr w:type="gramStart"/>
      <w:r w:rsidR="00564E4C" w:rsidRPr="00086587">
        <w:rPr>
          <w:rFonts w:ascii="Arial" w:hAnsi="Arial" w:cs="Arial"/>
          <w:sz w:val="22"/>
          <w:vertAlign w:val="superscript"/>
        </w:rPr>
        <w:t>rd</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72484BAF" w14:textId="7C591FAC" w:rsidR="00DB76E3" w:rsidRPr="00086587" w:rsidRDefault="00FD494A" w:rsidP="00086587">
      <w:pPr>
        <w:spacing w:line="360" w:lineRule="auto"/>
        <w:jc w:val="both"/>
        <w:rPr>
          <w:rFonts w:ascii="Arial" w:hAnsi="Arial" w:cs="Arial"/>
          <w:sz w:val="22"/>
        </w:rPr>
      </w:pPr>
      <w:r w:rsidRPr="00086587">
        <w:rPr>
          <w:rFonts w:ascii="Arial" w:hAnsi="Arial" w:cs="Arial"/>
          <w:sz w:val="22"/>
        </w:rPr>
        <w:lastRenderedPageBreak/>
        <w:t xml:space="preserve">9. </w:t>
      </w:r>
      <w:r w:rsidR="00DB76E3" w:rsidRPr="00086587">
        <w:rPr>
          <w:rFonts w:ascii="Arial" w:hAnsi="Arial" w:cs="Arial"/>
          <w:sz w:val="22"/>
        </w:rPr>
        <w:t>Kerr, D., Ahn, D., Waki, K., Wang, J., Breznen, B. and Klonoff, D.C. (2024). Digital Interventions for Self-Management of Type 2 Diabetes Mellitus: Systematic Literature Review and Meta-Analysis. </w:t>
      </w:r>
      <w:r w:rsidR="00DB76E3" w:rsidRPr="00086587">
        <w:rPr>
          <w:rFonts w:ascii="Arial" w:hAnsi="Arial" w:cs="Arial"/>
          <w:i/>
          <w:iCs/>
          <w:sz w:val="22"/>
        </w:rPr>
        <w:t>Journal of Medical Internet Research</w:t>
      </w:r>
      <w:r w:rsidR="00DB76E3" w:rsidRPr="00086587">
        <w:rPr>
          <w:rFonts w:ascii="Arial" w:hAnsi="Arial" w:cs="Arial"/>
          <w:sz w:val="22"/>
        </w:rPr>
        <w:t xml:space="preserve">, [online] 26, p.e55757. </w:t>
      </w:r>
      <w:proofErr w:type="spellStart"/>
      <w:proofErr w:type="gramStart"/>
      <w:r w:rsidR="00DB76E3" w:rsidRPr="00086587">
        <w:rPr>
          <w:rFonts w:ascii="Arial" w:hAnsi="Arial" w:cs="Arial"/>
          <w:sz w:val="22"/>
        </w:rPr>
        <w:t>doi:https</w:t>
      </w:r>
      <w:proofErr w:type="spellEnd"/>
      <w:r w:rsidR="00DB76E3" w:rsidRPr="00086587">
        <w:rPr>
          <w:rFonts w:ascii="Arial" w:hAnsi="Arial" w:cs="Arial"/>
          <w:sz w:val="22"/>
        </w:rPr>
        <w:t>://doi.org/10.2196/55757</w:t>
      </w:r>
      <w:proofErr w:type="gramEnd"/>
      <w:r w:rsidR="00DB76E3" w:rsidRPr="00086587">
        <w:rPr>
          <w:rFonts w:ascii="Arial" w:hAnsi="Arial" w:cs="Arial"/>
          <w:sz w:val="22"/>
        </w:rPr>
        <w:t>.</w:t>
      </w:r>
      <w:r w:rsidR="00EE74EF" w:rsidRPr="00086587">
        <w:rPr>
          <w:rFonts w:ascii="Arial" w:hAnsi="Arial" w:cs="Arial"/>
          <w:sz w:val="22"/>
        </w:rPr>
        <w:t xml:space="preserve"> (Accessed 24</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088D549F" w14:textId="0D941DAC" w:rsidR="00CC1840" w:rsidRPr="00086587" w:rsidRDefault="00DB76E3" w:rsidP="00086587">
      <w:pPr>
        <w:spacing w:line="360" w:lineRule="auto"/>
        <w:jc w:val="both"/>
        <w:rPr>
          <w:rFonts w:ascii="Arial" w:eastAsia="Times New Roman" w:hAnsi="Arial" w:cs="Arial"/>
          <w:color w:val="000000"/>
          <w:sz w:val="22"/>
          <w:lang w:eastAsia="en-GB"/>
        </w:rPr>
      </w:pPr>
      <w:r w:rsidRPr="00086587">
        <w:rPr>
          <w:rFonts w:ascii="Arial" w:hAnsi="Arial" w:cs="Arial"/>
          <w:sz w:val="22"/>
        </w:rPr>
        <w:t>‌</w:t>
      </w:r>
      <w:r w:rsidR="00FD494A" w:rsidRPr="00086587">
        <w:rPr>
          <w:rFonts w:ascii="Arial" w:hAnsi="Arial" w:cs="Arial"/>
          <w:sz w:val="22"/>
        </w:rPr>
        <w:t xml:space="preserve">10. </w:t>
      </w:r>
      <w:r w:rsidR="001D733C" w:rsidRPr="00086587">
        <w:rPr>
          <w:rFonts w:ascii="Arial" w:eastAsia="Times New Roman" w:hAnsi="Arial" w:cs="Arial"/>
          <w:color w:val="000000"/>
          <w:sz w:val="22"/>
          <w:lang w:eastAsia="en-GB"/>
        </w:rPr>
        <w:t xml:space="preserve"> </w:t>
      </w:r>
      <w:r w:rsidR="00CC1840" w:rsidRPr="00086587">
        <w:rPr>
          <w:rFonts w:ascii="Arial" w:eastAsia="Times New Roman" w:hAnsi="Arial" w:cs="Arial"/>
          <w:color w:val="000000"/>
          <w:sz w:val="22"/>
          <w:lang w:eastAsia="en-GB"/>
        </w:rPr>
        <w:t>Colagiuri, S. and Ceriello, A. (2025). 2. GLYCAEMIC CONTROL ASSESSMENT AND TARGETS IN TYPE 2 DIABETES. </w:t>
      </w:r>
      <w:r w:rsidR="00CC1840" w:rsidRPr="00086587">
        <w:rPr>
          <w:rFonts w:ascii="Arial" w:eastAsia="Times New Roman" w:hAnsi="Arial" w:cs="Arial"/>
          <w:i/>
          <w:iCs/>
          <w:color w:val="000000"/>
          <w:sz w:val="22"/>
          <w:lang w:eastAsia="en-GB"/>
        </w:rPr>
        <w:t>Diabetes Research and Clinical Practice</w:t>
      </w:r>
      <w:r w:rsidR="00CC1840" w:rsidRPr="00086587">
        <w:rPr>
          <w:rFonts w:ascii="Arial" w:eastAsia="Times New Roman" w:hAnsi="Arial" w:cs="Arial"/>
          <w:color w:val="000000"/>
          <w:sz w:val="22"/>
          <w:lang w:eastAsia="en-GB"/>
        </w:rPr>
        <w:t xml:space="preserve">, p.112146. </w:t>
      </w:r>
      <w:proofErr w:type="spellStart"/>
      <w:proofErr w:type="gramStart"/>
      <w:r w:rsidR="00CC1840" w:rsidRPr="00086587">
        <w:rPr>
          <w:rFonts w:ascii="Arial" w:eastAsia="Times New Roman" w:hAnsi="Arial" w:cs="Arial"/>
          <w:color w:val="000000"/>
          <w:sz w:val="22"/>
          <w:lang w:eastAsia="en-GB"/>
        </w:rPr>
        <w:t>doi:https</w:t>
      </w:r>
      <w:proofErr w:type="spellEnd"/>
      <w:r w:rsidR="00CC1840" w:rsidRPr="00086587">
        <w:rPr>
          <w:rFonts w:ascii="Arial" w:eastAsia="Times New Roman" w:hAnsi="Arial" w:cs="Arial"/>
          <w:color w:val="000000"/>
          <w:sz w:val="22"/>
          <w:lang w:eastAsia="en-GB"/>
        </w:rPr>
        <w:t>://doi.org/10.1016/j.diabres.2025.112146</w:t>
      </w:r>
      <w:proofErr w:type="gramEnd"/>
      <w:r w:rsidR="00CC1840" w:rsidRPr="00086587">
        <w:rPr>
          <w:rFonts w:ascii="Arial" w:eastAsia="Times New Roman" w:hAnsi="Arial" w:cs="Arial"/>
          <w:color w:val="000000"/>
          <w:sz w:val="22"/>
          <w:lang w:eastAsia="en-GB"/>
        </w:rPr>
        <w:t>.</w:t>
      </w:r>
      <w:r w:rsidR="00BC789B" w:rsidRPr="00086587">
        <w:rPr>
          <w:rFonts w:ascii="Arial" w:eastAsia="Times New Roman" w:hAnsi="Arial" w:cs="Arial"/>
          <w:color w:val="000000"/>
          <w:sz w:val="22"/>
          <w:lang w:eastAsia="en-GB"/>
        </w:rPr>
        <w:t xml:space="preserve"> (Accessed 24</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469200AD" w14:textId="7EB407A4" w:rsidR="007F439E" w:rsidRPr="00086587" w:rsidRDefault="00CC1840" w:rsidP="00086587">
      <w:pPr>
        <w:spacing w:line="360" w:lineRule="auto"/>
        <w:jc w:val="both"/>
        <w:rPr>
          <w:rFonts w:ascii="Arial" w:hAnsi="Arial" w:cs="Arial"/>
          <w:sz w:val="22"/>
        </w:rPr>
      </w:pPr>
      <w:r w:rsidRPr="00086587">
        <w:rPr>
          <w:rFonts w:ascii="Arial" w:eastAsia="Times New Roman" w:hAnsi="Arial" w:cs="Arial"/>
          <w:color w:val="000000"/>
          <w:sz w:val="22"/>
          <w:lang w:eastAsia="en-GB"/>
        </w:rPr>
        <w:t xml:space="preserve">‌11. </w:t>
      </w:r>
      <w:r w:rsidR="007F439E" w:rsidRPr="00086587">
        <w:rPr>
          <w:rFonts w:ascii="Arial" w:hAnsi="Arial" w:cs="Arial"/>
          <w:sz w:val="22"/>
        </w:rPr>
        <w:t>NICE (2022). </w:t>
      </w:r>
      <w:r w:rsidR="007F439E" w:rsidRPr="00086587">
        <w:rPr>
          <w:rFonts w:ascii="Arial" w:hAnsi="Arial" w:cs="Arial"/>
          <w:i/>
          <w:iCs/>
          <w:sz w:val="22"/>
        </w:rPr>
        <w:t>Type 2 Diabetes in adults: Management</w:t>
      </w:r>
      <w:r w:rsidR="007F439E" w:rsidRPr="00086587">
        <w:rPr>
          <w:rFonts w:ascii="Arial" w:hAnsi="Arial" w:cs="Arial"/>
          <w:sz w:val="22"/>
        </w:rPr>
        <w:t xml:space="preserve">. [online] Nice.org.uk. Available at: </w:t>
      </w:r>
      <w:hyperlink r:id="rId15" w:history="1">
        <w:r w:rsidR="00C174D8" w:rsidRPr="00086587">
          <w:rPr>
            <w:rStyle w:val="Hyperlink"/>
            <w:rFonts w:ascii="Arial" w:hAnsi="Arial" w:cs="Arial"/>
            <w:sz w:val="22"/>
          </w:rPr>
          <w:t>https://www.nice.org.uk/guidance/ng28</w:t>
        </w:r>
      </w:hyperlink>
      <w:r w:rsidR="007F439E" w:rsidRPr="00086587">
        <w:rPr>
          <w:rFonts w:ascii="Arial" w:hAnsi="Arial" w:cs="Arial"/>
          <w:sz w:val="22"/>
        </w:rPr>
        <w:t>.</w:t>
      </w:r>
      <w:r w:rsidR="00BC789B" w:rsidRPr="00086587">
        <w:rPr>
          <w:rFonts w:ascii="Arial" w:hAnsi="Arial" w:cs="Arial"/>
          <w:sz w:val="22"/>
        </w:rPr>
        <w:t xml:space="preserve"> (Accessed 25</w:t>
      </w:r>
      <w:r w:rsidR="00BC789B" w:rsidRPr="00086587">
        <w:rPr>
          <w:rFonts w:ascii="Arial" w:hAnsi="Arial" w:cs="Arial"/>
          <w:sz w:val="22"/>
          <w:vertAlign w:val="superscript"/>
        </w:rPr>
        <w:t>th</w:t>
      </w:r>
      <w:r w:rsidR="00BC789B" w:rsidRPr="00086587">
        <w:rPr>
          <w:rFonts w:ascii="Arial" w:hAnsi="Arial" w:cs="Arial"/>
          <w:sz w:val="22"/>
        </w:rPr>
        <w:t xml:space="preserve"> November 2025).</w:t>
      </w:r>
    </w:p>
    <w:p w14:paraId="002A0568" w14:textId="360A8B75" w:rsidR="00C174D8" w:rsidRPr="00086587" w:rsidRDefault="00EE74EF"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 xml:space="preserve">12. </w:t>
      </w:r>
      <w:r w:rsidR="00C174D8" w:rsidRPr="00086587">
        <w:rPr>
          <w:rFonts w:ascii="Arial" w:eastAsia="Times New Roman" w:hAnsi="Arial" w:cs="Arial"/>
          <w:color w:val="000000"/>
          <w:sz w:val="22"/>
          <w:lang w:eastAsia="en-GB"/>
        </w:rPr>
        <w:t>Diabetes UK (2023). </w:t>
      </w:r>
      <w:r w:rsidR="00C174D8" w:rsidRPr="00086587">
        <w:rPr>
          <w:rFonts w:ascii="Arial" w:eastAsia="Times New Roman" w:hAnsi="Arial" w:cs="Arial"/>
          <w:i/>
          <w:iCs/>
          <w:color w:val="000000"/>
          <w:sz w:val="22"/>
          <w:lang w:eastAsia="en-GB"/>
        </w:rPr>
        <w:t>Type 2 diabetes</w:t>
      </w:r>
      <w:r w:rsidR="00C174D8" w:rsidRPr="00086587">
        <w:rPr>
          <w:rFonts w:ascii="Arial" w:eastAsia="Times New Roman" w:hAnsi="Arial" w:cs="Arial"/>
          <w:color w:val="000000"/>
          <w:sz w:val="22"/>
          <w:lang w:eastAsia="en-GB"/>
        </w:rPr>
        <w:t xml:space="preserve">. [online] Diabetes UK. Available at: </w:t>
      </w:r>
      <w:hyperlink r:id="rId16" w:history="1">
        <w:r w:rsidR="00F56271" w:rsidRPr="00086587">
          <w:rPr>
            <w:rStyle w:val="Hyperlink"/>
            <w:rFonts w:ascii="Arial" w:eastAsia="Times New Roman" w:hAnsi="Arial" w:cs="Arial"/>
            <w:sz w:val="22"/>
            <w:lang w:eastAsia="en-GB"/>
          </w:rPr>
          <w:t>https://www.diabetes.org.uk/about-diabetes/type-2-diabetes</w:t>
        </w:r>
      </w:hyperlink>
      <w:r w:rsidR="00C174D8" w:rsidRPr="00086587">
        <w:rPr>
          <w:rFonts w:ascii="Arial" w:eastAsia="Times New Roman" w:hAnsi="Arial" w:cs="Arial"/>
          <w:color w:val="000000"/>
          <w:sz w:val="22"/>
          <w:lang w:eastAsia="en-GB"/>
        </w:rPr>
        <w:t>.</w:t>
      </w:r>
      <w:r w:rsidR="00BC789B" w:rsidRPr="00086587">
        <w:rPr>
          <w:rFonts w:ascii="Arial" w:eastAsia="Times New Roman" w:hAnsi="Arial" w:cs="Arial"/>
          <w:color w:val="000000"/>
          <w:sz w:val="22"/>
          <w:lang w:eastAsia="en-GB"/>
        </w:rPr>
        <w:t xml:space="preserve"> (Accessed 25</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3551CE6F" w14:textId="3CD7DC25" w:rsidR="00F56271" w:rsidRPr="00086587" w:rsidRDefault="00EE74EF"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 xml:space="preserve">13. </w:t>
      </w:r>
      <w:r w:rsidR="00F56271" w:rsidRPr="00086587">
        <w:rPr>
          <w:rFonts w:ascii="Arial" w:eastAsia="Times New Roman" w:hAnsi="Arial" w:cs="Arial"/>
          <w:color w:val="000000"/>
          <w:sz w:val="22"/>
          <w:lang w:eastAsia="en-GB"/>
        </w:rPr>
        <w:t>Williams, D.M., Jones, H. and Stephens, J.W. (2022). Personalized Type 2 Diabetes Management: An Update on Recent Advances and Recommendations. </w:t>
      </w:r>
      <w:r w:rsidR="00F56271" w:rsidRPr="00086587">
        <w:rPr>
          <w:rFonts w:ascii="Arial" w:eastAsia="Times New Roman" w:hAnsi="Arial" w:cs="Arial"/>
          <w:i/>
          <w:iCs/>
          <w:color w:val="000000"/>
          <w:sz w:val="22"/>
          <w:lang w:eastAsia="en-GB"/>
        </w:rPr>
        <w:t>Diabetes, Metabolic Syndrome and Obesity: Targets and Therapy</w:t>
      </w:r>
      <w:r w:rsidR="00F56271" w:rsidRPr="00086587">
        <w:rPr>
          <w:rFonts w:ascii="Arial" w:eastAsia="Times New Roman" w:hAnsi="Arial" w:cs="Arial"/>
          <w:color w:val="000000"/>
          <w:sz w:val="22"/>
          <w:lang w:eastAsia="en-GB"/>
        </w:rPr>
        <w:t xml:space="preserve">, [online] Volume 15(1), pp.281–295. </w:t>
      </w:r>
      <w:proofErr w:type="spellStart"/>
      <w:proofErr w:type="gramStart"/>
      <w:r w:rsidR="00F56271" w:rsidRPr="00086587">
        <w:rPr>
          <w:rFonts w:ascii="Arial" w:eastAsia="Times New Roman" w:hAnsi="Arial" w:cs="Arial"/>
          <w:color w:val="000000"/>
          <w:sz w:val="22"/>
          <w:lang w:eastAsia="en-GB"/>
        </w:rPr>
        <w:t>doi:https</w:t>
      </w:r>
      <w:proofErr w:type="spellEnd"/>
      <w:r w:rsidR="00F56271" w:rsidRPr="00086587">
        <w:rPr>
          <w:rFonts w:ascii="Arial" w:eastAsia="Times New Roman" w:hAnsi="Arial" w:cs="Arial"/>
          <w:color w:val="000000"/>
          <w:sz w:val="22"/>
          <w:lang w:eastAsia="en-GB"/>
        </w:rPr>
        <w:t>://doi.org/10.2147/dmso.s331654</w:t>
      </w:r>
      <w:proofErr w:type="gramEnd"/>
      <w:r w:rsidR="00F56271" w:rsidRPr="00086587">
        <w:rPr>
          <w:rFonts w:ascii="Arial" w:eastAsia="Times New Roman" w:hAnsi="Arial" w:cs="Arial"/>
          <w:color w:val="000000"/>
          <w:sz w:val="22"/>
          <w:lang w:eastAsia="en-GB"/>
        </w:rPr>
        <w:t>.</w:t>
      </w:r>
      <w:r w:rsidR="00BC789B" w:rsidRPr="00086587">
        <w:rPr>
          <w:rFonts w:ascii="Arial" w:eastAsia="Times New Roman" w:hAnsi="Arial" w:cs="Arial"/>
          <w:color w:val="000000"/>
          <w:sz w:val="22"/>
          <w:lang w:eastAsia="en-GB"/>
        </w:rPr>
        <w:t xml:space="preserve"> </w:t>
      </w:r>
      <w:proofErr w:type="gramStart"/>
      <w:r w:rsidR="00BC789B" w:rsidRPr="00086587">
        <w:rPr>
          <w:rFonts w:ascii="Arial" w:eastAsia="Times New Roman" w:hAnsi="Arial" w:cs="Arial"/>
          <w:color w:val="000000"/>
          <w:sz w:val="22"/>
          <w:lang w:eastAsia="en-GB"/>
        </w:rPr>
        <w:t>( Accessed</w:t>
      </w:r>
      <w:proofErr w:type="gramEnd"/>
      <w:r w:rsidR="00BC789B" w:rsidRPr="00086587">
        <w:rPr>
          <w:rFonts w:ascii="Arial" w:eastAsia="Times New Roman" w:hAnsi="Arial" w:cs="Arial"/>
          <w:color w:val="000000"/>
          <w:sz w:val="22"/>
          <w:lang w:eastAsia="en-GB"/>
        </w:rPr>
        <w:t xml:space="preserve"> 25</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470BDC1C" w14:textId="502A19DB" w:rsidR="00C00DFA" w:rsidRPr="00086587" w:rsidRDefault="00C00DFA"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 xml:space="preserve">14. </w:t>
      </w:r>
      <w:r w:rsidRPr="00C00DFA">
        <w:rPr>
          <w:rFonts w:ascii="Arial" w:eastAsia="Times New Roman" w:hAnsi="Arial" w:cs="Arial"/>
          <w:color w:val="000000"/>
          <w:sz w:val="22"/>
          <w:lang w:eastAsia="en-GB"/>
        </w:rPr>
        <w:t xml:space="preserve">Galicia-Garcia, U., Benito-Vicente, A., </w:t>
      </w:r>
      <w:proofErr w:type="spellStart"/>
      <w:r w:rsidRPr="00C00DFA">
        <w:rPr>
          <w:rFonts w:ascii="Arial" w:eastAsia="Times New Roman" w:hAnsi="Arial" w:cs="Arial"/>
          <w:color w:val="000000"/>
          <w:sz w:val="22"/>
          <w:lang w:eastAsia="en-GB"/>
        </w:rPr>
        <w:t>Jebari</w:t>
      </w:r>
      <w:proofErr w:type="spellEnd"/>
      <w:r w:rsidRPr="00C00DFA">
        <w:rPr>
          <w:rFonts w:ascii="Arial" w:eastAsia="Times New Roman" w:hAnsi="Arial" w:cs="Arial"/>
          <w:color w:val="000000"/>
          <w:sz w:val="22"/>
          <w:lang w:eastAsia="en-GB"/>
        </w:rPr>
        <w:t>, S., Larrea-</w:t>
      </w:r>
      <w:proofErr w:type="spellStart"/>
      <w:r w:rsidRPr="00C00DFA">
        <w:rPr>
          <w:rFonts w:ascii="Arial" w:eastAsia="Times New Roman" w:hAnsi="Arial" w:cs="Arial"/>
          <w:color w:val="000000"/>
          <w:sz w:val="22"/>
          <w:lang w:eastAsia="en-GB"/>
        </w:rPr>
        <w:t>Sebal</w:t>
      </w:r>
      <w:proofErr w:type="spellEnd"/>
      <w:r w:rsidRPr="00C00DFA">
        <w:rPr>
          <w:rFonts w:ascii="Arial" w:eastAsia="Times New Roman" w:hAnsi="Arial" w:cs="Arial"/>
          <w:color w:val="000000"/>
          <w:sz w:val="22"/>
          <w:lang w:eastAsia="en-GB"/>
        </w:rPr>
        <w:t>, A., Siddiqi, H., Uribe, K.B., Ostolaza, H. and Martin, C. (2020). Pathophysiology of type 2 diabetes mellitus. </w:t>
      </w:r>
      <w:r w:rsidRPr="00C00DFA">
        <w:rPr>
          <w:rFonts w:ascii="Arial" w:eastAsia="Times New Roman" w:hAnsi="Arial" w:cs="Arial"/>
          <w:i/>
          <w:iCs/>
          <w:color w:val="000000"/>
          <w:sz w:val="22"/>
          <w:lang w:eastAsia="en-GB"/>
        </w:rPr>
        <w:t>International Journal of Molecular Sciences</w:t>
      </w:r>
      <w:r w:rsidRPr="00C00DFA">
        <w:rPr>
          <w:rFonts w:ascii="Arial" w:eastAsia="Times New Roman" w:hAnsi="Arial" w:cs="Arial"/>
          <w:color w:val="000000"/>
          <w:sz w:val="22"/>
          <w:lang w:eastAsia="en-GB"/>
        </w:rPr>
        <w:t>, [online] 21(17), pp.1–34. Available at: https://pmc.ncbi.nlm.nih.gov/articles/PMC7503727/.</w:t>
      </w:r>
      <w:r w:rsidRPr="00086587">
        <w:rPr>
          <w:rFonts w:ascii="Arial" w:eastAsia="Times New Roman" w:hAnsi="Arial" w:cs="Arial"/>
          <w:color w:val="000000"/>
          <w:sz w:val="22"/>
          <w:lang w:eastAsia="en-GB"/>
        </w:rPr>
        <w:t>(Accessed 3</w:t>
      </w:r>
      <w:r w:rsidRPr="00086587">
        <w:rPr>
          <w:rFonts w:ascii="Arial" w:eastAsia="Times New Roman" w:hAnsi="Arial" w:cs="Arial"/>
          <w:color w:val="000000"/>
          <w:sz w:val="22"/>
          <w:vertAlign w:val="superscript"/>
          <w:lang w:eastAsia="en-GB"/>
        </w:rPr>
        <w:t>rd</w:t>
      </w:r>
      <w:r w:rsidRPr="00086587">
        <w:rPr>
          <w:rFonts w:ascii="Arial" w:eastAsia="Times New Roman" w:hAnsi="Arial" w:cs="Arial"/>
          <w:color w:val="000000"/>
          <w:sz w:val="22"/>
          <w:lang w:eastAsia="en-GB"/>
        </w:rPr>
        <w:t xml:space="preserve"> November 2025).</w:t>
      </w:r>
    </w:p>
    <w:p w14:paraId="1E4AE918" w14:textId="7F34BFE8" w:rsidR="001A3DF6" w:rsidRPr="001A3DF6" w:rsidRDefault="001A3DF6"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 xml:space="preserve">15. </w:t>
      </w:r>
      <w:r w:rsidRPr="001A3DF6">
        <w:rPr>
          <w:rFonts w:ascii="Arial" w:eastAsia="Times New Roman" w:hAnsi="Arial" w:cs="Arial"/>
          <w:color w:val="000000"/>
          <w:sz w:val="22"/>
          <w:lang w:eastAsia="en-GB"/>
        </w:rPr>
        <w:t xml:space="preserve">Kanaley, J.A., Colberg, S.R., Corcoran, M.H., Malin, S.K., Rodriguez, N.R., Crespo, C.J., Kirwan, J.P. and </w:t>
      </w:r>
      <w:proofErr w:type="spellStart"/>
      <w:r w:rsidRPr="001A3DF6">
        <w:rPr>
          <w:rFonts w:ascii="Arial" w:eastAsia="Times New Roman" w:hAnsi="Arial" w:cs="Arial"/>
          <w:color w:val="000000"/>
          <w:sz w:val="22"/>
          <w:lang w:eastAsia="en-GB"/>
        </w:rPr>
        <w:t>Zierath</w:t>
      </w:r>
      <w:proofErr w:type="spellEnd"/>
      <w:r w:rsidRPr="001A3DF6">
        <w:rPr>
          <w:rFonts w:ascii="Arial" w:eastAsia="Times New Roman" w:hAnsi="Arial" w:cs="Arial"/>
          <w:color w:val="000000"/>
          <w:sz w:val="22"/>
          <w:lang w:eastAsia="en-GB"/>
        </w:rPr>
        <w:t>, J.R. (2022). Exercise/physical activity in individuals with type 2 diabetes: A consensus statement from the American College of Sports Medicine. </w:t>
      </w:r>
      <w:r w:rsidRPr="001A3DF6">
        <w:rPr>
          <w:rFonts w:ascii="Arial" w:eastAsia="Times New Roman" w:hAnsi="Arial" w:cs="Arial"/>
          <w:i/>
          <w:iCs/>
          <w:color w:val="000000"/>
          <w:sz w:val="22"/>
          <w:lang w:eastAsia="en-GB"/>
        </w:rPr>
        <w:t>Medicine &amp; Science in Sports &amp; Exercise</w:t>
      </w:r>
      <w:r w:rsidRPr="001A3DF6">
        <w:rPr>
          <w:rFonts w:ascii="Arial" w:eastAsia="Times New Roman" w:hAnsi="Arial" w:cs="Arial"/>
          <w:color w:val="000000"/>
          <w:sz w:val="22"/>
          <w:lang w:eastAsia="en-GB"/>
        </w:rPr>
        <w:t xml:space="preserve">, [online] 54(2), pp.353–368. </w:t>
      </w:r>
      <w:proofErr w:type="spellStart"/>
      <w:proofErr w:type="gramStart"/>
      <w:r w:rsidRPr="001A3DF6">
        <w:rPr>
          <w:rFonts w:ascii="Arial" w:eastAsia="Times New Roman" w:hAnsi="Arial" w:cs="Arial"/>
          <w:color w:val="000000"/>
          <w:sz w:val="22"/>
          <w:lang w:eastAsia="en-GB"/>
        </w:rPr>
        <w:t>doi:https</w:t>
      </w:r>
      <w:proofErr w:type="spellEnd"/>
      <w:r w:rsidRPr="001A3DF6">
        <w:rPr>
          <w:rFonts w:ascii="Arial" w:eastAsia="Times New Roman" w:hAnsi="Arial" w:cs="Arial"/>
          <w:color w:val="000000"/>
          <w:sz w:val="22"/>
          <w:lang w:eastAsia="en-GB"/>
        </w:rPr>
        <w:t>://doi.org/10.1249/mss.0000000000002800</w:t>
      </w:r>
      <w:proofErr w:type="gramEnd"/>
      <w:r w:rsidRPr="001A3DF6">
        <w:rPr>
          <w:rFonts w:ascii="Arial" w:eastAsia="Times New Roman" w:hAnsi="Arial" w:cs="Arial"/>
          <w:color w:val="000000"/>
          <w:sz w:val="22"/>
          <w:lang w:eastAsia="en-GB"/>
        </w:rPr>
        <w:t>.</w:t>
      </w:r>
      <w:r w:rsidRPr="00086587">
        <w:rPr>
          <w:rFonts w:ascii="Arial" w:eastAsia="Times New Roman" w:hAnsi="Arial" w:cs="Arial"/>
          <w:color w:val="000000"/>
          <w:sz w:val="22"/>
          <w:lang w:eastAsia="en-GB"/>
        </w:rPr>
        <w:t xml:space="preserve"> (Accessed 3</w:t>
      </w:r>
      <w:r w:rsidRPr="00086587">
        <w:rPr>
          <w:rFonts w:ascii="Arial" w:eastAsia="Times New Roman" w:hAnsi="Arial" w:cs="Arial"/>
          <w:color w:val="000000"/>
          <w:sz w:val="22"/>
          <w:vertAlign w:val="superscript"/>
          <w:lang w:eastAsia="en-GB"/>
        </w:rPr>
        <w:t>rd</w:t>
      </w:r>
      <w:r w:rsidRPr="00086587">
        <w:rPr>
          <w:rFonts w:ascii="Arial" w:eastAsia="Times New Roman" w:hAnsi="Arial" w:cs="Arial"/>
          <w:color w:val="000000"/>
          <w:sz w:val="22"/>
          <w:lang w:eastAsia="en-GB"/>
        </w:rPr>
        <w:t xml:space="preserve"> November 2025).</w:t>
      </w:r>
    </w:p>
    <w:p w14:paraId="3ADD0799" w14:textId="77777777" w:rsidR="001A3DF6" w:rsidRPr="001A3DF6" w:rsidRDefault="001A3DF6" w:rsidP="00086587">
      <w:pPr>
        <w:spacing w:line="360" w:lineRule="auto"/>
        <w:jc w:val="both"/>
        <w:rPr>
          <w:rFonts w:ascii="Arial" w:eastAsia="Times New Roman" w:hAnsi="Arial" w:cs="Arial"/>
          <w:color w:val="000000"/>
          <w:sz w:val="22"/>
          <w:lang w:eastAsia="en-GB"/>
        </w:rPr>
      </w:pPr>
      <w:r w:rsidRPr="001A3DF6">
        <w:rPr>
          <w:rFonts w:ascii="Arial" w:eastAsia="Times New Roman" w:hAnsi="Arial" w:cs="Arial"/>
          <w:color w:val="000000"/>
          <w:sz w:val="22"/>
          <w:lang w:eastAsia="en-GB"/>
        </w:rPr>
        <w:t>‌</w:t>
      </w:r>
    </w:p>
    <w:p w14:paraId="1027C777" w14:textId="77777777" w:rsidR="001A3DF6" w:rsidRPr="00086587" w:rsidRDefault="001A3DF6" w:rsidP="00086587">
      <w:pPr>
        <w:spacing w:line="360" w:lineRule="auto"/>
        <w:jc w:val="both"/>
        <w:rPr>
          <w:rFonts w:ascii="Arial" w:eastAsia="Times New Roman" w:hAnsi="Arial" w:cs="Arial"/>
          <w:color w:val="000000"/>
          <w:sz w:val="22"/>
          <w:lang w:eastAsia="en-GB"/>
        </w:rPr>
      </w:pPr>
    </w:p>
    <w:p w14:paraId="59C72744" w14:textId="2D07FE4E" w:rsidR="00C00DFA" w:rsidRPr="00C00DFA" w:rsidRDefault="00C00DFA" w:rsidP="00086587">
      <w:pPr>
        <w:spacing w:line="360" w:lineRule="auto"/>
        <w:jc w:val="both"/>
        <w:rPr>
          <w:rFonts w:ascii="Arial" w:eastAsia="Times New Roman" w:hAnsi="Arial" w:cs="Arial"/>
          <w:color w:val="000000"/>
          <w:sz w:val="22"/>
          <w:lang w:eastAsia="en-GB"/>
        </w:rPr>
      </w:pPr>
    </w:p>
    <w:p w14:paraId="483A3E9C" w14:textId="77777777" w:rsidR="00C00DFA" w:rsidRPr="00C00DFA" w:rsidRDefault="00C00DFA" w:rsidP="00086587">
      <w:pPr>
        <w:spacing w:line="360" w:lineRule="auto"/>
        <w:jc w:val="both"/>
        <w:rPr>
          <w:rFonts w:ascii="Arial" w:eastAsia="Times New Roman" w:hAnsi="Arial" w:cs="Arial"/>
          <w:color w:val="000000"/>
          <w:sz w:val="22"/>
          <w:lang w:eastAsia="en-GB"/>
        </w:rPr>
      </w:pPr>
      <w:r w:rsidRPr="00C00DFA">
        <w:rPr>
          <w:rFonts w:ascii="Arial" w:eastAsia="Times New Roman" w:hAnsi="Arial" w:cs="Arial"/>
          <w:color w:val="000000"/>
          <w:sz w:val="22"/>
          <w:lang w:eastAsia="en-GB"/>
        </w:rPr>
        <w:t>‌</w:t>
      </w:r>
    </w:p>
    <w:p w14:paraId="2975B0A0" w14:textId="1972F484" w:rsidR="00A6336B" w:rsidRPr="00086587" w:rsidRDefault="00A6336B" w:rsidP="00086587">
      <w:pPr>
        <w:spacing w:line="360" w:lineRule="auto"/>
        <w:jc w:val="both"/>
        <w:rPr>
          <w:rFonts w:ascii="Arial" w:eastAsia="Times New Roman" w:hAnsi="Arial" w:cs="Arial"/>
          <w:color w:val="000000"/>
          <w:sz w:val="22"/>
          <w:lang w:eastAsia="en-GB"/>
        </w:rPr>
      </w:pPr>
    </w:p>
    <w:p w14:paraId="1E6940B5" w14:textId="77777777" w:rsidR="00F56271" w:rsidRPr="00086587" w:rsidRDefault="00F56271"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w:t>
      </w:r>
    </w:p>
    <w:p w14:paraId="0D9F03A0" w14:textId="77777777" w:rsidR="00F56271" w:rsidRPr="00086587" w:rsidRDefault="00F56271" w:rsidP="00086587">
      <w:pPr>
        <w:spacing w:line="360" w:lineRule="auto"/>
        <w:jc w:val="both"/>
        <w:rPr>
          <w:rFonts w:ascii="Arial" w:eastAsia="Times New Roman" w:hAnsi="Arial" w:cs="Arial"/>
          <w:color w:val="000000"/>
          <w:sz w:val="22"/>
          <w:lang w:eastAsia="en-GB"/>
        </w:rPr>
      </w:pPr>
    </w:p>
    <w:p w14:paraId="671E147C" w14:textId="77777777" w:rsidR="00C174D8" w:rsidRPr="00086587" w:rsidRDefault="00C174D8"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w:t>
      </w:r>
    </w:p>
    <w:p w14:paraId="782A5B0B" w14:textId="77777777" w:rsidR="00C174D8" w:rsidRPr="00086587" w:rsidRDefault="00C174D8" w:rsidP="00086587">
      <w:pPr>
        <w:spacing w:line="360" w:lineRule="auto"/>
        <w:jc w:val="both"/>
        <w:rPr>
          <w:rFonts w:ascii="Arial" w:eastAsia="Times New Roman" w:hAnsi="Arial" w:cs="Arial"/>
          <w:color w:val="000000"/>
          <w:sz w:val="22"/>
          <w:lang w:eastAsia="en-GB"/>
        </w:rPr>
      </w:pPr>
    </w:p>
    <w:p w14:paraId="6A30CF00" w14:textId="77777777" w:rsidR="007F439E" w:rsidRPr="00086587" w:rsidRDefault="007F439E" w:rsidP="00086587">
      <w:pPr>
        <w:spacing w:line="360" w:lineRule="auto"/>
        <w:jc w:val="both"/>
        <w:rPr>
          <w:rFonts w:ascii="Arial" w:hAnsi="Arial" w:cs="Arial"/>
          <w:sz w:val="22"/>
        </w:rPr>
      </w:pPr>
      <w:r w:rsidRPr="00086587">
        <w:rPr>
          <w:rFonts w:ascii="Arial" w:hAnsi="Arial" w:cs="Arial"/>
          <w:sz w:val="22"/>
        </w:rPr>
        <w:t>‌</w:t>
      </w:r>
    </w:p>
    <w:p w14:paraId="70A8A2BD" w14:textId="77777777" w:rsidR="007F439E" w:rsidRPr="00086587" w:rsidRDefault="007F439E" w:rsidP="00086587">
      <w:pPr>
        <w:spacing w:line="360" w:lineRule="auto"/>
        <w:jc w:val="both"/>
        <w:rPr>
          <w:rFonts w:ascii="Arial" w:hAnsi="Arial" w:cs="Arial"/>
          <w:sz w:val="22"/>
        </w:rPr>
      </w:pPr>
    </w:p>
    <w:p w14:paraId="520E62A5" w14:textId="77777777" w:rsidR="001D733C" w:rsidRPr="00086587" w:rsidRDefault="001D733C" w:rsidP="00086587">
      <w:pPr>
        <w:spacing w:line="360" w:lineRule="auto"/>
        <w:jc w:val="both"/>
        <w:rPr>
          <w:rFonts w:ascii="Arial" w:hAnsi="Arial" w:cs="Arial"/>
          <w:sz w:val="22"/>
        </w:rPr>
      </w:pPr>
      <w:r w:rsidRPr="00086587">
        <w:rPr>
          <w:rFonts w:ascii="Arial" w:hAnsi="Arial" w:cs="Arial"/>
          <w:sz w:val="22"/>
        </w:rPr>
        <w:t>‌</w:t>
      </w:r>
    </w:p>
    <w:p w14:paraId="5A8C7C39" w14:textId="0CEB3547" w:rsidR="00DB76E3" w:rsidRPr="00086587" w:rsidRDefault="00DB76E3" w:rsidP="00086587">
      <w:pPr>
        <w:spacing w:line="360" w:lineRule="auto"/>
        <w:jc w:val="both"/>
        <w:rPr>
          <w:rFonts w:ascii="Arial" w:hAnsi="Arial" w:cs="Arial"/>
          <w:sz w:val="22"/>
        </w:rPr>
      </w:pPr>
    </w:p>
    <w:p w14:paraId="6EA37DC9" w14:textId="77777777" w:rsidR="00DB76E3" w:rsidRPr="00086587" w:rsidRDefault="00DB76E3" w:rsidP="00086587">
      <w:pPr>
        <w:spacing w:line="360" w:lineRule="auto"/>
        <w:jc w:val="both"/>
        <w:rPr>
          <w:rFonts w:ascii="Arial" w:hAnsi="Arial" w:cs="Arial"/>
          <w:sz w:val="22"/>
        </w:rPr>
      </w:pPr>
    </w:p>
    <w:p w14:paraId="763FA714" w14:textId="77777777" w:rsidR="00DD1F59" w:rsidRPr="00086587" w:rsidRDefault="00DD1F59" w:rsidP="00086587">
      <w:pPr>
        <w:spacing w:line="360" w:lineRule="auto"/>
        <w:jc w:val="both"/>
        <w:rPr>
          <w:rFonts w:ascii="Arial" w:hAnsi="Arial" w:cs="Arial"/>
          <w:sz w:val="22"/>
        </w:rPr>
      </w:pPr>
      <w:r w:rsidRPr="00086587">
        <w:rPr>
          <w:rFonts w:ascii="Arial" w:hAnsi="Arial" w:cs="Arial"/>
          <w:sz w:val="22"/>
        </w:rPr>
        <w:t>‌</w:t>
      </w:r>
    </w:p>
    <w:p w14:paraId="7CDAEAA3" w14:textId="77777777" w:rsidR="00DD1F59" w:rsidRPr="00086587" w:rsidRDefault="00DD1F59" w:rsidP="00086587">
      <w:pPr>
        <w:spacing w:line="360" w:lineRule="auto"/>
        <w:jc w:val="both"/>
        <w:rPr>
          <w:rFonts w:ascii="Arial" w:hAnsi="Arial" w:cs="Arial"/>
          <w:sz w:val="22"/>
        </w:rPr>
      </w:pPr>
    </w:p>
    <w:p w14:paraId="34178A69" w14:textId="77777777" w:rsidR="00DD1F59" w:rsidRPr="00086587" w:rsidRDefault="00DD1F59" w:rsidP="00086587">
      <w:pPr>
        <w:spacing w:line="360" w:lineRule="auto"/>
        <w:jc w:val="both"/>
        <w:rPr>
          <w:rFonts w:ascii="Arial" w:hAnsi="Arial" w:cs="Arial"/>
          <w:sz w:val="22"/>
        </w:rPr>
      </w:pPr>
      <w:r w:rsidRPr="00086587">
        <w:rPr>
          <w:rFonts w:ascii="Arial" w:hAnsi="Arial" w:cs="Arial"/>
          <w:sz w:val="22"/>
        </w:rPr>
        <w:t>‌</w:t>
      </w:r>
    </w:p>
    <w:p w14:paraId="66473E7E" w14:textId="77777777" w:rsidR="00DD1F59" w:rsidRPr="00086587" w:rsidRDefault="00DD1F59" w:rsidP="00086587">
      <w:pPr>
        <w:spacing w:line="360" w:lineRule="auto"/>
        <w:jc w:val="both"/>
        <w:rPr>
          <w:rFonts w:ascii="Arial" w:hAnsi="Arial" w:cs="Arial"/>
          <w:sz w:val="22"/>
        </w:rPr>
      </w:pPr>
    </w:p>
    <w:p w14:paraId="2D87F412" w14:textId="77777777" w:rsidR="00DB6066" w:rsidRPr="00086587" w:rsidRDefault="00DB6066" w:rsidP="00086587">
      <w:pPr>
        <w:spacing w:line="360" w:lineRule="auto"/>
        <w:jc w:val="both"/>
        <w:rPr>
          <w:rFonts w:ascii="Arial" w:hAnsi="Arial" w:cs="Arial"/>
          <w:sz w:val="22"/>
        </w:rPr>
      </w:pPr>
      <w:r w:rsidRPr="00086587">
        <w:rPr>
          <w:rFonts w:ascii="Arial" w:hAnsi="Arial" w:cs="Arial"/>
          <w:sz w:val="22"/>
        </w:rPr>
        <w:t>‌</w:t>
      </w:r>
    </w:p>
    <w:p w14:paraId="524A7164" w14:textId="77777777" w:rsidR="00DB6066" w:rsidRPr="00086587" w:rsidRDefault="00DB6066" w:rsidP="00086587">
      <w:pPr>
        <w:spacing w:line="360" w:lineRule="auto"/>
        <w:jc w:val="both"/>
        <w:rPr>
          <w:rFonts w:ascii="Arial" w:hAnsi="Arial" w:cs="Arial"/>
          <w:sz w:val="22"/>
        </w:rPr>
      </w:pPr>
    </w:p>
    <w:p w14:paraId="6FCE6B14" w14:textId="77777777" w:rsidR="00733BA7" w:rsidRPr="00086587" w:rsidRDefault="00733BA7" w:rsidP="00086587">
      <w:pPr>
        <w:spacing w:line="360" w:lineRule="auto"/>
        <w:jc w:val="both"/>
        <w:rPr>
          <w:rFonts w:ascii="Arial" w:hAnsi="Arial" w:cs="Arial"/>
          <w:sz w:val="22"/>
        </w:rPr>
      </w:pPr>
      <w:r w:rsidRPr="00086587">
        <w:rPr>
          <w:rFonts w:ascii="Arial" w:hAnsi="Arial" w:cs="Arial"/>
          <w:sz w:val="22"/>
        </w:rPr>
        <w:t>‌</w:t>
      </w:r>
    </w:p>
    <w:p w14:paraId="04243386" w14:textId="77777777" w:rsidR="00733BA7" w:rsidRPr="00086587" w:rsidRDefault="00733BA7" w:rsidP="00086587">
      <w:pPr>
        <w:spacing w:line="360" w:lineRule="auto"/>
        <w:jc w:val="both"/>
        <w:rPr>
          <w:rFonts w:ascii="Arial" w:hAnsi="Arial" w:cs="Arial"/>
          <w:sz w:val="22"/>
        </w:rPr>
      </w:pPr>
    </w:p>
    <w:p w14:paraId="7A4D9A2A" w14:textId="45D68779" w:rsidR="00E2042F" w:rsidRPr="00086587" w:rsidRDefault="00E2042F" w:rsidP="00086587">
      <w:pPr>
        <w:spacing w:line="360" w:lineRule="auto"/>
        <w:jc w:val="both"/>
        <w:rPr>
          <w:rFonts w:ascii="Arial" w:hAnsi="Arial" w:cs="Arial"/>
          <w:sz w:val="22"/>
        </w:rPr>
      </w:pPr>
    </w:p>
    <w:p w14:paraId="0E2023C3" w14:textId="77777777" w:rsidR="00E2042F" w:rsidRPr="00086587" w:rsidRDefault="00E2042F" w:rsidP="00086587">
      <w:pPr>
        <w:spacing w:line="360" w:lineRule="auto"/>
        <w:jc w:val="both"/>
        <w:rPr>
          <w:rFonts w:ascii="Arial" w:hAnsi="Arial" w:cs="Arial"/>
          <w:sz w:val="22"/>
        </w:rPr>
      </w:pPr>
      <w:r w:rsidRPr="00086587">
        <w:rPr>
          <w:rFonts w:ascii="Arial" w:hAnsi="Arial" w:cs="Arial"/>
          <w:sz w:val="22"/>
        </w:rPr>
        <w:t>‌</w:t>
      </w:r>
    </w:p>
    <w:p w14:paraId="73FBE0BB" w14:textId="77777777" w:rsidR="00E2042F" w:rsidRPr="00086587" w:rsidRDefault="00E2042F" w:rsidP="00086587">
      <w:pPr>
        <w:spacing w:line="360" w:lineRule="auto"/>
        <w:jc w:val="both"/>
        <w:rPr>
          <w:rFonts w:ascii="Arial" w:hAnsi="Arial" w:cs="Arial"/>
          <w:sz w:val="22"/>
        </w:rPr>
      </w:pPr>
    </w:p>
    <w:p w14:paraId="5D6D701D" w14:textId="77777777" w:rsidR="004A5D7C" w:rsidRPr="00086587" w:rsidRDefault="004A5D7C" w:rsidP="00086587">
      <w:pPr>
        <w:spacing w:line="360" w:lineRule="auto"/>
        <w:jc w:val="both"/>
        <w:rPr>
          <w:rFonts w:ascii="Arial" w:hAnsi="Arial" w:cs="Arial"/>
          <w:sz w:val="22"/>
        </w:rPr>
      </w:pPr>
      <w:r w:rsidRPr="00086587">
        <w:rPr>
          <w:rFonts w:ascii="Arial" w:hAnsi="Arial" w:cs="Arial"/>
          <w:sz w:val="22"/>
        </w:rPr>
        <w:t>‌</w:t>
      </w:r>
    </w:p>
    <w:p w14:paraId="1D9C98F0" w14:textId="4A72E778" w:rsidR="00203C95" w:rsidRPr="00086587" w:rsidRDefault="00203C95" w:rsidP="00086587">
      <w:pPr>
        <w:spacing w:line="360" w:lineRule="auto"/>
        <w:jc w:val="both"/>
        <w:rPr>
          <w:rFonts w:ascii="Arial" w:hAnsi="Arial" w:cs="Arial"/>
          <w:sz w:val="22"/>
        </w:rPr>
      </w:pPr>
    </w:p>
    <w:p w14:paraId="768CF4BB" w14:textId="77777777" w:rsidR="00203C95" w:rsidRPr="00086587" w:rsidRDefault="00203C95" w:rsidP="00086587">
      <w:pPr>
        <w:spacing w:line="360" w:lineRule="auto"/>
        <w:jc w:val="both"/>
        <w:rPr>
          <w:rFonts w:ascii="Arial" w:hAnsi="Arial" w:cs="Arial"/>
          <w:sz w:val="22"/>
        </w:rPr>
      </w:pPr>
    </w:p>
    <w:p w14:paraId="19D8E9BD" w14:textId="77777777" w:rsidR="00252F11" w:rsidRPr="00086587" w:rsidRDefault="00252F11" w:rsidP="00086587">
      <w:pPr>
        <w:spacing w:line="360" w:lineRule="auto"/>
        <w:jc w:val="both"/>
        <w:rPr>
          <w:rFonts w:ascii="Arial" w:hAnsi="Arial" w:cs="Arial"/>
          <w:sz w:val="22"/>
        </w:rPr>
      </w:pPr>
      <w:r w:rsidRPr="00086587">
        <w:rPr>
          <w:rFonts w:ascii="Arial" w:hAnsi="Arial" w:cs="Arial"/>
          <w:sz w:val="22"/>
        </w:rPr>
        <w:t>‌</w:t>
      </w:r>
    </w:p>
    <w:p w14:paraId="29BB1A37" w14:textId="77777777" w:rsidR="00252F11" w:rsidRPr="00086587" w:rsidRDefault="00252F11" w:rsidP="00086587">
      <w:pPr>
        <w:spacing w:line="360" w:lineRule="auto"/>
        <w:jc w:val="both"/>
        <w:rPr>
          <w:rFonts w:ascii="Arial" w:hAnsi="Arial" w:cs="Arial"/>
          <w:sz w:val="22"/>
        </w:rPr>
      </w:pPr>
    </w:p>
    <w:p w14:paraId="4A1E4843" w14:textId="77777777" w:rsidR="00EE0103" w:rsidRPr="00086587" w:rsidRDefault="00EE0103" w:rsidP="00086587">
      <w:pPr>
        <w:spacing w:line="360" w:lineRule="auto"/>
        <w:jc w:val="both"/>
        <w:rPr>
          <w:rFonts w:ascii="Arial" w:hAnsi="Arial" w:cs="Arial"/>
          <w:sz w:val="22"/>
        </w:rPr>
      </w:pPr>
      <w:r w:rsidRPr="00086587">
        <w:rPr>
          <w:rFonts w:ascii="Arial" w:hAnsi="Arial" w:cs="Arial"/>
          <w:sz w:val="22"/>
        </w:rPr>
        <w:t>‌</w:t>
      </w:r>
    </w:p>
    <w:p w14:paraId="3E1D82FF" w14:textId="77777777" w:rsidR="00EE0103" w:rsidRPr="00086587" w:rsidRDefault="00EE0103" w:rsidP="00086587">
      <w:pPr>
        <w:spacing w:line="360" w:lineRule="auto"/>
        <w:jc w:val="both"/>
        <w:rPr>
          <w:rFonts w:ascii="Arial" w:hAnsi="Arial" w:cs="Arial"/>
          <w:sz w:val="22"/>
        </w:rPr>
      </w:pPr>
    </w:p>
    <w:p w14:paraId="18CF26CF" w14:textId="77777777" w:rsidR="0066388C" w:rsidRPr="00086587" w:rsidRDefault="0066388C" w:rsidP="00086587">
      <w:pPr>
        <w:spacing w:line="360" w:lineRule="auto"/>
        <w:jc w:val="both"/>
        <w:rPr>
          <w:rFonts w:ascii="Arial" w:hAnsi="Arial" w:cs="Arial"/>
          <w:sz w:val="22"/>
        </w:rPr>
      </w:pPr>
      <w:r w:rsidRPr="00086587">
        <w:rPr>
          <w:rFonts w:ascii="Arial" w:hAnsi="Arial" w:cs="Arial"/>
          <w:sz w:val="22"/>
        </w:rPr>
        <w:lastRenderedPageBreak/>
        <w:t>‌</w:t>
      </w:r>
    </w:p>
    <w:p w14:paraId="1C1B5B6E" w14:textId="77777777" w:rsidR="001B7A40" w:rsidRPr="00086587" w:rsidRDefault="001B7A40" w:rsidP="00086587">
      <w:pPr>
        <w:spacing w:line="360" w:lineRule="auto"/>
        <w:jc w:val="both"/>
        <w:rPr>
          <w:rFonts w:ascii="Arial" w:hAnsi="Arial" w:cs="Arial"/>
          <w:sz w:val="22"/>
        </w:rPr>
      </w:pPr>
    </w:p>
    <w:sectPr w:rsidR="001B7A40" w:rsidRPr="00086587" w:rsidSect="0037028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1BE47" w14:textId="77777777" w:rsidR="002350A6" w:rsidRDefault="002350A6" w:rsidP="00C03A91">
      <w:pPr>
        <w:spacing w:after="0" w:line="240" w:lineRule="auto"/>
      </w:pPr>
      <w:r>
        <w:separator/>
      </w:r>
    </w:p>
  </w:endnote>
  <w:endnote w:type="continuationSeparator" w:id="0">
    <w:p w14:paraId="0E1E2FFD" w14:textId="77777777" w:rsidR="002350A6" w:rsidRDefault="002350A6"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CA0FA" w14:textId="77777777" w:rsidR="002350A6" w:rsidRDefault="002350A6" w:rsidP="00C03A91">
      <w:pPr>
        <w:spacing w:after="0" w:line="240" w:lineRule="auto"/>
      </w:pPr>
      <w:r>
        <w:separator/>
      </w:r>
    </w:p>
  </w:footnote>
  <w:footnote w:type="continuationSeparator" w:id="0">
    <w:p w14:paraId="7DEE5068" w14:textId="77777777" w:rsidR="002350A6" w:rsidRDefault="002350A6"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4A41B3"/>
    <w:multiLevelType w:val="hybridMultilevel"/>
    <w:tmpl w:val="7AB84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709960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4D91"/>
    <w:rsid w:val="00066CEE"/>
    <w:rsid w:val="00070D43"/>
    <w:rsid w:val="00076AC0"/>
    <w:rsid w:val="00086587"/>
    <w:rsid w:val="000C4EDA"/>
    <w:rsid w:val="000E015C"/>
    <w:rsid w:val="000F7E43"/>
    <w:rsid w:val="00143B27"/>
    <w:rsid w:val="001A3DF6"/>
    <w:rsid w:val="001B7A40"/>
    <w:rsid w:val="001D733C"/>
    <w:rsid w:val="001F6DDB"/>
    <w:rsid w:val="00203C95"/>
    <w:rsid w:val="00216C85"/>
    <w:rsid w:val="002350A6"/>
    <w:rsid w:val="00243DC2"/>
    <w:rsid w:val="00245F3E"/>
    <w:rsid w:val="00252F11"/>
    <w:rsid w:val="00265D9B"/>
    <w:rsid w:val="00273EDD"/>
    <w:rsid w:val="002B10D3"/>
    <w:rsid w:val="002C2506"/>
    <w:rsid w:val="002C3965"/>
    <w:rsid w:val="002D0F04"/>
    <w:rsid w:val="002D5EDB"/>
    <w:rsid w:val="002E0A1A"/>
    <w:rsid w:val="002E501F"/>
    <w:rsid w:val="002F2AA3"/>
    <w:rsid w:val="00314DF8"/>
    <w:rsid w:val="00321C4C"/>
    <w:rsid w:val="00343390"/>
    <w:rsid w:val="00370282"/>
    <w:rsid w:val="00393503"/>
    <w:rsid w:val="003D03EB"/>
    <w:rsid w:val="003D1F83"/>
    <w:rsid w:val="003F24F9"/>
    <w:rsid w:val="003F3890"/>
    <w:rsid w:val="004577F7"/>
    <w:rsid w:val="004A5D7C"/>
    <w:rsid w:val="004C2FA1"/>
    <w:rsid w:val="00501CAF"/>
    <w:rsid w:val="00502514"/>
    <w:rsid w:val="00533330"/>
    <w:rsid w:val="00535AAC"/>
    <w:rsid w:val="00564E4C"/>
    <w:rsid w:val="005C7862"/>
    <w:rsid w:val="005D6410"/>
    <w:rsid w:val="00612EEE"/>
    <w:rsid w:val="0063451F"/>
    <w:rsid w:val="006359D1"/>
    <w:rsid w:val="0063726F"/>
    <w:rsid w:val="00661CBB"/>
    <w:rsid w:val="0066388C"/>
    <w:rsid w:val="00670824"/>
    <w:rsid w:val="00673F39"/>
    <w:rsid w:val="00716B70"/>
    <w:rsid w:val="007270E0"/>
    <w:rsid w:val="00733BA7"/>
    <w:rsid w:val="00781FC1"/>
    <w:rsid w:val="007A7297"/>
    <w:rsid w:val="007B4FD6"/>
    <w:rsid w:val="007E7745"/>
    <w:rsid w:val="007F439E"/>
    <w:rsid w:val="00817801"/>
    <w:rsid w:val="008353D4"/>
    <w:rsid w:val="00871D3A"/>
    <w:rsid w:val="0088159C"/>
    <w:rsid w:val="008E52B0"/>
    <w:rsid w:val="009A02DE"/>
    <w:rsid w:val="009D1D1E"/>
    <w:rsid w:val="009D652C"/>
    <w:rsid w:val="009F5FC7"/>
    <w:rsid w:val="00A035FD"/>
    <w:rsid w:val="00A6336B"/>
    <w:rsid w:val="00A66DDA"/>
    <w:rsid w:val="00A87FEF"/>
    <w:rsid w:val="00AA4DD8"/>
    <w:rsid w:val="00AC285B"/>
    <w:rsid w:val="00AD6EA9"/>
    <w:rsid w:val="00AE5D58"/>
    <w:rsid w:val="00B03B30"/>
    <w:rsid w:val="00B04642"/>
    <w:rsid w:val="00BC789B"/>
    <w:rsid w:val="00BC78A7"/>
    <w:rsid w:val="00C00DFA"/>
    <w:rsid w:val="00C03A91"/>
    <w:rsid w:val="00C174D8"/>
    <w:rsid w:val="00C42BFA"/>
    <w:rsid w:val="00C86958"/>
    <w:rsid w:val="00C9799C"/>
    <w:rsid w:val="00CC1148"/>
    <w:rsid w:val="00CC12A3"/>
    <w:rsid w:val="00CC1840"/>
    <w:rsid w:val="00CD2863"/>
    <w:rsid w:val="00CE7A90"/>
    <w:rsid w:val="00D23D65"/>
    <w:rsid w:val="00D7312F"/>
    <w:rsid w:val="00D73FB0"/>
    <w:rsid w:val="00DB6066"/>
    <w:rsid w:val="00DB6D4B"/>
    <w:rsid w:val="00DB76E3"/>
    <w:rsid w:val="00DC3FF9"/>
    <w:rsid w:val="00DC6EDB"/>
    <w:rsid w:val="00DD1F59"/>
    <w:rsid w:val="00E2038D"/>
    <w:rsid w:val="00E2042F"/>
    <w:rsid w:val="00E529E7"/>
    <w:rsid w:val="00E53BE8"/>
    <w:rsid w:val="00EB12BC"/>
    <w:rsid w:val="00EB3D50"/>
    <w:rsid w:val="00EC4279"/>
    <w:rsid w:val="00EE0103"/>
    <w:rsid w:val="00EE0465"/>
    <w:rsid w:val="00EE74EF"/>
    <w:rsid w:val="00EF3E3D"/>
    <w:rsid w:val="00F137E3"/>
    <w:rsid w:val="00F56271"/>
    <w:rsid w:val="00F6017C"/>
    <w:rsid w:val="00F86737"/>
    <w:rsid w:val="00FD494A"/>
    <w:rsid w:val="00FD7392"/>
    <w:rsid w:val="00FF26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3CBA4AD4-E2D7-4B6D-AA98-0586CBD6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3330"/>
    <w:pPr>
      <w:keepNext/>
      <w:keepLines/>
      <w:spacing w:before="240" w:after="0" w:line="360" w:lineRule="auto"/>
      <w:outlineLvl w:val="0"/>
    </w:pPr>
    <w:rPr>
      <w:rFonts w:ascii="Arial" w:eastAsiaTheme="majorEastAsia" w:hAnsi="Arial" w:cstheme="majorBidi"/>
      <w:b/>
      <w:sz w:val="22"/>
    </w:rPr>
  </w:style>
  <w:style w:type="paragraph" w:styleId="Heading2">
    <w:name w:val="heading 2"/>
    <w:basedOn w:val="Normal"/>
    <w:next w:val="Normal"/>
    <w:link w:val="Heading2Char"/>
    <w:autoRedefine/>
    <w:uiPriority w:val="9"/>
    <w:unhideWhenUsed/>
    <w:qFormat/>
    <w:rsid w:val="00EF3E3D"/>
    <w:pPr>
      <w:keepNext/>
      <w:keepLines/>
      <w:spacing w:before="40" w:after="0"/>
      <w:outlineLvl w:val="1"/>
    </w:pPr>
    <w:rPr>
      <w:rFonts w:ascii="Arial" w:eastAsiaTheme="majorEastAsia" w:hAnsi="Arial" w:cstheme="majorBidi"/>
      <w:b/>
      <w:i/>
      <w:color w:val="2F5496" w:themeColor="accent1" w:themeShade="BF"/>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330"/>
    <w:rPr>
      <w:rFonts w:ascii="Arial" w:eastAsiaTheme="majorEastAsia" w:hAnsi="Arial" w:cstheme="majorBidi"/>
      <w:b/>
      <w:sz w:val="22"/>
    </w:rPr>
  </w:style>
  <w:style w:type="character" w:customStyle="1" w:styleId="Heading2Char">
    <w:name w:val="Heading 2 Char"/>
    <w:basedOn w:val="DefaultParagraphFont"/>
    <w:link w:val="Heading2"/>
    <w:uiPriority w:val="9"/>
    <w:rsid w:val="00EF3E3D"/>
    <w:rPr>
      <w:rFonts w:ascii="Arial" w:eastAsiaTheme="majorEastAsia" w:hAnsi="Arial" w:cstheme="majorBidi"/>
      <w:b/>
      <w:i/>
      <w:color w:val="2F5496" w:themeColor="accent1" w:themeShade="BF"/>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4A5D7C"/>
    <w:rPr>
      <w:rFonts w:cs="Times New Roman"/>
      <w:szCs w:val="24"/>
    </w:rPr>
  </w:style>
  <w:style w:type="paragraph" w:styleId="TOCHeading">
    <w:name w:val="TOC Heading"/>
    <w:basedOn w:val="Heading1"/>
    <w:next w:val="Normal"/>
    <w:uiPriority w:val="39"/>
    <w:unhideWhenUsed/>
    <w:qFormat/>
    <w:rsid w:val="002E0A1A"/>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C285B"/>
    <w:pPr>
      <w:tabs>
        <w:tab w:val="right" w:leader="dot" w:pos="9016"/>
      </w:tabs>
      <w:spacing w:after="100" w:line="360" w:lineRule="auto"/>
      <w:jc w:val="both"/>
    </w:pPr>
  </w:style>
  <w:style w:type="paragraph" w:styleId="TOC2">
    <w:name w:val="toc 2"/>
    <w:basedOn w:val="Normal"/>
    <w:next w:val="Normal"/>
    <w:autoRedefine/>
    <w:uiPriority w:val="39"/>
    <w:unhideWhenUsed/>
    <w:rsid w:val="00EF3E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diabetes/about/insulin-resistance-type-2-diabete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abetes.org.uk/about-diabetes/type-2-diabetes/diabetes-risk-facto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iabetes.org.uk/about-diabetes/type-2-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nice.org.uk/guidance/ng28"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carelearning.org.uk/qualifications/level-3-extended-hsc/hsccmo2-biochemistry/4-1-explain-the-regulation-of-blood-sug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8F486-39E8-407C-9ADC-40259AA81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janio bissoli</cp:lastModifiedBy>
  <cp:revision>2</cp:revision>
  <dcterms:created xsi:type="dcterms:W3CDTF">2025-12-03T22:06:00Z</dcterms:created>
  <dcterms:modified xsi:type="dcterms:W3CDTF">2025-12-03T22:06:00Z</dcterms:modified>
</cp:coreProperties>
</file>