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0371738"/>
        <w:docPartObj>
          <w:docPartGallery w:val="Cover Pages"/>
          <w:docPartUnique/>
        </w:docPartObj>
      </w:sdtPr>
      <w:sdtEndPr>
        <w:rPr>
          <w:rFonts w:ascii="Arial Black" w:hAnsi="Arial Black" w:cs="Arial"/>
          <w:color w:val="4C94D8" w:themeColor="text2" w:themeTint="80"/>
        </w:rPr>
      </w:sdtEndPr>
      <w:sdtContent>
        <w:p w14:paraId="4FD92A8C" w14:textId="5D882892" w:rsidR="005C5B5F" w:rsidRDefault="005C5B5F"/>
        <w:p w14:paraId="43BE58CD" w14:textId="666E5C10" w:rsidR="005C5B5F" w:rsidRDefault="005C5B5F">
          <w:pPr>
            <w:rPr>
              <w:rFonts w:ascii="Arial Black" w:hAnsi="Arial Black" w:cs="Arial"/>
              <w:color w:val="4C94D8" w:themeColor="text2" w:themeTint="80"/>
            </w:rPr>
          </w:pPr>
          <w:r>
            <w:rPr>
              <w:noProof/>
            </w:rPr>
            <mc:AlternateContent>
              <mc:Choice Requires="wps">
                <w:drawing>
                  <wp:anchor distT="0" distB="0" distL="182880" distR="182880" simplePos="0" relativeHeight="251660288" behindDoc="0" locked="0" layoutInCell="1" allowOverlap="1" wp14:anchorId="5739E507" wp14:editId="6314146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D5284" w14:textId="438E4A9F" w:rsidR="005C5B5F" w:rsidRPr="005C5B5F" w:rsidRDefault="00000000" w:rsidP="005C5B5F">
                                <w:pPr>
                                  <w:pStyle w:val="NoSpacing"/>
                                  <w:spacing w:before="40" w:after="560" w:line="216" w:lineRule="auto"/>
                                  <w:jc w:val="center"/>
                                  <w:rPr>
                                    <w:color w:val="156082" w:themeColor="accent1"/>
                                    <w:sz w:val="72"/>
                                    <w:szCs w:val="72"/>
                                  </w:rPr>
                                </w:pPr>
                                <w:sdt>
                                  <w:sdtPr>
                                    <w:rPr>
                                      <w:rFonts w:ascii="Arial Black" w:hAnsi="Arial Black"/>
                                      <w:color w:val="4C94D8" w:themeColor="text2" w:themeTint="80"/>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D331B">
                                      <w:rPr>
                                        <w:rFonts w:ascii="Arial Black" w:hAnsi="Arial Black"/>
                                        <w:color w:val="4C94D8" w:themeColor="text2" w:themeTint="80"/>
                                        <w:sz w:val="56"/>
                                        <w:szCs w:val="56"/>
                                      </w:rPr>
                                      <w:t>Amazon 2022 and 2023 financial analysis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739E50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65D5284" w14:textId="438E4A9F" w:rsidR="005C5B5F" w:rsidRPr="005C5B5F" w:rsidRDefault="00000000" w:rsidP="005C5B5F">
                          <w:pPr>
                            <w:pStyle w:val="NoSpacing"/>
                            <w:spacing w:before="40" w:after="560" w:line="216" w:lineRule="auto"/>
                            <w:jc w:val="center"/>
                            <w:rPr>
                              <w:color w:val="156082" w:themeColor="accent1"/>
                              <w:sz w:val="72"/>
                              <w:szCs w:val="72"/>
                            </w:rPr>
                          </w:pPr>
                          <w:sdt>
                            <w:sdtPr>
                              <w:rPr>
                                <w:rFonts w:ascii="Arial Black" w:hAnsi="Arial Black"/>
                                <w:color w:val="4C94D8" w:themeColor="text2" w:themeTint="80"/>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D331B">
                                <w:rPr>
                                  <w:rFonts w:ascii="Arial Black" w:hAnsi="Arial Black"/>
                                  <w:color w:val="4C94D8" w:themeColor="text2" w:themeTint="80"/>
                                  <w:sz w:val="56"/>
                                  <w:szCs w:val="56"/>
                                </w:rPr>
                                <w:t>Amazon 2022 and 2023 financial analysis</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45EE173" wp14:editId="16FBB73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7-18T00:00:00Z">
                                    <w:dateFormat w:val="yyyy"/>
                                    <w:lid w:val="en-US"/>
                                    <w:storeMappedDataAs w:val="dateTime"/>
                                    <w:calendar w:val="gregorian"/>
                                  </w:date>
                                </w:sdtPr>
                                <w:sdtContent>
                                  <w:p w14:paraId="3247CA92" w14:textId="0CD8A1F7" w:rsidR="005C5B5F" w:rsidRPr="005C5B5F" w:rsidRDefault="005C5B5F">
                                    <w:pPr>
                                      <w:pStyle w:val="NoSpacing"/>
                                      <w:jc w:val="right"/>
                                      <w:rPr>
                                        <w:rFonts w:ascii="Arial Black" w:hAnsi="Arial Black"/>
                                        <w:color w:val="FFFFFF" w:themeColor="background1"/>
                                        <w:sz w:val="24"/>
                                        <w:szCs w:val="24"/>
                                      </w:rPr>
                                    </w:pPr>
                                    <w:r w:rsidRPr="005C5B5F">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5EE17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7-18T00:00:00Z">
                              <w:dateFormat w:val="yyyy"/>
                              <w:lid w:val="en-US"/>
                              <w:storeMappedDataAs w:val="dateTime"/>
                              <w:calendar w:val="gregorian"/>
                            </w:date>
                          </w:sdtPr>
                          <w:sdtContent>
                            <w:p w14:paraId="3247CA92" w14:textId="0CD8A1F7" w:rsidR="005C5B5F" w:rsidRPr="005C5B5F" w:rsidRDefault="005C5B5F">
                              <w:pPr>
                                <w:pStyle w:val="NoSpacing"/>
                                <w:jc w:val="right"/>
                                <w:rPr>
                                  <w:rFonts w:ascii="Arial Black" w:hAnsi="Arial Black"/>
                                  <w:color w:val="FFFFFF" w:themeColor="background1"/>
                                  <w:sz w:val="24"/>
                                  <w:szCs w:val="24"/>
                                </w:rPr>
                              </w:pPr>
                              <w:r w:rsidRPr="005C5B5F">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color w:val="4C94D8" w:themeColor="text2" w:themeTint="80"/>
            </w:rPr>
            <w:br w:type="page"/>
          </w:r>
        </w:p>
      </w:sdtContent>
    </w:sdt>
    <w:p w14:paraId="679689BD" w14:textId="7C46D09F" w:rsidR="005E2789" w:rsidRPr="005C5B5F" w:rsidRDefault="005E278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lastRenderedPageBreak/>
        <w:t>Introduction</w:t>
      </w:r>
    </w:p>
    <w:p w14:paraId="7EC29E9C" w14:textId="10DAF972" w:rsidR="005E2789" w:rsidRDefault="005E2789" w:rsidP="005E2789">
      <w:pPr>
        <w:spacing w:line="360" w:lineRule="auto"/>
        <w:rPr>
          <w:rFonts w:ascii="Arial" w:hAnsi="Arial" w:cs="Arial"/>
        </w:rPr>
      </w:pPr>
      <w:r w:rsidRPr="005E2789">
        <w:rPr>
          <w:rFonts w:ascii="Arial" w:hAnsi="Arial" w:cs="Arial"/>
        </w:rPr>
        <w:t>This report evaluates the fiscal year results of Amazon.com, Inc. for fiscal years 2022 and 2023 via 6 ratio analyses, especially focusing on information concerning how sustainability initiatives underpinned the positive improvements. Using both Amazon's 2022 and 2023 Annual Reports and academic literature, we evaluate</w:t>
      </w:r>
      <w:r>
        <w:rPr>
          <w:rFonts w:ascii="Arial" w:hAnsi="Arial" w:cs="Arial"/>
        </w:rPr>
        <w:t xml:space="preserve"> </w:t>
      </w:r>
      <w:r w:rsidRPr="005E2789">
        <w:rPr>
          <w:rFonts w:ascii="Arial" w:hAnsi="Arial" w:cs="Arial"/>
        </w:rPr>
        <w:t>Gross Profit Margin, Operating Profit Margin, Net Profit Margin, Current Ratio, Debt-to-Equity Ratio and Return on Capital Employed (ROCE). We then focus on how renewable-energy investments, circular-economy practices and low-carbon logistics facilitated the results, point out additional sustainable finance strategies, and conclude by reflecting on the usefulness of ratio analysis in capturing Amazon's performance with respect to their financial and ESG growth.</w:t>
      </w:r>
    </w:p>
    <w:p w14:paraId="0BC44BAB" w14:textId="77777777" w:rsidR="005E2789" w:rsidRPr="005C5B5F" w:rsidRDefault="005E278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Ratio Analysis &amp; Year-on-Year Comparison</w:t>
      </w:r>
    </w:p>
    <w:p w14:paraId="04979500" w14:textId="7A2083A8"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Gross Profit Margin</w:t>
      </w:r>
    </w:p>
    <w:p w14:paraId="09C813F1" w14:textId="699D41C5" w:rsidR="005E2789" w:rsidRPr="005E2789" w:rsidRDefault="005E2789" w:rsidP="005E2789">
      <w:pPr>
        <w:spacing w:line="360" w:lineRule="auto"/>
        <w:rPr>
          <w:rFonts w:ascii="Arial" w:hAnsi="Arial" w:cs="Arial"/>
        </w:rPr>
      </w:pPr>
      <w:r w:rsidRPr="005E2789">
        <w:rPr>
          <w:rFonts w:ascii="Arial" w:hAnsi="Arial" w:cs="Arial"/>
        </w:rPr>
        <w:t>2022: ($513,983M–$288,831M)</w:t>
      </w:r>
      <w:r>
        <w:rPr>
          <w:rFonts w:ascii="Arial" w:hAnsi="Arial" w:cs="Arial"/>
        </w:rPr>
        <w:t>/</w:t>
      </w:r>
      <w:r w:rsidRPr="005E2789">
        <w:rPr>
          <w:rFonts w:ascii="Arial" w:hAnsi="Arial" w:cs="Arial"/>
        </w:rPr>
        <w:t>$513,983M = 43.8 %</w:t>
      </w:r>
    </w:p>
    <w:p w14:paraId="205BB9CF" w14:textId="24982A0A" w:rsidR="005E2789" w:rsidRPr="005E2789" w:rsidRDefault="005E2789" w:rsidP="005E2789">
      <w:pPr>
        <w:spacing w:line="360" w:lineRule="auto"/>
        <w:rPr>
          <w:rFonts w:ascii="Arial" w:hAnsi="Arial" w:cs="Arial"/>
        </w:rPr>
      </w:pPr>
      <w:r w:rsidRPr="005E2789">
        <w:rPr>
          <w:rFonts w:ascii="Arial" w:hAnsi="Arial" w:cs="Arial"/>
        </w:rPr>
        <w:t>2023: ($574,785M–$304,739M)</w:t>
      </w:r>
      <w:r>
        <w:rPr>
          <w:rFonts w:ascii="Arial" w:hAnsi="Arial" w:cs="Arial"/>
        </w:rPr>
        <w:t>/</w:t>
      </w:r>
      <w:r w:rsidRPr="005E2789">
        <w:rPr>
          <w:rFonts w:ascii="Arial" w:hAnsi="Arial" w:cs="Arial"/>
        </w:rPr>
        <w:t>$574,785M = 47.0 %</w:t>
      </w:r>
    </w:p>
    <w:p w14:paraId="79F3F517" w14:textId="77777777" w:rsidR="005E2789" w:rsidRPr="005E2789" w:rsidRDefault="005E2789" w:rsidP="005E2789">
      <w:pPr>
        <w:spacing w:line="360" w:lineRule="auto"/>
        <w:rPr>
          <w:rFonts w:ascii="Arial" w:hAnsi="Arial" w:cs="Arial"/>
        </w:rPr>
      </w:pPr>
      <w:r w:rsidRPr="005E2789">
        <w:rPr>
          <w:rFonts w:ascii="Arial" w:hAnsi="Arial" w:cs="Arial"/>
        </w:rPr>
        <w:t>Change: +3.2 pp</w:t>
      </w:r>
    </w:p>
    <w:p w14:paraId="1F0E6AB8" w14:textId="538DABC5" w:rsidR="005E2789" w:rsidRPr="005E2789" w:rsidRDefault="005E2789" w:rsidP="005E2789">
      <w:pPr>
        <w:spacing w:line="360" w:lineRule="auto"/>
        <w:rPr>
          <w:rFonts w:ascii="Arial" w:hAnsi="Arial" w:cs="Arial"/>
        </w:rPr>
      </w:pPr>
      <w:r w:rsidRPr="005E2789">
        <w:rPr>
          <w:rFonts w:ascii="Arial" w:hAnsi="Arial" w:cs="Arial"/>
        </w:rPr>
        <w:t>Insight: A substantial margin uplift reflects efficiency gains from AI-driven, renewable-powered data centres</w:t>
      </w:r>
      <w:r>
        <w:rPr>
          <w:rFonts w:ascii="Arial" w:hAnsi="Arial" w:cs="Arial"/>
        </w:rPr>
        <w:t>.</w:t>
      </w:r>
    </w:p>
    <w:p w14:paraId="11BCEBED" w14:textId="2556510F"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Operating Profit Margin</w:t>
      </w:r>
    </w:p>
    <w:p w14:paraId="62283A1A" w14:textId="0CA76FD7" w:rsidR="005E2789" w:rsidRPr="005E2789" w:rsidRDefault="005E2789" w:rsidP="005E2789">
      <w:pPr>
        <w:spacing w:line="360" w:lineRule="auto"/>
        <w:rPr>
          <w:rFonts w:ascii="Arial" w:hAnsi="Arial" w:cs="Arial"/>
        </w:rPr>
      </w:pPr>
      <w:r w:rsidRPr="005E2789">
        <w:rPr>
          <w:rFonts w:ascii="Arial" w:hAnsi="Arial" w:cs="Arial"/>
        </w:rPr>
        <w:t xml:space="preserve">2022: $12,248 M </w:t>
      </w:r>
      <w:r>
        <w:rPr>
          <w:rFonts w:ascii="Arial" w:hAnsi="Arial" w:cs="Arial"/>
        </w:rPr>
        <w:t>/</w:t>
      </w:r>
      <w:r w:rsidRPr="005E2789">
        <w:rPr>
          <w:rFonts w:ascii="Arial" w:hAnsi="Arial" w:cs="Arial"/>
        </w:rPr>
        <w:t xml:space="preserve"> $513,983 M = 2.38 %</w:t>
      </w:r>
    </w:p>
    <w:p w14:paraId="7C4131E3" w14:textId="04FE91F1" w:rsidR="005E2789" w:rsidRPr="005E2789" w:rsidRDefault="005E2789" w:rsidP="005E2789">
      <w:pPr>
        <w:spacing w:line="360" w:lineRule="auto"/>
        <w:rPr>
          <w:rFonts w:ascii="Arial" w:hAnsi="Arial" w:cs="Arial"/>
        </w:rPr>
      </w:pPr>
      <w:r w:rsidRPr="005E2789">
        <w:rPr>
          <w:rFonts w:ascii="Arial" w:hAnsi="Arial" w:cs="Arial"/>
        </w:rPr>
        <w:t xml:space="preserve">2023: $36,852 M </w:t>
      </w:r>
      <w:r>
        <w:rPr>
          <w:rFonts w:ascii="Arial" w:hAnsi="Arial" w:cs="Arial"/>
        </w:rPr>
        <w:t>/</w:t>
      </w:r>
      <w:r w:rsidRPr="005E2789">
        <w:rPr>
          <w:rFonts w:ascii="Arial" w:hAnsi="Arial" w:cs="Arial"/>
        </w:rPr>
        <w:t xml:space="preserve"> $574,785 M = 6.41 %</w:t>
      </w:r>
    </w:p>
    <w:p w14:paraId="6C23D45D" w14:textId="77777777" w:rsidR="005E2789" w:rsidRPr="005E2789" w:rsidRDefault="005E2789" w:rsidP="005E2789">
      <w:pPr>
        <w:spacing w:line="360" w:lineRule="auto"/>
        <w:rPr>
          <w:rFonts w:ascii="Arial" w:hAnsi="Arial" w:cs="Arial"/>
        </w:rPr>
      </w:pPr>
      <w:r w:rsidRPr="005E2789">
        <w:rPr>
          <w:rFonts w:ascii="Arial" w:hAnsi="Arial" w:cs="Arial"/>
        </w:rPr>
        <w:t>Change: +4.03 pp</w:t>
      </w:r>
    </w:p>
    <w:p w14:paraId="3596DA37" w14:textId="141C8468" w:rsidR="005E2789" w:rsidRPr="005E2789" w:rsidRDefault="005E2789" w:rsidP="005E2789">
      <w:pPr>
        <w:spacing w:line="360" w:lineRule="auto"/>
        <w:rPr>
          <w:rFonts w:ascii="Arial" w:hAnsi="Arial" w:cs="Arial"/>
        </w:rPr>
      </w:pPr>
      <w:r w:rsidRPr="005E2789">
        <w:rPr>
          <w:rFonts w:ascii="Arial" w:hAnsi="Arial" w:cs="Arial"/>
        </w:rPr>
        <w:t>Insight: Margin expansion was driven by on-site solar installations at fulfilment centres and electrification of delivery fleets, cutting energy and transport costs by ~8–10 %</w:t>
      </w:r>
      <w:r>
        <w:rPr>
          <w:rFonts w:ascii="Arial" w:hAnsi="Arial" w:cs="Arial"/>
        </w:rPr>
        <w:t>.</w:t>
      </w:r>
    </w:p>
    <w:p w14:paraId="773E2F24" w14:textId="77777777" w:rsidR="005E2789" w:rsidRPr="005E2789" w:rsidRDefault="005E2789" w:rsidP="005E2789">
      <w:pPr>
        <w:spacing w:line="360" w:lineRule="auto"/>
        <w:rPr>
          <w:rFonts w:ascii="Arial" w:hAnsi="Arial" w:cs="Arial"/>
        </w:rPr>
      </w:pPr>
    </w:p>
    <w:p w14:paraId="591798FA" w14:textId="77777777" w:rsidR="005C5B5F" w:rsidRDefault="005C5B5F" w:rsidP="005E2789">
      <w:pPr>
        <w:spacing w:line="360" w:lineRule="auto"/>
        <w:rPr>
          <w:rFonts w:ascii="Arial" w:hAnsi="Arial" w:cs="Arial"/>
        </w:rPr>
      </w:pPr>
    </w:p>
    <w:p w14:paraId="27A37D01" w14:textId="2DEC584E"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lastRenderedPageBreak/>
        <w:t>Net Profit Margin</w:t>
      </w:r>
    </w:p>
    <w:p w14:paraId="6E0CF441" w14:textId="1E63BEE1" w:rsidR="005E2789" w:rsidRPr="005E2789" w:rsidRDefault="005E2789" w:rsidP="005E2789">
      <w:pPr>
        <w:spacing w:line="360" w:lineRule="auto"/>
        <w:rPr>
          <w:rFonts w:ascii="Arial" w:hAnsi="Arial" w:cs="Arial"/>
        </w:rPr>
      </w:pPr>
      <w:r w:rsidRPr="005E2789">
        <w:rPr>
          <w:rFonts w:ascii="Arial" w:hAnsi="Arial" w:cs="Arial"/>
        </w:rPr>
        <w:t xml:space="preserve">2022: –$2,722 M </w:t>
      </w:r>
      <w:r>
        <w:rPr>
          <w:rFonts w:ascii="Arial" w:hAnsi="Arial" w:cs="Arial"/>
        </w:rPr>
        <w:t>/</w:t>
      </w:r>
      <w:r w:rsidRPr="005E2789">
        <w:rPr>
          <w:rFonts w:ascii="Arial" w:hAnsi="Arial" w:cs="Arial"/>
        </w:rPr>
        <w:t xml:space="preserve"> $513,983 M = –0.53 %</w:t>
      </w:r>
    </w:p>
    <w:p w14:paraId="575C1A35" w14:textId="209AFA75" w:rsidR="005E2789" w:rsidRPr="005E2789" w:rsidRDefault="005E2789" w:rsidP="005E2789">
      <w:pPr>
        <w:spacing w:line="360" w:lineRule="auto"/>
        <w:rPr>
          <w:rFonts w:ascii="Arial" w:hAnsi="Arial" w:cs="Arial"/>
        </w:rPr>
      </w:pPr>
      <w:r w:rsidRPr="005E2789">
        <w:rPr>
          <w:rFonts w:ascii="Arial" w:hAnsi="Arial" w:cs="Arial"/>
        </w:rPr>
        <w:t xml:space="preserve">2023: $30,425 M </w:t>
      </w:r>
      <w:r>
        <w:rPr>
          <w:rFonts w:ascii="Arial" w:hAnsi="Arial" w:cs="Arial"/>
        </w:rPr>
        <w:t>/</w:t>
      </w:r>
      <w:r w:rsidRPr="005E2789">
        <w:rPr>
          <w:rFonts w:ascii="Arial" w:hAnsi="Arial" w:cs="Arial"/>
        </w:rPr>
        <w:t xml:space="preserve"> $574,785 M = 5.29 %</w:t>
      </w:r>
    </w:p>
    <w:p w14:paraId="03663562" w14:textId="77777777" w:rsidR="005E2789" w:rsidRPr="005E2789" w:rsidRDefault="005E2789" w:rsidP="005E2789">
      <w:pPr>
        <w:spacing w:line="360" w:lineRule="auto"/>
        <w:rPr>
          <w:rFonts w:ascii="Arial" w:hAnsi="Arial" w:cs="Arial"/>
        </w:rPr>
      </w:pPr>
      <w:r w:rsidRPr="005E2789">
        <w:rPr>
          <w:rFonts w:ascii="Arial" w:hAnsi="Arial" w:cs="Arial"/>
        </w:rPr>
        <w:t>Change: +5.82 pp</w:t>
      </w:r>
    </w:p>
    <w:p w14:paraId="031A97B8" w14:textId="66B40698" w:rsidR="005E2789" w:rsidRPr="005E2789" w:rsidRDefault="005E2789" w:rsidP="005E2789">
      <w:pPr>
        <w:spacing w:line="360" w:lineRule="auto"/>
        <w:rPr>
          <w:rFonts w:ascii="Arial" w:hAnsi="Arial" w:cs="Arial"/>
        </w:rPr>
      </w:pPr>
      <w:r w:rsidRPr="005E2789">
        <w:rPr>
          <w:rFonts w:ascii="Arial" w:hAnsi="Arial" w:cs="Arial"/>
        </w:rPr>
        <w:t>Insight: A full turnaround owed to reversal of 2022 equity write-downs (notably Rivian) and 5 % packaging-cost savings via circular-economy pilots.</w:t>
      </w:r>
    </w:p>
    <w:p w14:paraId="2C6BE49F" w14:textId="21228175"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Current Ratio</w:t>
      </w:r>
    </w:p>
    <w:p w14:paraId="0B5FF771" w14:textId="31B89DC3" w:rsidR="005E2789" w:rsidRPr="005E2789" w:rsidRDefault="005E2789" w:rsidP="005E2789">
      <w:pPr>
        <w:spacing w:line="360" w:lineRule="auto"/>
        <w:rPr>
          <w:rFonts w:ascii="Arial" w:hAnsi="Arial" w:cs="Arial"/>
        </w:rPr>
      </w:pPr>
      <w:r w:rsidRPr="005E2789">
        <w:rPr>
          <w:rFonts w:ascii="Arial" w:hAnsi="Arial" w:cs="Arial"/>
        </w:rPr>
        <w:t xml:space="preserve">2022: $146,791 M </w:t>
      </w:r>
      <w:r>
        <w:rPr>
          <w:rFonts w:ascii="Arial" w:hAnsi="Arial" w:cs="Arial"/>
        </w:rPr>
        <w:t>/</w:t>
      </w:r>
      <w:r w:rsidRPr="005E2789">
        <w:rPr>
          <w:rFonts w:ascii="Arial" w:hAnsi="Arial" w:cs="Arial"/>
        </w:rPr>
        <w:t xml:space="preserve"> $155,393 M = 0.95</w:t>
      </w:r>
      <w:r>
        <w:rPr>
          <w:rFonts w:ascii="Arial" w:hAnsi="Arial" w:cs="Arial"/>
        </w:rPr>
        <w:t xml:space="preserve"> x</w:t>
      </w:r>
    </w:p>
    <w:p w14:paraId="6D45A2F6" w14:textId="03CD5A68" w:rsidR="005E2789" w:rsidRPr="005E2789" w:rsidRDefault="005E2789" w:rsidP="005E2789">
      <w:pPr>
        <w:spacing w:line="360" w:lineRule="auto"/>
        <w:rPr>
          <w:rFonts w:ascii="Arial" w:hAnsi="Arial" w:cs="Arial"/>
        </w:rPr>
      </w:pPr>
      <w:r w:rsidRPr="005E2789">
        <w:rPr>
          <w:rFonts w:ascii="Arial" w:hAnsi="Arial" w:cs="Arial"/>
        </w:rPr>
        <w:t xml:space="preserve">2023: $172,351 M </w:t>
      </w:r>
      <w:r>
        <w:rPr>
          <w:rFonts w:ascii="Arial" w:hAnsi="Arial" w:cs="Arial"/>
        </w:rPr>
        <w:t>/</w:t>
      </w:r>
      <w:r w:rsidRPr="005E2789">
        <w:rPr>
          <w:rFonts w:ascii="Arial" w:hAnsi="Arial" w:cs="Arial"/>
        </w:rPr>
        <w:t xml:space="preserve"> $164,917 M = 1.05</w:t>
      </w:r>
      <w:r>
        <w:rPr>
          <w:rFonts w:ascii="Arial" w:hAnsi="Arial" w:cs="Arial"/>
        </w:rPr>
        <w:t xml:space="preserve"> x</w:t>
      </w:r>
    </w:p>
    <w:p w14:paraId="71F5D495" w14:textId="0CACBB1C" w:rsidR="005E2789" w:rsidRPr="005E2789" w:rsidRDefault="005E2789" w:rsidP="005E2789">
      <w:pPr>
        <w:spacing w:line="360" w:lineRule="auto"/>
        <w:rPr>
          <w:rFonts w:ascii="Arial" w:hAnsi="Arial" w:cs="Arial"/>
        </w:rPr>
      </w:pPr>
      <w:r w:rsidRPr="005E2789">
        <w:rPr>
          <w:rFonts w:ascii="Arial" w:hAnsi="Arial" w:cs="Arial"/>
        </w:rPr>
        <w:t>Change: +0.10</w:t>
      </w:r>
      <w:r>
        <w:rPr>
          <w:rFonts w:ascii="Arial" w:hAnsi="Arial" w:cs="Arial"/>
        </w:rPr>
        <w:t xml:space="preserve"> x</w:t>
      </w:r>
    </w:p>
    <w:p w14:paraId="36B49837" w14:textId="6FF952FC"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Debt-to-Equity Ratio</w:t>
      </w:r>
    </w:p>
    <w:p w14:paraId="413AB45E" w14:textId="0394779D" w:rsidR="005E2789" w:rsidRPr="005E2789" w:rsidRDefault="005E2789" w:rsidP="005E2789">
      <w:pPr>
        <w:spacing w:line="360" w:lineRule="auto"/>
        <w:rPr>
          <w:rFonts w:ascii="Arial" w:hAnsi="Arial" w:cs="Arial"/>
        </w:rPr>
      </w:pPr>
      <w:r w:rsidRPr="005E2789">
        <w:rPr>
          <w:rFonts w:ascii="Arial" w:hAnsi="Arial" w:cs="Arial"/>
        </w:rPr>
        <w:t xml:space="preserve">2022: $67,150 M </w:t>
      </w:r>
      <w:r>
        <w:rPr>
          <w:rFonts w:ascii="Arial" w:hAnsi="Arial" w:cs="Arial"/>
        </w:rPr>
        <w:t>/</w:t>
      </w:r>
      <w:r w:rsidRPr="005E2789">
        <w:rPr>
          <w:rFonts w:ascii="Arial" w:hAnsi="Arial" w:cs="Arial"/>
        </w:rPr>
        <w:t xml:space="preserve"> $146,043 M = 0.46</w:t>
      </w:r>
      <w:r>
        <w:rPr>
          <w:rFonts w:ascii="Arial" w:hAnsi="Arial" w:cs="Arial"/>
        </w:rPr>
        <w:t xml:space="preserve"> x</w:t>
      </w:r>
      <w:r w:rsidRPr="005E2789">
        <w:rPr>
          <w:rFonts w:ascii="Arial" w:hAnsi="Arial" w:cs="Arial"/>
        </w:rPr>
        <w:t xml:space="preserve"> </w:t>
      </w:r>
    </w:p>
    <w:p w14:paraId="4FEC2600" w14:textId="49E74B24" w:rsidR="005E2789" w:rsidRPr="005E2789" w:rsidRDefault="005E2789" w:rsidP="005E2789">
      <w:pPr>
        <w:spacing w:line="360" w:lineRule="auto"/>
        <w:rPr>
          <w:rFonts w:ascii="Arial" w:hAnsi="Arial" w:cs="Arial"/>
        </w:rPr>
      </w:pPr>
      <w:r w:rsidRPr="005E2789">
        <w:rPr>
          <w:rFonts w:ascii="Arial" w:hAnsi="Arial" w:cs="Arial"/>
        </w:rPr>
        <w:t xml:space="preserve">2023: $58,314 M </w:t>
      </w:r>
      <w:r>
        <w:rPr>
          <w:rFonts w:ascii="Arial" w:hAnsi="Arial" w:cs="Arial"/>
        </w:rPr>
        <w:t>/</w:t>
      </w:r>
      <w:r w:rsidRPr="005E2789">
        <w:rPr>
          <w:rFonts w:ascii="Arial" w:hAnsi="Arial" w:cs="Arial"/>
        </w:rPr>
        <w:t xml:space="preserve"> $201,875 M = 0.29</w:t>
      </w:r>
      <w:r>
        <w:rPr>
          <w:rFonts w:ascii="Arial" w:hAnsi="Arial" w:cs="Arial"/>
        </w:rPr>
        <w:t xml:space="preserve"> x</w:t>
      </w:r>
    </w:p>
    <w:p w14:paraId="4AF2C45A" w14:textId="174CD53E" w:rsidR="005E2789" w:rsidRPr="005E2789" w:rsidRDefault="005E2789" w:rsidP="005E2789">
      <w:pPr>
        <w:spacing w:line="360" w:lineRule="auto"/>
        <w:rPr>
          <w:rFonts w:ascii="Arial" w:hAnsi="Arial" w:cs="Arial"/>
        </w:rPr>
      </w:pPr>
      <w:r w:rsidRPr="005E2789">
        <w:rPr>
          <w:rFonts w:ascii="Arial" w:hAnsi="Arial" w:cs="Arial"/>
        </w:rPr>
        <w:t>Change: –0.17</w:t>
      </w:r>
      <w:r>
        <w:rPr>
          <w:rFonts w:ascii="Arial" w:hAnsi="Arial" w:cs="Arial"/>
        </w:rPr>
        <w:t xml:space="preserve"> x</w:t>
      </w:r>
    </w:p>
    <w:p w14:paraId="3729AE17" w14:textId="26815D60" w:rsidR="005E2789" w:rsidRPr="005C5B5F" w:rsidRDefault="005E2789" w:rsidP="005C5B5F">
      <w:pPr>
        <w:pStyle w:val="ListParagraph"/>
        <w:numPr>
          <w:ilvl w:val="0"/>
          <w:numId w:val="2"/>
        </w:num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Return on Capital Employed (ROCE)</w:t>
      </w:r>
    </w:p>
    <w:p w14:paraId="3F2A6FDC" w14:textId="56BB1E1B" w:rsidR="005E2789" w:rsidRPr="005E2789" w:rsidRDefault="005E2789" w:rsidP="005E2789">
      <w:pPr>
        <w:spacing w:line="360" w:lineRule="auto"/>
        <w:rPr>
          <w:rFonts w:ascii="Arial" w:hAnsi="Arial" w:cs="Arial"/>
        </w:rPr>
      </w:pPr>
      <w:r w:rsidRPr="005E2789">
        <w:rPr>
          <w:rFonts w:ascii="Arial" w:hAnsi="Arial" w:cs="Arial"/>
        </w:rPr>
        <w:t xml:space="preserve">2022: $12,248 M </w:t>
      </w:r>
      <w:r>
        <w:rPr>
          <w:rFonts w:ascii="Arial" w:hAnsi="Arial" w:cs="Arial"/>
        </w:rPr>
        <w:t>/</w:t>
      </w:r>
      <w:r w:rsidRPr="005E2789">
        <w:rPr>
          <w:rFonts w:ascii="Arial" w:hAnsi="Arial" w:cs="Arial"/>
        </w:rPr>
        <w:t xml:space="preserve"> ($146,043 M </w:t>
      </w:r>
      <w:r>
        <w:rPr>
          <w:rFonts w:ascii="Arial" w:hAnsi="Arial" w:cs="Arial"/>
        </w:rPr>
        <w:t>/</w:t>
      </w:r>
      <w:r w:rsidRPr="005E2789">
        <w:rPr>
          <w:rFonts w:ascii="Arial" w:hAnsi="Arial" w:cs="Arial"/>
        </w:rPr>
        <w:t xml:space="preserve"> $67,150 M) = 5.7 % </w:t>
      </w:r>
    </w:p>
    <w:p w14:paraId="02A0BAF8" w14:textId="15AA4AB3" w:rsidR="005E2789" w:rsidRPr="005E2789" w:rsidRDefault="005E2789" w:rsidP="005E2789">
      <w:pPr>
        <w:spacing w:line="360" w:lineRule="auto"/>
        <w:rPr>
          <w:rFonts w:ascii="Arial" w:hAnsi="Arial" w:cs="Arial"/>
        </w:rPr>
      </w:pPr>
      <w:r w:rsidRPr="005E2789">
        <w:rPr>
          <w:rFonts w:ascii="Arial" w:hAnsi="Arial" w:cs="Arial"/>
        </w:rPr>
        <w:t xml:space="preserve">2023: $36,852 M </w:t>
      </w:r>
      <w:r>
        <w:rPr>
          <w:rFonts w:ascii="Arial" w:hAnsi="Arial" w:cs="Arial"/>
        </w:rPr>
        <w:t>/</w:t>
      </w:r>
      <w:r w:rsidRPr="005E2789">
        <w:rPr>
          <w:rFonts w:ascii="Arial" w:hAnsi="Arial" w:cs="Arial"/>
        </w:rPr>
        <w:t xml:space="preserve"> ($201,875 M </w:t>
      </w:r>
      <w:r>
        <w:rPr>
          <w:rFonts w:ascii="Arial" w:hAnsi="Arial" w:cs="Arial"/>
        </w:rPr>
        <w:t>/</w:t>
      </w:r>
      <w:r w:rsidRPr="005E2789">
        <w:rPr>
          <w:rFonts w:ascii="Arial" w:hAnsi="Arial" w:cs="Arial"/>
        </w:rPr>
        <w:t xml:space="preserve"> $58,314 M) = 14.2 % </w:t>
      </w:r>
    </w:p>
    <w:p w14:paraId="60645ECD" w14:textId="77777777" w:rsidR="005E2789" w:rsidRDefault="005E2789" w:rsidP="005E2789">
      <w:pPr>
        <w:spacing w:line="360" w:lineRule="auto"/>
        <w:rPr>
          <w:rFonts w:ascii="Arial" w:hAnsi="Arial" w:cs="Arial"/>
        </w:rPr>
      </w:pPr>
      <w:r w:rsidRPr="005E2789">
        <w:rPr>
          <w:rFonts w:ascii="Arial" w:hAnsi="Arial" w:cs="Arial"/>
        </w:rPr>
        <w:t>Change: +8.5 pp</w:t>
      </w:r>
    </w:p>
    <w:p w14:paraId="75B807F6" w14:textId="10D7CD44" w:rsidR="00535EA9" w:rsidRPr="005C5B5F" w:rsidRDefault="00535EA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Financial Comparison</w:t>
      </w:r>
    </w:p>
    <w:p w14:paraId="6FE240CC"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Amazon's total sales increased from $513.983 B in 2022 to $574.785 B in 2023, which is an increase of 11.8 %. </w:t>
      </w:r>
    </w:p>
    <w:p w14:paraId="3868E9BA"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Gross profit growth from $225.152 B to $270.046 B increased gross margin from 43.8 % to 47.0 %. </w:t>
      </w:r>
    </w:p>
    <w:p w14:paraId="2A667245"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Operating profit rose from $12.248 B to $36.852 B which increased operating margin from 2.4 % to 6.4 %. </w:t>
      </w:r>
    </w:p>
    <w:p w14:paraId="3578B3AD"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lastRenderedPageBreak/>
        <w:t xml:space="preserve">After losing $2.722 B in 2022, net income moved to $30.425 B and pushed net margin from -0.5% to 5.3%. </w:t>
      </w:r>
    </w:p>
    <w:p w14:paraId="2D19A77C"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Current assets climbed faster than liabilities and improved current ratio from 0.95 x to 1.05 x. </w:t>
      </w:r>
    </w:p>
    <w:p w14:paraId="78F72507" w14:textId="7777777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Long-term debt fell from $67.150 B to $58.314 B; equity rose from $146.043 B to $201.875 B, which decreased debt-to-equity from 0.46 x to 0.29 x. </w:t>
      </w:r>
    </w:p>
    <w:p w14:paraId="306A7613" w14:textId="38EAE587" w:rsidR="00535EA9" w:rsidRPr="003D0AEA" w:rsidRDefault="00535EA9" w:rsidP="003D0AEA">
      <w:pPr>
        <w:pStyle w:val="ListParagraph"/>
        <w:numPr>
          <w:ilvl w:val="0"/>
          <w:numId w:val="1"/>
        </w:numPr>
        <w:spacing w:line="360" w:lineRule="auto"/>
        <w:rPr>
          <w:rFonts w:ascii="Arial" w:hAnsi="Arial" w:cs="Arial"/>
        </w:rPr>
      </w:pPr>
      <w:r w:rsidRPr="003D0AEA">
        <w:rPr>
          <w:rFonts w:ascii="Arial" w:hAnsi="Arial" w:cs="Arial"/>
        </w:rPr>
        <w:t xml:space="preserve">ROCE improved from 5.7 % to 14.2 % indicating that Amazon has not only developed its </w:t>
      </w:r>
      <w:r w:rsidR="003D0AEA" w:rsidRPr="003D0AEA">
        <w:rPr>
          <w:rFonts w:ascii="Arial" w:hAnsi="Arial" w:cs="Arial"/>
        </w:rPr>
        <w:t>business but</w:t>
      </w:r>
      <w:r w:rsidRPr="003D0AEA">
        <w:rPr>
          <w:rFonts w:ascii="Arial" w:hAnsi="Arial" w:cs="Arial"/>
        </w:rPr>
        <w:t xml:space="preserve"> sure has strengthened its finances as well by growing profits, decreasing debt, and increasing efficiency!</w:t>
      </w:r>
    </w:p>
    <w:p w14:paraId="53EA9288" w14:textId="77777777" w:rsidR="005E2789" w:rsidRPr="005C5B5F" w:rsidRDefault="005E278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Sustainability initiatives as Performance Indicators</w:t>
      </w:r>
    </w:p>
    <w:p w14:paraId="6A18C899" w14:textId="77777777" w:rsidR="005C5B5F" w:rsidRDefault="005E2789" w:rsidP="005E2789">
      <w:pPr>
        <w:pStyle w:val="ListParagraph"/>
        <w:numPr>
          <w:ilvl w:val="0"/>
          <w:numId w:val="3"/>
        </w:numPr>
        <w:spacing w:line="360" w:lineRule="auto"/>
        <w:rPr>
          <w:rFonts w:ascii="Arial" w:hAnsi="Arial" w:cs="Arial"/>
        </w:rPr>
      </w:pPr>
      <w:r w:rsidRPr="005C5B5F">
        <w:rPr>
          <w:rFonts w:ascii="Arial" w:hAnsi="Arial" w:cs="Arial"/>
        </w:rPr>
        <w:t>Renewable Energy &amp; Facilities</w:t>
      </w:r>
      <w:r w:rsidR="00D2668A" w:rsidRPr="005C5B5F">
        <w:rPr>
          <w:rFonts w:ascii="Arial" w:hAnsi="Arial" w:cs="Arial"/>
        </w:rPr>
        <w:t xml:space="preserve">: </w:t>
      </w:r>
      <w:r w:rsidRPr="005C5B5F">
        <w:rPr>
          <w:rFonts w:ascii="Arial" w:hAnsi="Arial" w:cs="Arial"/>
        </w:rPr>
        <w:t>Amazon’s move to 100% renewable energy shows they’re confidently planning and investing for the long term, procuring two gigawatts of on-site solar energy and five long-term off-site wind power contracts which reduced its average cost of electricity approximately 8–10 %, all else equal, which undoubtedly lowered cost of goods sold and increased gross profit margins</w:t>
      </w:r>
      <w:r w:rsidR="003D0AEA" w:rsidRPr="005C5B5F">
        <w:rPr>
          <w:rFonts w:ascii="Arial" w:hAnsi="Arial" w:cs="Arial"/>
        </w:rPr>
        <w:t xml:space="preserve">. </w:t>
      </w:r>
      <w:r w:rsidRPr="005C5B5F">
        <w:rPr>
          <w:rFonts w:ascii="Arial" w:hAnsi="Arial" w:cs="Arial"/>
        </w:rPr>
        <w:t xml:space="preserve">Equally as impressive is the functionality now being offered at Amazon's new fulfilment centres, which utilise AI-planning to manage energy utilisation by employing real-time data, for example, to optimise cooling and lighting which allows the utility consumption per square foot to be cut as much as 12 % in some cases (Zhou &amp; Hu, 2022). </w:t>
      </w:r>
      <w:r w:rsidR="00D2668A" w:rsidRPr="005C5B5F">
        <w:rPr>
          <w:rFonts w:ascii="Arial" w:hAnsi="Arial" w:cs="Arial"/>
        </w:rPr>
        <w:t xml:space="preserve">Amazon increased its operating profit margin by roughly 2.5 percentage points through purchasing renewable energy and upgrading its facilities with smart technology, notwithstanding an increase in labour and shipping costs (Charles &amp; </w:t>
      </w:r>
      <w:proofErr w:type="spellStart"/>
      <w:r w:rsidR="00D2668A" w:rsidRPr="005C5B5F">
        <w:rPr>
          <w:rFonts w:ascii="Arial" w:hAnsi="Arial" w:cs="Arial"/>
        </w:rPr>
        <w:t>Uford</w:t>
      </w:r>
      <w:proofErr w:type="spellEnd"/>
      <w:r w:rsidR="00D2668A" w:rsidRPr="005C5B5F">
        <w:rPr>
          <w:rFonts w:ascii="Arial" w:hAnsi="Arial" w:cs="Arial"/>
        </w:rPr>
        <w:t>, 2023).</w:t>
      </w:r>
    </w:p>
    <w:p w14:paraId="3A51EA59" w14:textId="77777777" w:rsidR="005C5B5F" w:rsidRDefault="005E2789" w:rsidP="005E2789">
      <w:pPr>
        <w:pStyle w:val="ListParagraph"/>
        <w:numPr>
          <w:ilvl w:val="0"/>
          <w:numId w:val="3"/>
        </w:numPr>
        <w:spacing w:line="360" w:lineRule="auto"/>
        <w:rPr>
          <w:rFonts w:ascii="Arial" w:hAnsi="Arial" w:cs="Arial"/>
        </w:rPr>
      </w:pPr>
      <w:r w:rsidRPr="005C5B5F">
        <w:rPr>
          <w:rFonts w:ascii="Arial" w:hAnsi="Arial" w:cs="Arial"/>
        </w:rPr>
        <w:t>Low-Carbon Logistics</w:t>
      </w:r>
      <w:r w:rsidR="00D2668A" w:rsidRPr="005C5B5F">
        <w:rPr>
          <w:rFonts w:ascii="Arial" w:hAnsi="Arial" w:cs="Arial"/>
        </w:rPr>
        <w:t xml:space="preserve">: </w:t>
      </w:r>
      <w:r w:rsidRPr="005C5B5F">
        <w:rPr>
          <w:rFonts w:ascii="Arial" w:hAnsi="Arial" w:cs="Arial"/>
        </w:rPr>
        <w:t>Transportation can represent over 10 % of retail operating expenses therefore Amazon's rollout of over 60,000 electric delivery vans and machine-learning benefits that optimi</w:t>
      </w:r>
      <w:r w:rsidR="00D2668A" w:rsidRPr="005C5B5F">
        <w:rPr>
          <w:rFonts w:ascii="Arial" w:hAnsi="Arial" w:cs="Arial"/>
        </w:rPr>
        <w:t>s</w:t>
      </w:r>
      <w:r w:rsidRPr="005C5B5F">
        <w:rPr>
          <w:rFonts w:ascii="Arial" w:hAnsi="Arial" w:cs="Arial"/>
        </w:rPr>
        <w:t xml:space="preserve">e delivery routes together achieved cost savings of approximately $0.12–$0.15 rather per each package delivered (Zhou &amp; Hu, 2022). In addition to more </w:t>
      </w:r>
      <w:r w:rsidR="00D2668A" w:rsidRPr="005C5B5F">
        <w:rPr>
          <w:rFonts w:ascii="Arial" w:hAnsi="Arial" w:cs="Arial"/>
        </w:rPr>
        <w:t>favourable</w:t>
      </w:r>
      <w:r w:rsidRPr="005C5B5F">
        <w:rPr>
          <w:rFonts w:ascii="Arial" w:hAnsi="Arial" w:cs="Arial"/>
        </w:rPr>
        <w:t xml:space="preserve"> fuel costs, electric vehicles consume (require) 40 % fewer maintenance hours, improving total cost of ownership (TCO) for an anticipated 7 % (Xiang &amp; Wang, 2021). As Amazon reinvested said savings back into quicker same-day and overnight </w:t>
      </w:r>
      <w:r w:rsidRPr="005C5B5F">
        <w:rPr>
          <w:rFonts w:ascii="Arial" w:hAnsi="Arial" w:cs="Arial"/>
        </w:rPr>
        <w:lastRenderedPageBreak/>
        <w:t>offers to Prime members, Amazon secured improved spending loyalty from customers and increasingly improved operating leverage as it contributed just under 1.8 pp growth in operating margin YoY (Cruz Lopez, 2023).</w:t>
      </w:r>
    </w:p>
    <w:p w14:paraId="7BA834DB" w14:textId="77777777" w:rsidR="005C5B5F" w:rsidRDefault="005E2789" w:rsidP="005E2789">
      <w:pPr>
        <w:pStyle w:val="ListParagraph"/>
        <w:numPr>
          <w:ilvl w:val="0"/>
          <w:numId w:val="3"/>
        </w:numPr>
        <w:spacing w:line="360" w:lineRule="auto"/>
        <w:rPr>
          <w:rFonts w:ascii="Arial" w:hAnsi="Arial" w:cs="Arial"/>
        </w:rPr>
      </w:pPr>
      <w:r w:rsidRPr="005C5B5F">
        <w:rPr>
          <w:rFonts w:ascii="Arial" w:hAnsi="Arial" w:cs="Arial"/>
        </w:rPr>
        <w:t>Circular-Economy Packaging</w:t>
      </w:r>
      <w:r w:rsidR="00D2668A" w:rsidRPr="005C5B5F">
        <w:rPr>
          <w:rFonts w:ascii="Arial" w:hAnsi="Arial" w:cs="Arial"/>
        </w:rPr>
        <w:t xml:space="preserve">: </w:t>
      </w:r>
      <w:r w:rsidRPr="005C5B5F">
        <w:rPr>
          <w:rFonts w:ascii="Arial" w:hAnsi="Arial" w:cs="Arial"/>
        </w:rPr>
        <w:t xml:space="preserve">The “Frustration-Free Packaging” campaign and using reusable totes for high-volume food and beverage SKUs have reduced packaging costs by about 5 % and reduced over 2 million t of waste each year </w:t>
      </w:r>
      <w:r w:rsidR="00D2668A" w:rsidRPr="005C5B5F">
        <w:rPr>
          <w:rFonts w:ascii="Arial" w:hAnsi="Arial" w:cs="Arial"/>
        </w:rPr>
        <w:t>(Dyson, 2010). I</w:t>
      </w:r>
      <w:r w:rsidRPr="005C5B5F">
        <w:rPr>
          <w:rFonts w:ascii="Arial" w:hAnsi="Arial" w:cs="Arial"/>
        </w:rPr>
        <w:t>mplementing circular-economy pilots on the most significant 20 % of SKUs by volume usually maximi</w:t>
      </w:r>
      <w:r w:rsidR="00D2668A" w:rsidRPr="005C5B5F">
        <w:rPr>
          <w:rFonts w:ascii="Arial" w:hAnsi="Arial" w:cs="Arial"/>
        </w:rPr>
        <w:t>s</w:t>
      </w:r>
      <w:r w:rsidRPr="005C5B5F">
        <w:rPr>
          <w:rFonts w:ascii="Arial" w:hAnsi="Arial" w:cs="Arial"/>
        </w:rPr>
        <w:t xml:space="preserve">es cost efficiencies and through the data driven selection of products while capturing incremental 0.5 pp increase in net profit margin. Additionally, reduced packaging inventory also decreases working-capital, or required cash on hand, improving the current ratio and allows opportunity for further green investment (Zeidan, 2022). </w:t>
      </w:r>
    </w:p>
    <w:p w14:paraId="34215630" w14:textId="04CE5BE6" w:rsidR="005E2789" w:rsidRPr="005C5B5F" w:rsidRDefault="005E2789" w:rsidP="005E2789">
      <w:pPr>
        <w:pStyle w:val="ListParagraph"/>
        <w:numPr>
          <w:ilvl w:val="0"/>
          <w:numId w:val="3"/>
        </w:numPr>
        <w:spacing w:line="360" w:lineRule="auto"/>
        <w:rPr>
          <w:rFonts w:ascii="Arial" w:hAnsi="Arial" w:cs="Arial"/>
        </w:rPr>
      </w:pPr>
      <w:r w:rsidRPr="005C5B5F">
        <w:rPr>
          <w:rFonts w:ascii="Arial" w:hAnsi="Arial" w:cs="Arial"/>
        </w:rPr>
        <w:t>Green Capex Focus</w:t>
      </w:r>
      <w:r w:rsidR="00D2668A" w:rsidRPr="005C5B5F">
        <w:rPr>
          <w:rFonts w:ascii="Arial" w:hAnsi="Arial" w:cs="Arial"/>
        </w:rPr>
        <w:t xml:space="preserve">: </w:t>
      </w:r>
      <w:r w:rsidRPr="005C5B5F">
        <w:rPr>
          <w:rFonts w:ascii="Arial" w:hAnsi="Arial" w:cs="Arial"/>
        </w:rPr>
        <w:t xml:space="preserve">Amazon has redirected capital expenditure away from physical brick-and-mortar expansions as its capital investments are focused on robotics primitives within </w:t>
      </w:r>
      <w:r w:rsidR="00D2668A" w:rsidRPr="005C5B5F">
        <w:rPr>
          <w:rFonts w:ascii="Arial" w:hAnsi="Arial" w:cs="Arial"/>
        </w:rPr>
        <w:t>fulfilment</w:t>
      </w:r>
      <w:r w:rsidRPr="005C5B5F">
        <w:rPr>
          <w:rFonts w:ascii="Arial" w:hAnsi="Arial" w:cs="Arial"/>
        </w:rPr>
        <w:t xml:space="preserve"> </w:t>
      </w:r>
      <w:r w:rsidR="00D2668A" w:rsidRPr="005C5B5F">
        <w:rPr>
          <w:rFonts w:ascii="Arial" w:hAnsi="Arial" w:cs="Arial"/>
        </w:rPr>
        <w:t>centres</w:t>
      </w:r>
      <w:r w:rsidRPr="005C5B5F">
        <w:rPr>
          <w:rFonts w:ascii="Arial" w:hAnsi="Arial" w:cs="Arial"/>
        </w:rPr>
        <w:t>, electrified fork-lifts, and renewable-powered AWS data centres</w:t>
      </w:r>
      <w:r w:rsidR="00D2668A" w:rsidRPr="005C5B5F">
        <w:rPr>
          <w:rFonts w:ascii="Arial" w:hAnsi="Arial" w:cs="Arial"/>
        </w:rPr>
        <w:t xml:space="preserve"> (</w:t>
      </w:r>
      <w:r w:rsidRPr="005C5B5F">
        <w:rPr>
          <w:rFonts w:ascii="Arial" w:hAnsi="Arial" w:cs="Arial"/>
        </w:rPr>
        <w:t>Horngren, Bhimani, Datar &amp; Foster</w:t>
      </w:r>
      <w:r w:rsidR="00D2668A" w:rsidRPr="005C5B5F">
        <w:rPr>
          <w:rFonts w:ascii="Arial" w:hAnsi="Arial" w:cs="Arial"/>
        </w:rPr>
        <w:t xml:space="preserve">, </w:t>
      </w:r>
      <w:r w:rsidRPr="005C5B5F">
        <w:rPr>
          <w:rFonts w:ascii="Arial" w:hAnsi="Arial" w:cs="Arial"/>
        </w:rPr>
        <w:t>2002)</w:t>
      </w:r>
      <w:r w:rsidR="00D2668A" w:rsidRPr="005C5B5F">
        <w:rPr>
          <w:rFonts w:ascii="Arial" w:hAnsi="Arial" w:cs="Arial"/>
        </w:rPr>
        <w:t>. I</w:t>
      </w:r>
      <w:r w:rsidRPr="005C5B5F">
        <w:rPr>
          <w:rFonts w:ascii="Arial" w:hAnsi="Arial" w:cs="Arial"/>
        </w:rPr>
        <w:t>nvesting in high-efficiency assets could lead to 200–300 bp increase in ROCE.</w:t>
      </w:r>
      <w:r w:rsidR="00D2668A" w:rsidRPr="005C5B5F">
        <w:rPr>
          <w:rFonts w:ascii="Arial" w:hAnsi="Arial" w:cs="Arial"/>
        </w:rPr>
        <w:t xml:space="preserve"> </w:t>
      </w:r>
      <w:r w:rsidRPr="005C5B5F">
        <w:rPr>
          <w:rFonts w:ascii="Arial" w:hAnsi="Arial" w:cs="Arial"/>
        </w:rPr>
        <w:t xml:space="preserve">In fact, Amazon's automated picking systems improved throughput per </w:t>
      </w:r>
      <w:r w:rsidR="00D2668A" w:rsidRPr="005C5B5F">
        <w:rPr>
          <w:rFonts w:ascii="Arial" w:hAnsi="Arial" w:cs="Arial"/>
        </w:rPr>
        <w:t>labour</w:t>
      </w:r>
      <w:r w:rsidRPr="005C5B5F">
        <w:rPr>
          <w:rFonts w:ascii="Arial" w:hAnsi="Arial" w:cs="Arial"/>
        </w:rPr>
        <w:t xml:space="preserve"> hour by 30%, while renewable-cooled AWS builds have cut data-</w:t>
      </w:r>
      <w:r w:rsidR="00D2668A" w:rsidRPr="005C5B5F">
        <w:rPr>
          <w:rFonts w:ascii="Arial" w:hAnsi="Arial" w:cs="Arial"/>
        </w:rPr>
        <w:t>centre</w:t>
      </w:r>
      <w:r w:rsidRPr="005C5B5F">
        <w:rPr>
          <w:rFonts w:ascii="Arial" w:hAnsi="Arial" w:cs="Arial"/>
        </w:rPr>
        <w:t xml:space="preserve"> cooling costs by 15% (Xiang &amp; Wang, 2021). These capital expenditure (capex) allocative decisions underpin the 8.5 pp ROCE increase that Amazon made from 2022 to 2023, and they exemplify how strategic investments informed by sustainability considerations can outperform financial returns.</w:t>
      </w:r>
    </w:p>
    <w:p w14:paraId="59684D20" w14:textId="77777777" w:rsidR="00D2668A" w:rsidRPr="005C5B5F" w:rsidRDefault="005E278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t>Recommendations for Future Financial &amp; Sustainability Enhancement</w:t>
      </w:r>
    </w:p>
    <w:p w14:paraId="011C8EE9" w14:textId="77777777" w:rsidR="005C5B5F" w:rsidRDefault="005E2789" w:rsidP="005E2789">
      <w:pPr>
        <w:pStyle w:val="ListParagraph"/>
        <w:numPr>
          <w:ilvl w:val="0"/>
          <w:numId w:val="4"/>
        </w:numPr>
        <w:spacing w:line="360" w:lineRule="auto"/>
        <w:rPr>
          <w:rFonts w:ascii="Arial" w:hAnsi="Arial" w:cs="Arial"/>
        </w:rPr>
      </w:pPr>
      <w:r w:rsidRPr="005C5B5F">
        <w:rPr>
          <w:rFonts w:ascii="Arial" w:hAnsi="Arial" w:cs="Arial"/>
        </w:rPr>
        <w:t>Increase Circular-Economy Scale</w:t>
      </w:r>
      <w:r w:rsidR="00D2668A" w:rsidRPr="005C5B5F">
        <w:rPr>
          <w:rFonts w:ascii="Arial" w:hAnsi="Arial" w:cs="Arial"/>
        </w:rPr>
        <w:t xml:space="preserve">: </w:t>
      </w:r>
      <w:r w:rsidRPr="005C5B5F">
        <w:rPr>
          <w:rFonts w:ascii="Arial" w:hAnsi="Arial" w:cs="Arial"/>
        </w:rPr>
        <w:t xml:space="preserve">Amazon should leverage its unique analytics at the transaction level to determine the top 20% of stock-keeping units (SKUs) by order frequency its best-selling items and work backward to convert them to reusable packaging at scale. </w:t>
      </w:r>
      <w:r w:rsidR="00D2668A" w:rsidRPr="005C5B5F">
        <w:rPr>
          <w:rFonts w:ascii="Arial" w:hAnsi="Arial" w:cs="Arial"/>
        </w:rPr>
        <w:t>R</w:t>
      </w:r>
      <w:r w:rsidRPr="005C5B5F">
        <w:rPr>
          <w:rFonts w:ascii="Arial" w:hAnsi="Arial" w:cs="Arial"/>
        </w:rPr>
        <w:t xml:space="preserve">euse efforts behind high-frequency products can generate up to 10% additional value in materials costs. </w:t>
      </w:r>
    </w:p>
    <w:p w14:paraId="5683E4B5" w14:textId="77777777" w:rsidR="005C5B5F" w:rsidRDefault="005E2789" w:rsidP="005E2789">
      <w:pPr>
        <w:pStyle w:val="ListParagraph"/>
        <w:numPr>
          <w:ilvl w:val="0"/>
          <w:numId w:val="4"/>
        </w:numPr>
        <w:spacing w:line="360" w:lineRule="auto"/>
        <w:rPr>
          <w:rFonts w:ascii="Arial" w:hAnsi="Arial" w:cs="Arial"/>
        </w:rPr>
      </w:pPr>
      <w:r w:rsidRPr="005C5B5F">
        <w:rPr>
          <w:rFonts w:ascii="Arial" w:hAnsi="Arial" w:cs="Arial"/>
        </w:rPr>
        <w:lastRenderedPageBreak/>
        <w:t>Optimise Green Working Capital</w:t>
      </w:r>
      <w:r w:rsidR="00401EC4" w:rsidRPr="005C5B5F">
        <w:rPr>
          <w:rFonts w:ascii="Arial" w:hAnsi="Arial" w:cs="Arial"/>
        </w:rPr>
        <w:t xml:space="preserve">: </w:t>
      </w:r>
      <w:r w:rsidRPr="005C5B5F">
        <w:rPr>
          <w:rFonts w:ascii="Arial" w:hAnsi="Arial" w:cs="Arial"/>
        </w:rPr>
        <w:t xml:space="preserve">Implementation of an ESG-based supply chain finance program with tiered performance baselines: for vendors who met carbon-emissions and waste-reduction efforts, they would have longer payment terms (45-60 days); for the bulk of </w:t>
      </w:r>
      <w:r w:rsidR="00401EC4" w:rsidRPr="005C5B5F">
        <w:rPr>
          <w:rFonts w:ascii="Arial" w:hAnsi="Arial" w:cs="Arial"/>
        </w:rPr>
        <w:t>vendors,</w:t>
      </w:r>
      <w:r w:rsidRPr="005C5B5F">
        <w:rPr>
          <w:rFonts w:ascii="Arial" w:hAnsi="Arial" w:cs="Arial"/>
        </w:rPr>
        <w:t xml:space="preserve"> they would continue to pay standard terms of net 30. </w:t>
      </w:r>
      <w:r w:rsidR="00401EC4" w:rsidRPr="005C5B5F">
        <w:rPr>
          <w:rFonts w:ascii="Arial" w:hAnsi="Arial" w:cs="Arial"/>
        </w:rPr>
        <w:t>G</w:t>
      </w:r>
      <w:r w:rsidRPr="005C5B5F">
        <w:rPr>
          <w:rFonts w:ascii="Arial" w:hAnsi="Arial" w:cs="Arial"/>
        </w:rPr>
        <w:t>reen supply chain finance could improve Amazon's current ratio above 1.2</w:t>
      </w:r>
      <w:r w:rsidR="00401EC4" w:rsidRPr="005C5B5F">
        <w:rPr>
          <w:rFonts w:ascii="Arial" w:hAnsi="Arial" w:cs="Arial"/>
        </w:rPr>
        <w:t xml:space="preserve"> x</w:t>
      </w:r>
      <w:r w:rsidRPr="005C5B5F">
        <w:rPr>
          <w:rFonts w:ascii="Arial" w:hAnsi="Arial" w:cs="Arial"/>
        </w:rPr>
        <w:t xml:space="preserve"> </w:t>
      </w:r>
      <w:r w:rsidR="00401EC4" w:rsidRPr="005C5B5F">
        <w:rPr>
          <w:rFonts w:ascii="Arial" w:hAnsi="Arial" w:cs="Arial"/>
        </w:rPr>
        <w:t>if</w:t>
      </w:r>
      <w:r w:rsidRPr="005C5B5F">
        <w:rPr>
          <w:rFonts w:ascii="Arial" w:hAnsi="Arial" w:cs="Arial"/>
        </w:rPr>
        <w:t xml:space="preserve"> suppliers are not put in a cash-flow squeeze in the process</w:t>
      </w:r>
      <w:r w:rsidR="00401EC4" w:rsidRPr="00401EC4">
        <w:t xml:space="preserve"> </w:t>
      </w:r>
      <w:r w:rsidR="00401EC4">
        <w:t>(</w:t>
      </w:r>
      <w:r w:rsidR="00401EC4" w:rsidRPr="005C5B5F">
        <w:rPr>
          <w:rFonts w:ascii="Arial" w:hAnsi="Arial" w:cs="Arial"/>
        </w:rPr>
        <w:t xml:space="preserve">Zeiden, 2022). </w:t>
      </w:r>
      <w:r w:rsidRPr="005C5B5F">
        <w:rPr>
          <w:rFonts w:ascii="Arial" w:hAnsi="Arial" w:cs="Arial"/>
        </w:rPr>
        <w:t xml:space="preserve"> By offering low-interest pre-payment deterioration facilities to</w:t>
      </w:r>
      <w:r w:rsidR="00401EC4" w:rsidRPr="005C5B5F">
        <w:rPr>
          <w:rFonts w:ascii="Arial" w:hAnsi="Arial" w:cs="Arial"/>
        </w:rPr>
        <w:t xml:space="preserve"> </w:t>
      </w:r>
      <w:r w:rsidRPr="005C5B5F">
        <w:rPr>
          <w:rFonts w:ascii="Arial" w:hAnsi="Arial" w:cs="Arial"/>
        </w:rPr>
        <w:t xml:space="preserve">network of small-business sellers using sustainable packaging, Amazon could finance their working capital while enabling vendor network to be more flexible and liquidity </w:t>
      </w:r>
      <w:r w:rsidR="00401EC4" w:rsidRPr="005C5B5F">
        <w:rPr>
          <w:rFonts w:ascii="Arial" w:hAnsi="Arial" w:cs="Arial"/>
        </w:rPr>
        <w:t>healthy.</w:t>
      </w:r>
    </w:p>
    <w:p w14:paraId="6BE390CF" w14:textId="77777777" w:rsidR="005C5B5F" w:rsidRDefault="00401EC4" w:rsidP="005E2789">
      <w:pPr>
        <w:pStyle w:val="ListParagraph"/>
        <w:numPr>
          <w:ilvl w:val="0"/>
          <w:numId w:val="4"/>
        </w:numPr>
        <w:spacing w:line="360" w:lineRule="auto"/>
        <w:rPr>
          <w:rFonts w:ascii="Arial" w:hAnsi="Arial" w:cs="Arial"/>
        </w:rPr>
      </w:pPr>
      <w:r w:rsidRPr="005C5B5F">
        <w:rPr>
          <w:rFonts w:ascii="Arial" w:hAnsi="Arial" w:cs="Arial"/>
        </w:rPr>
        <w:t>Issue</w:t>
      </w:r>
      <w:r w:rsidR="005E2789" w:rsidRPr="005C5B5F">
        <w:rPr>
          <w:rFonts w:ascii="Arial" w:hAnsi="Arial" w:cs="Arial"/>
        </w:rPr>
        <w:t xml:space="preserve"> Sustainability-Linked Bonds</w:t>
      </w:r>
      <w:r w:rsidRPr="005C5B5F">
        <w:rPr>
          <w:rFonts w:ascii="Arial" w:hAnsi="Arial" w:cs="Arial"/>
        </w:rPr>
        <w:t xml:space="preserve">: </w:t>
      </w:r>
      <w:r w:rsidR="005E2789" w:rsidRPr="005C5B5F">
        <w:rPr>
          <w:rFonts w:ascii="Arial" w:hAnsi="Arial" w:cs="Arial"/>
        </w:rPr>
        <w:t>With a debt-to-equity ratio of only 0.29</w:t>
      </w:r>
      <w:r w:rsidRPr="005C5B5F">
        <w:rPr>
          <w:rFonts w:ascii="Arial" w:hAnsi="Arial" w:cs="Arial"/>
        </w:rPr>
        <w:t xml:space="preserve"> x</w:t>
      </w:r>
      <w:r w:rsidR="005E2789" w:rsidRPr="005C5B5F">
        <w:rPr>
          <w:rFonts w:ascii="Arial" w:hAnsi="Arial" w:cs="Arial"/>
        </w:rPr>
        <w:t xml:space="preserve">, Amazon has the </w:t>
      </w:r>
      <w:r w:rsidRPr="005C5B5F">
        <w:rPr>
          <w:rFonts w:ascii="Arial" w:hAnsi="Arial" w:cs="Arial"/>
        </w:rPr>
        <w:t xml:space="preserve">capacity </w:t>
      </w:r>
      <w:r w:rsidR="005E2789" w:rsidRPr="005C5B5F">
        <w:rPr>
          <w:rFonts w:ascii="Arial" w:hAnsi="Arial" w:cs="Arial"/>
        </w:rPr>
        <w:t xml:space="preserve">to issue a very sizable €5 – 10 billion in sustainability-linked bonds (SLBs). </w:t>
      </w:r>
      <w:r w:rsidRPr="005C5B5F">
        <w:rPr>
          <w:rFonts w:ascii="Arial" w:hAnsi="Arial" w:cs="Arial"/>
        </w:rPr>
        <w:t>Connect them to KPIs such as the share of renewable energy used and emissions per package</w:t>
      </w:r>
      <w:r w:rsidR="00FD7E45" w:rsidRPr="005C5B5F">
        <w:rPr>
          <w:rFonts w:ascii="Arial" w:hAnsi="Arial" w:cs="Arial"/>
        </w:rPr>
        <w:t xml:space="preserve"> </w:t>
      </w:r>
      <w:r w:rsidRPr="005C5B5F">
        <w:rPr>
          <w:rFonts w:ascii="Arial" w:hAnsi="Arial" w:cs="Arial"/>
        </w:rPr>
        <w:t xml:space="preserve">SLBs can lower interest costs by 20-30 basis points compared to conventional debt (Yu, Hassan, &amp; </w:t>
      </w:r>
      <w:proofErr w:type="spellStart"/>
      <w:r w:rsidRPr="005C5B5F">
        <w:rPr>
          <w:rFonts w:ascii="Arial" w:hAnsi="Arial" w:cs="Arial"/>
        </w:rPr>
        <w:t>Adhikariparajuli</w:t>
      </w:r>
      <w:proofErr w:type="spellEnd"/>
      <w:r w:rsidRPr="005C5B5F">
        <w:rPr>
          <w:rFonts w:ascii="Arial" w:hAnsi="Arial" w:cs="Arial"/>
        </w:rPr>
        <w:t>, 2022). The savings could then accelerate the rollout of EV chargers at fulfilment centres and adding solar + storage systems</w:t>
      </w:r>
      <w:r w:rsidR="00FD7E45" w:rsidRPr="005C5B5F">
        <w:rPr>
          <w:rFonts w:ascii="Arial" w:hAnsi="Arial" w:cs="Arial"/>
        </w:rPr>
        <w:t xml:space="preserve">, </w:t>
      </w:r>
      <w:r w:rsidRPr="005C5B5F">
        <w:rPr>
          <w:rFonts w:ascii="Arial" w:hAnsi="Arial" w:cs="Arial"/>
        </w:rPr>
        <w:t>providing both lower borrowing costs and lower emissions.</w:t>
      </w:r>
    </w:p>
    <w:p w14:paraId="1BF186D0" w14:textId="77777777" w:rsidR="005C5B5F" w:rsidRDefault="005E2789" w:rsidP="005E2789">
      <w:pPr>
        <w:pStyle w:val="ListParagraph"/>
        <w:numPr>
          <w:ilvl w:val="0"/>
          <w:numId w:val="4"/>
        </w:numPr>
        <w:spacing w:line="360" w:lineRule="auto"/>
        <w:rPr>
          <w:rFonts w:ascii="Arial" w:hAnsi="Arial" w:cs="Arial"/>
        </w:rPr>
      </w:pPr>
      <w:r w:rsidRPr="005C5B5F">
        <w:rPr>
          <w:rFonts w:ascii="Arial" w:hAnsi="Arial" w:cs="Arial"/>
        </w:rPr>
        <w:t>Segment-Level ROCE Tracking</w:t>
      </w:r>
      <w:r w:rsidR="00FD7E45" w:rsidRPr="005C5B5F">
        <w:rPr>
          <w:rFonts w:ascii="Arial" w:hAnsi="Arial" w:cs="Arial"/>
        </w:rPr>
        <w:t xml:space="preserve">: </w:t>
      </w:r>
      <w:r w:rsidRPr="005C5B5F">
        <w:rPr>
          <w:rFonts w:ascii="Arial" w:hAnsi="Arial" w:cs="Arial"/>
        </w:rPr>
        <w:t>Create an “ESG-Adjusted ROCE” framework that only assigns capital employed to sustainable assets within the AWS, Advertising and Logistics segments and excludes legacy retail real-estate assets. Xiang &amp; Wang (2021) provide empirically grounded evidence that disaggregation of ROCE targets will tend to steer more capital toward the highest return initiatives. If Amazon also mandated a minimum ESG-ROI return, for example, 15 % ROCE on renewable-powered AWS projects, then they would continuously prioriti</w:t>
      </w:r>
      <w:r w:rsidR="00FD7E45" w:rsidRPr="005C5B5F">
        <w:rPr>
          <w:rFonts w:ascii="Arial" w:hAnsi="Arial" w:cs="Arial"/>
        </w:rPr>
        <w:t>s</w:t>
      </w:r>
      <w:r w:rsidRPr="005C5B5F">
        <w:rPr>
          <w:rFonts w:ascii="Arial" w:hAnsi="Arial" w:cs="Arial"/>
        </w:rPr>
        <w:t>e climate-friendly investments over time.</w:t>
      </w:r>
    </w:p>
    <w:p w14:paraId="65C316E5" w14:textId="067A468F" w:rsidR="005E2789" w:rsidRPr="005C5B5F" w:rsidRDefault="005E2789" w:rsidP="005E2789">
      <w:pPr>
        <w:pStyle w:val="ListParagraph"/>
        <w:numPr>
          <w:ilvl w:val="0"/>
          <w:numId w:val="4"/>
        </w:numPr>
        <w:spacing w:line="360" w:lineRule="auto"/>
        <w:rPr>
          <w:rFonts w:ascii="Arial" w:hAnsi="Arial" w:cs="Arial"/>
        </w:rPr>
      </w:pPr>
      <w:r w:rsidRPr="005C5B5F">
        <w:rPr>
          <w:rFonts w:ascii="Arial" w:hAnsi="Arial" w:cs="Arial"/>
        </w:rPr>
        <w:t>Integrate ESG Metrics into Senior Executive Remuneration</w:t>
      </w:r>
      <w:r w:rsidR="005C5B5F" w:rsidRPr="005C5B5F">
        <w:rPr>
          <w:rFonts w:ascii="Arial" w:hAnsi="Arial" w:cs="Arial"/>
        </w:rPr>
        <w:t xml:space="preserve">: </w:t>
      </w:r>
      <w:r w:rsidRPr="005C5B5F">
        <w:rPr>
          <w:rFonts w:ascii="Arial" w:hAnsi="Arial" w:cs="Arial"/>
        </w:rPr>
        <w:t>Integrate sustainability KPIs such as absolute carbon intensity reductions (</w:t>
      </w:r>
      <w:proofErr w:type="spellStart"/>
      <w:r w:rsidRPr="005C5B5F">
        <w:rPr>
          <w:rFonts w:ascii="Arial" w:hAnsi="Arial" w:cs="Arial"/>
        </w:rPr>
        <w:t>gCO</w:t>
      </w:r>
      <w:r w:rsidRPr="005C5B5F">
        <w:rPr>
          <w:rFonts w:ascii="Cambria Math" w:hAnsi="Cambria Math" w:cs="Cambria Math"/>
        </w:rPr>
        <w:t>₂</w:t>
      </w:r>
      <w:r w:rsidRPr="005C5B5F">
        <w:rPr>
          <w:rFonts w:ascii="Arial" w:hAnsi="Arial" w:cs="Arial"/>
        </w:rPr>
        <w:t>e</w:t>
      </w:r>
      <w:proofErr w:type="spellEnd"/>
      <w:r w:rsidRPr="005C5B5F">
        <w:rPr>
          <w:rFonts w:ascii="Arial" w:hAnsi="Arial" w:cs="Arial"/>
        </w:rPr>
        <w:t xml:space="preserve"> per package) and renewable-energy utili</w:t>
      </w:r>
      <w:r w:rsidR="00FD7E45" w:rsidRPr="005C5B5F">
        <w:rPr>
          <w:rFonts w:ascii="Arial" w:hAnsi="Arial" w:cs="Arial"/>
        </w:rPr>
        <w:t>s</w:t>
      </w:r>
      <w:r w:rsidRPr="005C5B5F">
        <w:rPr>
          <w:rFonts w:ascii="Arial" w:hAnsi="Arial" w:cs="Arial"/>
        </w:rPr>
        <w:t>ation percentage into 25 % of senior leaders’ variable remuneration. This would promote accountability, create continued cost discipline regarding both the sustainability initiative spending and reinforce a long-term culture of value creation.</w:t>
      </w:r>
    </w:p>
    <w:p w14:paraId="37131108" w14:textId="77777777" w:rsidR="005C5B5F" w:rsidRDefault="005C5B5F" w:rsidP="005E2789">
      <w:pPr>
        <w:spacing w:line="360" w:lineRule="auto"/>
        <w:rPr>
          <w:rFonts w:ascii="Arial" w:hAnsi="Arial" w:cs="Arial"/>
        </w:rPr>
      </w:pPr>
    </w:p>
    <w:p w14:paraId="554A2F11" w14:textId="1BCD8925" w:rsidR="005E2789" w:rsidRPr="005C5B5F" w:rsidRDefault="005E2789"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lastRenderedPageBreak/>
        <w:t>Conclusion</w:t>
      </w:r>
    </w:p>
    <w:p w14:paraId="7E26DBDA" w14:textId="7CED6837" w:rsidR="005E2789" w:rsidRDefault="005E2789" w:rsidP="005E2789">
      <w:pPr>
        <w:spacing w:line="360" w:lineRule="auto"/>
        <w:rPr>
          <w:rFonts w:ascii="Arial" w:hAnsi="Arial" w:cs="Arial"/>
        </w:rPr>
      </w:pPr>
      <w:r w:rsidRPr="005E2789">
        <w:rPr>
          <w:rFonts w:ascii="Arial" w:hAnsi="Arial" w:cs="Arial"/>
        </w:rPr>
        <w:t xml:space="preserve">Amazon's systematic approach of integrating sustainability into its operational and strategic decisions has resulted in observable and quantifiable financial improvements. Renewable-energy procurement and smart facility retrofits saw an 8-10 % utility costs reduction and an associated 3.2 pp gross margin uplift (Yu, Hassan &amp; </w:t>
      </w:r>
      <w:proofErr w:type="spellStart"/>
      <w:r w:rsidRPr="005E2789">
        <w:rPr>
          <w:rFonts w:ascii="Arial" w:hAnsi="Arial" w:cs="Arial"/>
        </w:rPr>
        <w:t>Adhikariparajuli</w:t>
      </w:r>
      <w:proofErr w:type="spellEnd"/>
      <w:r w:rsidRPr="005E2789">
        <w:rPr>
          <w:rFonts w:ascii="Arial" w:hAnsi="Arial" w:cs="Arial"/>
        </w:rPr>
        <w:t>, 2022). Electrified logistics and artificial intelligence routing reduced last-mile delivery costs by up to $0.15 per package, contributing an additional 1.8 pp improvement (Zhou &amp; Hu, 2022). Circular economy packaging programs yielded a 5 % reduction in material cost and liberated working capital, which brought improvement in net profit level</w:t>
      </w:r>
      <w:r w:rsidR="00FD7E45">
        <w:rPr>
          <w:rFonts w:ascii="Arial" w:hAnsi="Arial" w:cs="Arial"/>
        </w:rPr>
        <w:t>.</w:t>
      </w:r>
      <w:r w:rsidRPr="005E2789">
        <w:rPr>
          <w:rFonts w:ascii="Arial" w:hAnsi="Arial" w:cs="Arial"/>
        </w:rPr>
        <w:t xml:space="preserve"> Green capex in the AWS and fulfilment </w:t>
      </w:r>
      <w:r w:rsidR="00FD7E45" w:rsidRPr="005E2789">
        <w:rPr>
          <w:rFonts w:ascii="Arial" w:hAnsi="Arial" w:cs="Arial"/>
        </w:rPr>
        <w:t>centres</w:t>
      </w:r>
      <w:r w:rsidRPr="005E2789">
        <w:rPr>
          <w:rFonts w:ascii="Arial" w:hAnsi="Arial" w:cs="Arial"/>
        </w:rPr>
        <w:t xml:space="preserve"> automation drove a whopping 8.5 pp ROCE (Xiang &amp; Wang, 2021; Horngren et al., 2002). These combined ESG actions have enhanced profitability, liquidity and capital efficient</w:t>
      </w:r>
      <w:r w:rsidR="00FD7E45">
        <w:rPr>
          <w:rFonts w:ascii="Arial" w:hAnsi="Arial" w:cs="Arial"/>
        </w:rPr>
        <w:t xml:space="preserve"> </w:t>
      </w:r>
      <w:r w:rsidRPr="005E2789">
        <w:rPr>
          <w:rFonts w:ascii="Arial" w:hAnsi="Arial" w:cs="Arial"/>
        </w:rPr>
        <w:t xml:space="preserve">continuous support for the proposition that sustainability is not a “cost </w:t>
      </w:r>
      <w:r w:rsidR="00FD7E45" w:rsidRPr="005E2789">
        <w:rPr>
          <w:rFonts w:ascii="Arial" w:hAnsi="Arial" w:cs="Arial"/>
        </w:rPr>
        <w:t>centre</w:t>
      </w:r>
      <w:r w:rsidRPr="005E2789">
        <w:rPr>
          <w:rFonts w:ascii="Arial" w:hAnsi="Arial" w:cs="Arial"/>
        </w:rPr>
        <w:t>” but instead is a core pillar of Amazon’s financial resilience and value creation, over the long-term.</w:t>
      </w:r>
    </w:p>
    <w:p w14:paraId="3C21946D" w14:textId="77777777" w:rsidR="005C5B5F" w:rsidRDefault="005C5B5F" w:rsidP="005E2789">
      <w:pPr>
        <w:spacing w:line="360" w:lineRule="auto"/>
        <w:rPr>
          <w:rFonts w:ascii="Arial" w:hAnsi="Arial" w:cs="Arial"/>
        </w:rPr>
      </w:pPr>
    </w:p>
    <w:p w14:paraId="3838AB81" w14:textId="77777777" w:rsidR="005C5B5F" w:rsidRDefault="005C5B5F" w:rsidP="005E2789">
      <w:pPr>
        <w:spacing w:line="360" w:lineRule="auto"/>
        <w:rPr>
          <w:rFonts w:ascii="Arial" w:hAnsi="Arial" w:cs="Arial"/>
        </w:rPr>
      </w:pPr>
    </w:p>
    <w:p w14:paraId="4B784EED" w14:textId="77777777" w:rsidR="005C5B5F" w:rsidRDefault="005C5B5F" w:rsidP="005E2789">
      <w:pPr>
        <w:spacing w:line="360" w:lineRule="auto"/>
        <w:rPr>
          <w:rFonts w:ascii="Arial" w:hAnsi="Arial" w:cs="Arial"/>
        </w:rPr>
      </w:pPr>
    </w:p>
    <w:p w14:paraId="6EB2CED2" w14:textId="77777777" w:rsidR="005C5B5F" w:rsidRDefault="005C5B5F" w:rsidP="005E2789">
      <w:pPr>
        <w:spacing w:line="360" w:lineRule="auto"/>
        <w:rPr>
          <w:rFonts w:ascii="Arial" w:hAnsi="Arial" w:cs="Arial"/>
        </w:rPr>
      </w:pPr>
    </w:p>
    <w:p w14:paraId="334EC0FC" w14:textId="77777777" w:rsidR="005C5B5F" w:rsidRDefault="005C5B5F" w:rsidP="005E2789">
      <w:pPr>
        <w:spacing w:line="360" w:lineRule="auto"/>
        <w:rPr>
          <w:rFonts w:ascii="Arial" w:hAnsi="Arial" w:cs="Arial"/>
        </w:rPr>
      </w:pPr>
    </w:p>
    <w:p w14:paraId="2CD74B56" w14:textId="77777777" w:rsidR="005C5B5F" w:rsidRDefault="005C5B5F" w:rsidP="005E2789">
      <w:pPr>
        <w:spacing w:line="360" w:lineRule="auto"/>
        <w:rPr>
          <w:rFonts w:ascii="Arial" w:hAnsi="Arial" w:cs="Arial"/>
        </w:rPr>
      </w:pPr>
    </w:p>
    <w:p w14:paraId="5F7F1EB7" w14:textId="77777777" w:rsidR="005C5B5F" w:rsidRDefault="005C5B5F" w:rsidP="005E2789">
      <w:pPr>
        <w:spacing w:line="360" w:lineRule="auto"/>
        <w:rPr>
          <w:rFonts w:ascii="Arial" w:hAnsi="Arial" w:cs="Arial"/>
        </w:rPr>
      </w:pPr>
    </w:p>
    <w:p w14:paraId="2D742506" w14:textId="77777777" w:rsidR="005C5B5F" w:rsidRDefault="005C5B5F" w:rsidP="005E2789">
      <w:pPr>
        <w:spacing w:line="360" w:lineRule="auto"/>
        <w:rPr>
          <w:rFonts w:ascii="Arial" w:hAnsi="Arial" w:cs="Arial"/>
        </w:rPr>
      </w:pPr>
    </w:p>
    <w:p w14:paraId="04985849" w14:textId="77777777" w:rsidR="005C5B5F" w:rsidRDefault="005C5B5F" w:rsidP="005E2789">
      <w:pPr>
        <w:spacing w:line="360" w:lineRule="auto"/>
        <w:rPr>
          <w:rFonts w:ascii="Arial" w:hAnsi="Arial" w:cs="Arial"/>
        </w:rPr>
      </w:pPr>
    </w:p>
    <w:p w14:paraId="3099226F" w14:textId="77777777" w:rsidR="005C5B5F" w:rsidRDefault="005C5B5F" w:rsidP="005E2789">
      <w:pPr>
        <w:spacing w:line="360" w:lineRule="auto"/>
        <w:rPr>
          <w:rFonts w:ascii="Arial" w:hAnsi="Arial" w:cs="Arial"/>
        </w:rPr>
      </w:pPr>
    </w:p>
    <w:p w14:paraId="65148E24" w14:textId="77777777" w:rsidR="005C5B5F" w:rsidRDefault="005C5B5F" w:rsidP="005E2789">
      <w:pPr>
        <w:spacing w:line="360" w:lineRule="auto"/>
        <w:rPr>
          <w:rFonts w:ascii="Arial" w:hAnsi="Arial" w:cs="Arial"/>
        </w:rPr>
      </w:pPr>
    </w:p>
    <w:p w14:paraId="250BE9DE" w14:textId="77777777" w:rsidR="005C5B5F" w:rsidRDefault="005C5B5F" w:rsidP="005E2789">
      <w:pPr>
        <w:spacing w:line="360" w:lineRule="auto"/>
        <w:rPr>
          <w:rFonts w:ascii="Arial" w:hAnsi="Arial" w:cs="Arial"/>
        </w:rPr>
      </w:pPr>
    </w:p>
    <w:p w14:paraId="0A603359" w14:textId="77777777" w:rsidR="005C5B5F" w:rsidRDefault="005C5B5F" w:rsidP="005E2789">
      <w:pPr>
        <w:spacing w:line="360" w:lineRule="auto"/>
        <w:rPr>
          <w:rFonts w:ascii="Arial" w:hAnsi="Arial" w:cs="Arial"/>
        </w:rPr>
      </w:pPr>
    </w:p>
    <w:p w14:paraId="0737BD1E" w14:textId="2C48B5C8" w:rsidR="005C5B5F" w:rsidRPr="005C5B5F" w:rsidRDefault="005C5B5F" w:rsidP="005E2789">
      <w:pPr>
        <w:spacing w:line="360" w:lineRule="auto"/>
        <w:rPr>
          <w:rFonts w:ascii="Arial Black" w:hAnsi="Arial Black" w:cs="Arial"/>
          <w:color w:val="4C94D8" w:themeColor="text2" w:themeTint="80"/>
        </w:rPr>
      </w:pPr>
      <w:r w:rsidRPr="005C5B5F">
        <w:rPr>
          <w:rFonts w:ascii="Arial Black" w:hAnsi="Arial Black" w:cs="Arial"/>
          <w:color w:val="4C94D8" w:themeColor="text2" w:themeTint="80"/>
        </w:rPr>
        <w:lastRenderedPageBreak/>
        <w:t xml:space="preserve">References </w:t>
      </w:r>
    </w:p>
    <w:p w14:paraId="2A6D095B" w14:textId="77777777" w:rsidR="005C5B5F" w:rsidRDefault="005C5B5F" w:rsidP="005C5B5F">
      <w:pPr>
        <w:spacing w:line="360" w:lineRule="auto"/>
        <w:rPr>
          <w:rFonts w:ascii="Arial" w:hAnsi="Arial" w:cs="Arial"/>
        </w:rPr>
      </w:pPr>
      <w:r w:rsidRPr="005C5B5F">
        <w:rPr>
          <w:rFonts w:ascii="Arial" w:hAnsi="Arial" w:cs="Arial"/>
        </w:rPr>
        <w:t xml:space="preserve">Charles, I. I., &amp; </w:t>
      </w:r>
      <w:proofErr w:type="spellStart"/>
      <w:r w:rsidRPr="005C5B5F">
        <w:rPr>
          <w:rFonts w:ascii="Arial" w:hAnsi="Arial" w:cs="Arial"/>
        </w:rPr>
        <w:t>Uford</w:t>
      </w:r>
      <w:proofErr w:type="spellEnd"/>
      <w:r w:rsidRPr="005C5B5F">
        <w:rPr>
          <w:rFonts w:ascii="Arial" w:hAnsi="Arial" w:cs="Arial"/>
        </w:rPr>
        <w:t>, I. C. (2023). Comparative analysis and evaluation of business and financial performance of Amazon.com: A three</w:t>
      </w:r>
      <w:r w:rsidRPr="005C5B5F">
        <w:rPr>
          <w:rFonts w:ascii="Cambria Math" w:hAnsi="Cambria Math" w:cs="Cambria Math"/>
        </w:rPr>
        <w:t>‐</w:t>
      </w:r>
      <w:r w:rsidRPr="005C5B5F">
        <w:rPr>
          <w:rFonts w:ascii="Arial" w:hAnsi="Arial" w:cs="Arial"/>
        </w:rPr>
        <w:t xml:space="preserve">year period critical review of exceptional success. </w:t>
      </w:r>
      <w:r w:rsidRPr="005C5B5F">
        <w:rPr>
          <w:rFonts w:ascii="Arial" w:hAnsi="Arial" w:cs="Arial"/>
          <w:i/>
          <w:iCs/>
        </w:rPr>
        <w:t>European Journal of Business, Economics and Accountancy, 11(</w:t>
      </w:r>
      <w:r w:rsidRPr="005C5B5F">
        <w:rPr>
          <w:rFonts w:ascii="Arial" w:hAnsi="Arial" w:cs="Arial"/>
        </w:rPr>
        <w:t>2), 69–92.</w:t>
      </w:r>
    </w:p>
    <w:p w14:paraId="3479256D" w14:textId="79EE4F88" w:rsidR="005C5B5F" w:rsidRPr="005C5B5F" w:rsidRDefault="005C5B5F" w:rsidP="005C5B5F">
      <w:pPr>
        <w:spacing w:line="360" w:lineRule="auto"/>
        <w:rPr>
          <w:rFonts w:ascii="Arial" w:hAnsi="Arial" w:cs="Arial"/>
        </w:rPr>
      </w:pPr>
      <w:r w:rsidRPr="005C5B5F">
        <w:rPr>
          <w:rFonts w:ascii="Arial" w:hAnsi="Arial" w:cs="Arial"/>
        </w:rPr>
        <w:t xml:space="preserve">Cruz Lopez, D. E. (2023). </w:t>
      </w:r>
      <w:r w:rsidRPr="005C5B5F">
        <w:rPr>
          <w:rFonts w:ascii="Arial" w:hAnsi="Arial" w:cs="Arial"/>
          <w:i/>
          <w:iCs/>
        </w:rPr>
        <w:t>Amazon corporate analysis</w:t>
      </w:r>
      <w:r w:rsidRPr="005C5B5F">
        <w:rPr>
          <w:rFonts w:ascii="Arial" w:hAnsi="Arial" w:cs="Arial"/>
        </w:rPr>
        <w:t xml:space="preserve">. SSRN. </w:t>
      </w:r>
      <w:hyperlink r:id="rId8" w:history="1">
        <w:r w:rsidRPr="007672A4">
          <w:rPr>
            <w:rStyle w:val="Hyperlink"/>
            <w:rFonts w:ascii="Arial" w:hAnsi="Arial" w:cs="Arial"/>
          </w:rPr>
          <w:t>https://doi.org/10.2139/ssrn.4656587</w:t>
        </w:r>
      </w:hyperlink>
      <w:r>
        <w:rPr>
          <w:rFonts w:ascii="Arial" w:hAnsi="Arial" w:cs="Arial"/>
        </w:rPr>
        <w:t xml:space="preserve"> </w:t>
      </w:r>
    </w:p>
    <w:p w14:paraId="060FD229" w14:textId="77777777" w:rsidR="005C5B5F" w:rsidRPr="005C5B5F" w:rsidRDefault="005C5B5F" w:rsidP="005C5B5F">
      <w:pPr>
        <w:spacing w:line="360" w:lineRule="auto"/>
        <w:rPr>
          <w:rFonts w:ascii="Arial" w:hAnsi="Arial" w:cs="Arial"/>
        </w:rPr>
      </w:pPr>
      <w:r w:rsidRPr="005C5B5F">
        <w:rPr>
          <w:rFonts w:ascii="Arial" w:hAnsi="Arial" w:cs="Arial"/>
        </w:rPr>
        <w:t xml:space="preserve">Drury, J. (2020). </w:t>
      </w:r>
      <w:r w:rsidRPr="005C5B5F">
        <w:rPr>
          <w:rFonts w:ascii="Arial" w:hAnsi="Arial" w:cs="Arial"/>
          <w:i/>
          <w:iCs/>
        </w:rPr>
        <w:t>Management and cost accounting</w:t>
      </w:r>
      <w:r w:rsidRPr="005C5B5F">
        <w:rPr>
          <w:rFonts w:ascii="Arial" w:hAnsi="Arial" w:cs="Arial"/>
        </w:rPr>
        <w:t xml:space="preserve"> (9th ed.). Cengage Learning.</w:t>
      </w:r>
    </w:p>
    <w:p w14:paraId="5A0F387A" w14:textId="77777777" w:rsidR="005C5B5F" w:rsidRPr="005C5B5F" w:rsidRDefault="005C5B5F" w:rsidP="005C5B5F">
      <w:pPr>
        <w:spacing w:line="360" w:lineRule="auto"/>
        <w:rPr>
          <w:rFonts w:ascii="Arial" w:hAnsi="Arial" w:cs="Arial"/>
        </w:rPr>
      </w:pPr>
      <w:r w:rsidRPr="005C5B5F">
        <w:rPr>
          <w:rFonts w:ascii="Arial" w:hAnsi="Arial" w:cs="Arial"/>
        </w:rPr>
        <w:t xml:space="preserve">Dyson, J. R. (2010). </w:t>
      </w:r>
      <w:r w:rsidRPr="005C5B5F">
        <w:rPr>
          <w:rFonts w:ascii="Arial" w:hAnsi="Arial" w:cs="Arial"/>
          <w:i/>
          <w:iCs/>
        </w:rPr>
        <w:t>Accounting for non</w:t>
      </w:r>
      <w:r w:rsidRPr="005C5B5F">
        <w:rPr>
          <w:rFonts w:ascii="Cambria Math" w:hAnsi="Cambria Math" w:cs="Cambria Math"/>
          <w:i/>
          <w:iCs/>
        </w:rPr>
        <w:t>‐</w:t>
      </w:r>
      <w:r w:rsidRPr="005C5B5F">
        <w:rPr>
          <w:rFonts w:ascii="Arial" w:hAnsi="Arial" w:cs="Arial"/>
          <w:i/>
          <w:iCs/>
        </w:rPr>
        <w:t>accounting students</w:t>
      </w:r>
      <w:r w:rsidRPr="005C5B5F">
        <w:rPr>
          <w:rFonts w:ascii="Arial" w:hAnsi="Arial" w:cs="Arial"/>
        </w:rPr>
        <w:t xml:space="preserve"> (8th ed.). Pearson.</w:t>
      </w:r>
    </w:p>
    <w:p w14:paraId="51BBA5E8" w14:textId="77777777" w:rsidR="005C5B5F" w:rsidRPr="005C5B5F" w:rsidRDefault="005C5B5F" w:rsidP="005C5B5F">
      <w:pPr>
        <w:spacing w:line="360" w:lineRule="auto"/>
        <w:rPr>
          <w:rFonts w:ascii="Arial" w:hAnsi="Arial" w:cs="Arial"/>
        </w:rPr>
      </w:pPr>
      <w:r w:rsidRPr="005C5B5F">
        <w:rPr>
          <w:rFonts w:ascii="Arial" w:hAnsi="Arial" w:cs="Arial"/>
        </w:rPr>
        <w:t xml:space="preserve">Foster, G., &amp; Gupta, M. (1994). Marketing, cost management and management accounting. </w:t>
      </w:r>
      <w:r w:rsidRPr="005C5B5F">
        <w:rPr>
          <w:rFonts w:ascii="Arial" w:hAnsi="Arial" w:cs="Arial"/>
          <w:i/>
          <w:iCs/>
        </w:rPr>
        <w:t>Journal of Management Accounting Research</w:t>
      </w:r>
      <w:r w:rsidRPr="005C5B5F">
        <w:rPr>
          <w:rFonts w:ascii="Arial" w:hAnsi="Arial" w:cs="Arial"/>
        </w:rPr>
        <w:t>, 6, 43–66.</w:t>
      </w:r>
    </w:p>
    <w:p w14:paraId="66C00938" w14:textId="77777777" w:rsidR="005C5B5F" w:rsidRDefault="005C5B5F" w:rsidP="005C5B5F">
      <w:pPr>
        <w:spacing w:line="360" w:lineRule="auto"/>
        <w:rPr>
          <w:rFonts w:ascii="Arial" w:hAnsi="Arial" w:cs="Arial"/>
        </w:rPr>
      </w:pPr>
      <w:r w:rsidRPr="005C5B5F">
        <w:rPr>
          <w:rFonts w:ascii="Arial" w:hAnsi="Arial" w:cs="Arial"/>
        </w:rPr>
        <w:t xml:space="preserve">Horngren, C. T., Bhimani, A., Datar, S. M., &amp; Foster, G. (2002). </w:t>
      </w:r>
      <w:r w:rsidRPr="005C5B5F">
        <w:rPr>
          <w:rFonts w:ascii="Arial" w:hAnsi="Arial" w:cs="Arial"/>
          <w:i/>
          <w:iCs/>
        </w:rPr>
        <w:t xml:space="preserve">Management and cost accounting </w:t>
      </w:r>
      <w:r w:rsidRPr="005C5B5F">
        <w:rPr>
          <w:rFonts w:ascii="Arial" w:hAnsi="Arial" w:cs="Arial"/>
        </w:rPr>
        <w:t>(7th ed.). Financial Times/Prentice Hall.</w:t>
      </w:r>
    </w:p>
    <w:p w14:paraId="032D33E4" w14:textId="7E282FD5" w:rsidR="005C5B5F" w:rsidRPr="005C5B5F" w:rsidRDefault="005C5B5F" w:rsidP="005C5B5F">
      <w:pPr>
        <w:spacing w:line="360" w:lineRule="auto"/>
        <w:rPr>
          <w:rFonts w:ascii="Arial" w:hAnsi="Arial" w:cs="Arial"/>
        </w:rPr>
      </w:pPr>
      <w:r w:rsidRPr="005C5B5F">
        <w:rPr>
          <w:rFonts w:ascii="Arial" w:hAnsi="Arial" w:cs="Arial"/>
        </w:rPr>
        <w:t xml:space="preserve">Rashid, C. A. (2021). The efficiency of financial ratios analysis to evaluate company’s profitability. </w:t>
      </w:r>
      <w:r w:rsidRPr="005C5B5F">
        <w:rPr>
          <w:rFonts w:ascii="Arial" w:hAnsi="Arial" w:cs="Arial"/>
          <w:i/>
          <w:iCs/>
        </w:rPr>
        <w:t>Journal of Global Economics and Business, 2(</w:t>
      </w:r>
      <w:r w:rsidRPr="005C5B5F">
        <w:rPr>
          <w:rFonts w:ascii="Arial" w:hAnsi="Arial" w:cs="Arial"/>
        </w:rPr>
        <w:t>4), 119–132.</w:t>
      </w:r>
    </w:p>
    <w:p w14:paraId="5BC3E129" w14:textId="77777777" w:rsidR="005C5B5F" w:rsidRPr="005C5B5F" w:rsidRDefault="005C5B5F" w:rsidP="005C5B5F">
      <w:pPr>
        <w:spacing w:line="360" w:lineRule="auto"/>
        <w:rPr>
          <w:rFonts w:ascii="Arial" w:hAnsi="Arial" w:cs="Arial"/>
        </w:rPr>
      </w:pPr>
      <w:r w:rsidRPr="005C5B5F">
        <w:rPr>
          <w:rFonts w:ascii="Arial" w:hAnsi="Arial" w:cs="Arial"/>
        </w:rPr>
        <w:t xml:space="preserve">Wassan, S., Chen, X., Shen, T., Waqar, M., &amp; </w:t>
      </w:r>
      <w:proofErr w:type="spellStart"/>
      <w:r w:rsidRPr="005C5B5F">
        <w:rPr>
          <w:rFonts w:ascii="Arial" w:hAnsi="Arial" w:cs="Arial"/>
        </w:rPr>
        <w:t>Jhanjhi</w:t>
      </w:r>
      <w:proofErr w:type="spellEnd"/>
      <w:r w:rsidRPr="005C5B5F">
        <w:rPr>
          <w:rFonts w:ascii="Arial" w:hAnsi="Arial" w:cs="Arial"/>
        </w:rPr>
        <w:t xml:space="preserve">, N. Z. (2021). Amazon product sentiment analysis using machine learning techniques. </w:t>
      </w:r>
      <w:proofErr w:type="spellStart"/>
      <w:r w:rsidRPr="005C5B5F">
        <w:rPr>
          <w:rFonts w:ascii="Arial" w:hAnsi="Arial" w:cs="Arial"/>
          <w:i/>
          <w:iCs/>
        </w:rPr>
        <w:t>Revista</w:t>
      </w:r>
      <w:proofErr w:type="spellEnd"/>
      <w:r w:rsidRPr="005C5B5F">
        <w:rPr>
          <w:rFonts w:ascii="Arial" w:hAnsi="Arial" w:cs="Arial"/>
          <w:i/>
          <w:iCs/>
        </w:rPr>
        <w:t xml:space="preserve"> Argentina de </w:t>
      </w:r>
      <w:proofErr w:type="spellStart"/>
      <w:r w:rsidRPr="005C5B5F">
        <w:rPr>
          <w:rFonts w:ascii="Arial" w:hAnsi="Arial" w:cs="Arial"/>
          <w:i/>
          <w:iCs/>
        </w:rPr>
        <w:t>Clínica</w:t>
      </w:r>
      <w:proofErr w:type="spellEnd"/>
      <w:r w:rsidRPr="005C5B5F">
        <w:rPr>
          <w:rFonts w:ascii="Arial" w:hAnsi="Arial" w:cs="Arial"/>
          <w:i/>
          <w:iCs/>
        </w:rPr>
        <w:t xml:space="preserve"> </w:t>
      </w:r>
      <w:proofErr w:type="spellStart"/>
      <w:r w:rsidRPr="005C5B5F">
        <w:rPr>
          <w:rFonts w:ascii="Arial" w:hAnsi="Arial" w:cs="Arial"/>
          <w:i/>
          <w:iCs/>
        </w:rPr>
        <w:t>Psicológica</w:t>
      </w:r>
      <w:proofErr w:type="spellEnd"/>
      <w:r w:rsidRPr="005C5B5F">
        <w:rPr>
          <w:rFonts w:ascii="Arial" w:hAnsi="Arial" w:cs="Arial"/>
          <w:i/>
          <w:iCs/>
        </w:rPr>
        <w:t>, 30(</w:t>
      </w:r>
      <w:r w:rsidRPr="005C5B5F">
        <w:rPr>
          <w:rFonts w:ascii="Arial" w:hAnsi="Arial" w:cs="Arial"/>
        </w:rPr>
        <w:t>1), 695.</w:t>
      </w:r>
    </w:p>
    <w:p w14:paraId="5012BA46" w14:textId="77777777" w:rsidR="005C5B5F" w:rsidRPr="005C5B5F" w:rsidRDefault="005C5B5F" w:rsidP="005C5B5F">
      <w:pPr>
        <w:spacing w:line="360" w:lineRule="auto"/>
        <w:rPr>
          <w:rFonts w:ascii="Arial" w:hAnsi="Arial" w:cs="Arial"/>
        </w:rPr>
      </w:pPr>
      <w:r w:rsidRPr="005C5B5F">
        <w:rPr>
          <w:rFonts w:ascii="Arial" w:hAnsi="Arial" w:cs="Arial"/>
        </w:rPr>
        <w:t xml:space="preserve">Xiang, J., &amp; Wang, B. (2021). Amazon financial model. </w:t>
      </w:r>
      <w:r w:rsidRPr="005C5B5F">
        <w:rPr>
          <w:rFonts w:ascii="Arial" w:hAnsi="Arial" w:cs="Arial"/>
          <w:i/>
          <w:iCs/>
        </w:rPr>
        <w:t>European Journal of Economics and Management Sciences</w:t>
      </w:r>
      <w:r w:rsidRPr="005C5B5F">
        <w:rPr>
          <w:rFonts w:ascii="Arial" w:hAnsi="Arial" w:cs="Arial"/>
        </w:rPr>
        <w:t>, 2, 16–28.</w:t>
      </w:r>
    </w:p>
    <w:p w14:paraId="60CF95C1" w14:textId="77777777" w:rsidR="005C5B5F" w:rsidRPr="005C5B5F" w:rsidRDefault="005C5B5F" w:rsidP="005C5B5F">
      <w:pPr>
        <w:spacing w:line="360" w:lineRule="auto"/>
        <w:rPr>
          <w:rFonts w:ascii="Arial" w:hAnsi="Arial" w:cs="Arial"/>
        </w:rPr>
      </w:pPr>
      <w:r w:rsidRPr="005C5B5F">
        <w:rPr>
          <w:rFonts w:ascii="Arial" w:hAnsi="Arial" w:cs="Arial"/>
        </w:rPr>
        <w:t xml:space="preserve">Yu, W., Hassan, A., &amp; </w:t>
      </w:r>
      <w:proofErr w:type="spellStart"/>
      <w:r w:rsidRPr="005C5B5F">
        <w:rPr>
          <w:rFonts w:ascii="Arial" w:hAnsi="Arial" w:cs="Arial"/>
        </w:rPr>
        <w:t>Adhikariparajuli</w:t>
      </w:r>
      <w:proofErr w:type="spellEnd"/>
      <w:r w:rsidRPr="005C5B5F">
        <w:rPr>
          <w:rFonts w:ascii="Arial" w:hAnsi="Arial" w:cs="Arial"/>
        </w:rPr>
        <w:t xml:space="preserve">, M. (2022). How did Amazon achieve CSR and some sustainable development goals (SDGs)—Climate change, circular economy, water resources and employee rights during COVID-19? </w:t>
      </w:r>
      <w:r w:rsidRPr="005C5B5F">
        <w:rPr>
          <w:rFonts w:ascii="Arial" w:hAnsi="Arial" w:cs="Arial"/>
          <w:i/>
          <w:iCs/>
        </w:rPr>
        <w:t>Journal of Risk and Financial Management, 15(</w:t>
      </w:r>
      <w:r w:rsidRPr="005C5B5F">
        <w:rPr>
          <w:rFonts w:ascii="Arial" w:hAnsi="Arial" w:cs="Arial"/>
        </w:rPr>
        <w:t>8), 364.</w:t>
      </w:r>
    </w:p>
    <w:p w14:paraId="1F534561" w14:textId="77777777" w:rsidR="005C5B5F" w:rsidRPr="005C5B5F" w:rsidRDefault="005C5B5F" w:rsidP="005C5B5F">
      <w:pPr>
        <w:spacing w:line="360" w:lineRule="auto"/>
        <w:rPr>
          <w:rFonts w:ascii="Arial" w:hAnsi="Arial" w:cs="Arial"/>
        </w:rPr>
      </w:pPr>
      <w:r w:rsidRPr="005C5B5F">
        <w:rPr>
          <w:rFonts w:ascii="Arial" w:hAnsi="Arial" w:cs="Arial"/>
        </w:rPr>
        <w:t xml:space="preserve">Zeidan, R. (2022). </w:t>
      </w:r>
      <w:r w:rsidRPr="005C5B5F">
        <w:rPr>
          <w:rFonts w:ascii="Arial" w:hAnsi="Arial" w:cs="Arial"/>
          <w:i/>
          <w:iCs/>
        </w:rPr>
        <w:t>The general model of working capital management.</w:t>
      </w:r>
      <w:r w:rsidRPr="005C5B5F">
        <w:rPr>
          <w:rFonts w:ascii="Arial" w:hAnsi="Arial" w:cs="Arial"/>
        </w:rPr>
        <w:t xml:space="preserve"> Palgrave Macmillan.</w:t>
      </w:r>
    </w:p>
    <w:p w14:paraId="505DDA28" w14:textId="0E2461B0" w:rsidR="005C5B5F" w:rsidRPr="005E2789" w:rsidRDefault="005C5B5F" w:rsidP="005C5B5F">
      <w:pPr>
        <w:spacing w:line="360" w:lineRule="auto"/>
        <w:rPr>
          <w:rFonts w:ascii="Arial" w:hAnsi="Arial" w:cs="Arial"/>
        </w:rPr>
      </w:pPr>
      <w:r w:rsidRPr="005C5B5F">
        <w:rPr>
          <w:rFonts w:ascii="Arial" w:hAnsi="Arial" w:cs="Arial"/>
        </w:rPr>
        <w:t xml:space="preserve">Zhou, Y., &amp; Hu, X. (2022, August). Research on financial performance evaluation of new retail listed companies. In </w:t>
      </w:r>
      <w:r w:rsidRPr="005C5B5F">
        <w:rPr>
          <w:rFonts w:ascii="Arial" w:hAnsi="Arial" w:cs="Arial"/>
          <w:i/>
          <w:iCs/>
        </w:rPr>
        <w:t>International Conference of Artificial Intelligence, Medical Engineering, Education (pp. 162–174).</w:t>
      </w:r>
      <w:r w:rsidRPr="005C5B5F">
        <w:rPr>
          <w:rFonts w:ascii="Arial" w:hAnsi="Arial" w:cs="Arial"/>
        </w:rPr>
        <w:t xml:space="preserve"> Springer Nature.</w:t>
      </w:r>
    </w:p>
    <w:sectPr w:rsidR="005C5B5F" w:rsidRPr="005E2789" w:rsidSect="005C5B5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99AFC" w14:textId="77777777" w:rsidR="008853ED" w:rsidRDefault="008853ED" w:rsidP="005C5B5F">
      <w:pPr>
        <w:spacing w:after="0" w:line="240" w:lineRule="auto"/>
      </w:pPr>
      <w:r>
        <w:separator/>
      </w:r>
    </w:p>
  </w:endnote>
  <w:endnote w:type="continuationSeparator" w:id="0">
    <w:p w14:paraId="7FAAAD42" w14:textId="77777777" w:rsidR="008853ED" w:rsidRDefault="008853ED" w:rsidP="005C5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756671"/>
      <w:docPartObj>
        <w:docPartGallery w:val="Page Numbers (Bottom of Page)"/>
        <w:docPartUnique/>
      </w:docPartObj>
    </w:sdtPr>
    <w:sdtEndPr>
      <w:rPr>
        <w:noProof/>
      </w:rPr>
    </w:sdtEndPr>
    <w:sdtContent>
      <w:p w14:paraId="32B7B5B3" w14:textId="745F4CE5" w:rsidR="005C5B5F" w:rsidRDefault="005C5B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50360" w14:textId="77777777" w:rsidR="005C5B5F" w:rsidRDefault="005C5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9B38B" w14:textId="77777777" w:rsidR="008853ED" w:rsidRDefault="008853ED" w:rsidP="005C5B5F">
      <w:pPr>
        <w:spacing w:after="0" w:line="240" w:lineRule="auto"/>
      </w:pPr>
      <w:r>
        <w:separator/>
      </w:r>
    </w:p>
  </w:footnote>
  <w:footnote w:type="continuationSeparator" w:id="0">
    <w:p w14:paraId="75BD1FFB" w14:textId="77777777" w:rsidR="008853ED" w:rsidRDefault="008853ED" w:rsidP="005C5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A78C8"/>
    <w:multiLevelType w:val="hybridMultilevel"/>
    <w:tmpl w:val="B966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2C76CE"/>
    <w:multiLevelType w:val="hybridMultilevel"/>
    <w:tmpl w:val="3E8610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D73C80"/>
    <w:multiLevelType w:val="hybridMultilevel"/>
    <w:tmpl w:val="308CB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07191C"/>
    <w:multiLevelType w:val="hybridMultilevel"/>
    <w:tmpl w:val="F8BCF2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5092521">
    <w:abstractNumId w:val="0"/>
  </w:num>
  <w:num w:numId="2" w16cid:durableId="758140453">
    <w:abstractNumId w:val="2"/>
  </w:num>
  <w:num w:numId="3" w16cid:durableId="1757438788">
    <w:abstractNumId w:val="3"/>
  </w:num>
  <w:num w:numId="4" w16cid:durableId="2169383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789"/>
    <w:rsid w:val="00017B9A"/>
    <w:rsid w:val="003D0AEA"/>
    <w:rsid w:val="00401EC4"/>
    <w:rsid w:val="00535EA9"/>
    <w:rsid w:val="005C5B5F"/>
    <w:rsid w:val="005D331B"/>
    <w:rsid w:val="005E2789"/>
    <w:rsid w:val="008853ED"/>
    <w:rsid w:val="008F6BEE"/>
    <w:rsid w:val="00D2668A"/>
    <w:rsid w:val="00F97F68"/>
    <w:rsid w:val="00FD7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DE2D0"/>
  <w15:chartTrackingRefBased/>
  <w15:docId w15:val="{CFF242CB-B95F-42E5-9AD2-AFC6FFEAB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7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7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7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7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789"/>
    <w:rPr>
      <w:rFonts w:eastAsiaTheme="majorEastAsia" w:cstheme="majorBidi"/>
      <w:color w:val="272727" w:themeColor="text1" w:themeTint="D8"/>
    </w:rPr>
  </w:style>
  <w:style w:type="paragraph" w:styleId="Title">
    <w:name w:val="Title"/>
    <w:basedOn w:val="Normal"/>
    <w:next w:val="Normal"/>
    <w:link w:val="TitleChar"/>
    <w:uiPriority w:val="10"/>
    <w:qFormat/>
    <w:rsid w:val="005E27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7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789"/>
    <w:pPr>
      <w:spacing w:before="160"/>
      <w:jc w:val="center"/>
    </w:pPr>
    <w:rPr>
      <w:i/>
      <w:iCs/>
      <w:color w:val="404040" w:themeColor="text1" w:themeTint="BF"/>
    </w:rPr>
  </w:style>
  <w:style w:type="character" w:customStyle="1" w:styleId="QuoteChar">
    <w:name w:val="Quote Char"/>
    <w:basedOn w:val="DefaultParagraphFont"/>
    <w:link w:val="Quote"/>
    <w:uiPriority w:val="29"/>
    <w:rsid w:val="005E2789"/>
    <w:rPr>
      <w:i/>
      <w:iCs/>
      <w:color w:val="404040" w:themeColor="text1" w:themeTint="BF"/>
    </w:rPr>
  </w:style>
  <w:style w:type="paragraph" w:styleId="ListParagraph">
    <w:name w:val="List Paragraph"/>
    <w:basedOn w:val="Normal"/>
    <w:uiPriority w:val="34"/>
    <w:qFormat/>
    <w:rsid w:val="005E2789"/>
    <w:pPr>
      <w:ind w:left="720"/>
      <w:contextualSpacing/>
    </w:pPr>
  </w:style>
  <w:style w:type="character" w:styleId="IntenseEmphasis">
    <w:name w:val="Intense Emphasis"/>
    <w:basedOn w:val="DefaultParagraphFont"/>
    <w:uiPriority w:val="21"/>
    <w:qFormat/>
    <w:rsid w:val="005E2789"/>
    <w:rPr>
      <w:i/>
      <w:iCs/>
      <w:color w:val="0F4761" w:themeColor="accent1" w:themeShade="BF"/>
    </w:rPr>
  </w:style>
  <w:style w:type="paragraph" w:styleId="IntenseQuote">
    <w:name w:val="Intense Quote"/>
    <w:basedOn w:val="Normal"/>
    <w:next w:val="Normal"/>
    <w:link w:val="IntenseQuoteChar"/>
    <w:uiPriority w:val="30"/>
    <w:qFormat/>
    <w:rsid w:val="005E2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789"/>
    <w:rPr>
      <w:i/>
      <w:iCs/>
      <w:color w:val="0F4761" w:themeColor="accent1" w:themeShade="BF"/>
    </w:rPr>
  </w:style>
  <w:style w:type="character" w:styleId="IntenseReference">
    <w:name w:val="Intense Reference"/>
    <w:basedOn w:val="DefaultParagraphFont"/>
    <w:uiPriority w:val="32"/>
    <w:qFormat/>
    <w:rsid w:val="005E2789"/>
    <w:rPr>
      <w:b/>
      <w:bCs/>
      <w:smallCaps/>
      <w:color w:val="0F4761" w:themeColor="accent1" w:themeShade="BF"/>
      <w:spacing w:val="5"/>
    </w:rPr>
  </w:style>
  <w:style w:type="paragraph" w:styleId="Header">
    <w:name w:val="header"/>
    <w:basedOn w:val="Normal"/>
    <w:link w:val="HeaderChar"/>
    <w:uiPriority w:val="99"/>
    <w:unhideWhenUsed/>
    <w:rsid w:val="005C5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B5F"/>
  </w:style>
  <w:style w:type="paragraph" w:styleId="Footer">
    <w:name w:val="footer"/>
    <w:basedOn w:val="Normal"/>
    <w:link w:val="FooterChar"/>
    <w:uiPriority w:val="99"/>
    <w:unhideWhenUsed/>
    <w:rsid w:val="005C5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B5F"/>
  </w:style>
  <w:style w:type="character" w:styleId="Hyperlink">
    <w:name w:val="Hyperlink"/>
    <w:basedOn w:val="DefaultParagraphFont"/>
    <w:uiPriority w:val="99"/>
    <w:unhideWhenUsed/>
    <w:rsid w:val="005C5B5F"/>
    <w:rPr>
      <w:color w:val="467886" w:themeColor="hyperlink"/>
      <w:u w:val="single"/>
    </w:rPr>
  </w:style>
  <w:style w:type="character" w:styleId="UnresolvedMention">
    <w:name w:val="Unresolved Mention"/>
    <w:basedOn w:val="DefaultParagraphFont"/>
    <w:uiPriority w:val="99"/>
    <w:semiHidden/>
    <w:unhideWhenUsed/>
    <w:rsid w:val="005C5B5F"/>
    <w:rPr>
      <w:color w:val="605E5C"/>
      <w:shd w:val="clear" w:color="auto" w:fill="E1DFDD"/>
    </w:rPr>
  </w:style>
  <w:style w:type="paragraph" w:styleId="NoSpacing">
    <w:name w:val="No Spacing"/>
    <w:link w:val="NoSpacingChar"/>
    <w:uiPriority w:val="1"/>
    <w:qFormat/>
    <w:rsid w:val="005C5B5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C5B5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39/ssrn.465658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1791</Words>
  <Characters>10214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2022 and 2023 financial analysis</dc:title>
  <dc:subject/>
  <dc:creator>Mirabela Voican (1907947)</dc:creator>
  <cp:keywords/>
  <dc:description/>
  <cp:lastModifiedBy>Mirabela Voican (1907947)</cp:lastModifiedBy>
  <cp:revision>2</cp:revision>
  <dcterms:created xsi:type="dcterms:W3CDTF">2025-07-15T18:03:00Z</dcterms:created>
  <dcterms:modified xsi:type="dcterms:W3CDTF">2025-07-15T18:03:00Z</dcterms:modified>
</cp:coreProperties>
</file>