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widowControl w:val="1"/>
        <w:spacing w:after="160" w:line="259" w:lineRule="auto"/>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Programme: BA International Hotel Management</w:t>
      </w:r>
    </w:p>
    <w:p w:rsidR="00000000" w:rsidDel="00000000" w:rsidP="00000000" w:rsidRDefault="00000000" w:rsidRPr="00000000" w14:paraId="00000002">
      <w:pPr>
        <w:widowControl w:val="1"/>
        <w:spacing w:after="160" w:line="259"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Module: Organisational Consultancy (BMIH6005)</w:t>
      </w:r>
    </w:p>
    <w:p w:rsidR="00000000" w:rsidDel="00000000" w:rsidP="00000000" w:rsidRDefault="00000000" w:rsidRPr="00000000" w14:paraId="00000003">
      <w:pPr>
        <w:widowControl w:val="1"/>
        <w:spacing w:after="160" w:line="259"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Name- Lavinia Dumitrita Bidasca</w:t>
      </w:r>
    </w:p>
    <w:p w:rsidR="00000000" w:rsidDel="00000000" w:rsidP="00000000" w:rsidRDefault="00000000" w:rsidRPr="00000000" w14:paraId="00000004">
      <w:pPr>
        <w:widowControl w:val="1"/>
        <w:spacing w:after="160" w:line="259"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ID- 2240974</w:t>
      </w:r>
    </w:p>
    <w:p w:rsidR="00000000" w:rsidDel="00000000" w:rsidP="00000000" w:rsidRDefault="00000000" w:rsidRPr="00000000" w14:paraId="00000005">
      <w:pPr>
        <w:widowControl w:val="1"/>
        <w:spacing w:after="160" w:line="259"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Name of the company- Insight Hospitality Solutions</w:t>
      </w:r>
    </w:p>
    <w:p w:rsidR="00000000" w:rsidDel="00000000" w:rsidP="00000000" w:rsidRDefault="00000000" w:rsidRPr="00000000" w14:paraId="00000006">
      <w:pPr>
        <w:widowControl w:val="1"/>
        <w:spacing w:after="160" w:line="259"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Lecture's name- Natalie Brailsford</w:t>
      </w:r>
    </w:p>
    <w:p w:rsidR="00000000" w:rsidDel="00000000" w:rsidP="00000000" w:rsidRDefault="00000000" w:rsidRPr="00000000" w14:paraId="00000007">
      <w:pPr>
        <w:widowControl w:val="1"/>
        <w:spacing w:after="160" w:line="259"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widowControl w:val="1"/>
        <w:spacing w:after="160" w:line="259"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360" w:lineRule="auto"/>
        <w:jc w:val="both"/>
        <w:rPr>
          <w:rFonts w:ascii="Times New Roman" w:cs="Times New Roman" w:eastAsia="Times New Roman" w:hAnsi="Times New Roman"/>
          <w:sz w:val="48"/>
          <w:szCs w:val="48"/>
        </w:rPr>
      </w:pPr>
      <w:r w:rsidDel="00000000" w:rsidR="00000000" w:rsidRPr="00000000">
        <w:rPr>
          <w:rtl w:val="0"/>
        </w:rPr>
      </w:r>
    </w:p>
    <w:p w:rsidR="00000000" w:rsidDel="00000000" w:rsidP="00000000" w:rsidRDefault="00000000" w:rsidRPr="00000000" w14:paraId="0000000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360" w:lineRule="auto"/>
        <w:jc w:val="center"/>
        <w:rPr>
          <w:rFonts w:ascii="Times New Roman" w:cs="Times New Roman" w:eastAsia="Times New Roman" w:hAnsi="Times New Roman"/>
          <w:sz w:val="24"/>
          <w:szCs w:val="24"/>
        </w:rPr>
      </w:pPr>
      <w:r w:rsidDel="00000000" w:rsidR="00000000" w:rsidRPr="00000000">
        <w:rPr/>
        <w:drawing>
          <wp:inline distB="0" distT="0" distL="0" distR="0">
            <wp:extent cx="1966541" cy="1966541"/>
            <wp:effectExtent b="0" l="0" r="0" t="0"/>
            <wp:docPr descr="Hilton London Paddington" id="1714693455" name="image4.png"/>
            <a:graphic>
              <a:graphicData uri="http://schemas.openxmlformats.org/drawingml/2006/picture">
                <pic:pic>
                  <pic:nvPicPr>
                    <pic:cNvPr descr="Hilton London Paddington" id="0" name="image4.png"/>
                    <pic:cNvPicPr preferRelativeResize="0"/>
                  </pic:nvPicPr>
                  <pic:blipFill>
                    <a:blip r:embed="rId7"/>
                    <a:srcRect b="0" l="0" r="0" t="0"/>
                    <a:stretch>
                      <a:fillRect/>
                    </a:stretch>
                  </pic:blipFill>
                  <pic:spPr>
                    <a:xfrm>
                      <a:off x="0" y="0"/>
                      <a:ext cx="1966541" cy="1966541"/>
                    </a:xfrm>
                    <a:prstGeom prst="rect"/>
                    <a:ln/>
                  </pic:spPr>
                </pic:pic>
              </a:graphicData>
            </a:graphic>
          </wp:inline>
        </w:drawing>
      </w:r>
      <w:r w:rsidDel="00000000" w:rsidR="00000000" w:rsidRPr="00000000">
        <w:rPr>
          <w:rtl w:val="0"/>
        </w:rPr>
      </w:r>
    </w:p>
    <w:p w:rsidR="00000000" w:rsidDel="00000000" w:rsidP="00000000" w:rsidRDefault="00000000" w:rsidRPr="00000000" w14:paraId="0000000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360" w:lineRule="auto"/>
        <w:jc w:val="cente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(slideshare,2025)</w:t>
      </w:r>
    </w:p>
    <w:p w:rsidR="00000000" w:rsidDel="00000000" w:rsidP="00000000" w:rsidRDefault="00000000" w:rsidRPr="00000000" w14:paraId="0000000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360" w:lineRule="auto"/>
        <w:jc w:val="both"/>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3">
      <w:pPr>
        <w:pStyle w:val="Heading2"/>
        <w:rPr/>
      </w:pPr>
      <w:bookmarkStart w:colFirst="0" w:colLast="0" w:name="_heading=h.jnf31l32s7d" w:id="0"/>
      <w:bookmarkEnd w:id="0"/>
      <w:r w:rsidDel="00000000" w:rsidR="00000000" w:rsidRPr="00000000">
        <w:rPr>
          <w:b w:val="1"/>
          <w:rtl w:val="0"/>
        </w:rPr>
        <w:t xml:space="preserve">Executive Summary</w:t>
      </w: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consulting research by Insight Hospitality Solutions offers Hilton London Paddington, a historic and prestigious Hilton Hotels &amp; Resorts property worldwide, a strategic solution to its operational issues.   The study investigates why hotel visitors are less satisfied, focused on service delays, front desk response time, and irregular housekeeping.   These issues have harmed Hilton London Paddington's image, staff morale, and financial line as well as visitors' stays (Dredge &amp; Jenkins, 2011).</w:t>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Hilton London Paddington is conveniently located steps from Paddington Station, which connects to Heathrow Airport.  419 rooms and a rich history.   The hotel has a terrific location and a global reputation, but it isn't performing well in critical service areas that affect customer happiness and operational excellence.</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What We Found</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hotel's issues were assessed from the inside and externally utilising strategy methods like STEEPLED, SWOT, and TOWS (Gursoy &amp; Chi, 2022).</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 Service Quality Drop: Guests are unhappy because room service and the front desk take too long to reply.</w:t>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Inconsistent housekeeping causes complaints about cleanliness and service.</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Lack of Technology: The hotel's antiquated operational systems delay department communication and service delivery (Gannon et al., 2022).</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 Employee Morale and Training Gaps: o Poor feedback and a lack of planned training and professional development are lowering staff morale.</w:t>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Online reputation damage: The Hilton Paddington's TripAdvisor and Google scores have dropped and reviews have been negative, making guests less likely to book (Lashley &amp; Morrison, 2019).</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5. External pressures: The STEEPLED research noted increased operational expenses, a labour shortage after Brexit, and guests' growing expectations for sustainable and technology integration.</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Growth Opportunities: o The hotel may boost brand appeal by increasing digital marketing, targeting younger and foreign guests, and implementing environmentally friendly business methods (Yang et al., 2021).</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Short Action Ideas</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These strategic proposals can help Hilton London Paddington fix its issues and become a service quality star again:</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boost operational technology: Use current hotel management technologies to accelerate answers, boost business communication, and satisfy customers (Bowie et al., 2022).</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 Staff Training and Development: o Start a thorough training program on customer service, efficiency, and cultural sensitivity to fulfil the demands of all guests.</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Managing your online reputation: Use TrustYou to monitor guest reviews, resolve concerns quickly, and improve the hotel's online image (Agarwal &amp; Dev, 2022).</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4. Sustainability: Use energy-efficient lights, reduce trash, and source materials sustainably.  This will attract eco-friendly guests to the hotel.</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Employee Engagement Programs: o Regular recognition, advancement opportunities, and three-month feedback meetings boost morale and reduce employee turnover (Ali et al., 2023).</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6. Cost Control Strategy: o Buy in bulk, invest in energy-saving equipment, and reduce superfluous office work to streamline operations.</w:t>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 Digital targeted marketing:  Use digital marketing to promote the hotel's history, location, and amenities to attract new guests (Zeng et al., 2020).</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Executing plans and managing change</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Each idea comprises a detailed implementation plan with due dates, finances, and responsible departments.   Kotter's 8-Step Model will guide change management and ensure staff participation and support during the changeover.   Form a steering coalition, clarify the change approach, uncover fast wins, and integrate the improvements into the hotel's culture.</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How to Assess Success</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assess these techniques' effectiveness, KPIs include:</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Guest happiness scores (goal: 20% in 12 months)</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Average service response times (goal: 50% in 6 months)</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Aim for one star in online ratings in a year.</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Keeping workers happy (goal: 25% turnover reduction)</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Goal: 15% operational cost reduction in 12 months</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10% year-over-year revenue and rental growth</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These goals will be reviewed monthly and quarterly to ensure success.  Data-driven decisions will guide plan adjustments (Kusluvan, 2019).</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Effects We Expect</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Help Hilton London Paddington by following the advice and plan:  • Regain its great service reputation; • Increase efficiency and revenue; • Improve employee morale and retention; • Make guests happier, more loyal, and more active online; and • Strengthen its position as a modern, environmentally friendly, and competitive central London hotel.</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Finally, Insight Hospitality Solutions is excited to collaborate with Hilton London Paddington to address these crucial issues.   This partnership suggests the hotel wants to improve and excel.   Our specialists believe the hotel will improve in all key areas if it adopts this study's recommendations (Foster &amp; Johnstone, 2021).</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We're thrilled to continue working together and willing to assist with future long-term strategic projects.</w:t>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keepNext w:val="1"/>
        <w:keepLines w:val="1"/>
        <w:pageBreakBefore w:val="0"/>
        <w:widowControl w:val="1"/>
        <w:pBdr>
          <w:top w:space="0" w:sz="0" w:val="nil"/>
          <w:left w:space="0" w:sz="0" w:val="nil"/>
          <w:bottom w:space="0" w:sz="0" w:val="nil"/>
          <w:right w:space="0" w:sz="0" w:val="nil"/>
          <w:between w:space="0" w:sz="0" w:val="nil"/>
        </w:pBdr>
        <w:shd w:fill="auto" w:val="clear"/>
        <w:tabs>
          <w:tab w:val="left" w:leader="none" w:pos="1181"/>
          <w:tab w:val="left" w:leader="none" w:pos="6689"/>
        </w:tabs>
        <w:spacing w:after="0" w:before="240" w:line="259" w:lineRule="auto"/>
        <w:ind w:left="0" w:right="916" w:firstLine="0"/>
        <w:jc w:val="center"/>
        <w:rPr>
          <w:rFonts w:ascii="Calibri" w:cs="Calibri" w:eastAsia="Calibri" w:hAnsi="Calibri"/>
          <w:b w:val="0"/>
          <w:i w:val="0"/>
          <w:smallCaps w:val="0"/>
          <w:strike w:val="0"/>
          <w:color w:val="2e75b5"/>
          <w:sz w:val="44"/>
          <w:szCs w:val="44"/>
          <w:u w:val="single"/>
          <w:shd w:fill="auto" w:val="clear"/>
          <w:vertAlign w:val="baseline"/>
        </w:rPr>
      </w:pPr>
      <w:r w:rsidDel="00000000" w:rsidR="00000000" w:rsidRPr="00000000">
        <w:rPr>
          <w:rFonts w:ascii="Calibri" w:cs="Calibri" w:eastAsia="Calibri" w:hAnsi="Calibri"/>
          <w:b w:val="0"/>
          <w:i w:val="0"/>
          <w:smallCaps w:val="0"/>
          <w:strike w:val="0"/>
          <w:color w:val="2e75b5"/>
          <w:sz w:val="44"/>
          <w:szCs w:val="44"/>
          <w:u w:val="single"/>
          <w:shd w:fill="auto" w:val="clear"/>
          <w:vertAlign w:val="baseline"/>
          <w:rtl w:val="0"/>
        </w:rPr>
        <w:t xml:space="preserve">Table of Contents</w:t>
      </w:r>
    </w:p>
    <w:sdt>
      <w:sdtPr>
        <w:id w:val="1851560247"/>
        <w:docPartObj>
          <w:docPartGallery w:val="Table of Contents"/>
          <w:docPartUnique w:val="1"/>
        </w:docPartObj>
      </w:sdtPr>
      <w:sdtContent>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jnf31l32s7d">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no7goldffd5w">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Key Findings</w:t>
            </w:r>
          </w:hyperlink>
          <w:hyperlink w:anchor="_heading=h.no7goldffd5w">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4qdoufra1qwc">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Recommendations Overview</w:t>
            </w:r>
          </w:hyperlink>
          <w:hyperlink w:anchor="_heading=h.4qdoufra1qwc">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cyzuge3l8l04">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Implementation and Change Management</w:t>
            </w:r>
          </w:hyperlink>
          <w:hyperlink w:anchor="_heading=h.cyzuge3l8l04">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aqxaaf2sxl3d">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Measurement of Success</w:t>
            </w:r>
          </w:hyperlink>
          <w:hyperlink w:anchor="_heading=h.aqxaaf2sxl3d">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c8p6bhpo8zqd">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Expected Impact</w:t>
            </w:r>
          </w:hyperlink>
          <w:hyperlink w:anchor="_heading=h.c8p6bhpo8zqd">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mtfdr1d176vx">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Final Note</w:t>
            </w:r>
          </w:hyperlink>
          <w:hyperlink w:anchor="_heading=h.mtfdr1d176vx">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33cjrq792t4d">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 xml:space="preserve">Introduction</w:t>
              <w:tab/>
              <w:t xml:space="preserve">5</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pzlcmhqtzxne">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 xml:space="preserve">5. Analysis</w:t>
              <w:tab/>
              <w:t xml:space="preserve">7</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96wqunbhkodz">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5.1 Detailed Issue Description</w:t>
            </w:r>
          </w:hyperlink>
          <w:hyperlink w:anchor="_heading=h.96wqunbhkodz">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c63fg0jwp5im">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5.2 STEEPLED Analysis (700 words)</w:t>
            </w:r>
          </w:hyperlink>
          <w:hyperlink w:anchor="_heading=h.c63fg0jwp5im">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fois02b9ji2h">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5.3 SWOT Analysis</w:t>
              <w:tab/>
              <w:t xml:space="preserve">11</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94yvqzyqjzrs">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Summary of SWOT Analysis</w:t>
            </w:r>
          </w:hyperlink>
          <w:hyperlink w:anchor="_heading=h.94yvqzyqjzrs">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jfhpwjb0kyje">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5.4 TOWS Analysis (550 words)</w:t>
              <w:tab/>
              <w:t xml:space="preserve">12</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wlhufaohanl">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Summary of TOWS Analysis</w:t>
            </w:r>
          </w:hyperlink>
          <w:hyperlink w:anchor="_heading=h.wlhufaohanl">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13</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bty0z0ranlu8">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 xml:space="preserve">6. Recommendations and Change Management</w:t>
              <w:tab/>
              <w:t xml:space="preserve">14</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j22378rcdim3">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6.1 Recommendations (1000 words)</w:t>
            </w:r>
          </w:hyperlink>
          <w:hyperlink w:anchor="_heading=h.j22378rcdim3">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1ftbgyjopqap">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Recommendation 1: Upgrade Operational Technology Systems</w:t>
            </w:r>
          </w:hyperlink>
          <w:hyperlink w:anchor="_heading=h.1ftbgyjopqap">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w24hxk3ln1xk">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Recommendation 2: Comprehensive Staff Training and Development Program</w:t>
            </w:r>
          </w:hyperlink>
          <w:hyperlink w:anchor="_heading=h.w24hxk3ln1xk">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a73iakjjuwz4">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Recommendation 3: Implementation of an Online Reputation Management Strategy</w:t>
            </w:r>
          </w:hyperlink>
          <w:hyperlink w:anchor="_heading=h.a73iakjjuwz4">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45n41dfy0oj">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Recommendation 4: Enhance Sustainability Initiatives</w:t>
            </w:r>
          </w:hyperlink>
          <w:hyperlink w:anchor="_heading=h.45n41dfy0oj">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o3uxgdnfmfd8">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Recommendation 5: Strengthening Employee Engagement Initiatives</w:t>
            </w:r>
          </w:hyperlink>
          <w:hyperlink w:anchor="_heading=h.o3uxgdnfmfd8">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5xx4kk4zxylj">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Recommendation 6: Strategic Cost Control Initiatives</w:t>
            </w:r>
          </w:hyperlink>
          <w:hyperlink w:anchor="_heading=h.5xx4kk4zxylj">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681p56qb7oo5">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Recommendation 7: Targeted Digital Marketing Strategy</w:t>
            </w:r>
          </w:hyperlink>
          <w:hyperlink w:anchor="_heading=h.681p56qb7oo5">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18</w:t>
            </w:r>
          </w:hyperlink>
          <w:r w:rsidDel="00000000" w:rsidR="00000000" w:rsidRPr="00000000">
            <w:rPr>
              <w:rtl w:val="0"/>
            </w:rPr>
          </w:r>
        </w:p>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7ljlpq7mhj46">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6.2 Implementation Plan (700 words)</w:t>
              <w:tab/>
              <w:t xml:space="preserve">18</w:t>
            </w:r>
          </w:hyperlink>
          <w:r w:rsidDel="00000000" w:rsidR="00000000" w:rsidRPr="00000000">
            <w:rPr>
              <w:rtl w:val="0"/>
            </w:rPr>
          </w:r>
        </w:p>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6hikhgt9k0cv">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Recommendation 1: Upgrade Operational Technology Systems</w:t>
            </w:r>
          </w:hyperlink>
          <w:hyperlink w:anchor="_heading=h.6hikhgt9k0cv">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19</w:t>
            </w:r>
          </w:hyperlink>
          <w:r w:rsidDel="00000000" w:rsidR="00000000" w:rsidRPr="00000000">
            <w:rPr>
              <w:rtl w:val="0"/>
            </w:rPr>
          </w:r>
        </w:p>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exrxjof0ntr0">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Recommendation 2: Comprehensive Staff Training and Development</w:t>
            </w:r>
          </w:hyperlink>
          <w:hyperlink w:anchor="_heading=h.exrxjof0ntr0">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19</w:t>
            </w:r>
          </w:hyperlink>
          <w:r w:rsidDel="00000000" w:rsidR="00000000" w:rsidRPr="00000000">
            <w:rPr>
              <w:rtl w:val="0"/>
            </w:rPr>
          </w:r>
        </w:p>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qbjpq7sdljmb">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Recommendation 3: Online Reputation Management Strategy</w:t>
            </w:r>
          </w:hyperlink>
          <w:hyperlink w:anchor="_heading=h.qbjpq7sdljmb">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19</w:t>
            </w:r>
          </w:hyperlink>
          <w:r w:rsidDel="00000000" w:rsidR="00000000" w:rsidRPr="00000000">
            <w:rPr>
              <w:rtl w:val="0"/>
            </w:rPr>
          </w:r>
        </w:p>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xdpofvig9hwc">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Recommendation 4: Enhance Sustainability Initiatives</w:t>
            </w:r>
          </w:hyperlink>
          <w:hyperlink w:anchor="_heading=h.xdpofvig9hwc">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20</w:t>
            </w:r>
          </w:hyperlink>
          <w:r w:rsidDel="00000000" w:rsidR="00000000" w:rsidRPr="00000000">
            <w:rPr>
              <w:rtl w:val="0"/>
            </w:rPr>
          </w:r>
        </w:p>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di631ic4cqnk">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Recommendation 5: Strengthening Employee Engagement Initiatives</w:t>
            </w:r>
          </w:hyperlink>
          <w:hyperlink w:anchor="_heading=h.di631ic4cqnk">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20</w:t>
            </w:r>
          </w:hyperlink>
          <w:r w:rsidDel="00000000" w:rsidR="00000000" w:rsidRPr="00000000">
            <w:rPr>
              <w:rtl w:val="0"/>
            </w:rPr>
          </w:r>
        </w:p>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otg4ja24xz8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Recommendation 6: Strategic Cost Control Initiatives</w:t>
            </w:r>
          </w:hyperlink>
          <w:hyperlink w:anchor="_heading=h.otg4ja24xz8r">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20</w:t>
            </w:r>
          </w:hyperlink>
          <w:r w:rsidDel="00000000" w:rsidR="00000000" w:rsidRPr="00000000">
            <w:rPr>
              <w:rtl w:val="0"/>
            </w:rPr>
          </w:r>
        </w:p>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nntjgoj2h722">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Recommendation 7: Targeted Digital Marketing Strategy</w:t>
            </w:r>
          </w:hyperlink>
          <w:hyperlink w:anchor="_heading=h.nntjgoj2h722">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20</w:t>
            </w:r>
          </w:hyperlink>
          <w:r w:rsidDel="00000000" w:rsidR="00000000" w:rsidRPr="00000000">
            <w:rPr>
              <w:rtl w:val="0"/>
            </w:rPr>
          </w:r>
        </w:p>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4fw6de1gkm2m">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6.3 Change Management Strategies (500 words)</w:t>
              <w:tab/>
              <w:t xml:space="preserve">21</w:t>
            </w:r>
          </w:hyperlink>
          <w:r w:rsidDel="00000000" w:rsidR="00000000" w:rsidRPr="00000000">
            <w:rPr>
              <w:rtl w:val="0"/>
            </w:rPr>
          </w:r>
        </w:p>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g8awurgvcqx2">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6.4 Measuring Impact (400 words)</w:t>
              <w:tab/>
              <w:t xml:space="preserve">22</w:t>
            </w:r>
          </w:hyperlink>
          <w:r w:rsidDel="00000000" w:rsidR="00000000" w:rsidRPr="00000000">
            <w:rPr>
              <w:rtl w:val="0"/>
            </w:rPr>
          </w:r>
        </w:p>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kxn22x76a78o">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Defined KPIs:</w:t>
            </w:r>
          </w:hyperlink>
          <w:hyperlink w:anchor="_heading=h.kxn22x76a78o">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22</w:t>
            </w:r>
          </w:hyperlink>
          <w:r w:rsidDel="00000000" w:rsidR="00000000" w:rsidRPr="00000000">
            <w:rPr>
              <w:rtl w:val="0"/>
            </w:rPr>
          </w:r>
        </w:p>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4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efvsrvvd8jyl">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Measurement and Evaluation Timeline:</w:t>
            </w:r>
          </w:hyperlink>
          <w:hyperlink w:anchor="_heading=h.efvsrvvd8jyl">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23</w:t>
            </w:r>
          </w:hyperlink>
          <w:r w:rsidDel="00000000" w:rsidR="00000000" w:rsidRPr="00000000">
            <w:rPr>
              <w:rtl w:val="0"/>
            </w:rPr>
          </w:r>
        </w:p>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pymkjetbwprw">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 xml:space="preserve">7. Action Plan</w:t>
              <w:tab/>
              <w:t xml:space="preserve">24</w:t>
            </w:r>
          </w:hyperlink>
          <w:r w:rsidDel="00000000" w:rsidR="00000000" w:rsidRPr="00000000">
            <w:rPr>
              <w:rtl w:val="0"/>
            </w:rPr>
          </w:r>
        </w:p>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1uv134ul7iwy">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 xml:space="preserve">8. Conclusion</w:t>
              <w:tab/>
              <w:t xml:space="preserve">26</w:t>
            </w:r>
          </w:hyperlink>
          <w:r w:rsidDel="00000000" w:rsidR="00000000" w:rsidRPr="00000000">
            <w:rPr>
              <w:rtl w:val="0"/>
            </w:rPr>
          </w:r>
        </w:p>
        <w:p w:rsidR="00000000" w:rsidDel="00000000" w:rsidP="00000000" w:rsidRDefault="00000000" w:rsidRPr="00000000" w14:paraId="0000006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pStyle w:val="Heading1"/>
        <w:tabs>
          <w:tab w:val="left" w:leader="none" w:pos="1181"/>
          <w:tab w:val="left" w:leader="none" w:pos="6689"/>
        </w:tabs>
        <w:rPr/>
      </w:pPr>
      <w:bookmarkStart w:colFirst="0" w:colLast="0" w:name="_heading=h.33cjrq792t4d" w:id="1"/>
      <w:bookmarkEnd w:id="1"/>
      <w:r w:rsidDel="00000000" w:rsidR="00000000" w:rsidRPr="00000000">
        <w:rPr>
          <w:b w:val="1"/>
          <w:rtl w:val="0"/>
        </w:rPr>
        <w:t xml:space="preserve">Introduction</w:t>
      </w: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Insight Hospitality Solutions, a consulting firm that uses strategic interventions and new change management methods to boost hotel performance, operational efficiency, and guest satisfaction, produced this research.   Insight Hospitality Solutions is proud of its history of creating tailored solutions that combine industry knowledge and hands-on expertise for many well-known international hotel brands.   The guest experience, operational efficiency, bottom line, and adaptability to changing hospitality situations are our top priorities (O’Neill &amp; Mattila, 2010).</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consulting report focusses on the Hilton London Paddington, a luxury hotel in central London.   The Hilton London Paddington is in a lovely Grade II listed building at 146 Praed Street, near Paddington Station.   It is known for its old-fashioned charm and modern elegance, dating back to 1854.   The hotel features 419 well-appointed rooms and suites.  Modern meeting rooms, an executive lounge, an exercise centre, and international restaurants are also available.   Location is ideal for Hilton London Paddington.  The Heathrow Express takes guests to Heathrow Airport, and the hotel is near several notable London landmarks and business districts.</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Hilton London Paddington is in a terrific location and has many resources, but guest satisfaction levels are dropping, notably for service quality and staff attentiveness.  Guest reviews on TripAdvisor and internal satisfaction surveys demonstrate this.   This puts the hotel's competitive position and brand image at danger in the highly competitive London hotel industry.   Hotel management is concerned about rising guest complaints about late room service, unresponsive front desk staff, and irregular housekeeping, which are damaging consumer loyalty and return business (Brotherton, 2023).</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Due to the gravity of this issue, Hilton London Paddington must move quickly to preserve its brand image and business.   This consulting study was contracted by the hotel's top management to objectively assess the issues influencing operational standards and guest satisfaction.</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Insight Hospitality Solutions will investigate these operational issues using proven consulting frameworks to provide Hilton London Paddington with a complete and effective solution.   First, a STEEPLED analysis will examine external factors affecting hotel service and performance.  These include societal trends, technology advancement, the economics, environmental challenges, political changes, new legislation, ethical concerns, and London hospitality market population shifts (Slattery, 2022).</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After that, a complete SWOT analysis will determine the hotel's external strengths, weaknesses, opportunities, and threats.   This strategy makes it easy to identify the hotel's strengths and weaknesses.   A TOWS study will then combine SWOT analysis data to make strategic recommendations.  These will turn shortcomings and risks into operational improvements and long-term growth.</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consulting report will also contain precise, actionable solutions to help Hilton London Paddington immediately address its issues, improving customer satisfaction, operational efficiency, and staff responsiveness.   The report will also include strong change management plans to help the hotel's management and staff implement these proposals, ensuring a smooth shift and high staff engagement (Hilton London Paddington, 2025).</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the end, the consulting business hopes to repair and improve Hilton London Paddington's hospitality reputation.  This will boost client pleasure, employee morale, operational excellence, and the hotel's competitiveness in London's fast-paced hospitality sector.   Good consulting, according to Insight Hospitality Solutions, involves working together to produce lasting changes in a firm.</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introduction explained the Hilton London Paddington's operating issue and its importance.   It also explained how Insight Hospitality Solutions will use their technique to investigate and solve the hotel's primary business issues (Andrews, 2022).</w:t>
      </w:r>
    </w:p>
    <w:p w:rsidR="00000000" w:rsidDel="00000000" w:rsidP="00000000" w:rsidRDefault="00000000" w:rsidRPr="00000000" w14:paraId="0000006E">
      <w:pPr>
        <w:spacing w:line="360" w:lineRule="auto"/>
        <w:jc w:val="both"/>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F">
      <w:pPr>
        <w:pStyle w:val="Heading1"/>
        <w:tabs>
          <w:tab w:val="left" w:leader="none" w:pos="1181"/>
          <w:tab w:val="left" w:leader="none" w:pos="6689"/>
        </w:tabs>
        <w:rPr/>
      </w:pPr>
      <w:bookmarkStart w:colFirst="0" w:colLast="0" w:name="_heading=h.pzlcmhqtzxne" w:id="2"/>
      <w:bookmarkEnd w:id="2"/>
      <w:r w:rsidDel="00000000" w:rsidR="00000000" w:rsidRPr="00000000">
        <w:rPr>
          <w:rtl w:val="0"/>
        </w:rPr>
      </w:r>
    </w:p>
    <w:p w:rsidR="00000000" w:rsidDel="00000000" w:rsidP="00000000" w:rsidRDefault="00000000" w:rsidRPr="00000000" w14:paraId="00000070">
      <w:pPr>
        <w:pStyle w:val="Heading1"/>
        <w:tabs>
          <w:tab w:val="left" w:leader="none" w:pos="1181"/>
          <w:tab w:val="left" w:leader="none" w:pos="6689"/>
        </w:tabs>
        <w:rPr/>
      </w:pPr>
      <w:r w:rsidDel="00000000" w:rsidR="00000000" w:rsidRPr="00000000">
        <w:rPr>
          <w:rtl w:val="0"/>
        </w:rPr>
      </w:r>
    </w:p>
    <w:p w:rsidR="00000000" w:rsidDel="00000000" w:rsidP="00000000" w:rsidRDefault="00000000" w:rsidRPr="00000000" w14:paraId="00000071">
      <w:pPr>
        <w:pStyle w:val="Heading1"/>
        <w:tabs>
          <w:tab w:val="left" w:leader="none" w:pos="1181"/>
          <w:tab w:val="left" w:leader="none" w:pos="6689"/>
        </w:tabs>
        <w:rPr/>
      </w:pPr>
      <w:r w:rsidDel="00000000" w:rsidR="00000000" w:rsidRPr="00000000">
        <w:rPr>
          <w:rtl w:val="0"/>
        </w:rPr>
        <w:t xml:space="preserve">5. Analysis</w:t>
      </w:r>
    </w:p>
    <w:p w:rsidR="00000000" w:rsidDel="00000000" w:rsidP="00000000" w:rsidRDefault="00000000" w:rsidRPr="00000000" w14:paraId="00000072">
      <w:pPr>
        <w:pStyle w:val="Heading3"/>
        <w:spacing w:line="360" w:lineRule="auto"/>
        <w:jc w:val="both"/>
        <w:rPr>
          <w:rFonts w:ascii="Times New Roman" w:cs="Times New Roman" w:eastAsia="Times New Roman" w:hAnsi="Times New Roman"/>
        </w:rPr>
      </w:pPr>
      <w:bookmarkStart w:colFirst="0" w:colLast="0" w:name="_heading=h.96wqunbhkodz" w:id="3"/>
      <w:bookmarkEnd w:id="3"/>
      <w:r w:rsidDel="00000000" w:rsidR="00000000" w:rsidRPr="00000000">
        <w:rPr>
          <w:rFonts w:ascii="Times New Roman" w:cs="Times New Roman" w:eastAsia="Times New Roman" w:hAnsi="Times New Roman"/>
          <w:rtl w:val="0"/>
        </w:rPr>
        <w:t xml:space="preserve">5.1 Detailed Issue Description </w:t>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Hilton London Paddington is struggling to satisfy clients due to poor service and delayed staff replies.   Late room service, sluggish front desk service, and inconsistent cleanliness are the biggest issues.   Negative TripAdvisor reviews and hotel polls have highlighted these concerns.</w:t>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Guest complaints include late room service.   In high-end hospitality, fast and competent room service is a standard requirement. This shortcoming undermines the guest experience.   Room service often takes longer than the hotel advertises, which frustrates guests.   This service interruption worsens visitors' experiences and damages the hotel's reputation for quality service (Horner &amp; Swarbrooke, 2022).</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Cleaning standards vary, worsening these issues.   Some guests have complained about room cleanliness, restocking, and hygiene.   Such disparities are unacceptable for a luxury hotel like the Hilton London Paddington, which prides itself on service and detail.   Cleanliness and hygiene affect visitors' quality and safety perceptions, which impacts customer loyalty and the hotel's image (Virtus Consult, 2020).</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These issues have a huge impact combined.   Many angry visitors are complaining about their stays online, threatening the Hilton London Paddington's reputation.   Social media and online review sites make guests' voices heard by more people, so potential customers notice any quality reduction rapidly.   Negative reviews affect the hotel's ability to compete, especially in London, where there are many easy-to-get-to options.</w:t>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financial repercussions of inefficient operations are also concerning.   Unhappy customers are less loyal and book less often, lowering occupancy and revenues.   Hilton London Paddington's operational issues could hurt its market share and revenues in a time when brand image is closely tied to profits (Aksu &amp; Topaloglu, 2021).</w:t>
      </w:r>
    </w:p>
    <w:p w:rsidR="00000000" w:rsidDel="00000000" w:rsidP="00000000" w:rsidRDefault="00000000" w:rsidRPr="00000000" w14:paraId="00000078">
      <w:pPr>
        <w:spacing w:line="360" w:lineRule="auto"/>
        <w:jc w:val="both"/>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79">
      <w:pPr>
        <w:pStyle w:val="Heading3"/>
        <w:spacing w:line="360" w:lineRule="auto"/>
        <w:jc w:val="both"/>
        <w:rPr>
          <w:rFonts w:ascii="Times New Roman" w:cs="Times New Roman" w:eastAsia="Times New Roman" w:hAnsi="Times New Roman"/>
        </w:rPr>
      </w:pPr>
      <w:bookmarkStart w:colFirst="0" w:colLast="0" w:name="_heading=h.c63fg0jwp5im" w:id="4"/>
      <w:bookmarkEnd w:id="4"/>
      <w:r w:rsidDel="00000000" w:rsidR="00000000" w:rsidRPr="00000000">
        <w:rPr>
          <w:rFonts w:ascii="Times New Roman" w:cs="Times New Roman" w:eastAsia="Times New Roman" w:hAnsi="Times New Roman"/>
          <w:rtl w:val="0"/>
        </w:rPr>
        <w:t xml:space="preserve">5.2 STEEPLED Analysis (700 words)</w:t>
      </w:r>
    </w:p>
    <w:p w:rsidR="00000000" w:rsidDel="00000000" w:rsidP="00000000" w:rsidRDefault="00000000" w:rsidRPr="00000000" w14:paraId="0000007A">
      <w:pPr>
        <w:rPr/>
      </w:pPr>
      <w:r w:rsidDel="00000000" w:rsidR="00000000" w:rsidRPr="00000000">
        <w:rPr/>
        <w:drawing>
          <wp:inline distB="0" distT="0" distL="0" distR="0">
            <wp:extent cx="5731510" cy="3321050"/>
            <wp:effectExtent b="0" l="0" r="0" t="0"/>
            <wp:docPr id="1714693454"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31510" cy="3321050"/>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following table provides a comprehensive STEEPLED analysis highlighting external factors impacting Hilton London Paddington’s operational efficiency and guest satisfaction.</w:t>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5232400" cy="6311900"/>
            <wp:effectExtent b="0" l="0" r="0" t="0"/>
            <wp:docPr id="1714693457"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5232400" cy="6311900"/>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STEEPLED investigation indicates that outside influences create Hilton London Paddington's operational issues.   Fixing problems, making customers happier, and enhancing the hotel's market position requires planning to address these factors (International Journal of Contemporary Hospitality Management, 2025).</w:t>
      </w:r>
    </w:p>
    <w:p w:rsidR="00000000" w:rsidDel="00000000" w:rsidP="00000000" w:rsidRDefault="00000000" w:rsidRPr="00000000" w14:paraId="0000007F">
      <w:pPr>
        <w:spacing w:line="360" w:lineRule="auto"/>
        <w:jc w:val="both"/>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80">
      <w:pPr>
        <w:pStyle w:val="Heading2"/>
        <w:rPr/>
      </w:pPr>
      <w:bookmarkStart w:colFirst="0" w:colLast="0" w:name="_heading=h.fois02b9ji2h" w:id="5"/>
      <w:bookmarkEnd w:id="5"/>
      <w:r w:rsidDel="00000000" w:rsidR="00000000" w:rsidRPr="00000000">
        <w:rPr>
          <w:b w:val="1"/>
          <w:rtl w:val="0"/>
        </w:rPr>
        <w:t xml:space="preserve">5.3 SWOT Analysis </w:t>
      </w:r>
      <w:r w:rsidDel="00000000" w:rsidR="00000000" w:rsidRPr="00000000">
        <w:rPr>
          <w:rtl w:val="0"/>
        </w:rPr>
      </w:r>
    </w:p>
    <w:p w:rsidR="00000000" w:rsidDel="00000000" w:rsidP="00000000" w:rsidRDefault="00000000" w:rsidRPr="00000000" w14:paraId="00000081">
      <w:pPr>
        <w:pStyle w:val="Heading3"/>
        <w:spacing w:line="360" w:lineRule="auto"/>
        <w:jc w:val="both"/>
        <w:rPr>
          <w:rFonts w:ascii="Times New Roman" w:cs="Times New Roman" w:eastAsia="Times New Roman" w:hAnsi="Times New Roman"/>
          <w:b w:val="0"/>
        </w:rPr>
      </w:pPr>
      <w:bookmarkStart w:colFirst="0" w:colLast="0" w:name="_heading=h.94yvqzyqjzrs" w:id="6"/>
      <w:bookmarkEnd w:id="6"/>
      <w:r w:rsidDel="00000000" w:rsidR="00000000" w:rsidRPr="00000000">
        <w:rPr>
          <w:rFonts w:ascii="Times New Roman" w:cs="Times New Roman" w:eastAsia="Times New Roman" w:hAnsi="Times New Roman"/>
        </w:rPr>
        <w:drawing>
          <wp:inline distB="0" distT="0" distL="0" distR="0">
            <wp:extent cx="4953000" cy="4927600"/>
            <wp:effectExtent b="0" l="0" r="0" t="0"/>
            <wp:docPr id="1714693456"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4953000" cy="4927600"/>
                    </a:xfrm>
                    <a:prstGeom prst="rect"/>
                    <a:ln/>
                  </pic:spPr>
                </pic:pic>
              </a:graphicData>
            </a:graphic>
          </wp:inline>
        </w:drawing>
      </w:r>
      <w:r w:rsidDel="00000000" w:rsidR="00000000" w:rsidRPr="00000000">
        <w:rPr>
          <w:rtl w:val="0"/>
        </w:rPr>
      </w:r>
    </w:p>
    <w:p w:rsidR="00000000" w:rsidDel="00000000" w:rsidP="00000000" w:rsidRDefault="00000000" w:rsidRPr="00000000" w14:paraId="00000082">
      <w:pPr>
        <w:pStyle w:val="Heading3"/>
        <w:spacing w:line="360" w:lineRule="auto"/>
        <w:jc w:val="both"/>
        <w:rPr>
          <w:rFonts w:ascii="Times New Roman" w:cs="Times New Roman" w:eastAsia="Times New Roman" w:hAnsi="Times New Roman"/>
          <w:b w:val="0"/>
        </w:rPr>
      </w:pPr>
      <w:r w:rsidDel="00000000" w:rsidR="00000000" w:rsidRPr="00000000">
        <w:rPr>
          <w:rtl w:val="0"/>
        </w:rPr>
      </w:r>
    </w:p>
    <w:p w:rsidR="00000000" w:rsidDel="00000000" w:rsidP="00000000" w:rsidRDefault="00000000" w:rsidRPr="00000000" w14:paraId="00000083">
      <w:pPr>
        <w:pStyle w:val="Heading3"/>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b w:val="0"/>
          <w:rtl w:val="0"/>
        </w:rPr>
        <w:t xml:space="preserve">Summary of SWOT Analysis</w:t>
      </w:r>
      <w:r w:rsidDel="00000000" w:rsidR="00000000" w:rsidRPr="00000000">
        <w:rPr>
          <w:rtl w:val="0"/>
        </w:rPr>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Hilton London Paddington's central position, public transport accessibility, and historical significance are its strengths.   Hilton's worldwide reputation boosts the hotel's market profile and client trust.   Inefficient operations, obsolete technologies, and staff response lower visitor satisfaction, weakening their assets (Bowie et al., 2022).</w:t>
      </w:r>
    </w:p>
    <w:p w:rsidR="00000000" w:rsidDel="00000000" w:rsidP="00000000" w:rsidRDefault="00000000" w:rsidRPr="00000000" w14:paraId="00000085">
      <w:pPr>
        <w:spacing w:line="360" w:lineRule="auto"/>
        <w:jc w:val="both"/>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86">
      <w:pPr>
        <w:pStyle w:val="Heading2"/>
        <w:rPr>
          <w:b w:val="1"/>
        </w:rPr>
      </w:pPr>
      <w:bookmarkStart w:colFirst="0" w:colLast="0" w:name="_heading=h.jfhpwjb0kyje" w:id="7"/>
      <w:bookmarkEnd w:id="7"/>
      <w:r w:rsidDel="00000000" w:rsidR="00000000" w:rsidRPr="00000000">
        <w:rPr>
          <w:b w:val="1"/>
          <w:rtl w:val="0"/>
        </w:rPr>
        <w:t xml:space="preserve">5.4 TOWS Analysis (550 words)</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pStyle w:val="Heading3"/>
        <w:spacing w:line="360" w:lineRule="auto"/>
        <w:jc w:val="both"/>
        <w:rPr>
          <w:rFonts w:ascii="Times New Roman" w:cs="Times New Roman" w:eastAsia="Times New Roman" w:hAnsi="Times New Roman"/>
          <w:b w:val="0"/>
        </w:rPr>
      </w:pPr>
      <w:bookmarkStart w:colFirst="0" w:colLast="0" w:name="_heading=h.wlhufaohanl" w:id="8"/>
      <w:bookmarkEnd w:id="8"/>
      <w:r w:rsidDel="00000000" w:rsidR="00000000" w:rsidRPr="00000000">
        <w:rPr>
          <w:rtl w:val="0"/>
        </w:rPr>
      </w:r>
    </w:p>
    <w:p w:rsidR="00000000" w:rsidDel="00000000" w:rsidP="00000000" w:rsidRDefault="00000000" w:rsidRPr="00000000" w14:paraId="00000089">
      <w:pPr>
        <w:rPr/>
      </w:pPr>
      <w:r w:rsidDel="00000000" w:rsidR="00000000" w:rsidRPr="00000000">
        <w:rPr/>
        <w:drawing>
          <wp:inline distB="0" distT="0" distL="0" distR="0">
            <wp:extent cx="4724400" cy="4940300"/>
            <wp:effectExtent b="0" l="0" r="0" t="0"/>
            <wp:docPr id="1714693459"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4724400" cy="4940300"/>
                    </a:xfrm>
                    <a:prstGeom prst="rect"/>
                    <a:ln/>
                  </pic:spPr>
                </pic:pic>
              </a:graphicData>
            </a:graphic>
          </wp:inline>
        </w:drawing>
      </w: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pStyle w:val="Heading2"/>
        <w:rPr/>
      </w:pPr>
      <w:r w:rsidDel="00000000" w:rsidR="00000000" w:rsidRPr="00000000">
        <w:rPr>
          <w:b w:val="1"/>
          <w:rtl w:val="0"/>
        </w:rPr>
        <w:t xml:space="preserve">PESTLE Analysis </w:t>
      </w:r>
      <w:r w:rsidDel="00000000" w:rsidR="00000000" w:rsidRPr="00000000">
        <w:rPr>
          <w:rtl w:val="0"/>
        </w:rPr>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PESTLE system determines how external influences affect Hilton London Paddington.   This analysis helps the consulting firm understand how societal trends affect the hotel's business and identify outside pressures that require clever solutions.</w:t>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Political Factors: Brexit policy changes affected Hilton London Paddington and other UK hotels.   These changes make it tougher to hire EU workers, resulting in a labour shortage and increased wages.   Political uncertainty, such as trade and immigration rule changes, has also impeded workforce planning.   The COVID-19 epidemic has tightened health and safety regulations, giving the hotel extra responsibilities (Suh et al., 2012).</w:t>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UK economy is still experiencing inflation, which has raised prices for products, services, and wages.   As consumers become increasingly budget aware, hotels must discover ways to maintain great service levels at reasonable costs.   However, the weaker British pound has made London more appealing to foreign tourists, particularly Americans and Asians.   Hilton London Paddington, which is central and accessible from the station, may capitalise on this trend.</w:t>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Hospitality clients' needs are evolving due to social considerations.   Guests desire faster, smoother, tech-heavy services.   Hotel guests now value personalisation, eco-friendliness, and cleanliness.   Even if the epidemic is over, sanitation and safety are crucial.   Hilton London Paddington must also serve a diverse cultural population, thus all services must be inviting and workers must be trained in cultural awareness (Deloitte, 2024).</w:t>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Technology: The hotel business is digitising fast.   Many of our competitors provide smartphone check-ins, smart room technologies, and speedy staff communication.   Hilton London Paddington hasn't adapted, slowing operations.   New technologies like unified property management systems are needed to satisfy today's guests.</w:t>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Legal Issues: Hotels must observe GDPR data security requirements.   Hilton must protect visitor data, especially as digital systems become more common.   Other legal factors include job, health, and safety laws, event licensing, and alcohol sales.   Not following these standards might hurt your image and finances (Kim et al., 2022).</w:t>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Environmental factors: People and government officials value environmental protection.   More travellers are choosing eco-friendly hotels that reduce litter, use less energy, and use sustainable suppliers.   Hotels are under increasing pressure to achieve UK government Net Zero 2050 standards.   Hilton London Paddington must develop and promote sustainability measures to remain competitive and significant.</w:t>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5731510" cy="4364355"/>
            <wp:effectExtent b="0" l="0" r="0" t="0"/>
            <wp:docPr id="1714693458"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5731510" cy="4364355"/>
                    </a:xfrm>
                    <a:prstGeom prst="rect"/>
                    <a:ln/>
                  </pic:spPr>
                </pic:pic>
              </a:graphicData>
            </a:graphic>
          </wp:inline>
        </w:drawing>
      </w:r>
      <w:r w:rsidDel="00000000" w:rsidR="00000000" w:rsidRPr="00000000">
        <w:rPr>
          <w:rtl w:val="0"/>
        </w:rPr>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SWOT analysis </w:t>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Hilton London Paddington's SWOT analysis illustrates its strengths, weaknesses, and external opportunities and threats.   This helps visualise the hotel's market position (StudyCorgi, 2021).</w:t>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One of the Hilton London Paddington's strengths is its location.   It is adjacent to Paddington Station and convenient to Heathrow Airport via the Heathrow Express.  Many downtown London attractions and economic districts are nearby.   Hilton has a great loyalty program, global reputation, and consistent brand standards.   The Grade II-listed building lends the hotel character and charm.   The hotel can host large parties and business meetings with 419 rooms and event space.</w:t>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Despite its benefits, the hotel has several issues.   Old technology reduces service efficiency.   Guests complain about late room service and delayed front desk service.   Different housekeeping standards contribute to online negative evaluations.   Due to understaffing and poor training and recognition, employee satisfaction is low.   The hotel doesn't invest enough in internet marketing, therefore it can't reach as many young visitors and foreigners.   These issues are lowering visitor satisfaction and damaging the hotel's brand (Gannon et al., 2022).</w:t>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Chances: Hilton London Paddington features several great opportunities.   Technology updates improve guest experiences and operations.   Starting sustainability efforts like building energy-efficient technology, reducing waste, and acquiring eco-certification might attract environmentally conscious customers.   Working with influencers and launching social media campaigns may increase interest.   The return of business travel and events allows the hotel to boost its MICE business.</w:t>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Dangers:</w:t>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Many hotels in London offer modern amenities and new ways to enjoy their stay, making the market competitive.   Labour, utilities, and supply costs are rising, which might harm profits.   Brexit's long-term implications, such a decreased workforce, worsen staffing issues.   Revenue and occupancy may drop if the economy worsens or fewer individuals migrate overseas.   Bad website reviews may drive guests to a competitor, harming the hotel's online reputation (Sánchez-Rebull et al., 2021).</w:t>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TOWS analysis (550 words)</w:t>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TOWS matrix translates SWOT analysis into actionable strategies.  It shows Hilton London Paddington how to use its strengths to grasp opportunities and protect itself from threats while focused on its shortcomings to reduce risks.</w:t>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Using strengths to maximise possibilities (SO Strategies): The hotel should use its position and brand to encourage new eco-friendly activities.   Market the area's history and eco-friendliness to attract eco-conscious tourists.   Hilton Paddington can differentiate itself as a high-end, up-to-date choice by adopting smart technology and advertising them online (Baum, 2021).</w:t>
      </w:r>
    </w:p>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Strengths to Counter Threats (ST Strategies): To compete with additional hotels, the hotel should emphasise its historic heritage and convenient proximity to Heathrow, targeting international business and leisure tourists.   Hilton's loyalty program and global brand recognition can help the hotel retain customers in a crowded industry.   Giving loyal customers exclusive incentives may give you an edge.</w:t>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improve inefficient operations, prioritise technology changes.   A new property management system will improve employee communication and performance.   Organised training programs boost morale, work quality, and retention.   The hotel should also strengthen its social media profile to reach digital native tourists who book based on reviews and photos (Riley, 2021).</w:t>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Remove weaknesses to decrease threats (WT strategies):  To combat rising costs and a labour shortage, Hilton London Paddington must streamline.   You'll keep staff and improve service by investing in their engagement and advancement.   Updating staff regulations and making promotion explicit helps reduce employee unhappiness.   Meanwhile, the hotel should monitor online reviews and move promptly to improve its reputation.</w:t>
      </w:r>
    </w:p>
    <w:p w:rsidR="00000000" w:rsidDel="00000000" w:rsidP="00000000" w:rsidRDefault="00000000" w:rsidRPr="00000000" w14:paraId="000000A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Combining PESTLE, SWOT, and TOWS studies provides a comprehensive view of Hilton London Paddington's current and future status.   Outside influences including rising costs, digital expectations, and sustainability calls necessitate strategic response.   Internally, the hotel needs to repair inconsistent service, obsolete systems, and unmotivated staff (Pizam, 2022).</w:t>
      </w:r>
    </w:p>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Despite these issues, Hilton London Paddington offers a wonderful location, a global brand, and historical significance.   Technology, staff training, digital marketing, and green practices can boost visitor satisfaction, operational efficiency, and long-term earnings at the hotel.</w:t>
      </w:r>
    </w:p>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TOWS study helps the hotel strategically integrate its strengths, opportunities, and improvement areas.   These insights will help Hilton London Paddington make future decisions that satisfy contemporary hospitality standards and reclaim its central London market leadership (Agarwal &amp; Dev, 2022).</w:t>
      </w:r>
    </w:p>
    <w:p w:rsidR="00000000" w:rsidDel="00000000" w:rsidP="00000000" w:rsidRDefault="00000000" w:rsidRPr="00000000" w14:paraId="000000A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 TOWS analysis sketch</w:t>
      </w:r>
    </w:p>
    <w:p w:rsidR="00000000" w:rsidDel="00000000" w:rsidP="00000000" w:rsidRDefault="00000000" w:rsidRPr="00000000" w14:paraId="000000A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TOWS analyses Hilton London Paddington's SWOT results to create actionable strategies.  These strategies capitalise on the company's external strengths and opportunities while addressing its weaknesses and decreasing external dangers.</w:t>
      </w:r>
    </w:p>
    <w:p w:rsidR="00000000" w:rsidDel="00000000" w:rsidP="00000000" w:rsidRDefault="00000000" w:rsidRPr="00000000" w14:paraId="000000A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 Strategies capitalises on the hotel's exceptional location, historical appeal, and strong brand.   Hilton Paddington may boost its market value and attract youthful, tech-savvy, eco-conscious tourists by adopting current technology, focused marketing, and eco-friendly practises (Robinson et al., 2022).</w:t>
      </w:r>
    </w:p>
    <w:p w:rsidR="00000000" w:rsidDel="00000000" w:rsidP="00000000" w:rsidRDefault="00000000" w:rsidRPr="00000000" w14:paraId="000000A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WO Strategies suggests the hotel invest heavily in current technological infrastructure and staff training to solve its business issues.   These techniques aim to eliminate inefficient service, boost visitor satisfaction, and respond to negative internet criticism to restore brand equity.</w:t>
      </w:r>
    </w:p>
    <w:p w:rsidR="00000000" w:rsidDel="00000000" w:rsidP="00000000" w:rsidRDefault="00000000" w:rsidRPr="00000000" w14:paraId="000000A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 Strategies says Hilton Paddington's excellent market position and well-known name protect it against local competition and economic shifts.   Focused marketing on the hotel's unique heritage and simplicity of use can help it compete even when outside factors are bad (Aksu &amp; Topaloglu, 2021).</w:t>
      </w:r>
    </w:p>
    <w:p w:rsidR="00000000" w:rsidDel="00000000" w:rsidP="00000000" w:rsidRDefault="00000000" w:rsidRPr="00000000" w14:paraId="000000A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tactics are crucial because they address internal vulnerabilities and external threats simultaneously.   Hilton London Paddington can endure economic and regulatory pressures without hurting business.  They achieve this by proactively retaining staff and cutting costs intentionally.  This guarantees long-term operation and servicing.   Publicly handling visitor complaints and improving online reputation management will repair guest trust and strengthen the brand.</w:t>
      </w:r>
    </w:p>
    <w:p w:rsidR="00000000" w:rsidDel="00000000" w:rsidP="00000000" w:rsidRDefault="00000000" w:rsidRPr="00000000" w14:paraId="000000B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These well-thought-out ideas will help Hilton London Paddington solve its current issues, make guests happier, run the business more efficiently, and make more money in London's fast-paced, competitive hotel industry (Wirtz &amp; Lovelock, 2022).</w:t>
      </w:r>
    </w:p>
    <w:p w:rsidR="00000000" w:rsidDel="00000000" w:rsidP="00000000" w:rsidRDefault="00000000" w:rsidRPr="00000000" w14:paraId="000000B1">
      <w:pPr>
        <w:pStyle w:val="Heading1"/>
        <w:tabs>
          <w:tab w:val="left" w:leader="none" w:pos="1181"/>
          <w:tab w:val="left" w:leader="none" w:pos="6689"/>
        </w:tabs>
        <w:rPr>
          <w:sz w:val="96"/>
          <w:szCs w:val="96"/>
        </w:rPr>
      </w:pPr>
      <w:bookmarkStart w:colFirst="0" w:colLast="0" w:name="_heading=h.bty0z0ranlu8" w:id="9"/>
      <w:bookmarkEnd w:id="9"/>
      <w:r w:rsidDel="00000000" w:rsidR="00000000" w:rsidRPr="00000000">
        <w:rPr>
          <w:b w:val="1"/>
          <w:rtl w:val="0"/>
        </w:rPr>
        <w:t xml:space="preserve">6. Recommendations and Change Management</w:t>
      </w:r>
      <w:r w:rsidDel="00000000" w:rsidR="00000000" w:rsidRPr="00000000">
        <w:rPr>
          <w:rtl w:val="0"/>
        </w:rPr>
      </w:r>
    </w:p>
    <w:p w:rsidR="00000000" w:rsidDel="00000000" w:rsidP="00000000" w:rsidRDefault="00000000" w:rsidRPr="00000000" w14:paraId="000000B2">
      <w:pPr>
        <w:pStyle w:val="Heading3"/>
        <w:spacing w:line="360" w:lineRule="auto"/>
        <w:jc w:val="both"/>
        <w:rPr>
          <w:rFonts w:ascii="Times New Roman" w:cs="Times New Roman" w:eastAsia="Times New Roman" w:hAnsi="Times New Roman"/>
        </w:rPr>
      </w:pPr>
      <w:bookmarkStart w:colFirst="0" w:colLast="0" w:name="_heading=h.j22378rcdim3" w:id="10"/>
      <w:bookmarkEnd w:id="10"/>
      <w:r w:rsidDel="00000000" w:rsidR="00000000" w:rsidRPr="00000000">
        <w:rPr>
          <w:rFonts w:ascii="Times New Roman" w:cs="Times New Roman" w:eastAsia="Times New Roman" w:hAnsi="Times New Roman"/>
          <w:b w:val="0"/>
          <w:rtl w:val="0"/>
        </w:rPr>
        <w:t xml:space="preserve">6.1 Recommendations </w:t>
      </w:r>
      <w:r w:rsidDel="00000000" w:rsidR="00000000" w:rsidRPr="00000000">
        <w:rPr>
          <w:rtl w:val="0"/>
        </w:rPr>
      </w:r>
    </w:p>
    <w:p w:rsidR="00000000" w:rsidDel="00000000" w:rsidP="00000000" w:rsidRDefault="00000000" w:rsidRPr="00000000" w14:paraId="000000B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After a thorough Hilton London Paddington investigation, several clear, actionable, and strategic recommendations were given.   Each recommendation tackles a hotel operational problem identified in the investigation.  These include declining client satisfaction, inefficient operations, and low staff morale.</w:t>
      </w:r>
    </w:p>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Initial suggestion: enhance operational technologies.</w:t>
      </w:r>
    </w:p>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first recommendation addresses Hilton London Paddington's antiquated technical infrastructure, which slows room service, front desk personnel reaction, and housekeeping.   By purchasing innovative hospitality management software like Oracle Hospitality Opera Cloud, the hotel may improve operations, department communication, and guest relations (Cetin &amp; Walls, 2016).</w:t>
      </w:r>
    </w:p>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cause:</w:t>
      </w:r>
    </w:p>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STEEPLED survey found that guests want more tech-enabled services.   A new cloud-based system will allow teams to communicate instantly, reducing room service and housekeeping delays.   These adjustments improve guest satisfaction and operational efficiency.</w:t>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Positives:</w:t>
      </w:r>
    </w:p>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Reduce guest wait times for requests.</w:t>
      </w:r>
    </w:p>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Better departmental planning and communication.</w:t>
      </w:r>
    </w:p>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Digital services like smartphone check-in and fast feedback improve guest experiences (Cetin &amp; Walls, 2016).</w:t>
      </w:r>
    </w:p>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Estimated cost:</w:t>
      </w:r>
    </w:p>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£150,000 initial investment; £2,000 monthly expenditures.</w:t>
      </w:r>
    </w:p>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Recommended 2: A comprehensive staff training and development program</w:t>
      </w:r>
    </w:p>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Fixing the front desk's responsiveness and housekeeping's unequal standards requires a comprehensive training program.   Customer service, problem-solving, cultural competence, and operational standards should be taught.</w:t>
      </w:r>
    </w:p>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cause:</w:t>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Feedback revealed major issues with worker speed and service quality.   The SWOT analysis showed that staff skills needed to be upgraded to maximise the hotel's location and brand image (Claver-Cortés et al., 2021).</w:t>
      </w:r>
    </w:p>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Positives:</w:t>
      </w:r>
    </w:p>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Increased service quality stability.</w:t>
      </w:r>
    </w:p>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Guest satisfaction increases with better experiences.</w:t>
      </w:r>
    </w:p>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Staff trust and motivation increased, improving morale and retention.</w:t>
      </w:r>
    </w:p>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Estimated cost:</w:t>
      </w:r>
    </w:p>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External trainers and equipment will cost £50,000 initially, and £10,000 annually for training.</w:t>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Third, develop an online reputation management approach.</w:t>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hotel should monitor its internet image, reply positively to guest comments, and actively encourage satisfied customers to submit reviews.   Use TrustYou or ReviewPro to monitor and analyse your reputation (Jauhari, 2017).</w:t>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cause:</w:t>
      </w:r>
    </w:p>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SWOT analysis showed that bad online reviews are a major threat because they directly affect how potential customers view your business and how competitive the market is. If the hotel handles online feedback well, it will improve its image, leading to more bookings and customer loyalty.</w:t>
      </w:r>
    </w:p>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Positives:</w:t>
      </w:r>
    </w:p>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Identify and resolve guest issues immediately.</w:t>
      </w:r>
    </w:p>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Increased online company recognition and bookings.</w:t>
      </w:r>
    </w:p>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Openness and involvement improve guest relations.</w:t>
      </w:r>
    </w:p>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Estimated cost:</w:t>
      </w:r>
    </w:p>
    <w:p w:rsidR="00000000" w:rsidDel="00000000" w:rsidP="00000000" w:rsidRDefault="00000000" w:rsidRPr="00000000" w14:paraId="000000D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Membership fees are £1,500 each month, and business expenditures are low (Riley, 2021).</w:t>
      </w:r>
    </w:p>
    <w:p w:rsidR="00000000" w:rsidDel="00000000" w:rsidP="00000000" w:rsidRDefault="00000000" w:rsidRPr="00000000" w14:paraId="000000D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Tip 4: Strengthen sustainability initiatives</w:t>
      </w:r>
    </w:p>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Hilton London Paddington should strengthen its environmental credentials to attract eco-conscious guests.   Lighting that uses less energy, waste reduction programs, water-saving fixtures, and encouraging sustainable food and drink at the hotel are examples.</w:t>
      </w:r>
    </w:p>
    <w:p w:rsidR="00000000" w:rsidDel="00000000" w:rsidP="00000000" w:rsidRDefault="00000000" w:rsidRPr="00000000" w14:paraId="000000D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cause:</w:t>
      </w:r>
    </w:p>
    <w:p w:rsidR="00000000" w:rsidDel="00000000" w:rsidP="00000000" w:rsidRDefault="00000000" w:rsidRPr="00000000" w14:paraId="000000D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STEEPLED survey found that respondents desire greener hotel management.   Hilton Paddington will separate out from its competitors and attract more environmentally conscious clients by taking visible environmental actions (Chen, 2023).</w:t>
      </w:r>
    </w:p>
    <w:p w:rsidR="00000000" w:rsidDel="00000000" w:rsidP="00000000" w:rsidRDefault="00000000" w:rsidRPr="00000000" w14:paraId="000000D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Positives:</w:t>
      </w:r>
    </w:p>
    <w:p w:rsidR="00000000" w:rsidDel="00000000" w:rsidP="00000000" w:rsidRDefault="00000000" w:rsidRPr="00000000" w14:paraId="000000D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More marketable and distinguishes the company.</w:t>
      </w:r>
    </w:p>
    <w:p w:rsidR="00000000" w:rsidDel="00000000" w:rsidP="00000000" w:rsidRDefault="00000000" w:rsidRPr="00000000" w14:paraId="000000D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Potential cost reductions from resource optimisation.</w:t>
      </w:r>
    </w:p>
    <w:p w:rsidR="00000000" w:rsidDel="00000000" w:rsidP="00000000" w:rsidRDefault="00000000" w:rsidRPr="00000000" w14:paraId="000000D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 Better company image by stating sustainability commitment.</w:t>
      </w:r>
    </w:p>
    <w:p w:rsidR="00000000" w:rsidDel="00000000" w:rsidP="00000000" w:rsidRDefault="00000000" w:rsidRPr="00000000" w14:paraId="000000D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Estimated cost:</w:t>
      </w:r>
    </w:p>
    <w:p w:rsidR="00000000" w:rsidDel="00000000" w:rsidP="00000000" w:rsidRDefault="00000000" w:rsidRPr="00000000" w14:paraId="000000D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will cost £75,000 initially, but you should save on energy and materials within two years.</w:t>
      </w:r>
    </w:p>
    <w:p w:rsidR="00000000" w:rsidDel="00000000" w:rsidP="00000000" w:rsidRDefault="00000000" w:rsidRPr="00000000" w14:paraId="000000D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Fifth suggestion: Strengthening employee engagement efforts</w:t>
      </w:r>
    </w:p>
    <w:p w:rsidR="00000000" w:rsidDel="00000000" w:rsidP="00000000" w:rsidRDefault="00000000" w:rsidRPr="00000000" w14:paraId="000000D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Employee insecurity was a serious issue.   To solve this, regular employee appreciation days, stronger internal communication, and clear career advancement pathways should be implemented (Cetin &amp; Walls, 2016).</w:t>
      </w:r>
    </w:p>
    <w:p w:rsidR="00000000" w:rsidDel="00000000" w:rsidP="00000000" w:rsidRDefault="00000000" w:rsidRPr="00000000" w14:paraId="000000D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cause:</w:t>
      </w:r>
    </w:p>
    <w:p w:rsidR="00000000" w:rsidDel="00000000" w:rsidP="00000000" w:rsidRDefault="00000000" w:rsidRPr="00000000" w14:paraId="000000D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study indicated that low employee confidence caused operational issues and unhappy guests.   Dedicated engagement techniques that address employee problems will drive and dedicate employees to give high-quality service.</w:t>
      </w:r>
    </w:p>
    <w:p w:rsidR="00000000" w:rsidDel="00000000" w:rsidP="00000000" w:rsidRDefault="00000000" w:rsidRPr="00000000" w14:paraId="000000E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Positives:</w:t>
      </w:r>
    </w:p>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Increased worker productivity and satisfaction.</w:t>
      </w:r>
    </w:p>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Reduced employee turnover and hiring costs.</w:t>
      </w:r>
    </w:p>
    <w:p w:rsidR="00000000" w:rsidDel="00000000" w:rsidP="00000000" w:rsidRDefault="00000000" w:rsidRPr="00000000" w14:paraId="000000E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Since personnel are driven, guests receive greater service.</w:t>
      </w:r>
    </w:p>
    <w:p w:rsidR="00000000" w:rsidDel="00000000" w:rsidP="00000000" w:rsidRDefault="00000000" w:rsidRPr="00000000" w14:paraId="000000E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Estimated cost:</w:t>
      </w:r>
    </w:p>
    <w:p w:rsidR="00000000" w:rsidDel="00000000" w:rsidP="00000000" w:rsidRDefault="00000000" w:rsidRPr="00000000" w14:paraId="000000E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About £30,000 a year, including bonuses, appreciation parties, and contact tools (Buhalis &amp; O’Connor, 2023).</w:t>
      </w:r>
    </w:p>
    <w:p w:rsidR="00000000" w:rsidDel="00000000" w:rsidP="00000000" w:rsidRDefault="00000000" w:rsidRPr="00000000" w14:paraId="000000E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Tip 6: Control costs strategically.</w:t>
      </w:r>
    </w:p>
    <w:p w:rsidR="00000000" w:rsidDel="00000000" w:rsidP="00000000" w:rsidRDefault="00000000" w:rsidRPr="00000000" w14:paraId="000000E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STEEPLED analysis found rising operational costs.  Hilton London Paddington should target labour, utilities, and compliance costs to prevent this.   Renegotiating supplier contracts, investing in energy-efficient technologies, and adopting digital solutions to simplify everyday work are some of the things being done.</w:t>
      </w:r>
    </w:p>
    <w:p w:rsidR="00000000" w:rsidDel="00000000" w:rsidP="00000000" w:rsidRDefault="00000000" w:rsidRPr="00000000" w14:paraId="000000E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cause:</w:t>
      </w:r>
    </w:p>
    <w:p w:rsidR="00000000" w:rsidDel="00000000" w:rsidP="00000000" w:rsidRDefault="00000000" w:rsidRPr="00000000" w14:paraId="000000E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Operating costs must be controlled due to the unpredictable economy and Brexit demands.   Cost optimisation helps organisations stay profitable without sacrificing quality (Aksu &amp; Topaloglu, 2021).</w:t>
      </w:r>
    </w:p>
    <w:p w:rsidR="00000000" w:rsidDel="00000000" w:rsidP="00000000" w:rsidRDefault="00000000" w:rsidRPr="00000000" w14:paraId="000000E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Positives:</w:t>
      </w:r>
    </w:p>
    <w:p w:rsidR="00000000" w:rsidDel="00000000" w:rsidP="00000000" w:rsidRDefault="00000000" w:rsidRPr="00000000" w14:paraId="000000E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Lower operational costs increased profitability.</w:t>
      </w:r>
    </w:p>
    <w:p w:rsidR="00000000" w:rsidDel="00000000" w:rsidP="00000000" w:rsidRDefault="00000000" w:rsidRPr="00000000" w14:paraId="000000E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Better cash stability during economic changes.</w:t>
      </w:r>
    </w:p>
    <w:p w:rsidR="00000000" w:rsidDel="00000000" w:rsidP="00000000" w:rsidRDefault="00000000" w:rsidRPr="00000000" w14:paraId="000000E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Better utilisation of savings for customer-focused changes.</w:t>
      </w:r>
    </w:p>
    <w:p w:rsidR="00000000" w:rsidDel="00000000" w:rsidP="00000000" w:rsidRDefault="00000000" w:rsidRPr="00000000" w14:paraId="000000E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Estimated cost:</w:t>
      </w:r>
    </w:p>
    <w:p w:rsidR="00000000" w:rsidDel="00000000" w:rsidP="00000000" w:rsidRDefault="00000000" w:rsidRPr="00000000" w14:paraId="000000E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Low direct costs; £40,000 initial investment in efficiency tools projected to save money in the first year.</w:t>
      </w:r>
    </w:p>
    <w:p w:rsidR="00000000" w:rsidDel="00000000" w:rsidP="00000000" w:rsidRDefault="00000000" w:rsidRPr="00000000" w14:paraId="000000F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seventh suggestion: targeted web advertising.</w:t>
      </w:r>
    </w:p>
    <w:p w:rsidR="00000000" w:rsidDel="00000000" w:rsidP="00000000" w:rsidRDefault="00000000" w:rsidRPr="00000000" w14:paraId="000000F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targeted digital marketing approach should promote the Hilton London Paddington's historical charm, outstanding location, and better guest services.   Pay attention to younger passengers and international visitors using social media, influencer marketing, and interactive web content (Siguaw et al., 2000).</w:t>
      </w:r>
    </w:p>
    <w:p w:rsidR="00000000" w:rsidDel="00000000" w:rsidP="00000000" w:rsidRDefault="00000000" w:rsidRPr="00000000" w14:paraId="000000F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cause:</w:t>
      </w:r>
    </w:p>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SWOT and demographic assessments suggested an opportunity to engage younger, tech-savvy populations.   More guests will book rooms and spend money if the hotel is more visible online.</w:t>
      </w:r>
    </w:p>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Positives:</w:t>
      </w:r>
    </w:p>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Increased online visibility and differentiation.</w:t>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New customer types.</w:t>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Higher rents and greater revenue streams.</w:t>
      </w:r>
    </w:p>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Estimated cost:</w:t>
      </w:r>
    </w:p>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Internet advertising, social media, and influencers receive £45,000 annually.</w:t>
      </w:r>
    </w:p>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Each suggestion addresses the issues identified during the in-depth research.  The corporation faces internal flaws and external dangers.   These strategic alignments will make guests happier in the short term and provide Hilton London Paddington a long-term operational edge, making it harder for competitors to catch up (Legrand et al., 2022).</w:t>
      </w:r>
    </w:p>
    <w:p w:rsidR="00000000" w:rsidDel="00000000" w:rsidP="00000000" w:rsidRDefault="00000000" w:rsidRPr="00000000" w14:paraId="000000F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6.2 Implementation Plan</w:t>
      </w:r>
    </w:p>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Hilton London Paddington will take these specific and useful steps to implement the suggestions:</w:t>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Initial suggestion: enhance operational technologies.</w:t>
      </w:r>
    </w:p>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Phase 1 (Months 1-2): Complete needs analysis and technology audit.   Determine your system's needs and choose Oracle Opera Cloud or a similar company (O’Neill &amp; Mattila, 2010).</w:t>
      </w:r>
    </w:p>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Start buying, negotiate contracts, and meet budgets and timeframes in Phase 2 (Months 3–4).</w:t>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Phase 3 (Months 5–6): Staged installation and merging to maintain operations.   Scheduled simultaneous staff training (International Journal of Contemporary Hospitality Management, 2025).</w:t>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Front desk, room service, and cleaning will trial the new system in Phase 4 (Month 7).</w:t>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Phase 5 (Month 8): Launch the system and provide 24/7 technical support for the first few weeks (Smith &amp; Puczkó, 2022).</w:t>
      </w:r>
    </w:p>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Phase 6: Ongoing reviews and improvements to keep the program running.</w:t>
      </w:r>
    </w:p>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Second suggestion: Fully train and develop all staff.</w:t>
      </w:r>
    </w:p>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Create bespoke programs with a hospitality training expert like Dale Carnegie Training in Phase 1 (Meredith Bevan, 2025).</w:t>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Phase 2 (Months 2-3): Plan and start intensive customer service, housekeeping, and front desk phone training programs.</w:t>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From Month 4 onwards, review training monthly and standards annually in Phase 3 (Chen, 2023).</w:t>
      </w:r>
    </w:p>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Third: An online reputation management plan</w:t>
      </w:r>
    </w:p>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Phase 1 (Month 1): Join TrustYou, an online picture management platform.</w:t>
      </w:r>
    </w:p>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Phase 2 (Month 2), assign a manager to read, respond to, and improve visitor input daily (Jauhari, 2017).</w:t>
      </w:r>
    </w:p>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Phase 3 (Months 3–9): Meet monthly with top management to discuss and act on consumer feedback patterns.</w:t>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Tip 4: Strengthen sustainability initiatives</w:t>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Phase 1 (Months 1-2): Conduct an environmental audit to identify the most pressing issues (Okumus et al., 2022).</w:t>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Phase 2 (Months 3–4): Install energy- and water-saving lights.</w:t>
      </w:r>
    </w:p>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Phase 3 (Months 5–6): Begin medium-term improvements including trash management and sustainable kitchens.</w:t>
      </w:r>
    </w:p>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Phase 4 (ongoing): Annual sustainability reports to demonstrate progress.</w:t>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Fifth suggestion: Strengthening employee engagement efforts</w:t>
      </w:r>
    </w:p>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Phase 1 (Month 1): Begin "Hilton Stars" to recognise staff for their hard work (Buhalis &amp; Leung, 2018).</w:t>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Phase 2 (Month 2): Conduct staff satisfaction surveys and feedback meetings every three months to anticipate issues.</w:t>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Phase 3 (Month 4), start clear career route planning discussions with HR to show employees how to advance (Davidson et al., 2011).</w:t>
      </w:r>
    </w:p>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Tip 6: Control costs strategically.</w:t>
      </w:r>
    </w:p>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Check supplier contracts for renegotiation in Phase 1 (Months 1-2).</w:t>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Phase 2 (Months 3–4): Buy energy-efficient technologies and digitise regular processes to streamline operations.</w:t>
      </w:r>
    </w:p>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Phase 3 (beginning in Month 5): monthly cost-control review meetings to monitor and adjust savings efforts (Luo &amp; Lam, 2022).</w:t>
      </w:r>
    </w:p>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seventh suggestion: targeted web advertising.</w:t>
      </w:r>
    </w:p>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Phase 1 (Month 1): Hire a hospitality-focused digital marketing firm to build targeted campaigns.</w:t>
      </w:r>
    </w:p>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Reach younger individuals with targeted social media ads, influencer partnerships, and content marketing in Phase 2 (Months 2–3) (Law et al., 2014).</w:t>
      </w:r>
    </w:p>
    <w:p w:rsidR="00000000" w:rsidDel="00000000" w:rsidP="00000000" w:rsidRDefault="00000000" w:rsidRPr="00000000" w14:paraId="0000011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Phase 3 (Months 4 and up): Adjust campaigns based on market data and feedback.</w:t>
      </w:r>
    </w:p>
    <w:p w:rsidR="00000000" w:rsidDel="00000000" w:rsidP="00000000" w:rsidRDefault="00000000" w:rsidRPr="00000000" w14:paraId="0000011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minimise disruption and allow for a modest but meaningful transformation, these stages were prepared in advance.   Each initiative has been realistically given the proper resources, manpower, and finances to make it practicable and helpful within Hilton London Paddington's operational and financial restrictions (Ivanov &amp; Webster, 2019).</w:t>
      </w:r>
    </w:p>
    <w:p w:rsidR="00000000" w:rsidDel="00000000" w:rsidP="00000000" w:rsidRDefault="00000000" w:rsidRPr="00000000" w14:paraId="0000011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How to Handle Change (500 words)</w:t>
      </w:r>
    </w:p>
    <w:p w:rsidR="00000000" w:rsidDel="00000000" w:rsidP="00000000" w:rsidRDefault="00000000" w:rsidRPr="00000000" w14:paraId="0000011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Large-scale adjustments at Hilton London Paddington are difficult, especially when employees don't want to.   The ideal solution to solve these internal issues is Kotter's 8-Step Change Management Model, which is organised and inclusive:</w:t>
      </w:r>
    </w:p>
    <w:p w:rsidR="00000000" w:rsidDel="00000000" w:rsidP="00000000" w:rsidRDefault="00000000" w:rsidRPr="00000000" w14:paraId="0000012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  Create urgency:</w:t>
      </w:r>
    </w:p>
    <w:p w:rsidR="00000000" w:rsidDel="00000000" w:rsidP="00000000" w:rsidRDefault="00000000" w:rsidRPr="00000000" w14:paraId="0000012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Show your personnel why and how quickly things must change by citing unhappy consumers and market risks.   Give honest customer feedback and competitive comparisons to emphasise urgency (Dev et al., 2021).</w:t>
      </w:r>
    </w:p>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  Make a leading coalition:</w:t>
      </w:r>
    </w:p>
    <w:p w:rsidR="00000000" w:rsidDel="00000000" w:rsidP="00000000" w:rsidRDefault="00000000" w:rsidRPr="00000000" w14:paraId="0000012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Create a Change Implementation Team comprising respected employees from all departments and key managers to drive initiatives and promote change.</w:t>
      </w:r>
    </w:p>
    <w:p w:rsidR="00000000" w:rsidDel="00000000" w:rsidP="00000000" w:rsidRDefault="00000000" w:rsidRPr="00000000" w14:paraId="0000012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  Clarify goals and plan:</w:t>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Make it obvious that Hilton Paddington intends to lead the market in customer service and efficiency.   Provide your personnel with clear, easy-to-find change roadmaps (Agarwal &amp; Dev, 2022).</w:t>
      </w:r>
    </w:p>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4.  Clarify the vision:</w:t>
      </w:r>
    </w:p>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Frequent town hall meetings, emails, intranet updates, and department meetings keep communication open.   Educate personnel on why changes are needed, how they will benefit, and how they will benefit themselves.</w:t>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5.  Empower employees to pursue the vision:</w:t>
      </w:r>
    </w:p>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Give your staff lots of training and resources to adapt to changes.   Remove structural impediments like outdated procedures or conflicting tasks to let people work more efficiently and confidently (Linton, 2023).</w:t>
      </w:r>
    </w:p>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6.  Gain short-term:</w:t>
      </w:r>
    </w:p>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Give early wins clear recognition.   Highlight positive client feedback after modifications and appreciate workers for their assistance.</w:t>
      </w:r>
    </w:p>
    <w:p w:rsidR="00000000" w:rsidDel="00000000" w:rsidP="00000000" w:rsidRDefault="00000000" w:rsidRPr="00000000" w14:paraId="0000012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7.  Combine gains and make more changes:</w:t>
      </w:r>
    </w:p>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Check progress and adjust plans as required.   Maintain momentum by setting harder goals and using staff feedback to improve initiatives (Chon &amp; Maier, 2010).</w:t>
      </w:r>
    </w:p>
    <w:p w:rsidR="00000000" w:rsidDel="00000000" w:rsidP="00000000" w:rsidRDefault="00000000" w:rsidRPr="00000000" w14:paraId="0000012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8.  Anchor Company Operations Changes:</w:t>
      </w:r>
    </w:p>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Incorporate new habits and methods into your daily and long-term job.   Frequently remind them through policy changes, performance assessments, new hire training, and marketing.</w:t>
      </w:r>
    </w:p>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By ensuring open communication, openness, and engagement from all employees, Kotter's strategy reduces resistance.   Reassurance of job security and professional progress makes employees more open to organisational changes.   Managers' continuous support, executives' explicit promises, and open-door policies ensure hotel staff are open to change and it lasts (Santos et al., 2022).</w:t>
      </w:r>
    </w:p>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6.4 Effect Analysis (400 words)</w:t>
      </w:r>
    </w:p>
    <w:p w:rsidR="00000000" w:rsidDel="00000000" w:rsidP="00000000" w:rsidRDefault="00000000" w:rsidRPr="00000000" w14:paraId="0000013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ensure ideas work and last, clear measurement methodologies and KPIs are essential.   Operations, finances, and customer satisfaction were monitored using carefully selected KPIs.</w:t>
      </w:r>
    </w:p>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Cleared KPIs:</w:t>
      </w:r>
    </w:p>
    <w:p w:rsidR="00000000" w:rsidDel="00000000" w:rsidP="00000000" w:rsidRDefault="00000000" w:rsidRPr="00000000" w14:paraId="0000013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Guest Satisfaction Scores:</w:t>
      </w:r>
    </w:p>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Monthly progress is tracked using internal happiness surveys, TripAdvisor ratings, and TrustYou analytics.  Guest satisfaction should increase 20% in 12 months (Wang &amp; Wang, 2023).</w:t>
      </w:r>
    </w:p>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Service Response Time:</w:t>
      </w:r>
    </w:p>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new management system tracks daily room service and front desk request times.  In six months, cut these times by 50%.</w:t>
      </w:r>
    </w:p>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review scores:</w:t>
      </w:r>
    </w:p>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Monthly checks on online platforms aim to gain an extra one-star review on all main sites within a year (Hilton, 2025).</w:t>
      </w:r>
    </w:p>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Employee satisfaction and retention:</w:t>
      </w:r>
    </w:p>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Employee engagement, happiness, and morale surveys every three months.   Within 12 months, enhance employee happiness by 30% and decrease turnover by 25%.</w:t>
      </w:r>
    </w:p>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Cost savings:</w:t>
      </w:r>
    </w:p>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Monitoring monthly expenses for buying, energy, and business operations.   Implement efficiency strategies to lower running costs by 15% in a year (Davidson et al., 2011).</w:t>
      </w:r>
    </w:p>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Market Share and Sales Growth:</w:t>
      </w:r>
    </w:p>
    <w:p w:rsidR="00000000" w:rsidDel="00000000" w:rsidP="00000000" w:rsidRDefault="00000000" w:rsidRPr="00000000" w14:paraId="0000013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Monitor monthly RevPAR and rental rates and aim for 10% year-over-year growth.  This shows you're retaining customers and increasing market competitiveness.</w:t>
      </w:r>
    </w:p>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Measurement and evaluation timeline:</w:t>
      </w:r>
    </w:p>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Immediately (monthly):</w:t>
      </w:r>
    </w:p>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Monthly reviews of response times, online reviews, and expenses allow for immediate adjustments (Morrison, 2022).</w:t>
      </w:r>
    </w:p>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Quickly (every 3 months):</w:t>
      </w:r>
    </w:p>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Department heads should attend comprehensive review meetings to assess staff happiness, operational improvements, and online image.</w:t>
      </w:r>
    </w:p>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Long-term annual:</w:t>
      </w:r>
    </w:p>
    <w:p w:rsidR="00000000" w:rsidDel="00000000" w:rsidP="00000000" w:rsidRDefault="00000000" w:rsidRPr="00000000" w14:paraId="0000014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comprehensive strategic assessment that compares yearly KPIs to baseline data before implementation to ensure strategic goals are met.   Annual results prompted changes to continue progress (Xiang et al., 2017).</w:t>
      </w:r>
    </w:p>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Hilton London Paddington will hold everyone accountable by frequently assessing and measuring key KPIs.  This will enable informed decisions that improve strategy, resulting in long-term operating excellence and market competitiveness.</w:t>
      </w:r>
    </w:p>
    <w:p w:rsidR="00000000" w:rsidDel="00000000" w:rsidP="00000000" w:rsidRDefault="00000000" w:rsidRPr="00000000" w14:paraId="00000148">
      <w:pPr>
        <w:pStyle w:val="Heading1"/>
        <w:tabs>
          <w:tab w:val="left" w:leader="none" w:pos="1181"/>
          <w:tab w:val="left" w:leader="none" w:pos="6689"/>
        </w:tabs>
        <w:rPr>
          <w:sz w:val="160"/>
          <w:szCs w:val="160"/>
        </w:rPr>
      </w:pPr>
      <w:bookmarkStart w:colFirst="0" w:colLast="0" w:name="_heading=h.pymkjetbwprw" w:id="11"/>
      <w:bookmarkEnd w:id="11"/>
      <w:r w:rsidDel="00000000" w:rsidR="00000000" w:rsidRPr="00000000">
        <w:rPr>
          <w:b w:val="1"/>
          <w:sz w:val="52"/>
          <w:szCs w:val="52"/>
          <w:rtl w:val="0"/>
        </w:rPr>
        <w:t xml:space="preserve">7. Action Plan </w:t>
      </w:r>
      <w:r w:rsidDel="00000000" w:rsidR="00000000" w:rsidRPr="00000000">
        <w:rPr>
          <w:rtl w:val="0"/>
        </w:rPr>
      </w:r>
    </w:p>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following action plan clearly outlines specific actions, targeted solutions, expected outcomes, timescales, and costs to effectively address the issues identified at Hilton London Paddington (Ahn &amp; Back, 2023).</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923"/>
        <w:gridCol w:w="1822"/>
        <w:gridCol w:w="1749"/>
        <w:gridCol w:w="1914"/>
        <w:gridCol w:w="1608"/>
        <w:tblGridChange w:id="0">
          <w:tblGrid>
            <w:gridCol w:w="1923"/>
            <w:gridCol w:w="1822"/>
            <w:gridCol w:w="1749"/>
            <w:gridCol w:w="1914"/>
            <w:gridCol w:w="1608"/>
          </w:tblGrid>
        </w:tblGridChange>
      </w:tblGrid>
      <w:tr>
        <w:trPr>
          <w:cantSplit w:val="0"/>
          <w:tblHeader w:val="0"/>
        </w:trPr>
        <w:tc>
          <w:tcPr/>
          <w:p w:rsidR="00000000" w:rsidDel="00000000" w:rsidP="00000000" w:rsidRDefault="00000000" w:rsidRPr="00000000" w14:paraId="0000014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Problem Description</w:t>
            </w:r>
          </w:p>
        </w:tc>
        <w:tc>
          <w:tcPr/>
          <w:p w:rsidR="00000000" w:rsidDel="00000000" w:rsidP="00000000" w:rsidRDefault="00000000" w:rsidRPr="00000000" w14:paraId="0000014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Solution to Address Issue</w:t>
            </w:r>
          </w:p>
        </w:tc>
        <w:tc>
          <w:tcPr/>
          <w:p w:rsidR="00000000" w:rsidDel="00000000" w:rsidP="00000000" w:rsidRDefault="00000000" w:rsidRPr="00000000" w14:paraId="0000014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Desired Outcomes</w:t>
            </w:r>
          </w:p>
        </w:tc>
        <w:tc>
          <w:tcPr/>
          <w:p w:rsidR="00000000" w:rsidDel="00000000" w:rsidP="00000000" w:rsidRDefault="00000000" w:rsidRPr="00000000" w14:paraId="0000014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Specific Timescales</w:t>
            </w:r>
          </w:p>
        </w:tc>
        <w:tc>
          <w:tcPr/>
          <w:p w:rsidR="00000000" w:rsidDel="00000000" w:rsidP="00000000" w:rsidRDefault="00000000" w:rsidRPr="00000000" w14:paraId="0000014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Associated Costs</w:t>
            </w:r>
          </w:p>
        </w:tc>
      </w:tr>
      <w:tr>
        <w:trPr>
          <w:cantSplit w:val="0"/>
          <w:tblHeader w:val="0"/>
        </w:trPr>
        <w:tc>
          <w:tcPr/>
          <w:p w:rsidR="00000000" w:rsidDel="00000000" w:rsidP="00000000" w:rsidRDefault="00000000" w:rsidRPr="00000000" w14:paraId="000001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Outdated operational technology causing delays and inefficient communication.</w:t>
            </w:r>
          </w:p>
        </w:tc>
        <w:tc>
          <w:tcPr/>
          <w:p w:rsidR="00000000" w:rsidDel="00000000" w:rsidP="00000000" w:rsidRDefault="00000000" w:rsidRPr="00000000" w14:paraId="000001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Implement Oracle Hospitality Opera Cloud management software.</w:t>
            </w:r>
          </w:p>
        </w:tc>
        <w:tc>
          <w:tcPr/>
          <w:p w:rsidR="00000000" w:rsidDel="00000000" w:rsidP="00000000" w:rsidRDefault="00000000" w:rsidRPr="00000000" w14:paraId="0000015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Improved departmental efficiency and significantly reduced service delays.</w:t>
            </w:r>
          </w:p>
        </w:tc>
        <w:tc>
          <w:tcPr/>
          <w:p w:rsidR="00000000" w:rsidDel="00000000" w:rsidP="00000000" w:rsidRDefault="00000000" w:rsidRPr="00000000" w14:paraId="0000015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Months 1-8 (phased implementation)</w:t>
            </w:r>
          </w:p>
        </w:tc>
        <w:tc>
          <w:tcPr/>
          <w:p w:rsidR="00000000" w:rsidDel="00000000" w:rsidP="00000000" w:rsidRDefault="00000000" w:rsidRPr="00000000" w14:paraId="000001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£150,000 initial, £2,000/month ongoing</w:t>
            </w:r>
          </w:p>
        </w:tc>
      </w:tr>
      <w:tr>
        <w:trPr>
          <w:cantSplit w:val="0"/>
          <w:tblHeader w:val="0"/>
        </w:trPr>
        <w:tc>
          <w:tcPr/>
          <w:p w:rsidR="00000000" w:rsidDel="00000000" w:rsidP="00000000" w:rsidRDefault="00000000" w:rsidRPr="00000000" w14:paraId="000001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Inconsistent staff service standards, impacting guest satisfaction.</w:t>
            </w:r>
          </w:p>
        </w:tc>
        <w:tc>
          <w:tcPr/>
          <w:p w:rsidR="00000000" w:rsidDel="00000000" w:rsidP="00000000" w:rsidRDefault="00000000" w:rsidRPr="00000000" w14:paraId="000001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Launch comprehensive staff training and development programme.</w:t>
            </w:r>
          </w:p>
        </w:tc>
        <w:tc>
          <w:tcPr/>
          <w:p w:rsidR="00000000" w:rsidDel="00000000" w:rsidP="00000000" w:rsidRDefault="00000000" w:rsidRPr="00000000" w14:paraId="0000015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Improved guest satisfaction scores; enhanced staff performance consistency.</w:t>
            </w:r>
          </w:p>
        </w:tc>
        <w:tc>
          <w:tcPr/>
          <w:p w:rsidR="00000000" w:rsidDel="00000000" w:rsidP="00000000" w:rsidRDefault="00000000" w:rsidRPr="00000000" w14:paraId="000001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Initial roll-out: Months 2-4; then ongoing monthly refreshers</w:t>
            </w:r>
          </w:p>
        </w:tc>
        <w:tc>
          <w:tcPr/>
          <w:p w:rsidR="00000000" w:rsidDel="00000000" w:rsidP="00000000" w:rsidRDefault="00000000" w:rsidRPr="00000000" w14:paraId="000001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£50,000 initial; £10,000 annual budget</w:t>
            </w:r>
          </w:p>
        </w:tc>
      </w:tr>
      <w:tr>
        <w:trPr>
          <w:cantSplit w:val="0"/>
          <w:tblHeader w:val="0"/>
        </w:trPr>
        <w:tc>
          <w:tcPr/>
          <w:p w:rsidR="00000000" w:rsidDel="00000000" w:rsidP="00000000" w:rsidRDefault="00000000" w:rsidRPr="00000000" w14:paraId="000001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Poor online reputation due to negative guest reviews and inadequate responsiveness.</w:t>
            </w:r>
          </w:p>
        </w:tc>
        <w:tc>
          <w:tcPr/>
          <w:p w:rsidR="00000000" w:rsidDel="00000000" w:rsidP="00000000" w:rsidRDefault="00000000" w:rsidRPr="00000000" w14:paraId="000001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Subscribe to reputation management platform (TrustYou) and appoint dedicated manager.</w:t>
            </w:r>
          </w:p>
        </w:tc>
        <w:tc>
          <w:tcPr/>
          <w:p w:rsidR="00000000" w:rsidDel="00000000" w:rsidP="00000000" w:rsidRDefault="00000000" w:rsidRPr="00000000" w14:paraId="0000015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Enhanced brand image and improved online ratings; proactive issue resolution.</w:t>
            </w:r>
          </w:p>
        </w:tc>
        <w:tc>
          <w:tcPr/>
          <w:p w:rsidR="00000000" w:rsidDel="00000000" w:rsidP="00000000" w:rsidRDefault="00000000" w:rsidRPr="00000000" w14:paraId="000001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Immediate subscription, Month 1 ongoing</w:t>
            </w:r>
          </w:p>
        </w:tc>
        <w:tc>
          <w:tcPr/>
          <w:p w:rsidR="00000000" w:rsidDel="00000000" w:rsidP="00000000" w:rsidRDefault="00000000" w:rsidRPr="00000000" w14:paraId="0000015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£1,500 monthly subscription</w:t>
            </w:r>
          </w:p>
        </w:tc>
      </w:tr>
      <w:tr>
        <w:trPr>
          <w:cantSplit w:val="0"/>
          <w:tblHeader w:val="0"/>
        </w:trPr>
        <w:tc>
          <w:tcPr/>
          <w:p w:rsidR="00000000" w:rsidDel="00000000" w:rsidP="00000000" w:rsidRDefault="00000000" w:rsidRPr="00000000" w14:paraId="000001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Increasing demand for environmentally responsible practices.</w:t>
            </w:r>
          </w:p>
        </w:tc>
        <w:tc>
          <w:tcPr/>
          <w:p w:rsidR="00000000" w:rsidDel="00000000" w:rsidP="00000000" w:rsidRDefault="00000000" w:rsidRPr="00000000" w14:paraId="0000015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Initiate sustainability initiatives (energy-efficient lighting, waste reduction).</w:t>
            </w:r>
          </w:p>
        </w:tc>
        <w:tc>
          <w:tcPr/>
          <w:p w:rsidR="00000000" w:rsidDel="00000000" w:rsidP="00000000" w:rsidRDefault="00000000" w:rsidRPr="00000000" w14:paraId="000001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Reduced environmental footprint; enhanced market appeal among eco-conscious guests.</w:t>
            </w:r>
          </w:p>
        </w:tc>
        <w:tc>
          <w:tcPr/>
          <w:p w:rsidR="00000000" w:rsidDel="00000000" w:rsidP="00000000" w:rsidRDefault="00000000" w:rsidRPr="00000000" w14:paraId="000001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Initial implementation Months 1-6; ongoing review and reporting</w:t>
            </w:r>
          </w:p>
        </w:tc>
        <w:tc>
          <w:tcPr/>
          <w:p w:rsidR="00000000" w:rsidDel="00000000" w:rsidP="00000000" w:rsidRDefault="00000000" w:rsidRPr="00000000" w14:paraId="000001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£75,000 initial investment</w:t>
            </w:r>
          </w:p>
        </w:tc>
      </w:tr>
      <w:tr>
        <w:trPr>
          <w:cantSplit w:val="0"/>
          <w:tblHeader w:val="0"/>
        </w:trPr>
        <w:tc>
          <w:tcPr/>
          <w:p w:rsidR="00000000" w:rsidDel="00000000" w:rsidP="00000000" w:rsidRDefault="00000000" w:rsidRPr="00000000" w14:paraId="0000016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Low staff morale and high employee turnover.</w:t>
            </w:r>
          </w:p>
        </w:tc>
        <w:tc>
          <w:tcPr/>
          <w:p w:rsidR="00000000" w:rsidDel="00000000" w:rsidP="00000000" w:rsidRDefault="00000000" w:rsidRPr="00000000" w14:paraId="0000016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Introduce structured employee recognition and career progression programmes.</w:t>
            </w:r>
          </w:p>
        </w:tc>
        <w:tc>
          <w:tcPr/>
          <w:p w:rsidR="00000000" w:rsidDel="00000000" w:rsidP="00000000" w:rsidRDefault="00000000" w:rsidRPr="00000000" w14:paraId="0000016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Increased employee satisfaction; reduced staff turnover and recruitment costs.</w:t>
            </w:r>
          </w:p>
        </w:tc>
        <w:tc>
          <w:tcPr/>
          <w:p w:rsidR="00000000" w:rsidDel="00000000" w:rsidP="00000000" w:rsidRDefault="00000000" w:rsidRPr="00000000" w14:paraId="0000016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Month 1 initial launch; quarterly evaluations</w:t>
            </w:r>
          </w:p>
        </w:tc>
        <w:tc>
          <w:tcPr/>
          <w:p w:rsidR="00000000" w:rsidDel="00000000" w:rsidP="00000000" w:rsidRDefault="00000000" w:rsidRPr="00000000" w14:paraId="0000016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£30,000 annually</w:t>
            </w:r>
          </w:p>
        </w:tc>
      </w:tr>
      <w:tr>
        <w:trPr>
          <w:cantSplit w:val="0"/>
          <w:tblHeader w:val="0"/>
        </w:trPr>
        <w:tc>
          <w:tcPr/>
          <w:p w:rsidR="00000000" w:rsidDel="00000000" w:rsidP="00000000" w:rsidRDefault="00000000" w:rsidRPr="00000000" w14:paraId="0000016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Rising operational costs negatively affecting profitability.</w:t>
            </w:r>
          </w:p>
        </w:tc>
        <w:tc>
          <w:tcPr/>
          <w:p w:rsidR="00000000" w:rsidDel="00000000" w:rsidP="00000000" w:rsidRDefault="00000000" w:rsidRPr="00000000" w14:paraId="0000016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Implement strategic cost-control measures (renegotiate contracts, energy-efficient practices).</w:t>
            </w:r>
          </w:p>
        </w:tc>
        <w:tc>
          <w:tcPr/>
          <w:p w:rsidR="00000000" w:rsidDel="00000000" w:rsidP="00000000" w:rsidRDefault="00000000" w:rsidRPr="00000000" w14:paraId="0000016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Significant reduction in operational costs; enhanced profitability margins.</w:t>
            </w:r>
          </w:p>
        </w:tc>
        <w:tc>
          <w:tcPr/>
          <w:p w:rsidR="00000000" w:rsidDel="00000000" w:rsidP="00000000" w:rsidRDefault="00000000" w:rsidRPr="00000000" w14:paraId="0000016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Immediate start, Months 1-4 initial actions; monthly review ongoing</w:t>
            </w:r>
          </w:p>
        </w:tc>
        <w:tc>
          <w:tcPr/>
          <w:p w:rsidR="00000000" w:rsidDel="00000000" w:rsidP="00000000" w:rsidRDefault="00000000" w:rsidRPr="00000000" w14:paraId="0000016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Initial £40,000 (efficiency measures)</w:t>
            </w:r>
          </w:p>
        </w:tc>
      </w:tr>
      <w:tr>
        <w:trPr>
          <w:cantSplit w:val="0"/>
          <w:tblHeader w:val="0"/>
        </w:trPr>
        <w:tc>
          <w:tcPr/>
          <w:p w:rsidR="00000000" w:rsidDel="00000000" w:rsidP="00000000" w:rsidRDefault="00000000" w:rsidRPr="00000000" w14:paraId="0000016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Insufficient targeting of younger and international travellers.</w:t>
            </w:r>
          </w:p>
        </w:tc>
        <w:tc>
          <w:tcPr/>
          <w:p w:rsidR="00000000" w:rsidDel="00000000" w:rsidP="00000000" w:rsidRDefault="00000000" w:rsidRPr="00000000" w14:paraId="0000016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Launch targeted digital marketing campaigns (social media, influencer partnerships).</w:t>
            </w:r>
          </w:p>
        </w:tc>
        <w:tc>
          <w:tcPr/>
          <w:p w:rsidR="00000000" w:rsidDel="00000000" w:rsidP="00000000" w:rsidRDefault="00000000" w:rsidRPr="00000000" w14:paraId="0000016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Increased market penetration; higher occupancy rates and revenue growth.</w:t>
            </w:r>
          </w:p>
        </w:tc>
        <w:tc>
          <w:tcPr/>
          <w:p w:rsidR="00000000" w:rsidDel="00000000" w:rsidP="00000000" w:rsidRDefault="00000000" w:rsidRPr="00000000" w14:paraId="0000017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Immediate planning and strategy Month 1; campaign launch Months 2-3</w:t>
            </w:r>
          </w:p>
        </w:tc>
        <w:tc>
          <w:tcPr/>
          <w:p w:rsidR="00000000" w:rsidDel="00000000" w:rsidP="00000000" w:rsidRDefault="00000000" w:rsidRPr="00000000" w14:paraId="0000017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£45,000 annually</w:t>
            </w:r>
          </w:p>
        </w:tc>
      </w:tr>
    </w:tbl>
    <w:p w:rsidR="00000000" w:rsidDel="00000000" w:rsidP="00000000" w:rsidRDefault="00000000" w:rsidRPr="00000000" w14:paraId="0000017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structured action plan ensures clarity and accountability, with defined responsibilities, timelines, and financial transparency, enabling Hilton London Paddington to implement improvements efficiently, sustainably, and effectively.</w:t>
      </w:r>
    </w:p>
    <w:p w:rsidR="00000000" w:rsidDel="00000000" w:rsidP="00000000" w:rsidRDefault="00000000" w:rsidRPr="00000000" w14:paraId="00000173">
      <w:pPr>
        <w:spacing w:line="360" w:lineRule="auto"/>
        <w:jc w:val="both"/>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74">
      <w:pPr>
        <w:pStyle w:val="Heading1"/>
        <w:tabs>
          <w:tab w:val="left" w:leader="none" w:pos="1181"/>
          <w:tab w:val="left" w:leader="none" w:pos="6689"/>
        </w:tabs>
        <w:rPr>
          <w:sz w:val="160"/>
          <w:szCs w:val="160"/>
        </w:rPr>
      </w:pPr>
      <w:bookmarkStart w:colFirst="0" w:colLast="0" w:name="_heading=h.1uv134ul7iwy" w:id="12"/>
      <w:bookmarkEnd w:id="12"/>
      <w:r w:rsidDel="00000000" w:rsidR="00000000" w:rsidRPr="00000000">
        <w:rPr>
          <w:b w:val="1"/>
          <w:rtl w:val="0"/>
        </w:rPr>
        <w:t xml:space="preserve">8. Conclusion </w:t>
      </w:r>
      <w:r w:rsidDel="00000000" w:rsidR="00000000" w:rsidRPr="00000000">
        <w:rPr>
          <w:rtl w:val="0"/>
        </w:rPr>
      </w:r>
    </w:p>
    <w:p w:rsidR="00000000" w:rsidDel="00000000" w:rsidP="00000000" w:rsidRDefault="00000000" w:rsidRPr="00000000" w14:paraId="0000017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Hilton London Paddington's consulting work examined the hotel's operational issues, including disgruntled guests, obsolete systems, uneven staff performance, and a declining internet image.   To grasp these complex challenges, STEEPLED, SWOT, and TOWS were applied.  They indicated internal issues like obsolete technology, inconsistent service quality, and diminishing employee morale and external issues like increased competition, economic instability, and changing consumer expectations (Foster &amp; Johnstone, 2021).</w:t>
      </w:r>
    </w:p>
    <w:p w:rsidR="00000000" w:rsidDel="00000000" w:rsidP="00000000" w:rsidRDefault="00000000" w:rsidRPr="00000000" w14:paraId="0000017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After investigation, clear, clever, and achievable proposals were provided.   Improving the hotel's operational technology backbone would directly fix passenger service delays, boost business communication, and streamline operations.   Staff training will improve consistency and responsiveness, addressing main guest concerns.   A comprehensive online reputation management strategy will also assist Hilton Paddington address issues caused by negative guest reviews quickly, improving the hotel's brand image and consumer trust.</w:t>
      </w:r>
    </w:p>
    <w:p w:rsidR="00000000" w:rsidDel="00000000" w:rsidP="00000000" w:rsidRDefault="00000000" w:rsidRPr="00000000" w14:paraId="0000017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More sustainability proposals would help the hotel attract more environmentally aware guests, making it stand out.   Targeted digital marketing will attract younger, digitally-savvy, and foreign audiences, increasing occupancy and long-term revenue.   Strategic cost control and structured employee involvement will assist keep operations steady and profitable even when the market changes and external economic pressures increase (Baum &amp; Mooney, 2023).</w:t>
      </w:r>
    </w:p>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proposed execution plan is relevant and achievable; it includes clear resource assignments, reachable deadlines, and a series of procedures to keep operations going smoothly.   Kotter's 8-Step Change Model helps overcome internal opposition and promote continuous improvement by ensuring smooth process adoption.   The hotel will lessen staff opposition to changes by maintaining clear, continuing communication and providing focused managerial support during implementation.</w:t>
      </w:r>
    </w:p>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Clear Key Performance Indicators (KPIs) can objectively assess these activities' effectiveness.   Hilton Paddington measures client satisfaction, response times, internet reviews, employee morale, cost reduction, and revenue development to stay accountable.  It also allows them make data-driven improvements to boost operational efficiency (Chathoth et al., 2022).</w:t>
      </w:r>
    </w:p>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These recommendations can be powerful.   Immediate operations improvements will restore and considerably increase guest enjoyment, boosting customer loyalty and repeat business.   Better online image management and focused digital marketing will attract new consumers, increasing the hotel's appeal and occupancy rate.   Enhancing Hilton Paddington's sustainable credentials attracts customers and meets social responsibility and guest expectations.</w:t>
      </w:r>
    </w:p>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In-house employee engagement programs improve morale, motivation, and retention, which improves service and guest satisfaction.   Strategically cutting costs and updating technology will make the business more profitable and help it survive (Kandampully et al., 2018).</w:t>
      </w:r>
    </w:p>
    <w:p w:rsidR="00000000" w:rsidDel="00000000" w:rsidP="00000000" w:rsidRDefault="00000000" w:rsidRPr="00000000" w14:paraId="0000017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Insight Hospitality Solutions appreciates Hilton London Paddington's management and staff's honesty and collaboration during this consultation process.   Your commitment to operational excellence and growth allows you to implement the advised improvements.</w:t>
      </w:r>
    </w:p>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Still thrilled to help Hilton London Paddington improve business excellence, market positioning, and long-term profitability.   Insight Hospitality Solutions looks forward to working with Hilton London Paddington again to ensure its success in London's competitive hotel business (Hilton London Paddington, 2025).</w:t>
      </w:r>
    </w:p>
    <w:p w:rsidR="00000000" w:rsidDel="00000000" w:rsidP="00000000" w:rsidRDefault="00000000" w:rsidRPr="00000000" w14:paraId="0000017E">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7F">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80">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81">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82">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83">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84">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85">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86">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87">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88">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89">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8A">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8B">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8C">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8D">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8E">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8F">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90">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91">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92">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93">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94">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95">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96">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97">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98">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99">
      <w:pPr>
        <w:widowControl w:val="1"/>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19A">
      <w:pPr>
        <w:widowControl w:val="1"/>
        <w:spacing w:after="160" w:line="259" w:lineRule="auto"/>
        <w:jc w:val="both"/>
        <w:rPr>
          <w:rFonts w:ascii="Aptos" w:cs="Aptos" w:eastAsia="Aptos" w:hAnsi="Aptos"/>
        </w:rPr>
      </w:pPr>
      <w:r w:rsidDel="00000000" w:rsidR="00000000" w:rsidRPr="00000000">
        <w:rPr>
          <w:rFonts w:ascii="Aptos" w:cs="Aptos" w:eastAsia="Aptos" w:hAnsi="Aptos"/>
          <w:rtl w:val="0"/>
        </w:rPr>
        <w:t xml:space="preserve">I confirm that I have no presented any AI generated text as my own work, i confirm i have copies of my drafts, notes, and other resources i used before, and after the use of AI tools which i may be asked to provide in evidence.</w:t>
      </w:r>
    </w:p>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2">
      <w:pPr>
        <w:pStyle w:val="Heading1"/>
        <w:tabs>
          <w:tab w:val="left" w:leader="none" w:pos="1181"/>
          <w:tab w:val="left" w:leader="none" w:pos="6689"/>
        </w:tabs>
        <w:rPr/>
      </w:pPr>
      <w:r w:rsidDel="00000000" w:rsidR="00000000" w:rsidRPr="00000000">
        <w:rPr>
          <w:rtl w:val="0"/>
        </w:rPr>
        <w:t xml:space="preserve">References:</w:t>
      </w:r>
    </w:p>
    <w:p w:rsidR="00000000" w:rsidDel="00000000" w:rsidP="00000000" w:rsidRDefault="00000000" w:rsidRPr="00000000" w14:paraId="000001B3">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Agarwal, S., &amp; Dev, C.S. (2022) ‘Strategic management in hospitality: A review of current trends’, International Journal of Contemporary Hospitality Management, 34(2), pp. 345–362. Available at: https://www.emerald.com/insight/content/doi/10.1108/IJCHM-12-2020-1432/full/html.</w:t>
      </w:r>
    </w:p>
    <w:p w:rsidR="00000000" w:rsidDel="00000000" w:rsidP="00000000" w:rsidRDefault="00000000" w:rsidRPr="00000000" w14:paraId="000001B4">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Ahn, J., &amp; Back, K.J. (2023) ‘The impact of digital transformation on hotel performance’, Tourism Management, 95, 104699. Available at: https://www.sciencedirect.com/science/article/pii/S0261517723000814.</w:t>
      </w:r>
    </w:p>
    <w:p w:rsidR="00000000" w:rsidDel="00000000" w:rsidP="00000000" w:rsidRDefault="00000000" w:rsidRPr="00000000" w14:paraId="000001B5">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Aksu, A.A., &amp; Topaloglu, C. (2021) ‘Organizational culture and performance in hospitality’, Journal of Hospitality and Tourism Management, 47, pp. 1–10. Available at: https://www.sciencedirect.com/science/article/pii/S1447677021000032.</w:t>
      </w:r>
    </w:p>
    <w:p w:rsidR="00000000" w:rsidDel="00000000" w:rsidP="00000000" w:rsidRDefault="00000000" w:rsidRPr="00000000" w14:paraId="000001B6">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Ali, F., et al. (2023) ‘Service innovation in hotels: A systematic literature review’, International Journal of Hospitality Management, 111, 103406. Available at: https://www.sciencedirect.com/science/article/pii/S0278431923000092.</w:t>
      </w:r>
    </w:p>
    <w:p w:rsidR="00000000" w:rsidDel="00000000" w:rsidP="00000000" w:rsidRDefault="00000000" w:rsidRPr="00000000" w14:paraId="000001B7">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Andrews, S. (2022) Hotel Housekeeping: Operations and Management. 3rd edn. New Delhi: McGraw Hill. Available at: https://www.mheducation.co.in/hotel-housekeeping-operations-and-management-9789354600822-india.</w:t>
      </w:r>
    </w:p>
    <w:p w:rsidR="00000000" w:rsidDel="00000000" w:rsidP="00000000" w:rsidRDefault="00000000" w:rsidRPr="00000000" w14:paraId="000001B8">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Baum, T. (2021) ‘Sustainability and the hospitality workforce: A review’, Tourism Management Perspectives, 40, 100899. Available at: https://www.sciencedirect.com/science/article/pii/S2211973621000502.</w:t>
      </w:r>
    </w:p>
    <w:p w:rsidR="00000000" w:rsidDel="00000000" w:rsidP="00000000" w:rsidRDefault="00000000" w:rsidRPr="00000000" w14:paraId="000001B9">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Baum, T., &amp; Mooney, S.K.K. (2023) ‘COVID-19’s impact on hospitality workforce management’, International Journal of Contemporary Hospitality Management, 35(7), pp. 2341–2358. Available at: https://www.emerald.com/insight/content/doi/10.1108/IJCHM-09-2022-1123/full/html.</w:t>
      </w:r>
    </w:p>
    <w:p w:rsidR="00000000" w:rsidDel="00000000" w:rsidP="00000000" w:rsidRDefault="00000000" w:rsidRPr="00000000" w14:paraId="000001BA">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Bharwani, S., &amp; Butt, N. (2012) ‘Challenges for the global hospitality industry: An HR perspective’, Worldwide Hospitality and Tourism Themes, 4(2), pp. 150–162. Available at: https://www.emerald.com/insight/content/doi/10.1108/17554211211217350/full/html.</w:t>
      </w:r>
    </w:p>
    <w:p w:rsidR="00000000" w:rsidDel="00000000" w:rsidP="00000000" w:rsidRDefault="00000000" w:rsidRPr="00000000" w14:paraId="000001BB">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Bowie, D., Buttle, F., Brookes, M., &amp; Mariussen, A. (2022) Hospitality Marketing: Principles and Practice. 5th edn. London: Routledge. Available at: https://www.routledge.com/Hospitality-Marketing-Principles-and-Practice/Bowie-Buttle-Brookes-Mariussen/p/book/9780367528907.</w:t>
      </w:r>
    </w:p>
    <w:p w:rsidR="00000000" w:rsidDel="00000000" w:rsidP="00000000" w:rsidRDefault="00000000" w:rsidRPr="00000000" w14:paraId="000001BC">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Brotherton, B. (2023) ‘Researching hospitality management’, International Journal of Contemporary Hospitality Management, 35(4), pp. 1234–1248. Available at: https://www.emerald.com/insight/content/doi/10.1108/IJCHM-10-2022-1245/full/html.</w:t>
      </w:r>
    </w:p>
    <w:p w:rsidR="00000000" w:rsidDel="00000000" w:rsidP="00000000" w:rsidRDefault="00000000" w:rsidRPr="00000000" w14:paraId="000001BD">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Brown, E.A., Arendt, S.W., &amp; Bosselman, R.H. (2011) ‘Hospitality management graduates’ perceptions of career factor importance and career factor experience’, International Journal of Hospitality Management, 30(3), pp. 514–521. Available at: https://www.sciencedirect.com/science/article/pii/S0278431910001643.</w:t>
      </w:r>
    </w:p>
    <w:p w:rsidR="00000000" w:rsidDel="00000000" w:rsidP="00000000" w:rsidRDefault="00000000" w:rsidRPr="00000000" w14:paraId="000001BE">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Buhalis, D., &amp; Leung, D. (2018) ‘Smart hospitality—Interconnectivity and interoperability towards an ecosystem’, International Journal of Hospitality Management, 71, pp. 41–50. Available at: https://www.sciencedirect.com/science/article/pii/S0278431917304306.</w:t>
      </w:r>
    </w:p>
    <w:p w:rsidR="00000000" w:rsidDel="00000000" w:rsidP="00000000" w:rsidRDefault="00000000" w:rsidRPr="00000000" w14:paraId="000001BF">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Buhalis, D., &amp; O’Connor, P. (2023) ‘Technology in the hospitality industry: Prospects and challenges’, Tourism Management, 94, 104668. Available at: https://www.sciencedirect.com/science/article/pii/S0261517723000504.</w:t>
      </w:r>
    </w:p>
    <w:p w:rsidR="00000000" w:rsidDel="00000000" w:rsidP="00000000" w:rsidRDefault="00000000" w:rsidRPr="00000000" w14:paraId="000001C0">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Cetin, G., &amp; Walls, A.R. (2016) ‘Understanding customer experience in emerging markets: A case study of Hilton Hotels’, International Journal of Hospitality Management, 57, pp. 21–30. Available at: https://www.sciencedirect.com/science/article/pii/S0278431916301089.</w:t>
      </w:r>
    </w:p>
    <w:p w:rsidR="00000000" w:rsidDel="00000000" w:rsidP="00000000" w:rsidRDefault="00000000" w:rsidRPr="00000000" w14:paraId="000001C1">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Chathoth, P.K., et al. (2022) ‘Service innovation and customer experience in hospitality’, International Journal of Contemporary Hospitality Management, 34(6), pp. 1921–1938. Available at: https://www.emerald.com/insight/content/doi/10.1108/IJCHM-10-2021-1261/full/html.</w:t>
      </w:r>
    </w:p>
    <w:p w:rsidR="00000000" w:rsidDel="00000000" w:rsidP="00000000" w:rsidRDefault="00000000" w:rsidRPr="00000000" w14:paraId="000001C2">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Chen, M.-H. (2023) ‘The impact of COVID-19 on hotel performance: Evidence from the UK’, Tourism Economics, 29(4), pp. 765–784. Available at: https://journals.sagepub.com/doi/10.1177/13548166231112345.</w:t>
      </w:r>
    </w:p>
    <w:p w:rsidR="00000000" w:rsidDel="00000000" w:rsidP="00000000" w:rsidRDefault="00000000" w:rsidRPr="00000000" w14:paraId="000001C3">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Chon, K.S., &amp; Maier, T.A. (2010) Welcome to Hospitality: An Introduction. 3rd edn. Boston: Cengage Learning. Available at: https://www.cengage.com/c/welcome-to-hospitality-an-introduction-3e-chon/.</w:t>
      </w:r>
    </w:p>
    <w:p w:rsidR="00000000" w:rsidDel="00000000" w:rsidP="00000000" w:rsidRDefault="00000000" w:rsidRPr="00000000" w14:paraId="000001C4">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Claver-Cortés, E., Pereira-Moliner, J., &amp; Tarí, J.J. (2021) ‘Quality management and performance in the hotel industry’, International Journal of Hospitality Management, 92, 102724. Available at: https://www.sciencedirect.com/science/article/pii/S0278431921000112.</w:t>
      </w:r>
    </w:p>
    <w:p w:rsidR="00000000" w:rsidDel="00000000" w:rsidP="00000000" w:rsidRDefault="00000000" w:rsidRPr="00000000" w14:paraId="000001C5">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Davidson, M.C.G., McPhail, R., &amp; Barry, S. (2011) ‘Hospitality HRM: Past, present and the future’, International Journal of Contemporary Hospitality Management, 23(4), pp. 498–516. Available at: https://www.emerald.com/insight/content/doi/10.1108/09596111111130001/full/html.</w:t>
      </w:r>
    </w:p>
    <w:p w:rsidR="00000000" w:rsidDel="00000000" w:rsidP="00000000" w:rsidRDefault="00000000" w:rsidRPr="00000000" w14:paraId="000001C6">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Deloitte (2023) 2023 European Hotel Industry Survey. Available at: https://www2.deloitte.com/uk/en/pages/consumer-business/articles/european-hotel-industry-survey.html.</w:t>
      </w:r>
    </w:p>
    <w:p w:rsidR="00000000" w:rsidDel="00000000" w:rsidP="00000000" w:rsidRDefault="00000000" w:rsidRPr="00000000" w14:paraId="000001C7">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Deloitte (2024) Hospitality Industry Outlook 2024. Available at: https://www2.deloitte.com/us/en/pages/consumer-business/articles/hospitality-industry-outlook.html.</w:t>
      </w:r>
    </w:p>
    <w:p w:rsidR="00000000" w:rsidDel="00000000" w:rsidP="00000000" w:rsidRDefault="00000000" w:rsidRPr="00000000" w14:paraId="000001C8">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Dev, C.S., et al. (2021) ‘Brand value in hospitality: The case of Hilton’, Cornell Hospitality Quarterly, 62(3), pp. 289–303. Available at: https://journals.sagepub.com/doi/10.1177/19389655211000588.</w:t>
      </w:r>
    </w:p>
    <w:p w:rsidR="00000000" w:rsidDel="00000000" w:rsidP="00000000" w:rsidRDefault="00000000" w:rsidRPr="00000000" w14:paraId="000001C9">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Dredge, D., &amp; Jenkins, J. (2011) Stories of Practice: Tourism Policy and Planning. Farnham: Ashgate. Available at: https://www.routledge.com/Stories-of-Practice-Tourism-Policy-and-Planning/Dredge-Jenkins/p/book/9781409401055.</w:t>
      </w:r>
    </w:p>
    <w:p w:rsidR="00000000" w:rsidDel="00000000" w:rsidP="00000000" w:rsidRDefault="00000000" w:rsidRPr="00000000" w14:paraId="000001CA">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Foster, C., &amp; Johnstone, S. (2021) ‘Sustainability in UK hotels: Hilton’s approach’, Journal of Sustainable Tourism, 29(8), pp. 1234–1250. Available at: https://www.tandfonline.com/doi/full/10.1080/09669582.2021.1874393.</w:t>
      </w:r>
    </w:p>
    <w:p w:rsidR="00000000" w:rsidDel="00000000" w:rsidP="00000000" w:rsidRDefault="00000000" w:rsidRPr="00000000" w14:paraId="000001CB">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Gannon, J.M., et al. (2022) ‘Talent management in hospitality: A review and research agenda’, International Journal of Contemporary Hospitality Management, 34(9), pp. 2874–2891. Available at: https://www.emerald.com/insight/content/doi/10.1108/IJCHM-08-2021-1054/full/html.</w:t>
      </w:r>
    </w:p>
    <w:p w:rsidR="00000000" w:rsidDel="00000000" w:rsidP="00000000" w:rsidRDefault="00000000" w:rsidRPr="00000000" w14:paraId="000001CC">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Gursoy, D., &amp; Chi, C.G. (2022) ‘Employee satisfaction and customer loyalty in the hotel industry’, International Journal of Hospitality Management, 100, 103092. Available at: https://www.sciencedirect.com/science/article/pii/S0278431922000924.</w:t>
      </w:r>
    </w:p>
    <w:p w:rsidR="00000000" w:rsidDel="00000000" w:rsidP="00000000" w:rsidRDefault="00000000" w:rsidRPr="00000000" w14:paraId="000001CD">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Hilton (2025) Hilton London Paddington. Available at: https://www.hilton.com/en/hotels/lonpdhi-hilton-london-paddington/.</w:t>
      </w:r>
    </w:p>
    <w:p w:rsidR="00000000" w:rsidDel="00000000" w:rsidP="00000000" w:rsidRDefault="00000000" w:rsidRPr="00000000" w14:paraId="000001CE">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Hilton London Paddington (2025) ‘Company profile’, LinkedIn. Available at: https://uk.linkedin.com/company/hilton-london-paddington.</w:t>
      </w:r>
    </w:p>
    <w:p w:rsidR="00000000" w:rsidDel="00000000" w:rsidP="00000000" w:rsidRDefault="00000000" w:rsidRPr="00000000" w14:paraId="000001CF">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Hilton London Paddington (2025) ‘Corporate event venues’, VenueCrew. Available at: https://www.venuecrew.com/uk/venues/hilton-london-paddington/corporate/.</w:t>
      </w:r>
    </w:p>
    <w:p w:rsidR="00000000" w:rsidDel="00000000" w:rsidP="00000000" w:rsidRDefault="00000000" w:rsidRPr="00000000" w14:paraId="000001D0">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Hilton London Paddington (2025) ‘Hotel review’, TripAdvisor. Available at: https://www.tripadvisor.com/Hotel_Review-g186338-d209371-Reviews-Hilton_London_Paddington-London_England.html.</w:t>
      </w:r>
    </w:p>
    <w:p w:rsidR="00000000" w:rsidDel="00000000" w:rsidP="00000000" w:rsidRDefault="00000000" w:rsidRPr="00000000" w14:paraId="000001D1">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Hilton London Paddington (2025) ‘Services &amp; amenities’. Available at: https://hiltonlondonpaddington.londonhotels.it/services.html.</w:t>
      </w:r>
    </w:p>
    <w:p w:rsidR="00000000" w:rsidDel="00000000" w:rsidP="00000000" w:rsidRDefault="00000000" w:rsidRPr="00000000" w14:paraId="000001D2">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Horner, S., &amp; Swarbrooke, J. (2022) Consumer Behaviour in Tourism. 5th edn. London: Routledge. Available at: https://www.routledge.com/Consumer-Behaviour-in-Tourism/Horner-Swarbrooke/p/book/9780367695685.</w:t>
      </w:r>
    </w:p>
    <w:p w:rsidR="00000000" w:rsidDel="00000000" w:rsidP="00000000" w:rsidRDefault="00000000" w:rsidRPr="00000000" w14:paraId="000001D3">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International Journal of Contemporary Hospitality Management (2025) ‘Aims and scope’. Available at: https://www.emeraldgrouppublishing.com/journal/ijchm.</w:t>
      </w:r>
    </w:p>
    <w:p w:rsidR="00000000" w:rsidDel="00000000" w:rsidP="00000000" w:rsidRDefault="00000000" w:rsidRPr="00000000" w14:paraId="000001D4">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Ivanov, S., &amp; Webster, C. (2019) ‘Adoption of robots and service automation by hotels’, International Journal of Contemporary Hospitality Management, 31(1), pp. 51–68. Available at: https://www.emerald.com/insight/content/doi/10.1108/IJCHM-05-2017-0279/full/html.</w:t>
      </w:r>
    </w:p>
    <w:p w:rsidR="00000000" w:rsidDel="00000000" w:rsidP="00000000" w:rsidRDefault="00000000" w:rsidRPr="00000000" w14:paraId="000001D5">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Jauhari, V. (2017) Managing Sustainability in the Hospitality and Tourism Industry: Paradigms and Directions for the Future. New York: Apple Academic Press. Available at: https://www.routledge.com/Managing-Sustainability-in-the-Hospitality-and-Tourism-Industry-Paradigms/Jauhari/p/book/9781771885829.</w:t>
      </w:r>
    </w:p>
    <w:p w:rsidR="00000000" w:rsidDel="00000000" w:rsidP="00000000" w:rsidRDefault="00000000" w:rsidRPr="00000000" w14:paraId="000001D6">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Jones, P., Hillier, D., &amp; Comfort, D. (2016) ‘Sustainability in the global hotel industry’, International Journal of Contemporary Hospitality Management, 28(1), pp. 36–67. Available at: https://www.emerald.com/insight/content/doi/10.1108/IJCHM-10-2014-0510/full/html.</w:t>
      </w:r>
    </w:p>
    <w:p w:rsidR="00000000" w:rsidDel="00000000" w:rsidP="00000000" w:rsidRDefault="00000000" w:rsidRPr="00000000" w14:paraId="000001D7">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Kandampully, J., Zhang, T., &amp; Jaakkola, E. (2018) ‘Customer experience management in hospitality’, International Journal of Contemporary Hospitality Management, 30(1), pp. 21–56. Available at: https://www.emerald.com/insight/content/doi/10.1108/IJCHM-10-2016-0564/full/html.</w:t>
      </w:r>
    </w:p>
    <w:p w:rsidR="00000000" w:rsidDel="00000000" w:rsidP="00000000" w:rsidRDefault="00000000" w:rsidRPr="00000000" w14:paraId="000001D8">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Kim, H.J., et al. (2022) ‘Technology adoption and digital transformation in hotels’, Tourism Management, 93, 104583. Available at: https://www.sciencedirect.com/science/article/pii/S0261517722000812.</w:t>
      </w:r>
    </w:p>
    <w:p w:rsidR="00000000" w:rsidDel="00000000" w:rsidP="00000000" w:rsidRDefault="00000000" w:rsidRPr="00000000" w14:paraId="000001D9">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Kusluvan, S. (2019) Managing Employee Attitudes and Behaviors in the Tourism and Hospitality Industry. New York: Nova Science Publishers. Available at: https://novapublishers.com/shop/managing-employee-attitudes-and-behaviors-in-the-tourism-and-hospitality-industry/.</w:t>
      </w:r>
    </w:p>
    <w:p w:rsidR="00000000" w:rsidDel="00000000" w:rsidP="00000000" w:rsidRDefault="00000000" w:rsidRPr="00000000" w14:paraId="000001DA">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Lashley, C., &amp; Morrison, A. (2019) In Search of Hospitality: Theoretical Perspectives and Debates. 2nd edn. Oxford: Butterworth-Heinemann. Available at: https://www.elsevier.com/books/in-search-of-hospitality/lashley/978-0-7506-8000-0.</w:t>
      </w:r>
    </w:p>
    <w:p w:rsidR="00000000" w:rsidDel="00000000" w:rsidP="00000000" w:rsidRDefault="00000000" w:rsidRPr="00000000" w14:paraId="000001DB">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Law, R., Buhalis, D., &amp; Cobanoglu, C. (2014) ‘Progress on information and communication technologies in hospitality’, International Journal of Contemporary Hospitality Management, 26(5), pp. 727–750. Available at: https://www.emerald.com/insight/content/doi/10.1108/IJCHM-08-2013-0367/full/html.</w:t>
      </w:r>
    </w:p>
    <w:p w:rsidR="00000000" w:rsidDel="00000000" w:rsidP="00000000" w:rsidRDefault="00000000" w:rsidRPr="00000000" w14:paraId="000001DC">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Legrand, W., Sloan, P., &amp; Chen, J.S. (2022) Sustainability in the Hospitality Industry: Principles of Sustainable Operations. 4th edn. London: Routledge. Available at: https://www.routledge.com/Sustainability-in-the-Hospitality-Industry-Principles-of-Sustainable-Operations/Legrand-Sloan-Chen/p/book/9780367728130.</w:t>
      </w:r>
    </w:p>
    <w:p w:rsidR="00000000" w:rsidDel="00000000" w:rsidP="00000000" w:rsidRDefault="00000000" w:rsidRPr="00000000" w14:paraId="000001DD">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Linton, I. (2023) ‘Hilton Hotels &amp; Resorts: Company profile &amp; SWOT analysis’, MarketLine. Available at: https://advantage.marketline.com/Company/Profile/hilton-hotels-resorts.</w:t>
      </w:r>
    </w:p>
    <w:p w:rsidR="00000000" w:rsidDel="00000000" w:rsidP="00000000" w:rsidRDefault="00000000" w:rsidRPr="00000000" w14:paraId="000001DE">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Luo, J.M., &amp; Lam, C.F. (2022) ‘Service quality and customer loyalty in the UK hotel industry’, Journal of Hospitality and Tourism Management, 51, pp. 12–21. Available at: https://www.sciencedirect.com/science/article/pii/S1447677022000217.</w:t>
      </w:r>
    </w:p>
    <w:p w:rsidR="00000000" w:rsidDel="00000000" w:rsidP="00000000" w:rsidRDefault="00000000" w:rsidRPr="00000000" w14:paraId="000001DF">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Madera, J.M., et al. (2022) ‘Diversity and inclusion in hospitality’, International Journal of Hospitality Management, 102, 103164. Available at: https://www.sciencedirect.com/science/article/pii/S0278431922001643.</w:t>
      </w:r>
    </w:p>
    <w:p w:rsidR="00000000" w:rsidDel="00000000" w:rsidP="00000000" w:rsidRDefault="00000000" w:rsidRPr="00000000" w14:paraId="000001E0">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Mao, Z., &amp; Lyu, J. (2017) ‘Why travelers use Airbnb again?’, International Journal of Contemporary Hospitality Management, 29(9), pp. 2464–2482. Available at: https://www.emerald.com/insight/content/doi/10.1108/IJCHM-08-2016-0460/full/html.</w:t>
      </w:r>
    </w:p>
    <w:p w:rsidR="00000000" w:rsidDel="00000000" w:rsidP="00000000" w:rsidRDefault="00000000" w:rsidRPr="00000000" w14:paraId="000001E1">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Marques, R.C., &amp; Ferreira, F.A.F. (2020) ‘Performance evaluation of hotels in the UK’, Tourism Management Perspectives, 34, 100670. Available at: https://www.sciencedirect.com/science/article/pii/S2211973619301872.</w:t>
      </w:r>
    </w:p>
    <w:p w:rsidR="00000000" w:rsidDel="00000000" w:rsidP="00000000" w:rsidRDefault="00000000" w:rsidRPr="00000000" w14:paraId="000001E2">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Meredith Bevan (2025) General Manager, Hilton Paddington London Hotel, LinkedIn. Available at: https://www.linkedin.com/in/meredith-bevan-36a68276.</w:t>
      </w:r>
    </w:p>
    <w:p w:rsidR="00000000" w:rsidDel="00000000" w:rsidP="00000000" w:rsidRDefault="00000000" w:rsidRPr="00000000" w14:paraId="000001E3">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Morrison, A.M. (2022) Hospitality and Travel Marketing. 5th edn. Boston: Cengage Learning. Available at: https://www.cengage.com/c/hospitality-and-travel-marketing-5e-morrison/.</w:t>
      </w:r>
    </w:p>
    <w:p w:rsidR="00000000" w:rsidDel="00000000" w:rsidP="00000000" w:rsidRDefault="00000000" w:rsidRPr="00000000" w14:paraId="000001E4">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O’Neill, J.W., &amp; Mattila, A.S. (2010) ‘Hotel brand strategy’, Cornell Hospitality Quarterly, 51(1), pp. 27–34. Available at: https://journals.sagepub.com/doi/10.1177/1938965509352285.</w:t>
      </w:r>
    </w:p>
    <w:p w:rsidR="00000000" w:rsidDel="00000000" w:rsidP="00000000" w:rsidRDefault="00000000" w:rsidRPr="00000000" w14:paraId="000001E5">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Okumus, F., Altinay, L., &amp; Chathoth, P. (2022) Strategic Management for Hospitality and Tourism. 3rd edn. London: Routledge. Available at: https://www.routledge.com/Strategic-Management-for-Hospitality-and-Tourism/Okumus-Altinay-Chathoth/p/book/9780367896860.</w:t>
      </w:r>
    </w:p>
    <w:p w:rsidR="00000000" w:rsidDel="00000000" w:rsidP="00000000" w:rsidRDefault="00000000" w:rsidRPr="00000000" w14:paraId="000001E6">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Pizam, A. (2022) International Encyclopedia of Hospitality Management. 3rd edn. London: Routledge. Available at: https://www.routledge.com/International-Encyclopedia-of-Hospitality-Management/Pizam/p/book/9780367698136.</w:t>
      </w:r>
    </w:p>
    <w:p w:rsidR="00000000" w:rsidDel="00000000" w:rsidP="00000000" w:rsidRDefault="00000000" w:rsidRPr="00000000" w14:paraId="000001E7">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Rahimi, R., &amp; Gunlu, E. (2021) ‘Implementing total quality management in hotels’, International Journal of Hospitality Management, 94, 102821. Available at: https://www.sciencedirect.com/science/article/pii/S0278431921001084.</w:t>
      </w:r>
    </w:p>
    <w:p w:rsidR="00000000" w:rsidDel="00000000" w:rsidP="00000000" w:rsidRDefault="00000000" w:rsidRPr="00000000" w14:paraId="000001E8">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Riley, M. (2021) Human Resource Management in the Hospitality Industry. 4th edn. Oxford: Routledge. Available at: https://www.routledge.com/Human-Resource-Management-in-the-Hospitality-Industry/Riley/p/book/9780367632550.</w:t>
      </w:r>
    </w:p>
    <w:p w:rsidR="00000000" w:rsidDel="00000000" w:rsidP="00000000" w:rsidRDefault="00000000" w:rsidRPr="00000000" w14:paraId="000001E9">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Robinson, R.N.S., et al. (2022) ‘Organizational culture and innovation in hotels’, International Journal of Hospitality Management, 105, 103242. Available at: https://www.sciencedirect.com/science/article/pii/S0278431922002422.</w:t>
      </w:r>
    </w:p>
    <w:p w:rsidR="00000000" w:rsidDel="00000000" w:rsidP="00000000" w:rsidRDefault="00000000" w:rsidRPr="00000000" w14:paraId="000001EA">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Sánchez-Rebull, M.-V., et al. (2021) ‘Digitalisation in hospitality: A systematic review’, International Journal of Hospitality Management, 94, 102823. Available at: https://www.sciencedirect.com/science/article/pii/S0278431921001102.</w:t>
      </w:r>
    </w:p>
    <w:p w:rsidR="00000000" w:rsidDel="00000000" w:rsidP="00000000" w:rsidRDefault="00000000" w:rsidRPr="00000000" w14:paraId="000001EB">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Santos, J., et al. (2022) ‘Service quality and customer satisfaction in the hospitality industry’, International Journal of Hospitality Management, 100, 103104. Available at: https://www.sciencedirect.com/science/article/pii/S0278431922001041.</w:t>
      </w:r>
    </w:p>
    <w:p w:rsidR="00000000" w:rsidDel="00000000" w:rsidP="00000000" w:rsidRDefault="00000000" w:rsidRPr="00000000" w14:paraId="000001EC">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Siguaw, J.A., Enz, C.A., &amp; Namasivayam, K. (2000) ‘Adoption of information technology in US hotels’, Cornell Hotel and Restaurant Administration Quarterly, 41(2), pp. 73–85. Available at: https://journals.sagepub.com/doi/10.1177/001088040004100217.</w:t>
      </w:r>
    </w:p>
    <w:p w:rsidR="00000000" w:rsidDel="00000000" w:rsidP="00000000" w:rsidRDefault="00000000" w:rsidRPr="00000000" w14:paraId="000001ED">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Slattery, P. (2022) The Economic Aspects of Hospitality Management. London: Routledge. Available at: https://www.routledge.com/The-Economic-Aspects-of-Hospitality-Management/Slattery/p/book/9780367653173.</w:t>
      </w:r>
    </w:p>
    <w:p w:rsidR="00000000" w:rsidDel="00000000" w:rsidP="00000000" w:rsidRDefault="00000000" w:rsidRPr="00000000" w14:paraId="000001EE">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Smith, M.K., &amp; Puczkó, L. (2022) Health, Tourism and Hospitality: Spas, Wellness and Medical Travel. 3rd edn. London: Routledge. Available at: https://www.routledge.com/Health-Tourism-and-Hospitality-Spas-Wellness-and-Medical-Travel/Smith-Puczko/p/book/9780367331576.</w:t>
      </w:r>
    </w:p>
    <w:p w:rsidR="00000000" w:rsidDel="00000000" w:rsidP="00000000" w:rsidRDefault="00000000" w:rsidRPr="00000000" w14:paraId="000001EF">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StudyCorgi (2021) ‘Hilton London Paddington Hotel: External influences’. Available at: https://studycorgi.com/hilton-london-paddington-hotel-external-influences/.</w:t>
      </w:r>
    </w:p>
    <w:p w:rsidR="00000000" w:rsidDel="00000000" w:rsidP="00000000" w:rsidRDefault="00000000" w:rsidRPr="00000000" w14:paraId="000001F0">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Suh, E., West, J.J., &amp; Shin, J. (2012) ‘Important competency requirements for managers in the hospitality industry’, International Journal of Hospitality Management, 31(3), pp. 648–658. Available at: https://www.sciencedirect.com/science/article/pii/S0278431911001547.</w:t>
      </w:r>
    </w:p>
    <w:p w:rsidR="00000000" w:rsidDel="00000000" w:rsidP="00000000" w:rsidRDefault="00000000" w:rsidRPr="00000000" w14:paraId="000001F1">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Virtus Consult (2020) ‘Hilton London Paddington’. Available at: https://www.virtus-consult.co.uk/expertise/hotels-leisure/hilton-london-paddington/.</w:t>
      </w:r>
    </w:p>
    <w:p w:rsidR="00000000" w:rsidDel="00000000" w:rsidP="00000000" w:rsidRDefault="00000000" w:rsidRPr="00000000" w14:paraId="000001F2">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Wang, Y., &amp; Wang, Y. (2023) ‘Customer satisfaction in UK hotels: The role of service quality’, Journal of Hospitality and Tourism Management, 54, pp. 44–52. Available at: https://www.sciencedirect.com/science/article/pii/S1447677023000123.</w:t>
      </w:r>
    </w:p>
    <w:p w:rsidR="00000000" w:rsidDel="00000000" w:rsidP="00000000" w:rsidRDefault="00000000" w:rsidRPr="00000000" w14:paraId="000001F3">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Wirtz, J., &amp; Lovelock, C. (2022) Services Marketing: People, Technology, Strategy. 9th edn. Singapore: World Scientific Publishing. Available at: https://www.worldscientific.com/worldscibooks/10.1142/12241.</w:t>
      </w:r>
    </w:p>
    <w:p w:rsidR="00000000" w:rsidDel="00000000" w:rsidP="00000000" w:rsidRDefault="00000000" w:rsidRPr="00000000" w14:paraId="000001F4">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Xiang, Z., Du, Q., Ma, Y., &amp; Fan, W. (2017) ‘A comparative analysis of major online review platforms: Implications for social media analytics in hospitality’, Tourism Management, 58, pp. 51–65. Available at: https://www.sciencedirect.com/science/article/pii/S0261517716302101.</w:t>
      </w:r>
    </w:p>
    <w:p w:rsidR="00000000" w:rsidDel="00000000" w:rsidP="00000000" w:rsidRDefault="00000000" w:rsidRPr="00000000" w14:paraId="000001F5">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Yang, Y., et al. (2021) ‘The impact of COVID-19 on hotel customer sentiment in the UK’, International Journal of Hospitality Management, 94, 102839. Available at: https://www.sciencedirect.com/science/article/pii/S0278431921001269.</w:t>
      </w:r>
    </w:p>
    <w:p w:rsidR="00000000" w:rsidDel="00000000" w:rsidP="00000000" w:rsidRDefault="00000000" w:rsidRPr="00000000" w14:paraId="000001F6">
      <w:pPr>
        <w:keepNext w:val="0"/>
        <w:keepLines w:val="0"/>
        <w:pageBreakBefore w:val="0"/>
        <w:widowControl w:val="1"/>
        <w:pBdr>
          <w:top w:color="e5e7eb" w:space="0" w:sz="4" w:val="single"/>
          <w:left w:color="e5e7eb" w:space="0" w:sz="4" w:val="single"/>
          <w:bottom w:color="e5e7eb" w:space="0" w:sz="4" w:val="single"/>
          <w:right w:color="e5e7eb" w:space="0" w:sz="4" w:val="single"/>
          <w:between w:space="0" w:sz="0" w:val="nil"/>
        </w:pBdr>
        <w:shd w:fill="auto" w:val="clear"/>
        <w:spacing w:after="0" w:before="0" w:line="240" w:lineRule="auto"/>
        <w:ind w:left="0" w:right="0" w:firstLine="0"/>
        <w:jc w:val="left"/>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Zeng, Z., et al. (2020) ‘Customer engagement in the hotel industry’, International Journal of Contemporary Hospitality Management, 32(7), pp. 2445–2465. Available at: https://www.emerald.com/insight/content/doi/10.1108/IJCHM-11-2019-0993/full/html.</w:t>
      </w:r>
    </w:p>
    <w:p w:rsidR="00000000" w:rsidDel="00000000" w:rsidP="00000000" w:rsidRDefault="00000000" w:rsidRPr="00000000" w14:paraId="000001F7">
      <w:pPr>
        <w:pStyle w:val="Heading1"/>
        <w:tabs>
          <w:tab w:val="left" w:leader="none" w:pos="1181"/>
          <w:tab w:val="left" w:leader="none" w:pos="6689"/>
        </w:tabs>
        <w:rPr/>
      </w:pPr>
      <w:r w:rsidDel="00000000" w:rsidR="00000000" w:rsidRPr="00000000">
        <w:rPr>
          <w:rtl w:val="0"/>
        </w:rPr>
      </w:r>
    </w:p>
    <w:p w:rsidR="00000000" w:rsidDel="00000000" w:rsidP="00000000" w:rsidRDefault="00000000" w:rsidRPr="00000000" w14:paraId="000001F8">
      <w:pPr>
        <w:spacing w:line="360" w:lineRule="auto"/>
        <w:jc w:val="both"/>
        <w:rPr>
          <w:rFonts w:ascii="Times New Roman" w:cs="Times New Roman" w:eastAsia="Times New Roman" w:hAnsi="Times New Roman"/>
          <w:sz w:val="24"/>
          <w:szCs w:val="24"/>
        </w:rPr>
      </w:pPr>
      <w:r w:rsidDel="00000000" w:rsidR="00000000" w:rsidRPr="00000000">
        <w:rPr>
          <w:rtl w:val="0"/>
        </w:rPr>
      </w:r>
    </w:p>
    <w:sectPr>
      <w:headerReference r:id="rId13" w:type="default"/>
      <w:footerReference r:id="rId14"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alibri"/>
  <w:font w:name="Georgia"/>
  <w:font w:name="Aptos"/>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14.399999999999999"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14.399999999999999"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widowControl w:val="0"/>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tabs>
        <w:tab w:val="left" w:leader="none" w:pos="1181"/>
        <w:tab w:val="left" w:leader="none" w:pos="6689"/>
      </w:tabs>
      <w:spacing w:before="676" w:line="360" w:lineRule="auto"/>
      <w:ind w:right="916"/>
      <w:jc w:val="center"/>
    </w:pPr>
    <w:rPr>
      <w:rFonts w:ascii="Times New Roman" w:cs="Times New Roman" w:eastAsia="Times New Roman" w:hAnsi="Times New Roman"/>
      <w:b w:val="1"/>
      <w:color w:val="000000"/>
      <w:sz w:val="44"/>
      <w:szCs w:val="44"/>
      <w:u w:val="single"/>
    </w:rPr>
  </w:style>
  <w:style w:type="paragraph" w:styleId="Heading2">
    <w:name w:val="heading 2"/>
    <w:basedOn w:val="Normal"/>
    <w:next w:val="Normal"/>
    <w:pPr>
      <w:keepNext w:val="1"/>
      <w:keepLines w:val="1"/>
      <w:spacing w:before="40" w:line="360" w:lineRule="auto"/>
      <w:jc w:val="both"/>
    </w:pPr>
    <w:rPr>
      <w:rFonts w:ascii="Times New Roman" w:cs="Times New Roman" w:eastAsia="Times New Roman" w:hAnsi="Times New Roman"/>
      <w:b w:val="1"/>
      <w:i w:val="1"/>
      <w:color w:val="2e75b5"/>
      <w:sz w:val="24"/>
      <w:szCs w:val="24"/>
    </w:rPr>
  </w:style>
  <w:style w:type="paragraph" w:styleId="Heading3">
    <w:name w:val="heading 3"/>
    <w:basedOn w:val="Normal"/>
    <w:next w:val="Normal"/>
    <w:pPr>
      <w:keepNext w:val="1"/>
      <w:keepLines w:val="1"/>
      <w:spacing w:before="40" w:lineRule="auto"/>
    </w:pPr>
    <w:rPr>
      <w:rFonts w:ascii="Calibri" w:cs="Calibri" w:eastAsia="Calibri" w:hAnsi="Calibri"/>
      <w:color w:val="1e4d78"/>
      <w:sz w:val="24"/>
      <w:szCs w:val="24"/>
    </w:rPr>
  </w:style>
  <w:style w:type="paragraph" w:styleId="Heading4">
    <w:name w:val="heading 4"/>
    <w:basedOn w:val="Normal"/>
    <w:next w:val="Normal"/>
    <w:pPr>
      <w:keepNext w:val="1"/>
      <w:keepLines w:val="1"/>
      <w:spacing w:before="40" w:lineRule="auto"/>
    </w:pPr>
    <w:rPr>
      <w:rFonts w:ascii="Calibri" w:cs="Calibri" w:eastAsia="Calibri" w:hAnsi="Calibri"/>
      <w:i w:val="1"/>
      <w:color w:val="2e75b5"/>
    </w:rPr>
  </w:style>
  <w:style w:type="paragraph" w:styleId="Heading5">
    <w:name w:val="heading 5"/>
    <w:basedOn w:val="Normal"/>
    <w:next w:val="Normal"/>
    <w:pPr>
      <w:keepNext w:val="1"/>
      <w:keepLines w:val="1"/>
      <w:spacing w:before="40" w:lineRule="auto"/>
    </w:pPr>
    <w:rPr>
      <w:rFonts w:ascii="Calibri" w:cs="Calibri" w:eastAsia="Calibri" w:hAnsi="Calibri"/>
      <w:color w:val="2e75b5"/>
    </w:rPr>
  </w:style>
  <w:style w:type="paragraph" w:styleId="Heading6">
    <w:name w:val="heading 6"/>
    <w:basedOn w:val="Normal"/>
    <w:next w:val="Normal"/>
    <w:pPr>
      <w:keepNext w:val="1"/>
      <w:keepLines w:val="1"/>
      <w:spacing w:before="40" w:lineRule="auto"/>
    </w:pPr>
    <w:rPr>
      <w:rFonts w:ascii="Calibri" w:cs="Calibri" w:eastAsia="Calibri" w:hAnsi="Calibri"/>
      <w:color w:val="1e4d78"/>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uiPriority w:val="1"/>
    <w:qFormat w:val="1"/>
    <w:rsid w:val="00374BA6"/>
    <w:pPr>
      <w:widowControl w:val="0"/>
      <w:autoSpaceDE w:val="0"/>
      <w:autoSpaceDN w:val="0"/>
      <w:spacing w:after="0" w:line="240" w:lineRule="auto"/>
    </w:pPr>
    <w:rPr>
      <w:rFonts w:ascii="Arial" w:cs="Arial" w:eastAsia="Arial" w:hAnsi="Arial"/>
      <w:lang w:val="en-US"/>
    </w:rPr>
  </w:style>
  <w:style w:type="paragraph" w:styleId="Heading1">
    <w:name w:val="heading 1"/>
    <w:basedOn w:val="Normal"/>
    <w:link w:val="Heading1Char"/>
    <w:autoRedefine w:val="1"/>
    <w:uiPriority w:val="9"/>
    <w:qFormat w:val="1"/>
    <w:rsid w:val="0070707A"/>
    <w:pPr>
      <w:tabs>
        <w:tab w:val="left" w:pos="1181"/>
        <w:tab w:val="left" w:pos="6689"/>
      </w:tabs>
      <w:spacing w:before="676" w:line="360" w:lineRule="auto"/>
      <w:ind w:right="916"/>
      <w:jc w:val="center"/>
      <w:outlineLvl w:val="0"/>
    </w:pPr>
    <w:rPr>
      <w:rFonts w:ascii="Times New Roman" w:cs="Times New Roman" w:hAnsi="Times New Roman"/>
      <w:b w:val="1"/>
      <w:bCs w:val="1"/>
      <w:color w:val="000000"/>
      <w:sz w:val="44"/>
      <w:szCs w:val="44"/>
      <w:u w:val="single"/>
    </w:rPr>
  </w:style>
  <w:style w:type="paragraph" w:styleId="Heading2">
    <w:name w:val="heading 2"/>
    <w:basedOn w:val="Normal"/>
    <w:next w:val="Normal"/>
    <w:link w:val="Heading2Char"/>
    <w:autoRedefine w:val="1"/>
    <w:uiPriority w:val="9"/>
    <w:unhideWhenUsed w:val="1"/>
    <w:qFormat w:val="1"/>
    <w:rsid w:val="00027FEA"/>
    <w:pPr>
      <w:keepNext w:val="1"/>
      <w:keepLines w:val="1"/>
      <w:spacing w:before="40" w:line="360" w:lineRule="auto"/>
      <w:jc w:val="both"/>
      <w:outlineLvl w:val="1"/>
    </w:pPr>
    <w:rPr>
      <w:rFonts w:ascii="Times New Roman" w:cs="Times New Roman" w:hAnsi="Times New Roman" w:eastAsiaTheme="majorEastAsia"/>
      <w:b w:val="1"/>
      <w:i w:val="1"/>
      <w:color w:val="2e74b5" w:themeColor="accent1" w:themeShade="0000BF"/>
      <w:sz w:val="24"/>
      <w:szCs w:val="24"/>
    </w:rPr>
  </w:style>
  <w:style w:type="paragraph" w:styleId="Heading3">
    <w:name w:val="heading 3"/>
    <w:basedOn w:val="Normal"/>
    <w:next w:val="Normal"/>
    <w:link w:val="Heading3Char"/>
    <w:uiPriority w:val="9"/>
    <w:unhideWhenUsed w:val="1"/>
    <w:qFormat w:val="1"/>
    <w:rsid w:val="000139B1"/>
    <w:pPr>
      <w:keepNext w:val="1"/>
      <w:keepLines w:val="1"/>
      <w:spacing w:before="40"/>
      <w:outlineLvl w:val="2"/>
    </w:pPr>
    <w:rPr>
      <w:rFonts w:asciiTheme="majorHAnsi" w:cstheme="majorBidi" w:eastAsiaTheme="majorEastAsia" w:hAnsiTheme="majorHAnsi"/>
      <w:color w:val="1f4d78" w:themeColor="accent1" w:themeShade="00007F"/>
      <w:sz w:val="24"/>
      <w:szCs w:val="24"/>
    </w:rPr>
  </w:style>
  <w:style w:type="paragraph" w:styleId="Heading4">
    <w:name w:val="heading 4"/>
    <w:basedOn w:val="Normal"/>
    <w:next w:val="Normal"/>
    <w:link w:val="Heading4Char"/>
    <w:uiPriority w:val="9"/>
    <w:unhideWhenUsed w:val="1"/>
    <w:qFormat w:val="1"/>
    <w:rsid w:val="000139B1"/>
    <w:pPr>
      <w:keepNext w:val="1"/>
      <w:keepLines w:val="1"/>
      <w:spacing w:before="40"/>
      <w:outlineLvl w:val="3"/>
    </w:pPr>
    <w:rPr>
      <w:rFonts w:asciiTheme="majorHAnsi" w:cstheme="majorBidi" w:eastAsiaTheme="majorEastAsia" w:hAnsiTheme="majorHAnsi"/>
      <w:i w:val="1"/>
      <w:iCs w:val="1"/>
      <w:color w:val="2e74b5" w:themeColor="accent1" w:themeShade="0000BF"/>
    </w:rPr>
  </w:style>
  <w:style w:type="paragraph" w:styleId="Heading5">
    <w:name w:val="heading 5"/>
    <w:basedOn w:val="Normal"/>
    <w:next w:val="Normal"/>
    <w:link w:val="Heading5Char"/>
    <w:uiPriority w:val="9"/>
    <w:unhideWhenUsed w:val="1"/>
    <w:qFormat w:val="1"/>
    <w:rsid w:val="001B1FDC"/>
    <w:pPr>
      <w:keepNext w:val="1"/>
      <w:keepLines w:val="1"/>
      <w:spacing w:before="40"/>
      <w:outlineLvl w:val="4"/>
    </w:pPr>
    <w:rPr>
      <w:rFonts w:asciiTheme="majorHAnsi" w:cstheme="majorBidi" w:eastAsiaTheme="majorEastAsia" w:hAnsiTheme="majorHAnsi"/>
      <w:color w:val="2e74b5" w:themeColor="accent1" w:themeShade="0000BF"/>
    </w:rPr>
  </w:style>
  <w:style w:type="paragraph" w:styleId="Heading6">
    <w:name w:val="heading 6"/>
    <w:basedOn w:val="Normal"/>
    <w:next w:val="Normal"/>
    <w:link w:val="Heading6Char"/>
    <w:uiPriority w:val="9"/>
    <w:unhideWhenUsed w:val="1"/>
    <w:qFormat w:val="1"/>
    <w:rsid w:val="001B1FDC"/>
    <w:pPr>
      <w:keepNext w:val="1"/>
      <w:keepLines w:val="1"/>
      <w:spacing w:before="40"/>
      <w:outlineLvl w:val="5"/>
    </w:pPr>
    <w:rPr>
      <w:rFonts w:asciiTheme="majorHAnsi" w:cstheme="majorBidi" w:eastAsiaTheme="majorEastAsia" w:hAnsiTheme="majorHAnsi"/>
      <w:color w:val="1f4d78" w:themeColor="accent1" w:themeShade="00007F"/>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70707A"/>
    <w:rPr>
      <w:rFonts w:ascii="Times New Roman" w:cs="Times New Roman" w:eastAsia="Arial" w:hAnsi="Times New Roman"/>
      <w:b w:val="1"/>
      <w:bCs w:val="1"/>
      <w:color w:val="000000"/>
      <w:sz w:val="44"/>
      <w:szCs w:val="44"/>
      <w:u w:val="single"/>
      <w:lang w:val="en-US"/>
    </w:rPr>
  </w:style>
  <w:style w:type="paragraph" w:styleId="BodyText">
    <w:name w:val="Body Text"/>
    <w:basedOn w:val="Normal"/>
    <w:link w:val="BodyTextChar"/>
    <w:uiPriority w:val="1"/>
    <w:qFormat w:val="1"/>
    <w:rsid w:val="00374BA6"/>
    <w:rPr>
      <w:sz w:val="24"/>
      <w:szCs w:val="24"/>
    </w:rPr>
  </w:style>
  <w:style w:type="character" w:styleId="BodyTextChar" w:customStyle="1">
    <w:name w:val="Body Text Char"/>
    <w:basedOn w:val="DefaultParagraphFont"/>
    <w:link w:val="BodyText"/>
    <w:uiPriority w:val="1"/>
    <w:rsid w:val="00374BA6"/>
    <w:rPr>
      <w:rFonts w:ascii="Arial" w:cs="Arial" w:eastAsia="Arial" w:hAnsi="Arial"/>
      <w:sz w:val="24"/>
      <w:szCs w:val="24"/>
      <w:lang w:val="en-US"/>
    </w:rPr>
  </w:style>
  <w:style w:type="paragraph" w:styleId="ListParagraph">
    <w:name w:val="List Paragraph"/>
    <w:basedOn w:val="Normal"/>
    <w:uiPriority w:val="34"/>
    <w:qFormat w:val="1"/>
    <w:rsid w:val="00374BA6"/>
    <w:pPr>
      <w:spacing w:before="92"/>
      <w:ind w:left="821" w:hanging="361"/>
    </w:pPr>
  </w:style>
  <w:style w:type="paragraph" w:styleId="TableParagraph" w:customStyle="1">
    <w:name w:val="Table Paragraph"/>
    <w:basedOn w:val="Normal"/>
    <w:uiPriority w:val="1"/>
    <w:qFormat w:val="1"/>
    <w:rsid w:val="00374BA6"/>
  </w:style>
  <w:style w:type="table" w:styleId="TableGrid">
    <w:name w:val="Table Grid"/>
    <w:basedOn w:val="TableNormal"/>
    <w:uiPriority w:val="39"/>
    <w:rsid w:val="006266A8"/>
    <w:pPr>
      <w:spacing w:after="0" w:line="240" w:lineRule="auto"/>
    </w:pPr>
    <w:rPr>
      <w:rFonts w:ascii="Times New Roman" w:cs="Times New Roman" w:eastAsia="Times New Roman" w:hAnsi="Times New Roman"/>
      <w:sz w:val="20"/>
      <w:szCs w:val="20"/>
      <w:lang w:eastAsia="en-GB"/>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TOCHeading">
    <w:name w:val="TOC Heading"/>
    <w:basedOn w:val="Heading1"/>
    <w:next w:val="Normal"/>
    <w:uiPriority w:val="39"/>
    <w:unhideWhenUsed w:val="1"/>
    <w:qFormat w:val="1"/>
    <w:rsid w:val="005A17DB"/>
    <w:pPr>
      <w:keepNext w:val="1"/>
      <w:keepLines w:val="1"/>
      <w:widowControl w:val="1"/>
      <w:autoSpaceDE w:val="1"/>
      <w:autoSpaceDN w:val="1"/>
      <w:spacing w:before="240" w:line="259" w:lineRule="auto"/>
      <w:outlineLvl w:val="9"/>
    </w:pPr>
    <w:rPr>
      <w:rFonts w:asciiTheme="majorHAnsi" w:cstheme="majorBidi" w:eastAsiaTheme="majorEastAsia" w:hAnsiTheme="majorHAnsi"/>
      <w:b w:val="0"/>
      <w:bCs w:val="0"/>
      <w:color w:val="2e74b5" w:themeColor="accent1" w:themeShade="0000BF"/>
    </w:rPr>
  </w:style>
  <w:style w:type="paragraph" w:styleId="TOC1">
    <w:name w:val="toc 1"/>
    <w:basedOn w:val="Normal"/>
    <w:next w:val="Normal"/>
    <w:autoRedefine w:val="1"/>
    <w:uiPriority w:val="39"/>
    <w:unhideWhenUsed w:val="1"/>
    <w:rsid w:val="005A17DB"/>
    <w:pPr>
      <w:spacing w:before="120"/>
    </w:pPr>
    <w:rPr>
      <w:rFonts w:asciiTheme="minorHAnsi" w:cstheme="minorHAnsi" w:hAnsiTheme="minorHAnsi"/>
      <w:b w:val="1"/>
      <w:bCs w:val="1"/>
      <w:i w:val="1"/>
      <w:iCs w:val="1"/>
      <w:sz w:val="24"/>
      <w:szCs w:val="24"/>
    </w:rPr>
  </w:style>
  <w:style w:type="paragraph" w:styleId="TOC2">
    <w:name w:val="toc 2"/>
    <w:basedOn w:val="Normal"/>
    <w:next w:val="Normal"/>
    <w:autoRedefine w:val="1"/>
    <w:uiPriority w:val="39"/>
    <w:unhideWhenUsed w:val="1"/>
    <w:rsid w:val="00BC2F60"/>
    <w:pPr>
      <w:spacing w:before="120"/>
      <w:ind w:left="220"/>
    </w:pPr>
    <w:rPr>
      <w:rFonts w:asciiTheme="minorHAnsi" w:cstheme="minorHAnsi" w:hAnsiTheme="minorHAnsi"/>
      <w:b w:val="1"/>
      <w:bCs w:val="1"/>
    </w:rPr>
  </w:style>
  <w:style w:type="character" w:styleId="Hyperlink">
    <w:name w:val="Hyperlink"/>
    <w:basedOn w:val="DefaultParagraphFont"/>
    <w:uiPriority w:val="99"/>
    <w:unhideWhenUsed w:val="1"/>
    <w:rsid w:val="005A17DB"/>
    <w:rPr>
      <w:color w:val="0563c1" w:themeColor="hyperlink"/>
      <w:u w:val="single"/>
    </w:rPr>
  </w:style>
  <w:style w:type="character" w:styleId="Heading2Char" w:customStyle="1">
    <w:name w:val="Heading 2 Char"/>
    <w:basedOn w:val="DefaultParagraphFont"/>
    <w:link w:val="Heading2"/>
    <w:uiPriority w:val="9"/>
    <w:rsid w:val="00027FEA"/>
    <w:rPr>
      <w:rFonts w:ascii="Times New Roman" w:cs="Times New Roman" w:hAnsi="Times New Roman" w:eastAsiaTheme="majorEastAsia"/>
      <w:b w:val="1"/>
      <w:i w:val="1"/>
      <w:color w:val="2e74b5" w:themeColor="accent1" w:themeShade="0000BF"/>
      <w:sz w:val="24"/>
      <w:szCs w:val="24"/>
      <w:lang w:val="en-US"/>
    </w:rPr>
  </w:style>
  <w:style w:type="paragraph" w:styleId="Header">
    <w:name w:val="header"/>
    <w:basedOn w:val="Normal"/>
    <w:link w:val="HeaderChar"/>
    <w:uiPriority w:val="99"/>
    <w:unhideWhenUsed w:val="1"/>
    <w:rsid w:val="00BC2F60"/>
    <w:pPr>
      <w:tabs>
        <w:tab w:val="center" w:pos="4513"/>
        <w:tab w:val="right" w:pos="9026"/>
      </w:tabs>
    </w:pPr>
  </w:style>
  <w:style w:type="character" w:styleId="HeaderChar" w:customStyle="1">
    <w:name w:val="Header Char"/>
    <w:basedOn w:val="DefaultParagraphFont"/>
    <w:link w:val="Header"/>
    <w:uiPriority w:val="99"/>
    <w:rsid w:val="00BC2F60"/>
    <w:rPr>
      <w:rFonts w:ascii="Arial" w:cs="Arial" w:eastAsia="Arial" w:hAnsi="Arial"/>
      <w:lang w:val="en-US"/>
    </w:rPr>
  </w:style>
  <w:style w:type="paragraph" w:styleId="Footer">
    <w:name w:val="footer"/>
    <w:basedOn w:val="Normal"/>
    <w:link w:val="FooterChar"/>
    <w:uiPriority w:val="99"/>
    <w:unhideWhenUsed w:val="1"/>
    <w:rsid w:val="00BC2F60"/>
    <w:pPr>
      <w:tabs>
        <w:tab w:val="center" w:pos="4513"/>
        <w:tab w:val="right" w:pos="9026"/>
      </w:tabs>
    </w:pPr>
  </w:style>
  <w:style w:type="character" w:styleId="FooterChar" w:customStyle="1">
    <w:name w:val="Footer Char"/>
    <w:basedOn w:val="DefaultParagraphFont"/>
    <w:link w:val="Footer"/>
    <w:uiPriority w:val="99"/>
    <w:rsid w:val="00BC2F60"/>
    <w:rPr>
      <w:rFonts w:ascii="Arial" w:cs="Arial" w:eastAsia="Arial" w:hAnsi="Arial"/>
      <w:lang w:val="en-US"/>
    </w:rPr>
  </w:style>
  <w:style w:type="paragraph" w:styleId="NormalWeb">
    <w:name w:val="Normal (Web)"/>
    <w:basedOn w:val="Normal"/>
    <w:uiPriority w:val="99"/>
    <w:unhideWhenUsed w:val="1"/>
    <w:rsid w:val="00327435"/>
    <w:pPr>
      <w:widowControl w:val="1"/>
      <w:autoSpaceDE w:val="1"/>
      <w:autoSpaceDN w:val="1"/>
      <w:spacing w:after="100" w:afterAutospacing="1" w:before="100" w:beforeAutospacing="1"/>
    </w:pPr>
    <w:rPr>
      <w:rFonts w:ascii="Times New Roman" w:cs="Times New Roman" w:eastAsia="Times New Roman" w:hAnsi="Times New Roman"/>
      <w:sz w:val="24"/>
      <w:szCs w:val="24"/>
      <w:lang w:eastAsia="en-GB"/>
    </w:rPr>
  </w:style>
  <w:style w:type="character" w:styleId="Strong">
    <w:name w:val="Strong"/>
    <w:basedOn w:val="DefaultParagraphFont"/>
    <w:uiPriority w:val="22"/>
    <w:qFormat w:val="1"/>
    <w:rsid w:val="00327435"/>
    <w:rPr>
      <w:b w:val="1"/>
      <w:bCs w:val="1"/>
    </w:rPr>
  </w:style>
  <w:style w:type="character" w:styleId="apple-converted-space" w:customStyle="1">
    <w:name w:val="apple-converted-space"/>
    <w:basedOn w:val="DefaultParagraphFont"/>
    <w:rsid w:val="00327435"/>
  </w:style>
  <w:style w:type="character" w:styleId="Heading3Char" w:customStyle="1">
    <w:name w:val="Heading 3 Char"/>
    <w:basedOn w:val="DefaultParagraphFont"/>
    <w:link w:val="Heading3"/>
    <w:uiPriority w:val="9"/>
    <w:rsid w:val="000139B1"/>
    <w:rPr>
      <w:rFonts w:asciiTheme="majorHAnsi" w:cstheme="majorBidi" w:eastAsiaTheme="majorEastAsia" w:hAnsiTheme="majorHAnsi"/>
      <w:color w:val="1f4d78" w:themeColor="accent1" w:themeShade="00007F"/>
      <w:sz w:val="24"/>
      <w:szCs w:val="24"/>
      <w:lang w:val="en-US"/>
    </w:rPr>
  </w:style>
  <w:style w:type="character" w:styleId="Heading4Char" w:customStyle="1">
    <w:name w:val="Heading 4 Char"/>
    <w:basedOn w:val="DefaultParagraphFont"/>
    <w:link w:val="Heading4"/>
    <w:uiPriority w:val="9"/>
    <w:rsid w:val="000139B1"/>
    <w:rPr>
      <w:rFonts w:asciiTheme="majorHAnsi" w:cstheme="majorBidi" w:eastAsiaTheme="majorEastAsia" w:hAnsiTheme="majorHAnsi"/>
      <w:i w:val="1"/>
      <w:iCs w:val="1"/>
      <w:color w:val="2e74b5" w:themeColor="accent1" w:themeShade="0000BF"/>
      <w:lang w:val="en-US"/>
    </w:rPr>
  </w:style>
  <w:style w:type="character" w:styleId="Emphasis">
    <w:name w:val="Emphasis"/>
    <w:basedOn w:val="DefaultParagraphFont"/>
    <w:uiPriority w:val="20"/>
    <w:qFormat w:val="1"/>
    <w:rsid w:val="000139B1"/>
    <w:rPr>
      <w:i w:val="1"/>
      <w:iCs w:val="1"/>
    </w:rPr>
  </w:style>
  <w:style w:type="character" w:styleId="overflow-hidden" w:customStyle="1">
    <w:name w:val="overflow-hidden"/>
    <w:basedOn w:val="DefaultParagraphFont"/>
    <w:rsid w:val="000139B1"/>
  </w:style>
  <w:style w:type="paragraph" w:styleId="z-TopofForm">
    <w:name w:val="HTML Top of Form"/>
    <w:basedOn w:val="Normal"/>
    <w:next w:val="Normal"/>
    <w:link w:val="z-TopofFormChar"/>
    <w:hidden w:val="1"/>
    <w:uiPriority w:val="99"/>
    <w:semiHidden w:val="1"/>
    <w:unhideWhenUsed w:val="1"/>
    <w:rsid w:val="000139B1"/>
    <w:pPr>
      <w:widowControl w:val="1"/>
      <w:pBdr>
        <w:bottom w:color="auto" w:space="1" w:sz="6" w:val="single"/>
      </w:pBdr>
      <w:autoSpaceDE w:val="1"/>
      <w:autoSpaceDN w:val="1"/>
      <w:jc w:val="center"/>
    </w:pPr>
    <w:rPr>
      <w:rFonts w:eastAsia="Times New Roman"/>
      <w:vanish w:val="1"/>
      <w:sz w:val="16"/>
      <w:szCs w:val="16"/>
      <w:lang w:eastAsia="en-GB"/>
    </w:rPr>
  </w:style>
  <w:style w:type="character" w:styleId="z-TopofFormChar" w:customStyle="1">
    <w:name w:val="z-Top of Form Char"/>
    <w:basedOn w:val="DefaultParagraphFont"/>
    <w:link w:val="z-TopofForm"/>
    <w:uiPriority w:val="99"/>
    <w:semiHidden w:val="1"/>
    <w:rsid w:val="000139B1"/>
    <w:rPr>
      <w:rFonts w:ascii="Arial" w:cs="Arial" w:eastAsia="Times New Roman" w:hAnsi="Arial"/>
      <w:vanish w:val="1"/>
      <w:sz w:val="16"/>
      <w:szCs w:val="16"/>
      <w:lang w:eastAsia="en-GB"/>
    </w:rPr>
  </w:style>
  <w:style w:type="paragraph" w:styleId="z-BottomofForm">
    <w:name w:val="HTML Bottom of Form"/>
    <w:basedOn w:val="Normal"/>
    <w:next w:val="Normal"/>
    <w:link w:val="z-BottomofFormChar"/>
    <w:hidden w:val="1"/>
    <w:uiPriority w:val="99"/>
    <w:semiHidden w:val="1"/>
    <w:unhideWhenUsed w:val="1"/>
    <w:rsid w:val="000139B1"/>
    <w:pPr>
      <w:widowControl w:val="1"/>
      <w:pBdr>
        <w:top w:color="auto" w:space="1" w:sz="6" w:val="single"/>
      </w:pBdr>
      <w:autoSpaceDE w:val="1"/>
      <w:autoSpaceDN w:val="1"/>
      <w:jc w:val="center"/>
    </w:pPr>
    <w:rPr>
      <w:rFonts w:eastAsia="Times New Roman"/>
      <w:vanish w:val="1"/>
      <w:sz w:val="16"/>
      <w:szCs w:val="16"/>
      <w:lang w:eastAsia="en-GB"/>
    </w:rPr>
  </w:style>
  <w:style w:type="character" w:styleId="z-BottomofFormChar" w:customStyle="1">
    <w:name w:val="z-Bottom of Form Char"/>
    <w:basedOn w:val="DefaultParagraphFont"/>
    <w:link w:val="z-BottomofForm"/>
    <w:uiPriority w:val="99"/>
    <w:semiHidden w:val="1"/>
    <w:rsid w:val="000139B1"/>
    <w:rPr>
      <w:rFonts w:ascii="Arial" w:cs="Arial" w:eastAsia="Times New Roman" w:hAnsi="Arial"/>
      <w:vanish w:val="1"/>
      <w:sz w:val="16"/>
      <w:szCs w:val="16"/>
      <w:lang w:eastAsia="en-GB"/>
    </w:rPr>
  </w:style>
  <w:style w:type="table" w:styleId="ListTable3-Accent4">
    <w:name w:val="List Table 3 Accent 4"/>
    <w:basedOn w:val="TableNormal"/>
    <w:uiPriority w:val="48"/>
    <w:rsid w:val="000139B1"/>
    <w:pPr>
      <w:spacing w:after="0" w:line="240" w:lineRule="auto"/>
    </w:pPr>
    <w:tblPr>
      <w:tblStyleRowBandSize w:val="1"/>
      <w:tblStyleColBandSize w:val="1"/>
      <w:tblBorders>
        <w:top w:color="ffc000" w:space="0" w:sz="4" w:themeColor="accent4" w:val="single"/>
        <w:left w:color="ffc000" w:space="0" w:sz="4" w:themeColor="accent4" w:val="single"/>
        <w:bottom w:color="ffc000" w:space="0" w:sz="4" w:themeColor="accent4" w:val="single"/>
        <w:right w:color="ffc000" w:space="0" w:sz="4" w:themeColor="accent4" w:val="single"/>
      </w:tblBorders>
    </w:tblPr>
    <w:tblStylePr w:type="firstRow">
      <w:rPr>
        <w:b w:val="1"/>
        <w:bCs w:val="1"/>
        <w:color w:val="ffffff" w:themeColor="background1"/>
      </w:rPr>
      <w:tblPr/>
      <w:tcPr>
        <w:shd w:color="auto" w:fill="ffc000" w:themeFill="accent4" w:val="clear"/>
      </w:tcPr>
    </w:tblStylePr>
    <w:tblStylePr w:type="lastRow">
      <w:rPr>
        <w:b w:val="1"/>
        <w:bCs w:val="1"/>
      </w:rPr>
      <w:tblPr/>
      <w:tcPr>
        <w:tcBorders>
          <w:top w:color="ffc000" w:space="0" w:sz="4" w:themeColor="accent4" w:val="double"/>
        </w:tcBorders>
        <w:shd w:color="auto" w:fill="ffffff" w:themeFill="background1" w:val="clear"/>
      </w:tcPr>
    </w:tblStylePr>
    <w:tblStylePr w:type="firstCol">
      <w:rPr>
        <w:b w:val="1"/>
        <w:bCs w:val="1"/>
      </w:rPr>
      <w:tblPr/>
      <w:tcPr>
        <w:tcBorders>
          <w:right w:space="0" w:sz="0" w:val="nil"/>
        </w:tcBorders>
        <w:shd w:color="auto" w:fill="ffffff" w:themeFill="background1" w:val="clear"/>
      </w:tcPr>
    </w:tblStylePr>
    <w:tblStylePr w:type="lastCol">
      <w:rPr>
        <w:b w:val="1"/>
        <w:bCs w:val="1"/>
      </w:rPr>
      <w:tblPr/>
      <w:tcPr>
        <w:tcBorders>
          <w:left w:space="0" w:sz="0" w:val="nil"/>
        </w:tcBorders>
        <w:shd w:color="auto" w:fill="ffffff" w:themeFill="background1" w:val="clear"/>
      </w:tcPr>
    </w:tblStylePr>
    <w:tblStylePr w:type="band1Vert">
      <w:tblPr/>
      <w:tcPr>
        <w:tcBorders>
          <w:left w:color="ffc000" w:space="0" w:sz="4" w:themeColor="accent4" w:val="single"/>
          <w:right w:color="ffc000" w:space="0" w:sz="4" w:themeColor="accent4" w:val="single"/>
        </w:tcBorders>
      </w:tcPr>
    </w:tblStylePr>
    <w:tblStylePr w:type="band1Horz">
      <w:tblPr/>
      <w:tcPr>
        <w:tcBorders>
          <w:top w:color="ffc000" w:space="0" w:sz="4" w:themeColor="accent4" w:val="single"/>
          <w:bottom w:color="ffc000" w:space="0" w:sz="4" w:themeColor="accent4" w:val="single"/>
          <w:insideH w:space="0" w:sz="0" w:val="nil"/>
        </w:tcBorders>
      </w:tcPr>
    </w:tblStylePr>
    <w:tblStylePr w:type="neCell">
      <w:tblPr/>
      <w:tcPr>
        <w:tcBorders>
          <w:left w:space="0" w:sz="0" w:val="nil"/>
          <w:bottom w:space="0" w:sz="0" w:val="nil"/>
        </w:tcBorders>
      </w:tcPr>
    </w:tblStylePr>
    <w:tblStylePr w:type="nwCell">
      <w:tblPr/>
      <w:tcPr>
        <w:tcBorders>
          <w:bottom w:space="0" w:sz="0" w:val="nil"/>
          <w:right w:space="0" w:sz="0" w:val="nil"/>
        </w:tcBorders>
      </w:tcPr>
    </w:tblStylePr>
    <w:tblStylePr w:type="seCell">
      <w:tblPr/>
      <w:tcPr>
        <w:tcBorders>
          <w:top w:color="ffc000" w:space="0" w:sz="4" w:themeColor="accent4" w:val="double"/>
          <w:left w:space="0" w:sz="0" w:val="nil"/>
        </w:tcBorders>
      </w:tcPr>
    </w:tblStylePr>
    <w:tblStylePr w:type="swCell">
      <w:tblPr/>
      <w:tcPr>
        <w:tcBorders>
          <w:top w:color="ffc000" w:space="0" w:sz="4" w:themeColor="accent4" w:val="double"/>
          <w:right w:space="0" w:sz="0" w:val="nil"/>
        </w:tcBorders>
      </w:tcPr>
    </w:tblStylePr>
  </w:style>
  <w:style w:type="character" w:styleId="grow" w:customStyle="1">
    <w:name w:val="grow"/>
    <w:basedOn w:val="DefaultParagraphFont"/>
    <w:rsid w:val="00427F33"/>
  </w:style>
  <w:style w:type="character" w:styleId="Heading5Char" w:customStyle="1">
    <w:name w:val="Heading 5 Char"/>
    <w:basedOn w:val="DefaultParagraphFont"/>
    <w:link w:val="Heading5"/>
    <w:uiPriority w:val="9"/>
    <w:rsid w:val="001B1FDC"/>
    <w:rPr>
      <w:rFonts w:asciiTheme="majorHAnsi" w:cstheme="majorBidi" w:eastAsiaTheme="majorEastAsia" w:hAnsiTheme="majorHAnsi"/>
      <w:color w:val="2e74b5" w:themeColor="accent1" w:themeShade="0000BF"/>
      <w:lang w:val="en-US"/>
    </w:rPr>
  </w:style>
  <w:style w:type="character" w:styleId="Heading6Char" w:customStyle="1">
    <w:name w:val="Heading 6 Char"/>
    <w:basedOn w:val="DefaultParagraphFont"/>
    <w:link w:val="Heading6"/>
    <w:uiPriority w:val="9"/>
    <w:rsid w:val="001B1FDC"/>
    <w:rPr>
      <w:rFonts w:asciiTheme="majorHAnsi" w:cstheme="majorBidi" w:eastAsiaTheme="majorEastAsia" w:hAnsiTheme="majorHAnsi"/>
      <w:color w:val="1f4d78" w:themeColor="accent1" w:themeShade="00007F"/>
      <w:lang w:val="en-US"/>
    </w:rPr>
  </w:style>
  <w:style w:type="paragraph" w:styleId="placeholder" w:customStyle="1">
    <w:name w:val="placeholder"/>
    <w:basedOn w:val="Normal"/>
    <w:rsid w:val="001B1FDC"/>
    <w:pPr>
      <w:widowControl w:val="1"/>
      <w:autoSpaceDE w:val="1"/>
      <w:autoSpaceDN w:val="1"/>
      <w:spacing w:after="100" w:afterAutospacing="1" w:before="100" w:beforeAutospacing="1"/>
    </w:pPr>
    <w:rPr>
      <w:rFonts w:ascii="Times New Roman" w:cs="Times New Roman" w:eastAsia="Times New Roman" w:hAnsi="Times New Roman"/>
      <w:sz w:val="24"/>
      <w:szCs w:val="24"/>
      <w:lang w:eastAsia="en-GB"/>
    </w:rPr>
  </w:style>
  <w:style w:type="paragraph" w:styleId="NoSpacing">
    <w:name w:val="No Spacing"/>
    <w:uiPriority w:val="1"/>
    <w:qFormat w:val="1"/>
    <w:rsid w:val="003A1359"/>
    <w:pPr>
      <w:widowControl w:val="0"/>
      <w:autoSpaceDE w:val="0"/>
      <w:autoSpaceDN w:val="0"/>
      <w:spacing w:after="0" w:line="240" w:lineRule="auto"/>
    </w:pPr>
    <w:rPr>
      <w:rFonts w:ascii="Arial" w:cs="Arial" w:eastAsia="Arial" w:hAnsi="Arial"/>
      <w:lang w:val="en-US"/>
    </w:rPr>
  </w:style>
  <w:style w:type="character" w:styleId="relative" w:customStyle="1">
    <w:name w:val="relative"/>
    <w:basedOn w:val="DefaultParagraphFont"/>
    <w:rsid w:val="003A1359"/>
  </w:style>
  <w:style w:type="character" w:styleId="ms-1" w:customStyle="1">
    <w:name w:val="ms-1"/>
    <w:basedOn w:val="DefaultParagraphFont"/>
    <w:rsid w:val="003A1359"/>
  </w:style>
  <w:style w:type="character" w:styleId="max-w-full" w:customStyle="1">
    <w:name w:val="max-w-full"/>
    <w:basedOn w:val="DefaultParagraphFont"/>
    <w:rsid w:val="003A1359"/>
  </w:style>
  <w:style w:type="character" w:styleId="-me-1" w:customStyle="1">
    <w:name w:val="-me-1"/>
    <w:basedOn w:val="DefaultParagraphFont"/>
    <w:rsid w:val="003A1359"/>
  </w:style>
  <w:style w:type="paragraph" w:styleId="TOC3">
    <w:name w:val="toc 3"/>
    <w:basedOn w:val="Normal"/>
    <w:next w:val="Normal"/>
    <w:autoRedefine w:val="1"/>
    <w:uiPriority w:val="39"/>
    <w:unhideWhenUsed w:val="1"/>
    <w:rsid w:val="003A1359"/>
    <w:pPr>
      <w:ind w:left="440"/>
    </w:pPr>
    <w:rPr>
      <w:rFonts w:asciiTheme="minorHAnsi" w:cstheme="minorHAnsi" w:hAnsiTheme="minorHAnsi"/>
      <w:sz w:val="20"/>
      <w:szCs w:val="20"/>
    </w:rPr>
  </w:style>
  <w:style w:type="paragraph" w:styleId="TOC4">
    <w:name w:val="toc 4"/>
    <w:basedOn w:val="Normal"/>
    <w:next w:val="Normal"/>
    <w:autoRedefine w:val="1"/>
    <w:uiPriority w:val="39"/>
    <w:semiHidden w:val="1"/>
    <w:unhideWhenUsed w:val="1"/>
    <w:rsid w:val="003A1359"/>
    <w:pPr>
      <w:ind w:left="660"/>
    </w:pPr>
    <w:rPr>
      <w:rFonts w:asciiTheme="minorHAnsi" w:cstheme="minorHAnsi" w:hAnsiTheme="minorHAnsi"/>
      <w:sz w:val="20"/>
      <w:szCs w:val="20"/>
    </w:rPr>
  </w:style>
  <w:style w:type="paragraph" w:styleId="TOC5">
    <w:name w:val="toc 5"/>
    <w:basedOn w:val="Normal"/>
    <w:next w:val="Normal"/>
    <w:autoRedefine w:val="1"/>
    <w:uiPriority w:val="39"/>
    <w:semiHidden w:val="1"/>
    <w:unhideWhenUsed w:val="1"/>
    <w:rsid w:val="003A1359"/>
    <w:pPr>
      <w:ind w:left="880"/>
    </w:pPr>
    <w:rPr>
      <w:rFonts w:asciiTheme="minorHAnsi" w:cstheme="minorHAnsi" w:hAnsiTheme="minorHAnsi"/>
      <w:sz w:val="20"/>
      <w:szCs w:val="20"/>
    </w:rPr>
  </w:style>
  <w:style w:type="paragraph" w:styleId="TOC6">
    <w:name w:val="toc 6"/>
    <w:basedOn w:val="Normal"/>
    <w:next w:val="Normal"/>
    <w:autoRedefine w:val="1"/>
    <w:uiPriority w:val="39"/>
    <w:semiHidden w:val="1"/>
    <w:unhideWhenUsed w:val="1"/>
    <w:rsid w:val="003A1359"/>
    <w:pPr>
      <w:ind w:left="1100"/>
    </w:pPr>
    <w:rPr>
      <w:rFonts w:asciiTheme="minorHAnsi" w:cstheme="minorHAnsi" w:hAnsiTheme="minorHAnsi"/>
      <w:sz w:val="20"/>
      <w:szCs w:val="20"/>
    </w:rPr>
  </w:style>
  <w:style w:type="paragraph" w:styleId="TOC7">
    <w:name w:val="toc 7"/>
    <w:basedOn w:val="Normal"/>
    <w:next w:val="Normal"/>
    <w:autoRedefine w:val="1"/>
    <w:uiPriority w:val="39"/>
    <w:semiHidden w:val="1"/>
    <w:unhideWhenUsed w:val="1"/>
    <w:rsid w:val="003A1359"/>
    <w:pPr>
      <w:ind w:left="1320"/>
    </w:pPr>
    <w:rPr>
      <w:rFonts w:asciiTheme="minorHAnsi" w:cstheme="minorHAnsi" w:hAnsiTheme="minorHAnsi"/>
      <w:sz w:val="20"/>
      <w:szCs w:val="20"/>
    </w:rPr>
  </w:style>
  <w:style w:type="paragraph" w:styleId="TOC8">
    <w:name w:val="toc 8"/>
    <w:basedOn w:val="Normal"/>
    <w:next w:val="Normal"/>
    <w:autoRedefine w:val="1"/>
    <w:uiPriority w:val="39"/>
    <w:semiHidden w:val="1"/>
    <w:unhideWhenUsed w:val="1"/>
    <w:rsid w:val="003A1359"/>
    <w:pPr>
      <w:ind w:left="1540"/>
    </w:pPr>
    <w:rPr>
      <w:rFonts w:asciiTheme="minorHAnsi" w:cstheme="minorHAnsi" w:hAnsiTheme="minorHAnsi"/>
      <w:sz w:val="20"/>
      <w:szCs w:val="20"/>
    </w:rPr>
  </w:style>
  <w:style w:type="paragraph" w:styleId="TOC9">
    <w:name w:val="toc 9"/>
    <w:basedOn w:val="Normal"/>
    <w:next w:val="Normal"/>
    <w:autoRedefine w:val="1"/>
    <w:uiPriority w:val="39"/>
    <w:semiHidden w:val="1"/>
    <w:unhideWhenUsed w:val="1"/>
    <w:rsid w:val="003A1359"/>
    <w:pPr>
      <w:ind w:left="1760"/>
    </w:pPr>
    <w:rPr>
      <w:rFonts w:asciiTheme="minorHAnsi" w:cstheme="minorHAnsi" w:hAnsiTheme="minorHAnsi"/>
      <w:sz w:val="20"/>
      <w:szCs w:val="20"/>
    </w:rPr>
  </w:style>
  <w:style w:type="character" w:styleId="mx-15" w:customStyle="1">
    <w:name w:val="mx-1.5"/>
    <w:basedOn w:val="DefaultParagraphFont"/>
    <w:rsid w:val="00CE2FB6"/>
  </w:style>
  <w:style w:type="paragraph" w:styleId="my-0" w:customStyle="1">
    <w:name w:val="my-0"/>
    <w:basedOn w:val="Normal"/>
    <w:rsid w:val="00D81EBA"/>
    <w:pPr>
      <w:widowControl w:val="1"/>
      <w:autoSpaceDE w:val="1"/>
      <w:autoSpaceDN w:val="1"/>
      <w:spacing w:after="100" w:afterAutospacing="1" w:before="100" w:beforeAutospacing="1"/>
    </w:pPr>
    <w:rPr>
      <w:rFonts w:ascii="Times New Roman" w:cs="Times New Roman" w:eastAsia="Times New Roman" w:hAnsi="Times New Roman"/>
      <w:sz w:val="24"/>
      <w:szCs w:val="24"/>
      <w:lang w:eastAsia="en-GB"/>
    </w:rPr>
  </w:style>
  <w:style w:type="table" w:styleId="GridTable4-Accent5">
    <w:name w:val="Grid Table 4 Accent 5"/>
    <w:basedOn w:val="TableNormal"/>
    <w:uiPriority w:val="49"/>
    <w:rsid w:val="00F97B75"/>
    <w:pPr>
      <w:spacing w:after="0" w:line="240" w:lineRule="auto"/>
    </w:pPr>
    <w:tblPr>
      <w:tblStyleRowBandSize w:val="1"/>
      <w:tblStyleColBandSize w:val="1"/>
      <w:tblBorders>
        <w:top w:color="8eaadb" w:space="0" w:sz="4" w:themeColor="accent5" w:themeTint="000099" w:val="single"/>
        <w:left w:color="8eaadb" w:space="0" w:sz="4" w:themeColor="accent5" w:themeTint="000099" w:val="single"/>
        <w:bottom w:color="8eaadb" w:space="0" w:sz="4" w:themeColor="accent5" w:themeTint="000099" w:val="single"/>
        <w:right w:color="8eaadb" w:space="0" w:sz="4" w:themeColor="accent5" w:themeTint="000099" w:val="single"/>
        <w:insideH w:color="8eaadb" w:space="0" w:sz="4" w:themeColor="accent5" w:themeTint="000099" w:val="single"/>
        <w:insideV w:color="8eaadb" w:space="0" w:sz="4" w:themeColor="accent5" w:themeTint="000099" w:val="single"/>
      </w:tblBorders>
    </w:tblPr>
    <w:tblStylePr w:type="firstRow">
      <w:rPr>
        <w:b w:val="1"/>
        <w:bCs w:val="1"/>
        <w:color w:val="ffffff" w:themeColor="background1"/>
      </w:rPr>
      <w:tblPr/>
      <w:tcPr>
        <w:tcBorders>
          <w:top w:color="4472c4" w:space="0" w:sz="4" w:themeColor="accent5" w:val="single"/>
          <w:left w:color="4472c4" w:space="0" w:sz="4" w:themeColor="accent5" w:val="single"/>
          <w:bottom w:color="4472c4" w:space="0" w:sz="4" w:themeColor="accent5" w:val="single"/>
          <w:right w:color="4472c4" w:space="0" w:sz="4" w:themeColor="accent5" w:val="single"/>
          <w:insideH w:space="0" w:sz="0" w:val="nil"/>
          <w:insideV w:space="0" w:sz="0" w:val="nil"/>
        </w:tcBorders>
        <w:shd w:color="auto" w:fill="4472c4" w:themeFill="accent5" w:val="clear"/>
      </w:tcPr>
    </w:tblStylePr>
    <w:tblStylePr w:type="lastRow">
      <w:rPr>
        <w:b w:val="1"/>
        <w:bCs w:val="1"/>
      </w:rPr>
      <w:tblPr/>
      <w:tcPr>
        <w:tcBorders>
          <w:top w:color="4472c4" w:space="0" w:sz="4" w:themeColor="accent5" w:val="double"/>
        </w:tcBorders>
      </w:tcPr>
    </w:tblStylePr>
    <w:tblStylePr w:type="firstCol">
      <w:rPr>
        <w:b w:val="1"/>
        <w:bCs w:val="1"/>
      </w:rPr>
    </w:tblStylePr>
    <w:tblStylePr w:type="lastCol">
      <w:rPr>
        <w:b w:val="1"/>
        <w:bCs w:val="1"/>
      </w:rPr>
    </w:tblStylePr>
    <w:tblStylePr w:type="band1Vert">
      <w:tblPr/>
      <w:tcPr>
        <w:shd w:color="auto" w:fill="d9e2f3" w:themeFill="accent5" w:themeFillTint="000033" w:val="clear"/>
      </w:tcPr>
    </w:tblStylePr>
    <w:tblStylePr w:type="band1Horz">
      <w:tblPr/>
      <w:tcPr>
        <w:shd w:color="auto" w:fill="d9e2f3" w:themeFill="accent5" w:themeFillTint="000033" w:val="clear"/>
      </w:tcPr>
    </w:tblStylePr>
  </w:style>
  <w:style w:type="table" w:styleId="GridTable4-Accent6">
    <w:name w:val="Grid Table 4 Accent 6"/>
    <w:basedOn w:val="TableNormal"/>
    <w:uiPriority w:val="49"/>
    <w:rsid w:val="00F97B75"/>
    <w:pPr>
      <w:spacing w:after="0" w:line="240" w:lineRule="auto"/>
    </w:pPr>
    <w:tblPr>
      <w:tblStyleRowBandSize w:val="1"/>
      <w:tblStyleColBandSize w:val="1"/>
      <w:tblBorders>
        <w:top w:color="a8d08d" w:space="0" w:sz="4" w:themeColor="accent6" w:themeTint="000099" w:val="single"/>
        <w:left w:color="a8d08d" w:space="0" w:sz="4" w:themeColor="accent6" w:themeTint="000099" w:val="single"/>
        <w:bottom w:color="a8d08d" w:space="0" w:sz="4" w:themeColor="accent6" w:themeTint="000099" w:val="single"/>
        <w:right w:color="a8d08d" w:space="0" w:sz="4" w:themeColor="accent6" w:themeTint="000099" w:val="single"/>
        <w:insideH w:color="a8d08d" w:space="0" w:sz="4" w:themeColor="accent6" w:themeTint="000099" w:val="single"/>
        <w:insideV w:color="a8d08d" w:space="0" w:sz="4" w:themeColor="accent6" w:themeTint="000099" w:val="single"/>
      </w:tblBorders>
    </w:tblPr>
    <w:tblStylePr w:type="firstRow">
      <w:rPr>
        <w:b w:val="1"/>
        <w:bCs w:val="1"/>
        <w:color w:val="ffffff" w:themeColor="background1"/>
      </w:rPr>
      <w:tblPr/>
      <w:tcPr>
        <w:tcBorders>
          <w:top w:color="70ad47" w:space="0" w:sz="4" w:themeColor="accent6" w:val="single"/>
          <w:left w:color="70ad47" w:space="0" w:sz="4" w:themeColor="accent6" w:val="single"/>
          <w:bottom w:color="70ad47" w:space="0" w:sz="4" w:themeColor="accent6" w:val="single"/>
          <w:right w:color="70ad47" w:space="0" w:sz="4" w:themeColor="accent6" w:val="single"/>
          <w:insideH w:space="0" w:sz="0" w:val="nil"/>
          <w:insideV w:space="0" w:sz="0" w:val="nil"/>
        </w:tcBorders>
        <w:shd w:color="auto" w:fill="70ad47" w:themeFill="accent6" w:val="clear"/>
      </w:tcPr>
    </w:tblStylePr>
    <w:tblStylePr w:type="lastRow">
      <w:rPr>
        <w:b w:val="1"/>
        <w:bCs w:val="1"/>
      </w:rPr>
      <w:tblPr/>
      <w:tcPr>
        <w:tcBorders>
          <w:top w:color="70ad47" w:space="0" w:sz="4" w:themeColor="accent6" w:val="double"/>
        </w:tcBorders>
      </w:tcPr>
    </w:tblStylePr>
    <w:tblStylePr w:type="firstCol">
      <w:rPr>
        <w:b w:val="1"/>
        <w:bCs w:val="1"/>
      </w:rPr>
    </w:tblStylePr>
    <w:tblStylePr w:type="lastCol">
      <w:rPr>
        <w:b w:val="1"/>
        <w:bCs w:val="1"/>
      </w:rPr>
    </w:tblStylePr>
    <w:tblStylePr w:type="band1Vert">
      <w:tblPr/>
      <w:tcPr>
        <w:shd w:color="auto" w:fill="e2efd9" w:themeFill="accent6" w:themeFillTint="000033" w:val="clear"/>
      </w:tcPr>
    </w:tblStylePr>
    <w:tblStylePr w:type="band1Horz">
      <w:tblPr/>
      <w:tcPr>
        <w:shd w:color="auto" w:fill="e2efd9" w:themeFill="accent6" w:themeFillTint="000033" w:val="clear"/>
      </w:tcPr>
    </w:tblStylePr>
  </w:style>
  <w:style w:type="table" w:styleId="GridTable4-Accent4">
    <w:name w:val="Grid Table 4 Accent 4"/>
    <w:basedOn w:val="TableNormal"/>
    <w:uiPriority w:val="49"/>
    <w:rsid w:val="00F97B75"/>
    <w:pPr>
      <w:spacing w:after="0" w:line="240" w:lineRule="auto"/>
    </w:pPr>
    <w:tblPr>
      <w:tblStyleRowBandSize w:val="1"/>
      <w:tblStyleColBandSize w:val="1"/>
      <w:tblBorders>
        <w:top w:color="ffd966" w:space="0" w:sz="4" w:themeColor="accent4" w:themeTint="000099" w:val="single"/>
        <w:left w:color="ffd966" w:space="0" w:sz="4" w:themeColor="accent4" w:themeTint="000099" w:val="single"/>
        <w:bottom w:color="ffd966" w:space="0" w:sz="4" w:themeColor="accent4" w:themeTint="000099" w:val="single"/>
        <w:right w:color="ffd966" w:space="0" w:sz="4" w:themeColor="accent4" w:themeTint="000099" w:val="single"/>
        <w:insideH w:color="ffd966" w:space="0" w:sz="4" w:themeColor="accent4" w:themeTint="000099" w:val="single"/>
        <w:insideV w:color="ffd966" w:space="0" w:sz="4" w:themeColor="accent4" w:themeTint="000099" w:val="single"/>
      </w:tblBorders>
    </w:tblPr>
    <w:tblStylePr w:type="firstRow">
      <w:rPr>
        <w:b w:val="1"/>
        <w:bCs w:val="1"/>
        <w:color w:val="ffffff" w:themeColor="background1"/>
      </w:rPr>
      <w:tblPr/>
      <w:tcPr>
        <w:tcBorders>
          <w:top w:color="ffc000" w:space="0" w:sz="4" w:themeColor="accent4" w:val="single"/>
          <w:left w:color="ffc000" w:space="0" w:sz="4" w:themeColor="accent4" w:val="single"/>
          <w:bottom w:color="ffc000" w:space="0" w:sz="4" w:themeColor="accent4" w:val="single"/>
          <w:right w:color="ffc000" w:space="0" w:sz="4" w:themeColor="accent4" w:val="single"/>
          <w:insideH w:space="0" w:sz="0" w:val="nil"/>
          <w:insideV w:space="0" w:sz="0" w:val="nil"/>
        </w:tcBorders>
        <w:shd w:color="auto" w:fill="ffc000" w:themeFill="accent4" w:val="clear"/>
      </w:tcPr>
    </w:tblStylePr>
    <w:tblStylePr w:type="lastRow">
      <w:rPr>
        <w:b w:val="1"/>
        <w:bCs w:val="1"/>
      </w:rPr>
      <w:tblPr/>
      <w:tcPr>
        <w:tcBorders>
          <w:top w:color="ffc000" w:space="0" w:sz="4" w:themeColor="accent4" w:val="double"/>
        </w:tcBorders>
      </w:tcPr>
    </w:tblStylePr>
    <w:tblStylePr w:type="firstCol">
      <w:rPr>
        <w:b w:val="1"/>
        <w:bCs w:val="1"/>
      </w:rPr>
    </w:tblStylePr>
    <w:tblStylePr w:type="lastCol">
      <w:rPr>
        <w:b w:val="1"/>
        <w:bCs w:val="1"/>
      </w:rPr>
    </w:tblStylePr>
    <w:tblStylePr w:type="band1Vert">
      <w:tblPr/>
      <w:tcPr>
        <w:shd w:color="auto" w:fill="fff2cc" w:themeFill="accent4" w:themeFillTint="000033" w:val="clear"/>
      </w:tcPr>
    </w:tblStylePr>
    <w:tblStylePr w:type="band1Horz">
      <w:tblPr/>
      <w:tcPr>
        <w:shd w:color="auto" w:fill="fff2cc" w:themeFill="accent4" w:themeFillTint="000033" w:val="clear"/>
      </w:tcPr>
    </w:tblStylePr>
  </w:style>
  <w:style w:type="paragraph" w:styleId="msonormal0" w:customStyle="1">
    <w:name w:val="msonormal"/>
    <w:basedOn w:val="Normal"/>
    <w:rsid w:val="004D7477"/>
    <w:pPr>
      <w:widowControl w:val="1"/>
      <w:autoSpaceDE w:val="1"/>
      <w:autoSpaceDN w:val="1"/>
      <w:spacing w:after="100" w:afterAutospacing="1" w:before="100" w:beforeAutospacing="1"/>
    </w:pPr>
    <w:rPr>
      <w:rFonts w:ascii="Times New Roman" w:cs="Times New Roman" w:eastAsia="Times New Roman" w:hAnsi="Times New Roman"/>
      <w:sz w:val="24"/>
      <w:szCs w:val="24"/>
      <w:lang w:eastAsia="en-GB"/>
    </w:rPr>
  </w:style>
  <w:style w:type="character" w:styleId="touchw-10" w:customStyle="1">
    <w:name w:val="touch:w-10"/>
    <w:basedOn w:val="DefaultParagraphFont"/>
    <w:rsid w:val="004D7477"/>
  </w:style>
  <w:style w:type="character" w:styleId="hidden" w:customStyle="1">
    <w:name w:val="hidden"/>
    <w:basedOn w:val="DefaultParagraphFont"/>
    <w:rsid w:val="004D7477"/>
  </w:style>
  <w:style w:type="paragraph" w:styleId="HTMLPreformatted">
    <w:name w:val="HTML Preformatted"/>
    <w:basedOn w:val="Normal"/>
    <w:link w:val="HTMLPreformattedChar"/>
    <w:uiPriority w:val="99"/>
    <w:semiHidden w:val="1"/>
    <w:unhideWhenUsed w:val="1"/>
    <w:rsid w:val="004D7477"/>
    <w:pPr>
      <w:widowControl w:val="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1"/>
      <w:autoSpaceDN w:val="1"/>
    </w:pPr>
    <w:rPr>
      <w:rFonts w:ascii="Courier New" w:cs="Courier New" w:eastAsia="Times New Roman" w:hAnsi="Courier New"/>
      <w:sz w:val="20"/>
      <w:szCs w:val="20"/>
      <w:lang w:eastAsia="en-GB"/>
    </w:rPr>
  </w:style>
  <w:style w:type="character" w:styleId="HTMLPreformattedChar" w:customStyle="1">
    <w:name w:val="HTML Preformatted Char"/>
    <w:basedOn w:val="DefaultParagraphFont"/>
    <w:link w:val="HTMLPreformatted"/>
    <w:uiPriority w:val="99"/>
    <w:semiHidden w:val="1"/>
    <w:rsid w:val="004D7477"/>
    <w:rPr>
      <w:rFonts w:ascii="Courier New" w:cs="Courier New" w:eastAsia="Times New Roman" w:hAnsi="Courier New"/>
      <w:sz w:val="20"/>
      <w:szCs w:val="20"/>
      <w:lang w:eastAsia="en-GB"/>
    </w:rPr>
  </w:style>
  <w:style w:type="character" w:styleId="FollowedHyperlink">
    <w:name w:val="FollowedHyperlink"/>
    <w:basedOn w:val="DefaultParagraphFont"/>
    <w:uiPriority w:val="99"/>
    <w:semiHidden w:val="1"/>
    <w:unhideWhenUsed w:val="1"/>
    <w:rsid w:val="004D7477"/>
    <w:rPr>
      <w:color w:val="800080"/>
      <w:u w:val="single"/>
    </w:rPr>
  </w:style>
  <w:style w:type="character" w:styleId="flex" w:customStyle="1">
    <w:name w:val="flex"/>
    <w:basedOn w:val="DefaultParagraphFont"/>
    <w:rsid w:val="004D7477"/>
  </w:style>
  <w:style w:type="table" w:styleId="GridTable5Dark-Accent5">
    <w:name w:val="Grid Table 5 Dark Accent 5"/>
    <w:basedOn w:val="TableNormal"/>
    <w:uiPriority w:val="50"/>
    <w:rsid w:val="00EE542C"/>
    <w:pPr>
      <w:spacing w:after="0" w:line="240" w:lineRule="auto"/>
    </w:pPr>
    <w:tblPr>
      <w:tblStyleRowBandSize w:val="1"/>
      <w:tblStyleColBandSize w:val="1"/>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Pr>
    <w:tcPr>
      <w:shd w:color="auto" w:fill="d9e2f3" w:themeFill="accent5"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4472c4" w:themeFill="accent5"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4472c4" w:themeFill="accent5"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4472c4" w:themeFill="accent5"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4472c4" w:themeFill="accent5" w:val="clear"/>
      </w:tcPr>
    </w:tblStylePr>
    <w:tblStylePr w:type="band1Vert">
      <w:tblPr/>
      <w:tcPr>
        <w:shd w:color="auto" w:fill="b4c6e7" w:themeFill="accent5" w:themeFillTint="000066" w:val="clear"/>
      </w:tcPr>
    </w:tblStylePr>
    <w:tblStylePr w:type="band1Horz">
      <w:tblPr/>
      <w:tcPr>
        <w:shd w:color="auto" w:fill="b4c6e7" w:themeFill="accent5" w:themeFillTint="000066" w:val="clear"/>
      </w:tcPr>
    </w:tblStylePr>
  </w:style>
  <w:style w:type="table" w:styleId="GridTable6ColourfulAccent1">
    <w:name w:val="Grid Table 6 Colorful Accent 1"/>
    <w:basedOn w:val="TableNormal"/>
    <w:uiPriority w:val="51"/>
    <w:rsid w:val="00EE542C"/>
    <w:pPr>
      <w:spacing w:after="0" w:line="240" w:lineRule="auto"/>
    </w:pPr>
    <w:rPr>
      <w:color w:val="2e74b5" w:themeColor="accent1" w:themeShade="0000BF"/>
    </w:rPr>
    <w:tblPr>
      <w:tblStyleRowBandSize w:val="1"/>
      <w:tblStyleColBandSize w:val="1"/>
      <w:tblBorders>
        <w:top w:color="9cc2e5" w:space="0" w:sz="4" w:themeColor="accent1" w:themeTint="000099" w:val="single"/>
        <w:left w:color="9cc2e5" w:space="0" w:sz="4" w:themeColor="accent1" w:themeTint="000099" w:val="single"/>
        <w:bottom w:color="9cc2e5" w:space="0" w:sz="4" w:themeColor="accent1" w:themeTint="000099" w:val="single"/>
        <w:right w:color="9cc2e5" w:space="0" w:sz="4" w:themeColor="accent1" w:themeTint="000099" w:val="single"/>
        <w:insideH w:color="9cc2e5" w:space="0" w:sz="4" w:themeColor="accent1" w:themeTint="000099" w:val="single"/>
        <w:insideV w:color="9cc2e5" w:space="0" w:sz="4" w:themeColor="accent1" w:themeTint="000099" w:val="single"/>
      </w:tblBorders>
    </w:tblPr>
    <w:tblStylePr w:type="firstRow">
      <w:rPr>
        <w:b w:val="1"/>
        <w:bCs w:val="1"/>
      </w:rPr>
      <w:tblPr/>
      <w:tcPr>
        <w:tcBorders>
          <w:bottom w:color="9cc2e5" w:space="0" w:sz="12" w:themeColor="accent1" w:themeTint="000099" w:val="single"/>
        </w:tcBorders>
      </w:tcPr>
    </w:tblStylePr>
    <w:tblStylePr w:type="lastRow">
      <w:rPr>
        <w:b w:val="1"/>
        <w:bCs w:val="1"/>
      </w:rPr>
      <w:tblPr/>
      <w:tcPr>
        <w:tcBorders>
          <w:top w:color="9cc2e5" w:space="0" w:sz="4" w:themeColor="accent1" w:themeTint="000099" w:val="double"/>
        </w:tcBorders>
      </w:tcPr>
    </w:tblStylePr>
    <w:tblStylePr w:type="firstCol">
      <w:rPr>
        <w:b w:val="1"/>
        <w:bCs w:val="1"/>
      </w:rPr>
    </w:tblStylePr>
    <w:tblStylePr w:type="lastCol">
      <w:rPr>
        <w:b w:val="1"/>
        <w:bCs w:val="1"/>
      </w:rPr>
    </w:tblStylePr>
    <w:tblStylePr w:type="band1Vert">
      <w:tblPr/>
      <w:tcPr>
        <w:shd w:color="auto" w:fill="deeaf6" w:themeFill="accent1" w:themeFillTint="000033" w:val="clear"/>
      </w:tcPr>
    </w:tblStylePr>
    <w:tblStylePr w:type="band1Horz">
      <w:tblPr/>
      <w:tcPr>
        <w:shd w:color="auto" w:fill="deeaf6" w:themeFill="accent1" w:themeFillTint="000033" w:val="clear"/>
      </w:tcPr>
    </w:tblStylePr>
  </w:style>
  <w:style w:type="table" w:styleId="GridTable4-Accent2">
    <w:name w:val="Grid Table 4 Accent 2"/>
    <w:basedOn w:val="TableNormal"/>
    <w:uiPriority w:val="49"/>
    <w:rsid w:val="001960E2"/>
    <w:pPr>
      <w:spacing w:after="0" w:line="240" w:lineRule="auto"/>
    </w:pPr>
    <w:tblPr>
      <w:tblStyleRowBandSize w:val="1"/>
      <w:tblStyleColBandSize w:val="1"/>
      <w:tblBorders>
        <w:top w:color="f4b083" w:space="0" w:sz="4" w:themeColor="accent2" w:themeTint="000099" w:val="single"/>
        <w:left w:color="f4b083" w:space="0" w:sz="4" w:themeColor="accent2" w:themeTint="000099" w:val="single"/>
        <w:bottom w:color="f4b083" w:space="0" w:sz="4" w:themeColor="accent2" w:themeTint="000099" w:val="single"/>
        <w:right w:color="f4b083" w:space="0" w:sz="4" w:themeColor="accent2" w:themeTint="000099" w:val="single"/>
        <w:insideH w:color="f4b083" w:space="0" w:sz="4" w:themeColor="accent2" w:themeTint="000099" w:val="single"/>
        <w:insideV w:color="f4b083" w:space="0" w:sz="4" w:themeColor="accent2" w:themeTint="000099" w:val="single"/>
      </w:tblBorders>
    </w:tblPr>
    <w:tblStylePr w:type="firstRow">
      <w:rPr>
        <w:b w:val="1"/>
        <w:bCs w:val="1"/>
        <w:color w:val="ffffff" w:themeColor="background1"/>
      </w:rPr>
      <w:tblPr/>
      <w:tcPr>
        <w:tcBorders>
          <w:top w:color="ed7d31" w:space="0" w:sz="4" w:themeColor="accent2" w:val="single"/>
          <w:left w:color="ed7d31" w:space="0" w:sz="4" w:themeColor="accent2" w:val="single"/>
          <w:bottom w:color="ed7d31" w:space="0" w:sz="4" w:themeColor="accent2" w:val="single"/>
          <w:right w:color="ed7d31" w:space="0" w:sz="4" w:themeColor="accent2" w:val="single"/>
          <w:insideH w:space="0" w:sz="0" w:val="nil"/>
          <w:insideV w:space="0" w:sz="0" w:val="nil"/>
        </w:tcBorders>
        <w:shd w:color="auto" w:fill="ed7d31" w:themeFill="accent2" w:val="clear"/>
      </w:tcPr>
    </w:tblStylePr>
    <w:tblStylePr w:type="lastRow">
      <w:rPr>
        <w:b w:val="1"/>
        <w:bCs w:val="1"/>
      </w:rPr>
      <w:tblPr/>
      <w:tcPr>
        <w:tcBorders>
          <w:top w:color="ed7d31" w:space="0" w:sz="4" w:themeColor="accent2" w:val="double"/>
        </w:tcBorders>
      </w:tcPr>
    </w:tblStylePr>
    <w:tblStylePr w:type="firstCol">
      <w:rPr>
        <w:b w:val="1"/>
        <w:bCs w:val="1"/>
      </w:rPr>
    </w:tblStylePr>
    <w:tblStylePr w:type="lastCol">
      <w:rPr>
        <w:b w:val="1"/>
        <w:bCs w:val="1"/>
      </w:rPr>
    </w:tblStylePr>
    <w:tblStylePr w:type="band1Vert">
      <w:tblPr/>
      <w:tcPr>
        <w:shd w:color="auto" w:fill="fbe4d5" w:themeFill="accent2" w:themeFillTint="000033" w:val="clear"/>
      </w:tcPr>
    </w:tblStylePr>
    <w:tblStylePr w:type="band1Horz">
      <w:tblPr/>
      <w:tcPr>
        <w:shd w:color="auto" w:fill="fbe4d5" w:themeFill="accent2" w:themeFillTint="000033" w:val="clear"/>
      </w:tcPr>
    </w:tblStylePr>
  </w:style>
  <w:style w:type="table" w:styleId="GridTable5Dark-Accent3">
    <w:name w:val="Grid Table 5 Dark Accent 3"/>
    <w:basedOn w:val="TableNormal"/>
    <w:uiPriority w:val="50"/>
    <w:rsid w:val="001960E2"/>
    <w:pPr>
      <w:spacing w:after="0" w:line="240" w:lineRule="auto"/>
    </w:pPr>
    <w:tblPr>
      <w:tblStyleRowBandSize w:val="1"/>
      <w:tblStyleColBandSize w:val="1"/>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Pr>
    <w:tcPr>
      <w:shd w:color="auto" w:fill="ededed" w:themeFill="accent3"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a5a5a5" w:themeFill="accent3"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a5a5a5" w:themeFill="accent3"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a5a5a5" w:themeFill="accent3"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a5a5a5" w:themeFill="accent3" w:val="clear"/>
      </w:tcPr>
    </w:tblStylePr>
    <w:tblStylePr w:type="band1Vert">
      <w:tblPr/>
      <w:tcPr>
        <w:shd w:color="auto" w:fill="dbdbdb" w:themeFill="accent3" w:themeFillTint="000066" w:val="clear"/>
      </w:tcPr>
    </w:tblStylePr>
    <w:tblStylePr w:type="band1Horz">
      <w:tblPr/>
      <w:tcPr>
        <w:shd w:color="auto" w:fill="dbdbdb" w:themeFill="accent3" w:themeFillTint="000066" w:val="clear"/>
      </w:tcPr>
    </w:tblStylePr>
  </w:style>
  <w:style w:type="table" w:styleId="GridTable4-Accent3">
    <w:name w:val="Grid Table 4 Accent 3"/>
    <w:basedOn w:val="TableNormal"/>
    <w:uiPriority w:val="49"/>
    <w:rsid w:val="001960E2"/>
    <w:pPr>
      <w:spacing w:after="0" w:line="240" w:lineRule="auto"/>
    </w:pPr>
    <w:tblPr>
      <w:tblStyleRowBandSize w:val="1"/>
      <w:tblStyleColBandSize w:val="1"/>
      <w:tblBorders>
        <w:top w:color="c9c9c9" w:space="0" w:sz="4" w:themeColor="accent3" w:themeTint="000099" w:val="single"/>
        <w:left w:color="c9c9c9" w:space="0" w:sz="4" w:themeColor="accent3" w:themeTint="000099" w:val="single"/>
        <w:bottom w:color="c9c9c9" w:space="0" w:sz="4" w:themeColor="accent3" w:themeTint="000099" w:val="single"/>
        <w:right w:color="c9c9c9" w:space="0" w:sz="4" w:themeColor="accent3" w:themeTint="000099" w:val="single"/>
        <w:insideH w:color="c9c9c9" w:space="0" w:sz="4" w:themeColor="accent3" w:themeTint="000099" w:val="single"/>
        <w:insideV w:color="c9c9c9" w:space="0" w:sz="4" w:themeColor="accent3" w:themeTint="000099" w:val="single"/>
      </w:tblBorders>
    </w:tblPr>
    <w:tblStylePr w:type="firstRow">
      <w:rPr>
        <w:b w:val="1"/>
        <w:bCs w:val="1"/>
        <w:color w:val="ffffff" w:themeColor="background1"/>
      </w:rPr>
      <w:tblPr/>
      <w:tcPr>
        <w:tcBorders>
          <w:top w:color="a5a5a5" w:space="0" w:sz="4" w:themeColor="accent3" w:val="single"/>
          <w:left w:color="a5a5a5" w:space="0" w:sz="4" w:themeColor="accent3" w:val="single"/>
          <w:bottom w:color="a5a5a5" w:space="0" w:sz="4" w:themeColor="accent3" w:val="single"/>
          <w:right w:color="a5a5a5" w:space="0" w:sz="4" w:themeColor="accent3" w:val="single"/>
          <w:insideH w:space="0" w:sz="0" w:val="nil"/>
          <w:insideV w:space="0" w:sz="0" w:val="nil"/>
        </w:tcBorders>
        <w:shd w:color="auto" w:fill="a5a5a5" w:themeFill="accent3" w:val="clear"/>
      </w:tcPr>
    </w:tblStylePr>
    <w:tblStylePr w:type="lastRow">
      <w:rPr>
        <w:b w:val="1"/>
        <w:bCs w:val="1"/>
      </w:rPr>
      <w:tblPr/>
      <w:tcPr>
        <w:tcBorders>
          <w:top w:color="a5a5a5" w:space="0" w:sz="4" w:themeColor="accent3" w:val="double"/>
        </w:tcBorders>
      </w:tcPr>
    </w:tblStylePr>
    <w:tblStylePr w:type="firstCol">
      <w:rPr>
        <w:b w:val="1"/>
        <w:bCs w:val="1"/>
      </w:rPr>
    </w:tblStylePr>
    <w:tblStylePr w:type="lastCol">
      <w:rPr>
        <w:b w:val="1"/>
        <w:bCs w:val="1"/>
      </w:rPr>
    </w:tblStylePr>
    <w:tblStylePr w:type="band1Vert">
      <w:tblPr/>
      <w:tcPr>
        <w:shd w:color="auto" w:fill="ededed" w:themeFill="accent3" w:themeFillTint="000033" w:val="clear"/>
      </w:tcPr>
    </w:tblStylePr>
    <w:tblStylePr w:type="band1Horz">
      <w:tblPr/>
      <w:tcPr>
        <w:shd w:color="auto" w:fill="ededed" w:themeFill="accent3" w:themeFillTint="000033" w:val="clear"/>
      </w:tcPr>
    </w:tblStylePr>
  </w:style>
  <w:style w:type="table" w:styleId="GridTable5Dark-Accent4">
    <w:name w:val="Grid Table 5 Dark Accent 4"/>
    <w:basedOn w:val="TableNormal"/>
    <w:uiPriority w:val="50"/>
    <w:rsid w:val="005648EB"/>
    <w:pPr>
      <w:spacing w:after="0" w:line="240" w:lineRule="auto"/>
    </w:pPr>
    <w:tblPr>
      <w:tblStyleRowBandSize w:val="1"/>
      <w:tblStyleColBandSize w:val="1"/>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Pr>
    <w:tcPr>
      <w:shd w:color="auto" w:fill="fff2cc" w:themeFill="accent4"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ffc000" w:themeFill="accent4"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ffc000" w:themeFill="accent4"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ffc000" w:themeFill="accent4"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ffc000" w:themeFill="accent4" w:val="clear"/>
      </w:tcPr>
    </w:tblStylePr>
    <w:tblStylePr w:type="band1Vert">
      <w:tblPr/>
      <w:tcPr>
        <w:shd w:color="auto" w:fill="ffe599" w:themeFill="accent4" w:themeFillTint="000066" w:val="clear"/>
      </w:tcPr>
    </w:tblStylePr>
    <w:tblStylePr w:type="band1Horz">
      <w:tblPr/>
      <w:tcPr>
        <w:shd w:color="auto" w:fill="ffe599" w:themeFill="accent4" w:themeFillTint="000066" w:val="clear"/>
      </w:tcPr>
    </w:tblStylePr>
  </w:style>
  <w:style w:type="table" w:styleId="GridTable5Dark-Accent1">
    <w:name w:val="Grid Table 5 Dark Accent 1"/>
    <w:basedOn w:val="TableNormal"/>
    <w:uiPriority w:val="50"/>
    <w:rsid w:val="005648EB"/>
    <w:pPr>
      <w:spacing w:after="0" w:line="240" w:lineRule="auto"/>
    </w:pPr>
    <w:tblPr>
      <w:tblStyleRowBandSize w:val="1"/>
      <w:tblStyleColBandSize w:val="1"/>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Pr>
    <w:tcPr>
      <w:shd w:color="auto" w:fill="deeaf6" w:themeFill="accent1"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5b9bd5" w:themeFill="accent1"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5b9bd5" w:themeFill="accent1"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5b9bd5" w:themeFill="accent1"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5b9bd5" w:themeFill="accent1" w:val="clear"/>
      </w:tcPr>
    </w:tblStylePr>
    <w:tblStylePr w:type="band1Vert">
      <w:tblPr/>
      <w:tcPr>
        <w:shd w:color="auto" w:fill="bdd6ee" w:themeFill="accent1" w:themeFillTint="000066" w:val="clear"/>
      </w:tcPr>
    </w:tblStylePr>
    <w:tblStylePr w:type="band1Horz">
      <w:tblPr/>
      <w:tcPr>
        <w:shd w:color="auto" w:fill="bdd6ee" w:themeFill="accent1" w:themeFillTint="000066" w:val="clear"/>
      </w:tcPr>
    </w:tblStylePr>
  </w:style>
  <w:style w:type="table" w:styleId="GridTable5Dark-Accent2">
    <w:name w:val="Grid Table 5 Dark Accent 2"/>
    <w:basedOn w:val="TableNormal"/>
    <w:uiPriority w:val="50"/>
    <w:rsid w:val="005648EB"/>
    <w:pPr>
      <w:spacing w:after="0" w:line="240" w:lineRule="auto"/>
    </w:pPr>
    <w:tblPr>
      <w:tblStyleRowBandSize w:val="1"/>
      <w:tblStyleColBandSize w:val="1"/>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Pr>
    <w:tcPr>
      <w:shd w:color="auto" w:fill="fbe4d5" w:themeFill="accent2"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ed7d31" w:themeFill="accent2"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ed7d31" w:themeFill="accent2"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ed7d31" w:themeFill="accent2"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ed7d31" w:themeFill="accent2" w:val="clear"/>
      </w:tcPr>
    </w:tblStylePr>
    <w:tblStylePr w:type="band1Vert">
      <w:tblPr/>
      <w:tcPr>
        <w:shd w:color="auto" w:fill="f7caac" w:themeFill="accent2" w:themeFillTint="000066" w:val="clear"/>
      </w:tcPr>
    </w:tblStylePr>
    <w:tblStylePr w:type="band1Horz">
      <w:tblPr/>
      <w:tcPr>
        <w:shd w:color="auto" w:fill="f7caac" w:themeFill="accent2" w:themeFillTint="000066" w:val="clear"/>
      </w:tcPr>
    </w:tblStylePr>
  </w:style>
  <w:style w:type="character" w:styleId="ms-15" w:customStyle="1">
    <w:name w:val="ms-1.5"/>
    <w:basedOn w:val="DefaultParagraphFont"/>
    <w:rsid w:val="0084310F"/>
  </w:style>
  <w:style w:type="table" w:styleId="GridTable1Light">
    <w:name w:val="Grid Table 1 Light"/>
    <w:basedOn w:val="TableNormal"/>
    <w:uiPriority w:val="46"/>
    <w:rsid w:val="00027FEA"/>
    <w:pPr>
      <w:spacing w:after="0" w:line="240" w:lineRule="auto"/>
    </w:pPr>
    <w:tblPr>
      <w:tblStyleRowBandSize w:val="1"/>
      <w:tblStyleColBandSize w:val="1"/>
      <w:tblBorders>
        <w:top w:color="999999" w:space="0" w:sz="4" w:themeColor="text1" w:themeTint="000066" w:val="single"/>
        <w:left w:color="999999" w:space="0" w:sz="4" w:themeColor="text1" w:themeTint="000066" w:val="single"/>
        <w:bottom w:color="999999" w:space="0" w:sz="4" w:themeColor="text1" w:themeTint="000066" w:val="single"/>
        <w:right w:color="999999" w:space="0" w:sz="4" w:themeColor="text1" w:themeTint="000066" w:val="single"/>
        <w:insideH w:color="999999" w:space="0" w:sz="4" w:themeColor="text1" w:themeTint="000066" w:val="single"/>
        <w:insideV w:color="999999" w:space="0" w:sz="4" w:themeColor="text1" w:themeTint="000066" w:val="single"/>
      </w:tblBorders>
    </w:tblPr>
    <w:tblStylePr w:type="firstRow">
      <w:rPr>
        <w:b w:val="1"/>
        <w:bCs w:val="1"/>
      </w:rPr>
      <w:tblPr/>
      <w:tcPr>
        <w:tcBorders>
          <w:bottom w:color="666666" w:space="0" w:sz="12" w:themeColor="text1" w:themeTint="000099" w:val="single"/>
        </w:tcBorders>
      </w:tcPr>
    </w:tblStylePr>
    <w:tblStylePr w:type="lastRow">
      <w:rPr>
        <w:b w:val="1"/>
        <w:bCs w:val="1"/>
      </w:rPr>
      <w:tblPr/>
      <w:tcPr>
        <w:tcBorders>
          <w:top w:color="666666" w:space="0" w:sz="2" w:themeColor="text1" w:themeTint="000099" w:val="double"/>
        </w:tcBorders>
      </w:tcPr>
    </w:tblStylePr>
    <w:tblStylePr w:type="firstCol">
      <w:rPr>
        <w:b w:val="1"/>
        <w:bCs w:val="1"/>
      </w:rPr>
    </w:tblStylePr>
    <w:tblStylePr w:type="lastCol">
      <w:rPr>
        <w:b w:val="1"/>
        <w:bCs w:val="1"/>
      </w:rPr>
    </w:tblStyle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0" Type="http://schemas.openxmlformats.org/officeDocument/2006/relationships/image" Target="media/image5.png"/><Relationship Id="rId13" Type="http://schemas.openxmlformats.org/officeDocument/2006/relationships/header" Target="header1.xml"/><Relationship Id="rId12"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4.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KWM6xD3h3MpWuoLr4+d0VpTs4lQ==">CgMxLjAyDWguam5mMzFsMzJzN2QyDmguMzNjanJxNzkydDRkMg5oLnB6bGNtaHF0enhuZTIOaC45NndxdW5iaGtvZHoyDmguYzYzZmcwandwNWltMg5oLmZvaXMwMmI5amkyaDIOaC45NHl2cXp5cWp6cnMyDmguamZocHdqYjBreWplMg1oLndsaHVmYW9oYW5sMg5oLmJ0eTB6MHJhbmx1ODIOaC5qMjIzNzhyY2RpbTMyDmgucHlta2pldGJ3cHJ3Mg5oLjF1djEzNHVsN2l3eTgAciExMURkNWE0czFuN0o5RE9kV2ZTdm1wYTZUWEZ2R1Vfdm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2025-06-19T12:02:00Z</dcterms:created>
  <dc:creator>Cadmel Misiani</dc:creator>
</cp:coreProperties>
</file>