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63C2D5E" w14:textId="77777777" w:rsidR="00C23641" w:rsidRPr="00E42A12" w:rsidRDefault="00AD02E6">
      <w:pPr>
        <w:jc w:val="center"/>
        <w:rPr>
          <w:rFonts w:eastAsia="Times New Roman"/>
          <w:sz w:val="24"/>
          <w:szCs w:val="24"/>
        </w:rPr>
      </w:pPr>
      <w:r w:rsidRPr="00E42A12">
        <w:rPr>
          <w:rFonts w:eastAsia="Times New Roman"/>
          <w:noProof/>
          <w:sz w:val="24"/>
          <w:szCs w:val="24"/>
        </w:rPr>
        <w:drawing>
          <wp:inline distT="0" distB="0" distL="0" distR="0" wp14:anchorId="4FE36418" wp14:editId="6183DAA3">
            <wp:extent cx="3381375" cy="1352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4DA526F8" w14:textId="77777777" w:rsidR="00C23641" w:rsidRPr="00E42A12" w:rsidRDefault="00C23641">
      <w:pPr>
        <w:jc w:val="center"/>
        <w:rPr>
          <w:rFonts w:eastAsia="Times New Roman"/>
          <w:sz w:val="24"/>
          <w:szCs w:val="24"/>
        </w:rPr>
      </w:pPr>
    </w:p>
    <w:p w14:paraId="53D4DE4C" w14:textId="77777777" w:rsidR="00C23641" w:rsidRPr="00E42A12" w:rsidRDefault="00C23641">
      <w:pPr>
        <w:jc w:val="center"/>
        <w:rPr>
          <w:rFonts w:eastAsia="Times New Roman"/>
          <w:sz w:val="24"/>
          <w:szCs w:val="24"/>
        </w:rPr>
      </w:pPr>
    </w:p>
    <w:p w14:paraId="2860DA29" w14:textId="77777777" w:rsidR="00C23641" w:rsidRPr="00E42A12" w:rsidRDefault="00C23641">
      <w:pPr>
        <w:jc w:val="center"/>
        <w:rPr>
          <w:rFonts w:eastAsia="Times New Roman"/>
          <w:sz w:val="24"/>
          <w:szCs w:val="24"/>
        </w:rPr>
      </w:pPr>
    </w:p>
    <w:p w14:paraId="269E147D" w14:textId="77777777" w:rsidR="00C23641" w:rsidRPr="00E42A12" w:rsidRDefault="00C23641">
      <w:pPr>
        <w:jc w:val="center"/>
        <w:rPr>
          <w:rFonts w:eastAsia="Times New Roman"/>
          <w:sz w:val="24"/>
          <w:szCs w:val="24"/>
        </w:rPr>
      </w:pPr>
    </w:p>
    <w:p w14:paraId="1984BEBA" w14:textId="77777777" w:rsidR="00C23641" w:rsidRPr="00E42A12" w:rsidRDefault="00C23641">
      <w:pPr>
        <w:jc w:val="center"/>
        <w:rPr>
          <w:rFonts w:eastAsia="Times New Roman"/>
          <w:sz w:val="24"/>
          <w:szCs w:val="24"/>
        </w:rPr>
      </w:pPr>
    </w:p>
    <w:p w14:paraId="1495ABB5" w14:textId="77777777" w:rsidR="00C23641" w:rsidRPr="00E42A12" w:rsidRDefault="00AD02E6">
      <w:pPr>
        <w:jc w:val="center"/>
        <w:rPr>
          <w:rFonts w:eastAsia="Times New Roman"/>
          <w:b/>
          <w:bCs/>
          <w:sz w:val="24"/>
          <w:szCs w:val="24"/>
          <w:lang w:val="nl-NL"/>
        </w:rPr>
      </w:pPr>
      <w:r w:rsidRPr="00E42A12">
        <w:rPr>
          <w:rFonts w:eastAsia="Times New Roman"/>
          <w:b/>
          <w:bCs/>
          <w:sz w:val="24"/>
          <w:szCs w:val="24"/>
          <w:lang w:val="nl-NL"/>
        </w:rPr>
        <w:t>Student Name: Abhijeet Kanel</w:t>
      </w:r>
    </w:p>
    <w:p w14:paraId="4CE8F2D4" w14:textId="77777777" w:rsidR="00C23641" w:rsidRPr="00E42A12" w:rsidRDefault="00AD02E6">
      <w:pPr>
        <w:jc w:val="center"/>
        <w:rPr>
          <w:rFonts w:eastAsia="Times New Roman"/>
          <w:b/>
          <w:bCs/>
          <w:sz w:val="24"/>
          <w:szCs w:val="24"/>
          <w:lang w:val="nl-NL"/>
        </w:rPr>
      </w:pPr>
      <w:r w:rsidRPr="00E42A12">
        <w:rPr>
          <w:rFonts w:eastAsia="Times New Roman"/>
          <w:b/>
          <w:bCs/>
          <w:sz w:val="24"/>
          <w:szCs w:val="24"/>
          <w:lang w:val="nl-NL"/>
        </w:rPr>
        <w:t xml:space="preserve"> </w:t>
      </w:r>
    </w:p>
    <w:p w14:paraId="1FB89213" w14:textId="77777777" w:rsidR="00C23641" w:rsidRPr="00E42A12" w:rsidRDefault="00AD02E6">
      <w:pPr>
        <w:jc w:val="center"/>
        <w:rPr>
          <w:rFonts w:eastAsia="Times New Roman"/>
          <w:b/>
          <w:bCs/>
          <w:sz w:val="24"/>
          <w:szCs w:val="24"/>
          <w:lang w:val="nl-NL"/>
        </w:rPr>
      </w:pPr>
      <w:r w:rsidRPr="00E42A12">
        <w:rPr>
          <w:rFonts w:eastAsia="Times New Roman"/>
          <w:b/>
          <w:bCs/>
          <w:sz w:val="24"/>
          <w:szCs w:val="24"/>
          <w:lang w:val="nl-NL"/>
        </w:rPr>
        <w:t>Student ID: 2531974</w:t>
      </w:r>
    </w:p>
    <w:p w14:paraId="06C89B54" w14:textId="77777777" w:rsidR="00C23641" w:rsidRPr="00E42A12" w:rsidRDefault="00C23641">
      <w:pPr>
        <w:jc w:val="center"/>
        <w:rPr>
          <w:rFonts w:eastAsia="Times New Roman"/>
          <w:sz w:val="24"/>
          <w:szCs w:val="24"/>
          <w:lang w:val="nl-NL"/>
        </w:rPr>
      </w:pPr>
    </w:p>
    <w:p w14:paraId="58FB9060" w14:textId="77777777" w:rsidR="00C23641" w:rsidRPr="00E42A12" w:rsidRDefault="00C23641">
      <w:pPr>
        <w:jc w:val="center"/>
        <w:rPr>
          <w:rFonts w:eastAsia="Times New Roman"/>
          <w:sz w:val="24"/>
          <w:szCs w:val="24"/>
          <w:lang w:val="nl-NL"/>
        </w:rPr>
      </w:pPr>
    </w:p>
    <w:p w14:paraId="45DE88D1" w14:textId="77777777" w:rsidR="00C23641" w:rsidRPr="00E42A12" w:rsidRDefault="00AD02E6">
      <w:pPr>
        <w:jc w:val="center"/>
        <w:rPr>
          <w:rFonts w:eastAsia="Times New Roman"/>
          <w:b/>
          <w:bCs/>
          <w:sz w:val="24"/>
          <w:szCs w:val="24"/>
        </w:rPr>
      </w:pPr>
      <w:r w:rsidRPr="00E42A12">
        <w:rPr>
          <w:rFonts w:eastAsia="Times New Roman"/>
          <w:b/>
          <w:bCs/>
          <w:sz w:val="24"/>
          <w:szCs w:val="24"/>
        </w:rPr>
        <w:t>Module Marketing Management</w:t>
      </w:r>
    </w:p>
    <w:p w14:paraId="0533A0E2" w14:textId="77777777" w:rsidR="00C23641" w:rsidRPr="00E42A12" w:rsidRDefault="00C23641">
      <w:pPr>
        <w:jc w:val="center"/>
        <w:rPr>
          <w:rFonts w:eastAsia="Times New Roman"/>
          <w:b/>
          <w:bCs/>
          <w:sz w:val="24"/>
          <w:szCs w:val="24"/>
        </w:rPr>
      </w:pPr>
    </w:p>
    <w:p w14:paraId="28AFA13F" w14:textId="77777777" w:rsidR="00C23641" w:rsidRPr="00E42A12" w:rsidRDefault="00AD02E6">
      <w:pPr>
        <w:jc w:val="center"/>
        <w:rPr>
          <w:rFonts w:eastAsia="Times New Roman"/>
          <w:b/>
          <w:bCs/>
          <w:sz w:val="24"/>
          <w:szCs w:val="24"/>
        </w:rPr>
      </w:pPr>
      <w:r w:rsidRPr="00E42A12">
        <w:rPr>
          <w:rFonts w:eastAsia="Times New Roman"/>
          <w:b/>
          <w:bCs/>
          <w:sz w:val="24"/>
          <w:szCs w:val="24"/>
        </w:rPr>
        <w:t>Module Code: LCMB7024</w:t>
      </w:r>
    </w:p>
    <w:p w14:paraId="74C9A8A1" w14:textId="77777777" w:rsidR="00C23641" w:rsidRPr="00E42A12" w:rsidRDefault="00C23641">
      <w:pPr>
        <w:jc w:val="center"/>
        <w:rPr>
          <w:rFonts w:eastAsia="Times New Roman"/>
          <w:b/>
          <w:bCs/>
          <w:sz w:val="24"/>
          <w:szCs w:val="24"/>
        </w:rPr>
      </w:pPr>
    </w:p>
    <w:p w14:paraId="775711E9" w14:textId="77777777" w:rsidR="00C23641" w:rsidRPr="00E42A12" w:rsidRDefault="00C23641">
      <w:pPr>
        <w:jc w:val="center"/>
        <w:rPr>
          <w:rFonts w:eastAsia="Times New Roman"/>
          <w:b/>
          <w:bCs/>
          <w:sz w:val="24"/>
          <w:szCs w:val="24"/>
        </w:rPr>
      </w:pPr>
    </w:p>
    <w:p w14:paraId="6257075C" w14:textId="77777777" w:rsidR="00C23641" w:rsidRPr="00E42A12" w:rsidRDefault="00C23641">
      <w:pPr>
        <w:jc w:val="center"/>
        <w:rPr>
          <w:rFonts w:eastAsia="Times New Roman"/>
          <w:b/>
          <w:bCs/>
          <w:sz w:val="24"/>
          <w:szCs w:val="24"/>
        </w:rPr>
      </w:pPr>
    </w:p>
    <w:p w14:paraId="3FC24E08" w14:textId="77777777" w:rsidR="00C23641" w:rsidRPr="00E42A12" w:rsidRDefault="00AD02E6">
      <w:pPr>
        <w:spacing w:after="80"/>
        <w:jc w:val="center"/>
        <w:rPr>
          <w:rFonts w:eastAsia="Times New Roman"/>
          <w:b/>
          <w:bCs/>
          <w:sz w:val="24"/>
          <w:szCs w:val="24"/>
        </w:rPr>
      </w:pPr>
      <w:r w:rsidRPr="00E42A12">
        <w:rPr>
          <w:rFonts w:eastAsia="Times New Roman"/>
          <w:b/>
          <w:bCs/>
          <w:sz w:val="24"/>
          <w:szCs w:val="24"/>
        </w:rPr>
        <w:t>Marketing Environment Analysis and Strategic Growth of Rio Tinto: Transitioning towards Lower-Carbon Aluminium</w:t>
      </w:r>
    </w:p>
    <w:p w14:paraId="1C385B2E" w14:textId="77777777" w:rsidR="00C23641" w:rsidRPr="00E42A12" w:rsidRDefault="00C23641">
      <w:pPr>
        <w:spacing w:after="80"/>
        <w:jc w:val="center"/>
        <w:rPr>
          <w:rFonts w:eastAsia="Times New Roman"/>
          <w:b/>
          <w:bCs/>
          <w:sz w:val="24"/>
          <w:szCs w:val="24"/>
        </w:rPr>
      </w:pPr>
    </w:p>
    <w:p w14:paraId="390EB81F" w14:textId="77777777" w:rsidR="00C23641" w:rsidRPr="00E42A12" w:rsidRDefault="00C23641">
      <w:pPr>
        <w:jc w:val="center"/>
        <w:rPr>
          <w:rFonts w:eastAsia="Times New Roman"/>
          <w:b/>
          <w:bCs/>
          <w:sz w:val="24"/>
          <w:szCs w:val="24"/>
        </w:rPr>
      </w:pPr>
    </w:p>
    <w:p w14:paraId="04BA50E3" w14:textId="77777777" w:rsidR="00C23641" w:rsidRPr="00E42A12" w:rsidRDefault="00C23641">
      <w:pPr>
        <w:jc w:val="center"/>
        <w:rPr>
          <w:rFonts w:eastAsia="Times New Roman"/>
          <w:b/>
          <w:bCs/>
          <w:sz w:val="24"/>
          <w:szCs w:val="24"/>
        </w:rPr>
      </w:pPr>
    </w:p>
    <w:p w14:paraId="7ABDBCD9" w14:textId="61F0D194" w:rsidR="00C23641" w:rsidRPr="00E42A12" w:rsidRDefault="00AD02E6">
      <w:pPr>
        <w:jc w:val="center"/>
        <w:rPr>
          <w:rFonts w:eastAsia="Times New Roman"/>
          <w:b/>
          <w:bCs/>
          <w:sz w:val="24"/>
          <w:szCs w:val="24"/>
        </w:rPr>
      </w:pPr>
      <w:r w:rsidRPr="00E42A12">
        <w:rPr>
          <w:rFonts w:eastAsia="Times New Roman"/>
          <w:b/>
          <w:bCs/>
          <w:sz w:val="24"/>
          <w:szCs w:val="24"/>
        </w:rPr>
        <w:t>Lecturer’s Name:</w:t>
      </w:r>
      <w:r w:rsidR="00E42A12">
        <w:rPr>
          <w:rFonts w:eastAsia="Times New Roman"/>
          <w:b/>
          <w:bCs/>
          <w:sz w:val="24"/>
          <w:szCs w:val="24"/>
        </w:rPr>
        <w:t xml:space="preserve"> Laila Maazouz</w:t>
      </w:r>
    </w:p>
    <w:p w14:paraId="5C02CD5D" w14:textId="77777777" w:rsidR="00C23641" w:rsidRPr="00E42A12" w:rsidRDefault="00C23641">
      <w:pPr>
        <w:jc w:val="center"/>
        <w:rPr>
          <w:rFonts w:eastAsia="Times New Roman"/>
          <w:b/>
          <w:bCs/>
          <w:sz w:val="24"/>
          <w:szCs w:val="24"/>
        </w:rPr>
      </w:pPr>
    </w:p>
    <w:p w14:paraId="728D3E6D" w14:textId="77777777" w:rsidR="00C23641" w:rsidRPr="00E42A12" w:rsidRDefault="00C23641">
      <w:pPr>
        <w:jc w:val="center"/>
        <w:rPr>
          <w:rFonts w:eastAsia="Times New Roman"/>
          <w:b/>
          <w:bCs/>
          <w:sz w:val="24"/>
          <w:szCs w:val="24"/>
        </w:rPr>
      </w:pPr>
    </w:p>
    <w:p w14:paraId="2FA0CD0A" w14:textId="77777777" w:rsidR="00C23641" w:rsidRPr="00E42A12" w:rsidRDefault="00AD02E6">
      <w:pPr>
        <w:jc w:val="center"/>
        <w:rPr>
          <w:rFonts w:eastAsia="Times New Roman"/>
          <w:b/>
          <w:bCs/>
          <w:sz w:val="24"/>
          <w:szCs w:val="24"/>
        </w:rPr>
      </w:pPr>
      <w:r w:rsidRPr="00E42A12">
        <w:rPr>
          <w:rFonts w:eastAsia="Times New Roman"/>
          <w:b/>
          <w:bCs/>
          <w:sz w:val="24"/>
          <w:szCs w:val="24"/>
        </w:rPr>
        <w:t xml:space="preserve">Work Count: </w:t>
      </w:r>
      <w:r w:rsidRPr="00E42A12">
        <w:rPr>
          <w:rFonts w:eastAsia="Times New Roman"/>
          <w:b/>
          <w:bCs/>
          <w:color w:val="1F1F1F"/>
          <w:sz w:val="24"/>
          <w:szCs w:val="24"/>
          <w:highlight w:val="white"/>
        </w:rPr>
        <w:t>2563</w:t>
      </w:r>
    </w:p>
    <w:p w14:paraId="46E6D2C5" w14:textId="77777777" w:rsidR="00C23641" w:rsidRPr="00E42A12" w:rsidRDefault="00C23641">
      <w:pPr>
        <w:jc w:val="center"/>
        <w:rPr>
          <w:rFonts w:eastAsia="Times New Roman"/>
          <w:b/>
          <w:bCs/>
          <w:sz w:val="24"/>
          <w:szCs w:val="24"/>
        </w:rPr>
      </w:pPr>
    </w:p>
    <w:p w14:paraId="2030BD1D" w14:textId="77777777" w:rsidR="00C23641" w:rsidRPr="00E42A12" w:rsidRDefault="00C23641">
      <w:pPr>
        <w:jc w:val="center"/>
        <w:rPr>
          <w:rFonts w:eastAsia="Times New Roman"/>
          <w:b/>
          <w:bCs/>
          <w:sz w:val="24"/>
          <w:szCs w:val="24"/>
        </w:rPr>
      </w:pPr>
    </w:p>
    <w:p w14:paraId="08D3CA72" w14:textId="77777777" w:rsidR="00C23641" w:rsidRPr="00E42A12" w:rsidRDefault="00C23641">
      <w:pPr>
        <w:jc w:val="center"/>
        <w:rPr>
          <w:rFonts w:eastAsia="Times New Roman"/>
          <w:b/>
          <w:bCs/>
          <w:sz w:val="24"/>
          <w:szCs w:val="24"/>
        </w:rPr>
      </w:pPr>
    </w:p>
    <w:p w14:paraId="400A20C6" w14:textId="77777777" w:rsidR="00C23641" w:rsidRPr="00E42A12" w:rsidRDefault="00C23641">
      <w:pPr>
        <w:jc w:val="center"/>
        <w:rPr>
          <w:rFonts w:eastAsia="Times New Roman"/>
          <w:b/>
          <w:bCs/>
          <w:sz w:val="24"/>
          <w:szCs w:val="24"/>
        </w:rPr>
      </w:pPr>
    </w:p>
    <w:p w14:paraId="5F982FF5" w14:textId="77777777" w:rsidR="00C23641" w:rsidRPr="00E42A12" w:rsidRDefault="00C23641">
      <w:pPr>
        <w:jc w:val="center"/>
        <w:rPr>
          <w:rFonts w:eastAsia="Times New Roman"/>
          <w:b/>
          <w:bCs/>
          <w:sz w:val="24"/>
          <w:szCs w:val="24"/>
        </w:rPr>
      </w:pPr>
    </w:p>
    <w:p w14:paraId="6C74B6A6" w14:textId="77777777" w:rsidR="00C23641" w:rsidRPr="00E42A12" w:rsidRDefault="00AD02E6">
      <w:pPr>
        <w:jc w:val="center"/>
        <w:rPr>
          <w:rFonts w:eastAsia="Times New Roman"/>
          <w:b/>
          <w:bCs/>
          <w:sz w:val="24"/>
          <w:szCs w:val="24"/>
        </w:rPr>
      </w:pPr>
      <w:r w:rsidRPr="00E42A12">
        <w:rPr>
          <w:rFonts w:eastAsia="Times New Roman"/>
          <w:b/>
          <w:bCs/>
          <w:sz w:val="24"/>
          <w:szCs w:val="24"/>
        </w:rPr>
        <w:t>Term 1</w:t>
      </w:r>
    </w:p>
    <w:p w14:paraId="548FE6AE" w14:textId="77777777" w:rsidR="00C23641" w:rsidRPr="00E42A12" w:rsidRDefault="00C23641">
      <w:pPr>
        <w:spacing w:after="80"/>
        <w:jc w:val="center"/>
        <w:rPr>
          <w:rFonts w:eastAsia="Times New Roman"/>
          <w:b/>
          <w:bCs/>
          <w:sz w:val="24"/>
          <w:szCs w:val="24"/>
        </w:rPr>
      </w:pPr>
    </w:p>
    <w:p w14:paraId="2F917C1A" w14:textId="77777777" w:rsidR="00C23641" w:rsidRPr="00E42A12" w:rsidRDefault="00C23641">
      <w:pPr>
        <w:jc w:val="both"/>
        <w:rPr>
          <w:rFonts w:eastAsia="Times New Roman"/>
          <w:b/>
          <w:bCs/>
          <w:sz w:val="24"/>
          <w:szCs w:val="24"/>
        </w:rPr>
      </w:pPr>
    </w:p>
    <w:p w14:paraId="7B52B195" w14:textId="77777777" w:rsidR="00C23641" w:rsidRPr="00E42A12" w:rsidRDefault="00AD02E6" w:rsidP="00E42A12">
      <w:pPr>
        <w:jc w:val="center"/>
        <w:rPr>
          <w:rFonts w:eastAsia="Times New Roman"/>
          <w:b/>
          <w:bCs/>
          <w:sz w:val="30"/>
          <w:szCs w:val="30"/>
        </w:rPr>
      </w:pPr>
      <w:r w:rsidRPr="00E42A12">
        <w:rPr>
          <w:rFonts w:eastAsia="Times New Roman"/>
          <w:b/>
          <w:bCs/>
          <w:sz w:val="30"/>
          <w:szCs w:val="30"/>
        </w:rPr>
        <w:t>Table of Contents:</w:t>
      </w:r>
    </w:p>
    <w:sdt>
      <w:sdtPr>
        <w:id w:val="-1818116475"/>
        <w:docPartObj>
          <w:docPartGallery w:val="Table of Contents"/>
          <w:docPartUnique/>
        </w:docPartObj>
      </w:sdtPr>
      <w:sdtEndPr/>
      <w:sdtContent>
        <w:p w14:paraId="2E738D8D" w14:textId="77777777" w:rsidR="00C23641" w:rsidRPr="00E42A12" w:rsidRDefault="00AD02E6" w:rsidP="00E42A12">
          <w:pPr>
            <w:widowControl w:val="0"/>
            <w:tabs>
              <w:tab w:val="right" w:leader="dot" w:pos="12000"/>
            </w:tabs>
            <w:spacing w:before="60" w:line="480" w:lineRule="auto"/>
            <w:jc w:val="both"/>
            <w:rPr>
              <w:rFonts w:eastAsia="Times New Roman"/>
              <w:b/>
              <w:bCs/>
              <w:color w:val="000000"/>
              <w:sz w:val="24"/>
              <w:szCs w:val="24"/>
            </w:rPr>
          </w:pPr>
          <w:r w:rsidRPr="00E42A12">
            <w:fldChar w:fldCharType="begin"/>
          </w:r>
          <w:r w:rsidRPr="00E42A12">
            <w:instrText xml:space="preserve"> TOC \h \u \z \t "Heading 1,1,Heading 2,2,Heading 3,3,Heading 4,4,Heading 5,5,Heading 6,6,"</w:instrText>
          </w:r>
          <w:r w:rsidRPr="00E42A12">
            <w:fldChar w:fldCharType="separate"/>
          </w:r>
          <w:hyperlink w:anchor="_iwq2177vavsq">
            <w:r w:rsidR="00C23641" w:rsidRPr="00E42A12">
              <w:rPr>
                <w:rFonts w:eastAsia="Times New Roman"/>
                <w:b/>
                <w:bCs/>
                <w:color w:val="000000"/>
                <w:sz w:val="24"/>
                <w:szCs w:val="24"/>
              </w:rPr>
              <w:t>1. Task 1: Marketing Environment Analysis</w:t>
            </w:r>
            <w:r w:rsidR="00C23641" w:rsidRPr="00E42A12">
              <w:rPr>
                <w:rFonts w:eastAsia="Times New Roman"/>
                <w:b/>
                <w:bCs/>
                <w:color w:val="000000"/>
                <w:sz w:val="24"/>
                <w:szCs w:val="24"/>
              </w:rPr>
              <w:tab/>
              <w:t>3</w:t>
            </w:r>
          </w:hyperlink>
        </w:p>
        <w:p w14:paraId="220A2DC5"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54r3tgx1pt44">
            <w:r w:rsidRPr="00E42A12">
              <w:rPr>
                <w:rFonts w:eastAsia="Times New Roman"/>
                <w:color w:val="000000"/>
                <w:sz w:val="24"/>
                <w:szCs w:val="24"/>
              </w:rPr>
              <w:t>1.1 Introduction to Rio Tinto and the Report</w:t>
            </w:r>
            <w:r w:rsidRPr="00E42A12">
              <w:rPr>
                <w:rFonts w:eastAsia="Times New Roman"/>
                <w:color w:val="000000"/>
                <w:sz w:val="24"/>
                <w:szCs w:val="24"/>
              </w:rPr>
              <w:tab/>
              <w:t>3</w:t>
            </w:r>
          </w:hyperlink>
        </w:p>
        <w:p w14:paraId="7B8AA658"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3zjnra7ab2vj">
            <w:r w:rsidRPr="00E42A12">
              <w:rPr>
                <w:rFonts w:eastAsia="Times New Roman"/>
                <w:color w:val="000000"/>
                <w:sz w:val="24"/>
                <w:szCs w:val="24"/>
              </w:rPr>
              <w:t>1.2 External Marketing Environment and Selection of Actors</w:t>
            </w:r>
            <w:r w:rsidRPr="00E42A12">
              <w:rPr>
                <w:rFonts w:eastAsia="Times New Roman"/>
                <w:color w:val="000000"/>
                <w:sz w:val="24"/>
                <w:szCs w:val="24"/>
              </w:rPr>
              <w:tab/>
              <w:t>3</w:t>
            </w:r>
          </w:hyperlink>
        </w:p>
        <w:p w14:paraId="111C7EA0"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tichqg19d9aw">
            <w:r w:rsidRPr="00E42A12">
              <w:rPr>
                <w:rFonts w:eastAsia="Times New Roman"/>
                <w:color w:val="000000"/>
                <w:sz w:val="24"/>
                <w:szCs w:val="24"/>
              </w:rPr>
              <w:t>1.3 Natural Environment</w:t>
            </w:r>
            <w:r w:rsidRPr="00E42A12">
              <w:rPr>
                <w:rFonts w:eastAsia="Times New Roman"/>
                <w:color w:val="000000"/>
                <w:sz w:val="24"/>
                <w:szCs w:val="24"/>
              </w:rPr>
              <w:tab/>
              <w:t>3</w:t>
            </w:r>
          </w:hyperlink>
        </w:p>
        <w:p w14:paraId="0D326EF5"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qed0mrinbxe6">
            <w:r w:rsidRPr="00E42A12">
              <w:rPr>
                <w:rFonts w:eastAsia="Times New Roman"/>
                <w:color w:val="000000"/>
                <w:sz w:val="24"/>
                <w:szCs w:val="24"/>
              </w:rPr>
              <w:t>1.3.1 Climate Change and Carbon Emissions</w:t>
            </w:r>
            <w:r w:rsidRPr="00E42A12">
              <w:rPr>
                <w:rFonts w:eastAsia="Times New Roman"/>
                <w:color w:val="000000"/>
                <w:sz w:val="24"/>
                <w:szCs w:val="24"/>
              </w:rPr>
              <w:tab/>
              <w:t>3</w:t>
            </w:r>
          </w:hyperlink>
        </w:p>
        <w:p w14:paraId="62D774A2"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y66pj6hqw6og">
            <w:r w:rsidRPr="00E42A12">
              <w:rPr>
                <w:rFonts w:eastAsia="Times New Roman"/>
                <w:color w:val="000000"/>
                <w:sz w:val="24"/>
                <w:szCs w:val="24"/>
              </w:rPr>
              <w:t>1.3.2 Energy, Water and Natural Resource Consumption</w:t>
            </w:r>
            <w:r w:rsidRPr="00E42A12">
              <w:rPr>
                <w:rFonts w:eastAsia="Times New Roman"/>
                <w:color w:val="000000"/>
                <w:sz w:val="24"/>
                <w:szCs w:val="24"/>
              </w:rPr>
              <w:tab/>
              <w:t>4</w:t>
            </w:r>
          </w:hyperlink>
        </w:p>
        <w:p w14:paraId="7EA25D90"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w02lsvba3md4">
            <w:r w:rsidRPr="00E42A12">
              <w:rPr>
                <w:rFonts w:eastAsia="Times New Roman"/>
                <w:color w:val="000000"/>
                <w:sz w:val="24"/>
                <w:szCs w:val="24"/>
              </w:rPr>
              <w:t>1.3.3 Biodiversity and Land Rehabilitation</w:t>
            </w:r>
            <w:r w:rsidRPr="00E42A12">
              <w:rPr>
                <w:rFonts w:eastAsia="Times New Roman"/>
                <w:color w:val="000000"/>
                <w:sz w:val="24"/>
                <w:szCs w:val="24"/>
              </w:rPr>
              <w:tab/>
              <w:t>4</w:t>
            </w:r>
          </w:hyperlink>
        </w:p>
        <w:p w14:paraId="35EC610A"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y95m28ez258a">
            <w:r w:rsidRPr="00E42A12">
              <w:rPr>
                <w:rFonts w:eastAsia="Times New Roman"/>
                <w:color w:val="000000"/>
                <w:sz w:val="24"/>
                <w:szCs w:val="24"/>
              </w:rPr>
              <w:t>1.3.4 Opportunities for Rio Tinto</w:t>
            </w:r>
            <w:r w:rsidRPr="00E42A12">
              <w:rPr>
                <w:rFonts w:eastAsia="Times New Roman"/>
                <w:color w:val="000000"/>
                <w:sz w:val="24"/>
                <w:szCs w:val="24"/>
              </w:rPr>
              <w:tab/>
              <w:t>4</w:t>
            </w:r>
          </w:hyperlink>
        </w:p>
        <w:p w14:paraId="48537CB2"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hbtiykyduedx">
            <w:r w:rsidRPr="00E42A12">
              <w:rPr>
                <w:rFonts w:eastAsia="Times New Roman"/>
                <w:color w:val="000000"/>
                <w:sz w:val="24"/>
                <w:szCs w:val="24"/>
              </w:rPr>
              <w:t>1.3.5 Threats and Marketing Implications</w:t>
            </w:r>
            <w:r w:rsidRPr="00E42A12">
              <w:rPr>
                <w:rFonts w:eastAsia="Times New Roman"/>
                <w:color w:val="000000"/>
                <w:sz w:val="24"/>
                <w:szCs w:val="24"/>
              </w:rPr>
              <w:tab/>
              <w:t>5</w:t>
            </w:r>
          </w:hyperlink>
        </w:p>
        <w:p w14:paraId="45E39E1E"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93gn4byev06k">
            <w:r w:rsidRPr="00E42A12">
              <w:rPr>
                <w:rFonts w:eastAsia="Times New Roman"/>
                <w:color w:val="000000"/>
                <w:sz w:val="24"/>
                <w:szCs w:val="24"/>
              </w:rPr>
              <w:t>1.4 Political and Legal Environment</w:t>
            </w:r>
            <w:r w:rsidRPr="00E42A12">
              <w:rPr>
                <w:rFonts w:eastAsia="Times New Roman"/>
                <w:color w:val="000000"/>
                <w:sz w:val="24"/>
                <w:szCs w:val="24"/>
              </w:rPr>
              <w:tab/>
              <w:t>5</w:t>
            </w:r>
          </w:hyperlink>
        </w:p>
        <w:p w14:paraId="4835BC7D"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kze5fqgrn610">
            <w:r w:rsidRPr="00E42A12">
              <w:rPr>
                <w:rFonts w:eastAsia="Times New Roman"/>
                <w:color w:val="000000"/>
                <w:sz w:val="24"/>
                <w:szCs w:val="24"/>
              </w:rPr>
              <w:t>1.4.1 Environmental Regulation and Carbon Policies</w:t>
            </w:r>
            <w:r w:rsidRPr="00E42A12">
              <w:rPr>
                <w:rFonts w:eastAsia="Times New Roman"/>
                <w:color w:val="000000"/>
                <w:sz w:val="24"/>
                <w:szCs w:val="24"/>
              </w:rPr>
              <w:tab/>
              <w:t>5</w:t>
            </w:r>
          </w:hyperlink>
        </w:p>
        <w:p w14:paraId="508CEE36"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s3iry18o852c">
            <w:r w:rsidRPr="00E42A12">
              <w:rPr>
                <w:rFonts w:eastAsia="Times New Roman"/>
                <w:color w:val="000000"/>
                <w:sz w:val="24"/>
                <w:szCs w:val="24"/>
              </w:rPr>
              <w:t>1.4.2 Sustainability Reporting and Marketing Claims</w:t>
            </w:r>
            <w:r w:rsidRPr="00E42A12">
              <w:rPr>
                <w:rFonts w:eastAsia="Times New Roman"/>
                <w:color w:val="000000"/>
                <w:sz w:val="24"/>
                <w:szCs w:val="24"/>
              </w:rPr>
              <w:tab/>
              <w:t>5</w:t>
            </w:r>
          </w:hyperlink>
        </w:p>
        <w:p w14:paraId="499B6F8C"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vlkcfucepg7o">
            <w:r w:rsidRPr="00E42A12">
              <w:rPr>
                <w:rFonts w:eastAsia="Times New Roman"/>
                <w:color w:val="000000"/>
                <w:sz w:val="24"/>
                <w:szCs w:val="24"/>
              </w:rPr>
              <w:t>1.4.3 Community and Indigenous Rights</w:t>
            </w:r>
            <w:r w:rsidRPr="00E42A12">
              <w:rPr>
                <w:rFonts w:eastAsia="Times New Roman"/>
                <w:color w:val="000000"/>
                <w:sz w:val="24"/>
                <w:szCs w:val="24"/>
              </w:rPr>
              <w:tab/>
              <w:t>5</w:t>
            </w:r>
          </w:hyperlink>
        </w:p>
        <w:p w14:paraId="6B133735"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1lhmjn2nc86b">
            <w:r w:rsidRPr="00E42A12">
              <w:rPr>
                <w:rFonts w:eastAsia="Times New Roman"/>
                <w:color w:val="000000"/>
                <w:sz w:val="24"/>
                <w:szCs w:val="24"/>
              </w:rPr>
              <w:t>1.4.4 Opportunities, Threats and Competitive Implications</w:t>
            </w:r>
            <w:r w:rsidRPr="00E42A12">
              <w:rPr>
                <w:rFonts w:eastAsia="Times New Roman"/>
                <w:color w:val="000000"/>
                <w:sz w:val="24"/>
                <w:szCs w:val="24"/>
              </w:rPr>
              <w:tab/>
              <w:t>6</w:t>
            </w:r>
          </w:hyperlink>
        </w:p>
        <w:p w14:paraId="5B39D4ED"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g6q6hyat67vi">
            <w:r w:rsidRPr="00E42A12">
              <w:rPr>
                <w:rFonts w:eastAsia="Times New Roman"/>
                <w:color w:val="000000"/>
                <w:sz w:val="24"/>
                <w:szCs w:val="24"/>
              </w:rPr>
              <w:t>1.5 Critical Synthesis</w:t>
            </w:r>
            <w:r w:rsidRPr="00E42A12">
              <w:rPr>
                <w:rFonts w:eastAsia="Times New Roman"/>
                <w:color w:val="000000"/>
                <w:sz w:val="24"/>
                <w:szCs w:val="24"/>
              </w:rPr>
              <w:tab/>
              <w:t>6</w:t>
            </w:r>
          </w:hyperlink>
        </w:p>
        <w:p w14:paraId="54AA7EDC" w14:textId="77777777" w:rsidR="00C23641" w:rsidRPr="00E42A12" w:rsidRDefault="00C23641" w:rsidP="00E42A12">
          <w:pPr>
            <w:widowControl w:val="0"/>
            <w:tabs>
              <w:tab w:val="right" w:leader="dot" w:pos="12000"/>
            </w:tabs>
            <w:spacing w:before="60" w:line="480" w:lineRule="auto"/>
            <w:jc w:val="both"/>
            <w:rPr>
              <w:rFonts w:eastAsia="Times New Roman"/>
              <w:b/>
              <w:bCs/>
              <w:color w:val="000000"/>
              <w:sz w:val="24"/>
              <w:szCs w:val="24"/>
            </w:rPr>
          </w:pPr>
          <w:hyperlink w:anchor="_w8kczbud5avg">
            <w:r w:rsidRPr="00E42A12">
              <w:rPr>
                <w:rFonts w:eastAsia="Times New Roman"/>
                <w:b/>
                <w:bCs/>
                <w:color w:val="000000"/>
                <w:sz w:val="24"/>
                <w:szCs w:val="24"/>
              </w:rPr>
              <w:t>2. Task 2: Strategic Growth and Competitive Positioning</w:t>
            </w:r>
            <w:r w:rsidRPr="00E42A12">
              <w:rPr>
                <w:rFonts w:eastAsia="Times New Roman"/>
                <w:b/>
                <w:bCs/>
                <w:color w:val="000000"/>
                <w:sz w:val="24"/>
                <w:szCs w:val="24"/>
              </w:rPr>
              <w:tab/>
              <w:t>7</w:t>
            </w:r>
          </w:hyperlink>
        </w:p>
        <w:p w14:paraId="2BD193F1"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kca0tw8qboo3">
            <w:r w:rsidRPr="00E42A12">
              <w:rPr>
                <w:rFonts w:eastAsia="Times New Roman"/>
                <w:color w:val="000000"/>
                <w:sz w:val="24"/>
                <w:szCs w:val="24"/>
              </w:rPr>
              <w:t>2.1 Link between Environmental Analysis and Strategic Growth</w:t>
            </w:r>
            <w:r w:rsidRPr="00E42A12">
              <w:rPr>
                <w:rFonts w:eastAsia="Times New Roman"/>
                <w:color w:val="000000"/>
                <w:sz w:val="24"/>
                <w:szCs w:val="24"/>
              </w:rPr>
              <w:tab/>
              <w:t>7</w:t>
            </w:r>
          </w:hyperlink>
        </w:p>
        <w:p w14:paraId="22254C1C"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pemr7dt65id2">
            <w:r w:rsidRPr="00E42A12">
              <w:rPr>
                <w:rFonts w:eastAsia="Times New Roman"/>
                <w:color w:val="000000"/>
                <w:sz w:val="24"/>
                <w:szCs w:val="24"/>
              </w:rPr>
              <w:t>2.2 Application of the Ansoff Matrix to Rio Tinto</w:t>
            </w:r>
            <w:r w:rsidRPr="00E42A12">
              <w:rPr>
                <w:rFonts w:eastAsia="Times New Roman"/>
                <w:color w:val="000000"/>
                <w:sz w:val="24"/>
                <w:szCs w:val="24"/>
              </w:rPr>
              <w:tab/>
              <w:t>7</w:t>
            </w:r>
          </w:hyperlink>
        </w:p>
        <w:p w14:paraId="0BE5938F"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7ocsnydl195u">
            <w:r w:rsidRPr="00E42A12">
              <w:rPr>
                <w:rFonts w:eastAsia="Times New Roman"/>
                <w:color w:val="000000"/>
                <w:sz w:val="24"/>
                <w:szCs w:val="24"/>
              </w:rPr>
              <w:t>2.2.1 Market Penetration</w:t>
            </w:r>
            <w:r w:rsidRPr="00E42A12">
              <w:rPr>
                <w:rFonts w:eastAsia="Times New Roman"/>
                <w:color w:val="000000"/>
                <w:sz w:val="24"/>
                <w:szCs w:val="24"/>
              </w:rPr>
              <w:tab/>
              <w:t>7</w:t>
            </w:r>
          </w:hyperlink>
        </w:p>
        <w:p w14:paraId="015A9012"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nm2l7m6coh0a">
            <w:r w:rsidRPr="00E42A12">
              <w:rPr>
                <w:rFonts w:eastAsia="Times New Roman"/>
                <w:color w:val="000000"/>
                <w:sz w:val="24"/>
                <w:szCs w:val="24"/>
              </w:rPr>
              <w:t>2.2.2 Market Development</w:t>
            </w:r>
            <w:r w:rsidRPr="00E42A12">
              <w:rPr>
                <w:rFonts w:eastAsia="Times New Roman"/>
                <w:color w:val="000000"/>
                <w:sz w:val="24"/>
                <w:szCs w:val="24"/>
              </w:rPr>
              <w:tab/>
              <w:t>7</w:t>
            </w:r>
          </w:hyperlink>
        </w:p>
        <w:p w14:paraId="0A55C215"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fcj6krnbpf8">
            <w:r w:rsidRPr="00E42A12">
              <w:rPr>
                <w:rFonts w:eastAsia="Times New Roman"/>
                <w:color w:val="000000"/>
                <w:sz w:val="24"/>
                <w:szCs w:val="24"/>
              </w:rPr>
              <w:t>2.2.3 Product Development</w:t>
            </w:r>
            <w:r w:rsidRPr="00E42A12">
              <w:rPr>
                <w:rFonts w:eastAsia="Times New Roman"/>
                <w:color w:val="000000"/>
                <w:sz w:val="24"/>
                <w:szCs w:val="24"/>
              </w:rPr>
              <w:tab/>
              <w:t>7</w:t>
            </w:r>
          </w:hyperlink>
        </w:p>
        <w:p w14:paraId="1703544F"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jkp4ostnas26">
            <w:r w:rsidRPr="00E42A12">
              <w:rPr>
                <w:rFonts w:eastAsia="Times New Roman"/>
                <w:color w:val="000000"/>
                <w:sz w:val="24"/>
                <w:szCs w:val="24"/>
              </w:rPr>
              <w:t>2.2.4 Diversification</w:t>
            </w:r>
            <w:r w:rsidRPr="00E42A12">
              <w:rPr>
                <w:rFonts w:eastAsia="Times New Roman"/>
                <w:color w:val="000000"/>
                <w:sz w:val="24"/>
                <w:szCs w:val="24"/>
              </w:rPr>
              <w:tab/>
              <w:t>7</w:t>
            </w:r>
          </w:hyperlink>
        </w:p>
        <w:p w14:paraId="75C60DE9"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ggibi319cdjt">
            <w:r w:rsidRPr="00E42A12">
              <w:rPr>
                <w:rFonts w:eastAsia="Times New Roman"/>
                <w:color w:val="000000"/>
                <w:sz w:val="24"/>
                <w:szCs w:val="24"/>
              </w:rPr>
              <w:t>2.3 Recommended Strategy: Product Development</w:t>
            </w:r>
            <w:r w:rsidRPr="00E42A12">
              <w:rPr>
                <w:rFonts w:eastAsia="Times New Roman"/>
                <w:color w:val="000000"/>
                <w:sz w:val="24"/>
                <w:szCs w:val="24"/>
              </w:rPr>
              <w:tab/>
              <w:t>8</w:t>
            </w:r>
          </w:hyperlink>
        </w:p>
        <w:p w14:paraId="4A109679"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ydt12hbwsugy">
            <w:r w:rsidRPr="00E42A12">
              <w:rPr>
                <w:rFonts w:eastAsia="Times New Roman"/>
                <w:color w:val="000000"/>
                <w:sz w:val="24"/>
                <w:szCs w:val="24"/>
              </w:rPr>
              <w:t>2.3.1 Proposed Lower-Carbon Aluminium Offering</w:t>
            </w:r>
            <w:r w:rsidRPr="00E42A12">
              <w:rPr>
                <w:rFonts w:eastAsia="Times New Roman"/>
                <w:color w:val="000000"/>
                <w:sz w:val="24"/>
                <w:szCs w:val="24"/>
              </w:rPr>
              <w:tab/>
              <w:t>8</w:t>
            </w:r>
          </w:hyperlink>
        </w:p>
        <w:p w14:paraId="796974B3"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b1nr2m41desz">
            <w:r w:rsidRPr="00E42A12">
              <w:rPr>
                <w:rFonts w:eastAsia="Times New Roman"/>
                <w:color w:val="000000"/>
                <w:sz w:val="24"/>
                <w:szCs w:val="24"/>
              </w:rPr>
              <w:t>2.3.2 Target Customers and Market Need</w:t>
            </w:r>
            <w:r w:rsidRPr="00E42A12">
              <w:rPr>
                <w:rFonts w:eastAsia="Times New Roman"/>
                <w:color w:val="000000"/>
                <w:sz w:val="24"/>
                <w:szCs w:val="24"/>
              </w:rPr>
              <w:tab/>
              <w:t>9</w:t>
            </w:r>
          </w:hyperlink>
        </w:p>
        <w:p w14:paraId="5DAEE193"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p2os2win6g0z">
            <w:r w:rsidRPr="00E42A12">
              <w:rPr>
                <w:rFonts w:eastAsia="Times New Roman"/>
                <w:color w:val="000000"/>
                <w:sz w:val="24"/>
                <w:szCs w:val="24"/>
              </w:rPr>
              <w:t>2.3.3 Strategic Justification</w:t>
            </w:r>
            <w:r w:rsidRPr="00E42A12">
              <w:rPr>
                <w:rFonts w:eastAsia="Times New Roman"/>
                <w:color w:val="000000"/>
                <w:sz w:val="24"/>
                <w:szCs w:val="24"/>
              </w:rPr>
              <w:tab/>
              <w:t>9</w:t>
            </w:r>
          </w:hyperlink>
        </w:p>
        <w:p w14:paraId="1910A9A2"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tnd9hicv0d6g">
            <w:r w:rsidRPr="00E42A12">
              <w:rPr>
                <w:rFonts w:eastAsia="Times New Roman"/>
                <w:color w:val="000000"/>
                <w:sz w:val="24"/>
                <w:szCs w:val="24"/>
              </w:rPr>
              <w:t>2.4 Achieving Competitive Advantage</w:t>
            </w:r>
            <w:r w:rsidRPr="00E42A12">
              <w:rPr>
                <w:rFonts w:eastAsia="Times New Roman"/>
                <w:color w:val="000000"/>
                <w:sz w:val="24"/>
                <w:szCs w:val="24"/>
              </w:rPr>
              <w:tab/>
              <w:t>9</w:t>
            </w:r>
          </w:hyperlink>
        </w:p>
        <w:p w14:paraId="2F486E8A"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aflwbu83gp0n">
            <w:r w:rsidRPr="00E42A12">
              <w:rPr>
                <w:rFonts w:eastAsia="Times New Roman"/>
                <w:color w:val="000000"/>
                <w:sz w:val="24"/>
                <w:szCs w:val="24"/>
              </w:rPr>
              <w:t>2.4.1 Product Differentiation</w:t>
            </w:r>
            <w:r w:rsidRPr="00E42A12">
              <w:rPr>
                <w:rFonts w:eastAsia="Times New Roman"/>
                <w:color w:val="000000"/>
                <w:sz w:val="24"/>
                <w:szCs w:val="24"/>
              </w:rPr>
              <w:tab/>
              <w:t>9</w:t>
            </w:r>
          </w:hyperlink>
        </w:p>
        <w:p w14:paraId="08C570F0"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fmd3jrhf7g8r">
            <w:r w:rsidRPr="00E42A12">
              <w:rPr>
                <w:rFonts w:eastAsia="Times New Roman"/>
                <w:color w:val="000000"/>
                <w:sz w:val="24"/>
                <w:szCs w:val="24"/>
              </w:rPr>
              <w:t>2.4.2 Brand Reputation and Customer Relationships</w:t>
            </w:r>
            <w:r w:rsidRPr="00E42A12">
              <w:rPr>
                <w:rFonts w:eastAsia="Times New Roman"/>
                <w:color w:val="000000"/>
                <w:sz w:val="24"/>
                <w:szCs w:val="24"/>
              </w:rPr>
              <w:tab/>
              <w:t>9</w:t>
            </w:r>
          </w:hyperlink>
        </w:p>
        <w:p w14:paraId="198A61A2" w14:textId="77777777" w:rsidR="00C23641" w:rsidRPr="00E42A12" w:rsidRDefault="00C23641" w:rsidP="00E42A12">
          <w:pPr>
            <w:widowControl w:val="0"/>
            <w:tabs>
              <w:tab w:val="right" w:leader="dot" w:pos="12000"/>
            </w:tabs>
            <w:spacing w:before="60" w:line="480" w:lineRule="auto"/>
            <w:ind w:left="720"/>
            <w:jc w:val="both"/>
            <w:rPr>
              <w:rFonts w:eastAsia="Times New Roman"/>
              <w:color w:val="000000"/>
              <w:sz w:val="24"/>
              <w:szCs w:val="24"/>
            </w:rPr>
          </w:pPr>
          <w:hyperlink w:anchor="_utusj12ynwp">
            <w:r w:rsidRPr="00E42A12">
              <w:rPr>
                <w:rFonts w:eastAsia="Times New Roman"/>
                <w:color w:val="000000"/>
                <w:sz w:val="24"/>
                <w:szCs w:val="24"/>
              </w:rPr>
              <w:t>2.4.3 Technology and Operational Capabilities</w:t>
            </w:r>
            <w:r w:rsidRPr="00E42A12">
              <w:rPr>
                <w:rFonts w:eastAsia="Times New Roman"/>
                <w:color w:val="000000"/>
                <w:sz w:val="24"/>
                <w:szCs w:val="24"/>
              </w:rPr>
              <w:tab/>
              <w:t>10</w:t>
            </w:r>
          </w:hyperlink>
        </w:p>
        <w:p w14:paraId="6CD05166"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1cokvdxg63gs">
            <w:r w:rsidRPr="00E42A12">
              <w:rPr>
                <w:rFonts w:eastAsia="Times New Roman"/>
                <w:color w:val="000000"/>
                <w:sz w:val="24"/>
                <w:szCs w:val="24"/>
              </w:rPr>
              <w:t>2.5 Strategic Implementation</w:t>
            </w:r>
            <w:r w:rsidRPr="00E42A12">
              <w:rPr>
                <w:rFonts w:eastAsia="Times New Roman"/>
                <w:color w:val="000000"/>
                <w:sz w:val="24"/>
                <w:szCs w:val="24"/>
              </w:rPr>
              <w:tab/>
              <w:t>10</w:t>
            </w:r>
          </w:hyperlink>
        </w:p>
        <w:p w14:paraId="0ECFB62F"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tpg52oiwv5kz">
            <w:r w:rsidRPr="00E42A12">
              <w:rPr>
                <w:rFonts w:eastAsia="Times New Roman"/>
                <w:color w:val="000000"/>
                <w:sz w:val="24"/>
                <w:szCs w:val="24"/>
              </w:rPr>
              <w:t>2.6 Risks and Limitations</w:t>
            </w:r>
            <w:r w:rsidRPr="00E42A12">
              <w:rPr>
                <w:rFonts w:eastAsia="Times New Roman"/>
                <w:color w:val="000000"/>
                <w:sz w:val="24"/>
                <w:szCs w:val="24"/>
              </w:rPr>
              <w:tab/>
              <w:t>10</w:t>
            </w:r>
          </w:hyperlink>
        </w:p>
        <w:p w14:paraId="518CF3ED"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9qtea0e50593">
            <w:r w:rsidRPr="00E42A12">
              <w:rPr>
                <w:rFonts w:eastAsia="Times New Roman"/>
                <w:color w:val="000000"/>
                <w:sz w:val="24"/>
                <w:szCs w:val="24"/>
              </w:rPr>
              <w:t>2.7 Task Conclusion and Final Recommendation</w:t>
            </w:r>
            <w:r w:rsidRPr="00E42A12">
              <w:rPr>
                <w:rFonts w:eastAsia="Times New Roman"/>
                <w:color w:val="000000"/>
                <w:sz w:val="24"/>
                <w:szCs w:val="24"/>
              </w:rPr>
              <w:tab/>
              <w:t>10</w:t>
            </w:r>
          </w:hyperlink>
        </w:p>
        <w:p w14:paraId="2776B68C" w14:textId="77777777" w:rsidR="00C23641" w:rsidRPr="00E42A12" w:rsidRDefault="00C23641" w:rsidP="00E42A12">
          <w:pPr>
            <w:widowControl w:val="0"/>
            <w:tabs>
              <w:tab w:val="right" w:leader="dot" w:pos="12000"/>
            </w:tabs>
            <w:spacing w:before="60" w:line="480" w:lineRule="auto"/>
            <w:jc w:val="both"/>
            <w:rPr>
              <w:rFonts w:eastAsia="Times New Roman"/>
              <w:b/>
              <w:bCs/>
              <w:color w:val="000000"/>
              <w:sz w:val="24"/>
              <w:szCs w:val="24"/>
            </w:rPr>
          </w:pPr>
          <w:hyperlink w:anchor="_6iflrxtm5tfj">
            <w:r w:rsidRPr="00E42A12">
              <w:rPr>
                <w:rFonts w:eastAsia="Times New Roman"/>
                <w:b/>
                <w:bCs/>
                <w:color w:val="000000"/>
                <w:sz w:val="24"/>
                <w:szCs w:val="24"/>
              </w:rPr>
              <w:t>3. Task 3: Critical Reflection on AI Usage</w:t>
            </w:r>
            <w:r w:rsidRPr="00E42A12">
              <w:rPr>
                <w:rFonts w:eastAsia="Times New Roman"/>
                <w:b/>
                <w:bCs/>
                <w:color w:val="000000"/>
                <w:sz w:val="24"/>
                <w:szCs w:val="24"/>
              </w:rPr>
              <w:tab/>
              <w:t>11</w:t>
            </w:r>
          </w:hyperlink>
        </w:p>
        <w:p w14:paraId="1045DE79"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wzjvzt9ip1x0">
            <w:r w:rsidRPr="00E42A12">
              <w:rPr>
                <w:rFonts w:eastAsia="Times New Roman"/>
                <w:color w:val="000000"/>
                <w:sz w:val="24"/>
                <w:szCs w:val="24"/>
              </w:rPr>
              <w:t>3.1 AI Tools Used and Their Purpose</w:t>
            </w:r>
            <w:r w:rsidRPr="00E42A12">
              <w:rPr>
                <w:rFonts w:eastAsia="Times New Roman"/>
                <w:color w:val="000000"/>
                <w:sz w:val="24"/>
                <w:szCs w:val="24"/>
              </w:rPr>
              <w:tab/>
              <w:t>11</w:t>
            </w:r>
          </w:hyperlink>
        </w:p>
        <w:p w14:paraId="6374719E"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8pdey8v47w6n">
            <w:r w:rsidRPr="00E42A12">
              <w:rPr>
                <w:rFonts w:eastAsia="Times New Roman"/>
                <w:color w:val="000000"/>
                <w:sz w:val="24"/>
                <w:szCs w:val="24"/>
              </w:rPr>
              <w:t>3.2 Verification of AI-Generated Information</w:t>
            </w:r>
            <w:r w:rsidRPr="00E42A12">
              <w:rPr>
                <w:rFonts w:eastAsia="Times New Roman"/>
                <w:color w:val="000000"/>
                <w:sz w:val="24"/>
                <w:szCs w:val="24"/>
              </w:rPr>
              <w:tab/>
              <w:t>11</w:t>
            </w:r>
          </w:hyperlink>
        </w:p>
        <w:p w14:paraId="053793F1"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nlrm3igbahdy">
            <w:r w:rsidRPr="00E42A12">
              <w:rPr>
                <w:rFonts w:eastAsia="Times New Roman"/>
                <w:color w:val="000000"/>
                <w:sz w:val="24"/>
                <w:szCs w:val="24"/>
              </w:rPr>
              <w:t>3.3 AI Contribution and Personal Contribution</w:t>
            </w:r>
            <w:r w:rsidRPr="00E42A12">
              <w:rPr>
                <w:rFonts w:eastAsia="Times New Roman"/>
                <w:color w:val="000000"/>
                <w:sz w:val="24"/>
                <w:szCs w:val="24"/>
              </w:rPr>
              <w:tab/>
              <w:t>12</w:t>
            </w:r>
          </w:hyperlink>
        </w:p>
        <w:p w14:paraId="40333A5A" w14:textId="77777777" w:rsidR="00C23641" w:rsidRPr="00E42A12" w:rsidRDefault="00C23641" w:rsidP="00E42A12">
          <w:pPr>
            <w:widowControl w:val="0"/>
            <w:tabs>
              <w:tab w:val="right" w:leader="dot" w:pos="12000"/>
            </w:tabs>
            <w:spacing w:before="60" w:line="480" w:lineRule="auto"/>
            <w:ind w:left="360"/>
            <w:jc w:val="both"/>
            <w:rPr>
              <w:rFonts w:eastAsia="Times New Roman"/>
              <w:color w:val="000000"/>
              <w:sz w:val="24"/>
              <w:szCs w:val="24"/>
            </w:rPr>
          </w:pPr>
          <w:hyperlink w:anchor="_rku7wlpb4ol9">
            <w:r w:rsidRPr="00E42A12">
              <w:rPr>
                <w:rFonts w:eastAsia="Times New Roman"/>
                <w:color w:val="000000"/>
                <w:sz w:val="24"/>
                <w:szCs w:val="24"/>
              </w:rPr>
              <w:t>3.4 Ethical and Professional Issues</w:t>
            </w:r>
            <w:r w:rsidRPr="00E42A12">
              <w:rPr>
                <w:rFonts w:eastAsia="Times New Roman"/>
                <w:color w:val="000000"/>
                <w:sz w:val="24"/>
                <w:szCs w:val="24"/>
              </w:rPr>
              <w:tab/>
              <w:t>12</w:t>
            </w:r>
          </w:hyperlink>
        </w:p>
        <w:p w14:paraId="08525236" w14:textId="77777777" w:rsidR="00C23641" w:rsidRPr="00E42A12" w:rsidRDefault="00C23641" w:rsidP="00E42A12">
          <w:pPr>
            <w:widowControl w:val="0"/>
            <w:tabs>
              <w:tab w:val="right" w:leader="dot" w:pos="12000"/>
            </w:tabs>
            <w:spacing w:before="60" w:line="480" w:lineRule="auto"/>
            <w:jc w:val="both"/>
            <w:rPr>
              <w:rFonts w:eastAsia="Times New Roman"/>
              <w:b/>
              <w:bCs/>
              <w:color w:val="000000"/>
              <w:sz w:val="24"/>
              <w:szCs w:val="24"/>
            </w:rPr>
          </w:pPr>
          <w:hyperlink w:anchor="_c7w0cda8bdol">
            <w:r w:rsidRPr="00E42A12">
              <w:rPr>
                <w:rFonts w:eastAsia="Times New Roman"/>
                <w:b/>
                <w:bCs/>
                <w:color w:val="000000"/>
                <w:sz w:val="24"/>
                <w:szCs w:val="24"/>
              </w:rPr>
              <w:t>References:</w:t>
            </w:r>
            <w:r w:rsidRPr="00E42A12">
              <w:rPr>
                <w:rFonts w:eastAsia="Times New Roman"/>
                <w:b/>
                <w:bCs/>
                <w:color w:val="000000"/>
                <w:sz w:val="24"/>
                <w:szCs w:val="24"/>
              </w:rPr>
              <w:tab/>
              <w:t>13</w:t>
            </w:r>
          </w:hyperlink>
          <w:r w:rsidR="00AD02E6" w:rsidRPr="00E42A12">
            <w:fldChar w:fldCharType="end"/>
          </w:r>
        </w:p>
      </w:sdtContent>
    </w:sdt>
    <w:p w14:paraId="592887FB" w14:textId="77777777" w:rsidR="00C23641" w:rsidRPr="00E42A12" w:rsidRDefault="00C23641">
      <w:pPr>
        <w:jc w:val="both"/>
        <w:rPr>
          <w:rFonts w:eastAsia="Times New Roman"/>
          <w:sz w:val="24"/>
          <w:szCs w:val="24"/>
        </w:rPr>
      </w:pPr>
    </w:p>
    <w:p w14:paraId="02F58207" w14:textId="77777777" w:rsidR="00C23641" w:rsidRPr="00E42A12" w:rsidRDefault="00C23641">
      <w:pPr>
        <w:jc w:val="both"/>
        <w:rPr>
          <w:rFonts w:eastAsia="Times New Roman"/>
          <w:sz w:val="24"/>
          <w:szCs w:val="24"/>
        </w:rPr>
      </w:pPr>
    </w:p>
    <w:p w14:paraId="1F89F1DB" w14:textId="77777777" w:rsidR="00C23641" w:rsidRPr="00E42A12" w:rsidRDefault="00C23641">
      <w:pPr>
        <w:jc w:val="both"/>
        <w:rPr>
          <w:rFonts w:eastAsia="Times New Roman"/>
          <w:sz w:val="24"/>
          <w:szCs w:val="24"/>
        </w:rPr>
      </w:pPr>
    </w:p>
    <w:p w14:paraId="68303C70" w14:textId="77777777" w:rsidR="00C23641" w:rsidRPr="00E42A12" w:rsidRDefault="00C23641">
      <w:pPr>
        <w:jc w:val="both"/>
        <w:rPr>
          <w:rFonts w:eastAsia="Times New Roman"/>
          <w:sz w:val="24"/>
          <w:szCs w:val="24"/>
        </w:rPr>
      </w:pPr>
    </w:p>
    <w:p w14:paraId="1D8B8A54" w14:textId="77777777" w:rsidR="00C23641" w:rsidRPr="00E42A12" w:rsidRDefault="00C23641">
      <w:pPr>
        <w:jc w:val="both"/>
        <w:rPr>
          <w:rFonts w:eastAsia="Times New Roman"/>
          <w:sz w:val="24"/>
          <w:szCs w:val="24"/>
        </w:rPr>
      </w:pPr>
    </w:p>
    <w:p w14:paraId="0D4672BD" w14:textId="77777777" w:rsidR="00C23641" w:rsidRPr="00E42A12" w:rsidRDefault="00AD02E6">
      <w:pPr>
        <w:pStyle w:val="Heading2"/>
        <w:jc w:val="both"/>
        <w:rPr>
          <w:rFonts w:eastAsia="Times New Roman"/>
          <w:b/>
          <w:bCs/>
          <w:sz w:val="24"/>
          <w:szCs w:val="24"/>
        </w:rPr>
      </w:pPr>
      <w:bookmarkStart w:id="0" w:name="_iwq2177vavsq" w:colFirst="0" w:colLast="0"/>
      <w:bookmarkEnd w:id="0"/>
      <w:r w:rsidRPr="00E42A12">
        <w:rPr>
          <w:rFonts w:eastAsia="Times New Roman"/>
          <w:b/>
          <w:bCs/>
          <w:sz w:val="24"/>
          <w:szCs w:val="24"/>
        </w:rPr>
        <w:t>1. Task 1: Marketing Environment Analysis</w:t>
      </w:r>
    </w:p>
    <w:p w14:paraId="62AC754E" w14:textId="77777777" w:rsidR="00C23641" w:rsidRPr="00E42A12" w:rsidRDefault="00AD02E6">
      <w:pPr>
        <w:pStyle w:val="Heading3"/>
        <w:jc w:val="both"/>
        <w:rPr>
          <w:rFonts w:eastAsia="Times New Roman"/>
          <w:b/>
          <w:bCs/>
          <w:color w:val="000000"/>
          <w:sz w:val="24"/>
          <w:szCs w:val="24"/>
        </w:rPr>
      </w:pPr>
      <w:bookmarkStart w:id="1" w:name="_54r3tgx1pt44" w:colFirst="0" w:colLast="0"/>
      <w:bookmarkEnd w:id="1"/>
      <w:r w:rsidRPr="00E42A12">
        <w:rPr>
          <w:rFonts w:eastAsia="Times New Roman"/>
          <w:b/>
          <w:bCs/>
          <w:color w:val="000000"/>
          <w:sz w:val="24"/>
          <w:szCs w:val="24"/>
        </w:rPr>
        <w:t>1.1 Introduction to Rio Tinto and the Report</w:t>
      </w:r>
    </w:p>
    <w:p w14:paraId="0D1D1777" w14:textId="5E34C095" w:rsidR="00C23641" w:rsidRPr="00E42A12" w:rsidRDefault="00AD02E6">
      <w:pPr>
        <w:jc w:val="both"/>
        <w:rPr>
          <w:rFonts w:eastAsia="Times New Roman"/>
          <w:sz w:val="24"/>
          <w:szCs w:val="24"/>
        </w:rPr>
      </w:pPr>
      <w:r w:rsidRPr="00E42A12">
        <w:rPr>
          <w:rFonts w:eastAsia="Times New Roman"/>
          <w:sz w:val="24"/>
          <w:szCs w:val="24"/>
        </w:rPr>
        <w:t>Rio Tinto is a multinational mining enterprise with iron ore, aluminium, copper and lithium interests. This report examines the company’s transition to lower-carbon aluminium across bauxite, alumina, smelting and recycling. Canadian hydropower and Rio Tinto’s initiatives RenewAl</w:t>
      </w:r>
      <w:r w:rsidRPr="00E42A12">
        <w:rPr>
          <w:rFonts w:eastAsia="Times New Roman"/>
          <w:sz w:val="24"/>
          <w:szCs w:val="24"/>
        </w:rPr>
        <w:t xml:space="preserve"> and ELYSIS may help lower Rio’s embedded emissions (Rio Tinto, 2026a; 2026f). This report assesses the available natural, and political/legal working environments, and subsequently recommends a growth strategy that relies </w:t>
      </w:r>
      <w:r w:rsidR="00E42A12">
        <w:rPr>
          <w:rFonts w:eastAsia="Times New Roman"/>
          <w:sz w:val="24"/>
          <w:szCs w:val="24"/>
        </w:rPr>
        <w:t>primarily on customer value</w:t>
      </w:r>
      <w:r w:rsidRPr="00E42A12">
        <w:rPr>
          <w:rFonts w:eastAsia="Times New Roman"/>
          <w:sz w:val="24"/>
          <w:szCs w:val="24"/>
        </w:rPr>
        <w:t>.</w:t>
      </w:r>
    </w:p>
    <w:p w14:paraId="3019F9D0" w14:textId="77777777" w:rsidR="00C23641" w:rsidRPr="00E42A12" w:rsidRDefault="00AD02E6">
      <w:pPr>
        <w:pStyle w:val="Heading3"/>
        <w:jc w:val="both"/>
        <w:rPr>
          <w:rFonts w:eastAsia="Times New Roman"/>
          <w:b/>
          <w:bCs/>
          <w:color w:val="000000"/>
          <w:sz w:val="24"/>
          <w:szCs w:val="24"/>
        </w:rPr>
      </w:pPr>
      <w:bookmarkStart w:id="2" w:name="_3zjnra7ab2vj" w:colFirst="0" w:colLast="0"/>
      <w:bookmarkEnd w:id="2"/>
      <w:r w:rsidRPr="00E42A12">
        <w:rPr>
          <w:rFonts w:eastAsia="Times New Roman"/>
          <w:b/>
          <w:bCs/>
          <w:color w:val="000000"/>
          <w:sz w:val="24"/>
          <w:szCs w:val="24"/>
        </w:rPr>
        <w:t>1.2 External Marketing Environment and Selection of Actors</w:t>
      </w:r>
    </w:p>
    <w:p w14:paraId="6F916246" w14:textId="44EF2653" w:rsidR="00C23641" w:rsidRPr="00E42A12" w:rsidRDefault="00AD02E6">
      <w:pPr>
        <w:jc w:val="both"/>
        <w:rPr>
          <w:rFonts w:eastAsia="Times New Roman"/>
          <w:sz w:val="24"/>
          <w:szCs w:val="24"/>
        </w:rPr>
      </w:pPr>
      <w:r w:rsidRPr="00E42A12">
        <w:rPr>
          <w:rFonts w:eastAsia="Times New Roman"/>
          <w:sz w:val="24"/>
          <w:szCs w:val="24"/>
        </w:rPr>
        <w:t xml:space="preserve">The external marketing environment includes activities of forces </w:t>
      </w:r>
      <w:r w:rsidR="00E42A12">
        <w:rPr>
          <w:rFonts w:eastAsia="Times New Roman"/>
          <w:sz w:val="24"/>
          <w:szCs w:val="24"/>
        </w:rPr>
        <w:t>beyond management's control that shape demand, costs, strategic position,</w:t>
      </w:r>
      <w:r w:rsidRPr="00E42A12">
        <w:rPr>
          <w:rFonts w:eastAsia="Times New Roman"/>
          <w:sz w:val="24"/>
          <w:szCs w:val="24"/>
        </w:rPr>
        <w:t xml:space="preserve"> and relationships with stakeholders (Kotler et al., 2024). The natural marketing environment is of primary concern in this instance, as the main components that make up aluminium are</w:t>
      </w:r>
      <w:r w:rsidR="00E42A12">
        <w:rPr>
          <w:rFonts w:eastAsia="Times New Roman"/>
          <w:sz w:val="24"/>
          <w:szCs w:val="24"/>
        </w:rPr>
        <w:t>:</w:t>
      </w:r>
      <w:r w:rsidRPr="00E42A12">
        <w:rPr>
          <w:rFonts w:eastAsia="Times New Roman"/>
          <w:sz w:val="24"/>
          <w:szCs w:val="24"/>
        </w:rPr>
        <w:t xml:space="preserve"> energy, water, land and the ecosystems that support them. An examination of the political and legal environment is also warranted as the government will take concerns for the welfare of the environment and translate them into carbon legislation, disclosure of emissions, licensing and regulatory frameworks regarding sustainability.</w:t>
      </w:r>
    </w:p>
    <w:p w14:paraId="3773FCBC" w14:textId="77777777" w:rsidR="00C23641" w:rsidRPr="00E42A12" w:rsidRDefault="00AD02E6">
      <w:pPr>
        <w:pStyle w:val="Heading3"/>
        <w:jc w:val="both"/>
        <w:rPr>
          <w:rFonts w:eastAsia="Times New Roman"/>
          <w:b/>
          <w:bCs/>
          <w:color w:val="000000"/>
          <w:sz w:val="24"/>
          <w:szCs w:val="24"/>
        </w:rPr>
      </w:pPr>
      <w:bookmarkStart w:id="3" w:name="_tichqg19d9aw" w:colFirst="0" w:colLast="0"/>
      <w:bookmarkEnd w:id="3"/>
      <w:r w:rsidRPr="00E42A12">
        <w:rPr>
          <w:rFonts w:eastAsia="Times New Roman"/>
          <w:b/>
          <w:bCs/>
          <w:color w:val="000000"/>
          <w:sz w:val="24"/>
          <w:szCs w:val="24"/>
        </w:rPr>
        <w:t>1.3 Natural Environment</w:t>
      </w:r>
    </w:p>
    <w:p w14:paraId="77B381F3" w14:textId="77777777" w:rsidR="00C23641" w:rsidRPr="00E42A12" w:rsidRDefault="00AD02E6">
      <w:pPr>
        <w:jc w:val="both"/>
        <w:rPr>
          <w:rFonts w:eastAsia="Times New Roman"/>
          <w:sz w:val="24"/>
          <w:szCs w:val="24"/>
        </w:rPr>
      </w:pPr>
      <w:r w:rsidRPr="00E42A12">
        <w:rPr>
          <w:rFonts w:eastAsia="Times New Roman"/>
          <w:sz w:val="24"/>
          <w:szCs w:val="24"/>
        </w:rPr>
        <w:t>In 2025, Rio Tinto’s gross Scope 1 and 2 emissions were reported to be 31.5 MtCO</w:t>
      </w:r>
      <w:r w:rsidRPr="00E42A12">
        <w:rPr>
          <w:rFonts w:ascii="Cambria Math" w:eastAsia="Times New Roman" w:hAnsi="Cambria Math" w:cs="Cambria Math"/>
          <w:sz w:val="24"/>
          <w:szCs w:val="24"/>
        </w:rPr>
        <w:t>₂</w:t>
      </w:r>
      <w:r w:rsidRPr="00E42A12">
        <w:rPr>
          <w:rFonts w:eastAsia="Times New Roman"/>
          <w:sz w:val="24"/>
          <w:szCs w:val="24"/>
        </w:rPr>
        <w:t>e</w:t>
      </w:r>
      <w:r w:rsidRPr="00E42A12">
        <w:rPr>
          <w:rFonts w:eastAsia="Times New Roman"/>
          <w:sz w:val="24"/>
          <w:szCs w:val="24"/>
        </w:rPr>
        <w:t>, a 14% decrease from 2018, while 2030 goals were set to achieve a 50% reduction and net zero by 2050 (Rio Tinto, 2026c). However, Scope 3 emissions were reported to be 575.7 MtCO</w:t>
      </w:r>
      <w:r w:rsidRPr="00E42A12">
        <w:rPr>
          <w:rFonts w:ascii="Cambria Math" w:eastAsia="Times New Roman" w:hAnsi="Cambria Math" w:cs="Cambria Math"/>
          <w:sz w:val="24"/>
          <w:szCs w:val="24"/>
        </w:rPr>
        <w:t>₂</w:t>
      </w:r>
      <w:r w:rsidRPr="00E42A12">
        <w:rPr>
          <w:rFonts w:eastAsia="Times New Roman"/>
          <w:sz w:val="24"/>
          <w:szCs w:val="24"/>
        </w:rPr>
        <w:t>e, with the bulk of emissions originating from customers of Rio Tinto’s aluminium</w:t>
      </w:r>
      <w:r w:rsidRPr="00E42A12">
        <w:rPr>
          <w:rFonts w:eastAsia="Times New Roman"/>
          <w:sz w:val="24"/>
          <w:szCs w:val="24"/>
        </w:rPr>
        <w:t>. Marketing efforts should inform and clarify the boundaries of any claims that are made, be it for smelting, operations or for the full lifecycle of emissions, as this would provide customers with Scope 3 data, bolstering trust, unlike unsupported claims.</w:t>
      </w:r>
    </w:p>
    <w:p w14:paraId="3C8D3652" w14:textId="77777777" w:rsidR="00C23641" w:rsidRPr="00E42A12" w:rsidRDefault="00C23641">
      <w:pPr>
        <w:jc w:val="both"/>
        <w:rPr>
          <w:rFonts w:eastAsia="Times New Roman"/>
          <w:sz w:val="24"/>
          <w:szCs w:val="24"/>
        </w:rPr>
      </w:pPr>
    </w:p>
    <w:p w14:paraId="1069C920" w14:textId="77777777" w:rsidR="00C23641" w:rsidRPr="00E42A12" w:rsidRDefault="00AD02E6">
      <w:pPr>
        <w:jc w:val="both"/>
        <w:rPr>
          <w:rFonts w:eastAsia="Times New Roman"/>
          <w:sz w:val="24"/>
          <w:szCs w:val="24"/>
        </w:rPr>
      </w:pPr>
      <w:r w:rsidRPr="00E42A12">
        <w:rPr>
          <w:rFonts w:eastAsia="Times New Roman"/>
          <w:sz w:val="24"/>
          <w:szCs w:val="24"/>
        </w:rPr>
        <w:t>Primary aluminium</w:t>
      </w:r>
      <w:r w:rsidRPr="00E42A12">
        <w:rPr>
          <w:rFonts w:eastAsia="Times New Roman"/>
          <w:sz w:val="24"/>
          <w:szCs w:val="24"/>
        </w:rPr>
        <w:t xml:space="preserve"> requires a continuous power source, which makes electricity central to its carbon intensity. Rio Tinto stated that by 2025 it would have reached 77% renewable electricity, but more generation and storage will be needed (Rio Tinto, 2026c). Water is also an issue. By 2030, it is expected that 17 of Rio Tinto's sites will be in catchments that will be under more water stress (Rio Tinto, 2026k). </w:t>
      </w:r>
    </w:p>
    <w:p w14:paraId="4555823A" w14:textId="77777777" w:rsidR="00C23641" w:rsidRPr="00E42A12" w:rsidRDefault="00C23641">
      <w:pPr>
        <w:jc w:val="both"/>
        <w:rPr>
          <w:rFonts w:eastAsia="Times New Roman"/>
          <w:sz w:val="24"/>
          <w:szCs w:val="24"/>
        </w:rPr>
      </w:pPr>
    </w:p>
    <w:p w14:paraId="7C71CE59" w14:textId="77777777" w:rsidR="00C23641" w:rsidRPr="00E42A12" w:rsidRDefault="00AD02E6">
      <w:pPr>
        <w:jc w:val="both"/>
        <w:rPr>
          <w:rFonts w:eastAsia="Times New Roman"/>
          <w:sz w:val="24"/>
          <w:szCs w:val="24"/>
        </w:rPr>
      </w:pPr>
      <w:r w:rsidRPr="00E42A12">
        <w:rPr>
          <w:rFonts w:eastAsia="Times New Roman"/>
          <w:sz w:val="24"/>
          <w:szCs w:val="24"/>
        </w:rPr>
        <w:t>Mining may destroy vegetation, fragment habitat, and change natural drainage. Rio Tinto is working on biodiversity baselines and nature-positive pilots (Rio Tinto, 2026k). Rehabilitation processes may not restore the original ecosystems and may take a long time with uncertain results, so, in line with the Hierarchy of Impacts, these should be the last resorts (Sánchez and Morrison-Saunders, 2025).</w:t>
      </w:r>
    </w:p>
    <w:p w14:paraId="35062006" w14:textId="77777777" w:rsidR="00C23641" w:rsidRPr="00E42A12" w:rsidRDefault="00C23641">
      <w:pPr>
        <w:jc w:val="both"/>
        <w:rPr>
          <w:rFonts w:eastAsia="Times New Roman"/>
          <w:sz w:val="24"/>
          <w:szCs w:val="24"/>
        </w:rPr>
      </w:pPr>
    </w:p>
    <w:p w14:paraId="47074B0A" w14:textId="77777777" w:rsidR="00C23641" w:rsidRPr="00E42A12" w:rsidRDefault="00AD02E6">
      <w:pPr>
        <w:jc w:val="both"/>
        <w:rPr>
          <w:rFonts w:eastAsia="Times New Roman"/>
          <w:sz w:val="24"/>
          <w:szCs w:val="24"/>
        </w:rPr>
      </w:pPr>
      <w:r w:rsidRPr="00E42A12">
        <w:rPr>
          <w:rFonts w:eastAsia="Times New Roman"/>
          <w:sz w:val="24"/>
          <w:szCs w:val="24"/>
        </w:rPr>
        <w:t>Rio Tinto is focused on lowering embedded emissions in its value chain, which allows it to provide aluminium</w:t>
      </w:r>
      <w:r w:rsidRPr="00E42A12">
        <w:rPr>
          <w:rFonts w:eastAsia="Times New Roman"/>
          <w:sz w:val="24"/>
          <w:szCs w:val="24"/>
        </w:rPr>
        <w:t xml:space="preserve"> to customers in the automotive, construction, packaging and technology sectors. Reportedly, its managed Atlantic smelters operate with less than one-fifth of the emissions intensity of the average aluminium</w:t>
      </w:r>
      <w:r w:rsidRPr="00E42A12">
        <w:rPr>
          <w:rFonts w:eastAsia="Times New Roman"/>
          <w:sz w:val="24"/>
          <w:szCs w:val="24"/>
        </w:rPr>
        <w:t xml:space="preserve"> production, and they are supported by Canadian hydropower (Rio Tinto, 2026a). ELYSIS has also patented the use of an inert-anode cell that eliminates carbon emissions for direct smelting (Rio Tinto, 2025a). The technology is not widely used, but could help strengthen the company's market position with certification, traceability and alliances.</w:t>
      </w:r>
    </w:p>
    <w:p w14:paraId="7DD695B2" w14:textId="77777777" w:rsidR="00C23641" w:rsidRPr="00E42A12" w:rsidRDefault="00C23641">
      <w:pPr>
        <w:jc w:val="both"/>
        <w:rPr>
          <w:rFonts w:eastAsia="Times New Roman"/>
          <w:sz w:val="24"/>
          <w:szCs w:val="24"/>
        </w:rPr>
      </w:pPr>
    </w:p>
    <w:p w14:paraId="2C39D06A" w14:textId="61CD59F3" w:rsidR="00C23641" w:rsidRPr="00E42A12" w:rsidRDefault="00AD02E6">
      <w:pPr>
        <w:jc w:val="both"/>
        <w:rPr>
          <w:rFonts w:eastAsia="Times New Roman"/>
          <w:sz w:val="24"/>
          <w:szCs w:val="24"/>
        </w:rPr>
      </w:pPr>
      <w:r w:rsidRPr="00E42A12">
        <w:rPr>
          <w:rFonts w:eastAsia="Times New Roman"/>
          <w:sz w:val="24"/>
          <w:szCs w:val="24"/>
        </w:rPr>
        <w:t xml:space="preserve">Rio Tinto can expect higher costs and delays because of extreme weather, resource competition, and rehabilitation that does not meet the expectations of the public (Rio Tinto, 2026c). Greenwashing is also a potential problem. Marketing lower-carbon </w:t>
      </w:r>
      <w:r w:rsidR="00E42A12">
        <w:rPr>
          <w:rFonts w:eastAsia="Times New Roman"/>
          <w:sz w:val="24"/>
          <w:szCs w:val="24"/>
        </w:rPr>
        <w:t>aluminium</w:t>
      </w:r>
      <w:r w:rsidRPr="00E42A12">
        <w:rPr>
          <w:rFonts w:eastAsia="Times New Roman"/>
          <w:sz w:val="24"/>
          <w:szCs w:val="24"/>
        </w:rPr>
        <w:t xml:space="preserve"> with no mining, water, biodiversity, and Scope 3 disclosures may erode stakeholder trust.</w:t>
      </w:r>
    </w:p>
    <w:p w14:paraId="40FD4B00" w14:textId="77777777" w:rsidR="00C23641" w:rsidRPr="00E42A12" w:rsidRDefault="00AD02E6">
      <w:pPr>
        <w:pStyle w:val="Heading3"/>
        <w:jc w:val="both"/>
        <w:rPr>
          <w:rFonts w:eastAsia="Times New Roman"/>
          <w:b/>
          <w:bCs/>
          <w:color w:val="000000"/>
          <w:sz w:val="24"/>
          <w:szCs w:val="24"/>
        </w:rPr>
      </w:pPr>
      <w:bookmarkStart w:id="4" w:name="_93gn4byev06k" w:colFirst="0" w:colLast="0"/>
      <w:bookmarkEnd w:id="4"/>
      <w:r w:rsidRPr="00E42A12">
        <w:rPr>
          <w:rFonts w:eastAsia="Times New Roman"/>
          <w:b/>
          <w:bCs/>
          <w:color w:val="000000"/>
          <w:sz w:val="24"/>
          <w:szCs w:val="24"/>
        </w:rPr>
        <w:t>1.4 Political and Legal Environment</w:t>
      </w:r>
    </w:p>
    <w:p w14:paraId="50330655" w14:textId="77777777" w:rsidR="00C23641" w:rsidRPr="00E42A12" w:rsidRDefault="00C23641">
      <w:pPr>
        <w:jc w:val="both"/>
        <w:rPr>
          <w:rFonts w:eastAsia="Times New Roman"/>
          <w:sz w:val="24"/>
          <w:szCs w:val="24"/>
        </w:rPr>
      </w:pPr>
    </w:p>
    <w:p w14:paraId="5086C1B8" w14:textId="77777777" w:rsidR="00C23641" w:rsidRPr="00E42A12" w:rsidRDefault="00AD02E6">
      <w:pPr>
        <w:jc w:val="both"/>
        <w:rPr>
          <w:rFonts w:eastAsia="Times New Roman"/>
          <w:sz w:val="24"/>
          <w:szCs w:val="24"/>
        </w:rPr>
      </w:pPr>
      <w:r w:rsidRPr="00E42A12">
        <w:rPr>
          <w:rFonts w:eastAsia="Times New Roman"/>
          <w:sz w:val="24"/>
          <w:szCs w:val="24"/>
        </w:rPr>
        <w:t>Carbon policies increasingly turn environmental issues into cost issues. Australia’s Safeguard Mechanism employs declining baselines requiring large facilities to pay for reductions, provide credits, or eligible carbon units (Department of Climate Change, Energy, the Environment and Water, 2026). Rio Tinto retired approximately 1.01 million units for obligations in 2024 (Rio Tinto, 2026k). The EU Carbon Border Adjustment Mechanism covers aluminum and provides a preference to lowered embedded emissions (Euro</w:t>
      </w:r>
      <w:r w:rsidRPr="00E42A12">
        <w:rPr>
          <w:rFonts w:eastAsia="Times New Roman"/>
          <w:sz w:val="24"/>
          <w:szCs w:val="24"/>
        </w:rPr>
        <w:t xml:space="preserve">pean Commission, 2026a). </w:t>
      </w:r>
    </w:p>
    <w:p w14:paraId="5CC29DB0" w14:textId="77777777" w:rsidR="00C23641" w:rsidRPr="00E42A12" w:rsidRDefault="00C23641">
      <w:pPr>
        <w:jc w:val="both"/>
        <w:rPr>
          <w:rFonts w:eastAsia="Times New Roman"/>
          <w:sz w:val="24"/>
          <w:szCs w:val="24"/>
        </w:rPr>
      </w:pPr>
    </w:p>
    <w:p w14:paraId="31284DB8" w14:textId="77777777" w:rsidR="00C23641" w:rsidRPr="00E42A12" w:rsidRDefault="00AD02E6">
      <w:pPr>
        <w:jc w:val="both"/>
        <w:rPr>
          <w:rFonts w:eastAsia="Times New Roman"/>
          <w:sz w:val="24"/>
          <w:szCs w:val="24"/>
        </w:rPr>
      </w:pPr>
      <w:r w:rsidRPr="00E42A12">
        <w:rPr>
          <w:rFonts w:eastAsia="Times New Roman"/>
          <w:sz w:val="24"/>
          <w:szCs w:val="24"/>
        </w:rPr>
        <w:t>New reporting requirements are creating a framework for companies to have consistent and verifiable methods to report emissions. The EU Corporate Sustainability Reporting Directive provides a framework for companies to report consistent data (European Commission, 2026b). Rio Tinto must report how they arrived at their claims and assure them, and avoid vague claims such as “green” or “zero-carbon.”</w:t>
      </w:r>
    </w:p>
    <w:p w14:paraId="723A4B15" w14:textId="77777777" w:rsidR="00C23641" w:rsidRPr="00E42A12" w:rsidRDefault="00C23641">
      <w:pPr>
        <w:jc w:val="both"/>
        <w:rPr>
          <w:rFonts w:eastAsia="Times New Roman"/>
          <w:sz w:val="24"/>
          <w:szCs w:val="24"/>
        </w:rPr>
      </w:pPr>
    </w:p>
    <w:p w14:paraId="415F4A28" w14:textId="77777777" w:rsidR="00C23641" w:rsidRPr="00E42A12" w:rsidRDefault="00AD02E6">
      <w:pPr>
        <w:jc w:val="both"/>
        <w:rPr>
          <w:rFonts w:eastAsia="Times New Roman"/>
          <w:sz w:val="24"/>
          <w:szCs w:val="24"/>
        </w:rPr>
      </w:pPr>
      <w:r w:rsidRPr="00E42A12">
        <w:rPr>
          <w:rFonts w:eastAsia="Times New Roman"/>
          <w:sz w:val="24"/>
          <w:szCs w:val="24"/>
        </w:rPr>
        <w:t>Social license is needed in addition to legal approvals. Canada's UN Declaration legislation strengthens the obligation of decision makers to consult in areas that may impact the rights of Indigenous peoples (Department of Justice Canada, 2026). Rio Tinto aims to obtain free, prior, and informed consent when possible. They also support cultural-heritage co-management (Rio TInto</w:t>
      </w:r>
      <w:r w:rsidRPr="00E42A12">
        <w:rPr>
          <w:rFonts w:eastAsia="Times New Roman"/>
          <w:sz w:val="24"/>
          <w:szCs w:val="24"/>
        </w:rPr>
        <w:t xml:space="preserve">, 2026d). Engagement that impacts decision-making is necessary, because insufficient engagement will lead to litigation, project delays, opposition, and reputational impacts. </w:t>
      </w:r>
    </w:p>
    <w:p w14:paraId="7FACBF2A" w14:textId="77777777" w:rsidR="00C23641" w:rsidRPr="00E42A12" w:rsidRDefault="00C23641">
      <w:pPr>
        <w:jc w:val="both"/>
        <w:rPr>
          <w:rFonts w:eastAsia="Times New Roman"/>
          <w:sz w:val="24"/>
          <w:szCs w:val="24"/>
        </w:rPr>
      </w:pPr>
    </w:p>
    <w:p w14:paraId="212E97E9" w14:textId="77777777" w:rsidR="00C23641" w:rsidRPr="00E42A12" w:rsidRDefault="00AD02E6">
      <w:pPr>
        <w:jc w:val="both"/>
        <w:rPr>
          <w:rFonts w:eastAsia="Times New Roman"/>
          <w:sz w:val="24"/>
          <w:szCs w:val="24"/>
        </w:rPr>
      </w:pPr>
      <w:r w:rsidRPr="00E42A12">
        <w:rPr>
          <w:rFonts w:eastAsia="Times New Roman"/>
          <w:sz w:val="24"/>
          <w:szCs w:val="24"/>
        </w:rPr>
        <w:t>Rio Tinto could rely on Indigenous partnerships and other inputs to renewable energy, guaranteed data and lifecycle reporting to exceed minimal required standards. On the other hand, compliance costs will include new technologies, monitoring, carbon units, consultations and approvals. Rio Tinto may be large enough to absorb these costs, but competitive advantage will only exist where compliance actually has a demonstrable lower impact and provides customer benefits that are verifiable beyond promotional opp</w:t>
      </w:r>
      <w:r w:rsidRPr="00E42A12">
        <w:rPr>
          <w:rFonts w:eastAsia="Times New Roman"/>
          <w:sz w:val="24"/>
          <w:szCs w:val="24"/>
        </w:rPr>
        <w:t>ortunities and marketing.</w:t>
      </w:r>
    </w:p>
    <w:p w14:paraId="13867D9E" w14:textId="77777777" w:rsidR="00C23641" w:rsidRPr="00E42A12" w:rsidRDefault="00C23641">
      <w:pPr>
        <w:jc w:val="both"/>
        <w:rPr>
          <w:rFonts w:eastAsia="Times New Roman"/>
          <w:sz w:val="24"/>
          <w:szCs w:val="24"/>
        </w:rPr>
      </w:pPr>
    </w:p>
    <w:p w14:paraId="298DE42D" w14:textId="77777777" w:rsidR="00C23641" w:rsidRPr="00E42A12" w:rsidRDefault="00AD02E6">
      <w:pPr>
        <w:jc w:val="both"/>
        <w:rPr>
          <w:rFonts w:eastAsia="Times New Roman"/>
          <w:sz w:val="24"/>
          <w:szCs w:val="24"/>
        </w:rPr>
      </w:pPr>
      <w:r w:rsidRPr="00E42A12">
        <w:rPr>
          <w:rFonts w:eastAsia="Times New Roman"/>
          <w:sz w:val="24"/>
          <w:szCs w:val="24"/>
        </w:rPr>
        <w:t>There are Natural Pressures that cause operational and reputational risks. These ultimately become carbon costs and disclosure obligations, and approvals and consultations. The biggest opportunity is supplying customers with verified, renewable powered and traceable aluminium. The biggest threats are disruption caused by climate change, the costs of investment, regulation, and the delays due to the pervasive greenwashing that is taking place.</w:t>
      </w:r>
    </w:p>
    <w:p w14:paraId="43775AA7" w14:textId="77777777" w:rsidR="00C23641" w:rsidRPr="00E42A12" w:rsidRDefault="00AD02E6">
      <w:pPr>
        <w:jc w:val="center"/>
        <w:rPr>
          <w:rFonts w:eastAsia="Times New Roman"/>
          <w:sz w:val="24"/>
          <w:szCs w:val="24"/>
        </w:rPr>
      </w:pPr>
      <w:r w:rsidRPr="00E42A12">
        <w:rPr>
          <w:rFonts w:eastAsia="Times New Roman"/>
          <w:noProof/>
          <w:sz w:val="24"/>
          <w:szCs w:val="24"/>
        </w:rPr>
        <w:drawing>
          <wp:inline distT="114300" distB="114300" distL="114300" distR="114300" wp14:anchorId="1A678AF7" wp14:editId="114AE0DA">
            <wp:extent cx="5976288" cy="32385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76288" cy="3238500"/>
                    </a:xfrm>
                    <a:prstGeom prst="rect">
                      <a:avLst/>
                    </a:prstGeom>
                    <a:ln/>
                  </pic:spPr>
                </pic:pic>
              </a:graphicData>
            </a:graphic>
          </wp:inline>
        </w:drawing>
      </w:r>
    </w:p>
    <w:p w14:paraId="54DD9D5F" w14:textId="77777777" w:rsidR="00C23641" w:rsidRPr="00E42A12" w:rsidRDefault="00AD02E6">
      <w:pPr>
        <w:jc w:val="center"/>
        <w:rPr>
          <w:rFonts w:eastAsia="Times New Roman"/>
          <w:b/>
          <w:bCs/>
          <w:sz w:val="24"/>
          <w:szCs w:val="24"/>
        </w:rPr>
      </w:pPr>
      <w:r w:rsidRPr="00E42A12">
        <w:rPr>
          <w:rFonts w:eastAsia="Times New Roman"/>
          <w:b/>
          <w:bCs/>
          <w:sz w:val="24"/>
          <w:szCs w:val="24"/>
        </w:rPr>
        <w:t>Table 1: Political and legal influences on Rio Tinto’s lower-carbon aluminium strategy</w:t>
      </w:r>
    </w:p>
    <w:p w14:paraId="54EB2425" w14:textId="7AE96F55" w:rsidR="00C23641" w:rsidRPr="00E42A12" w:rsidRDefault="00AD02E6">
      <w:pPr>
        <w:jc w:val="center"/>
        <w:rPr>
          <w:rFonts w:eastAsia="Times New Roman"/>
          <w:sz w:val="24"/>
          <w:szCs w:val="24"/>
        </w:rPr>
      </w:pPr>
      <w:r w:rsidRPr="00E42A12">
        <w:rPr>
          <w:rFonts w:eastAsia="Times New Roman"/>
          <w:sz w:val="24"/>
          <w:szCs w:val="24"/>
        </w:rPr>
        <w:t xml:space="preserve">Source: </w:t>
      </w:r>
      <w:r w:rsidR="00897261">
        <w:rPr>
          <w:rFonts w:eastAsia="Times New Roman"/>
          <w:sz w:val="24"/>
          <w:szCs w:val="24"/>
        </w:rPr>
        <w:t>Self-made</w:t>
      </w:r>
      <w:r w:rsidRPr="00E42A12">
        <w:rPr>
          <w:rFonts w:eastAsia="Times New Roman"/>
          <w:sz w:val="24"/>
          <w:szCs w:val="24"/>
        </w:rPr>
        <w:t>.</w:t>
      </w:r>
    </w:p>
    <w:p w14:paraId="5BD68917" w14:textId="77777777" w:rsidR="00C23641" w:rsidRPr="00E42A12" w:rsidRDefault="00AD02E6">
      <w:pPr>
        <w:pStyle w:val="Heading2"/>
        <w:jc w:val="both"/>
        <w:rPr>
          <w:rFonts w:eastAsia="Times New Roman"/>
          <w:b/>
          <w:bCs/>
          <w:sz w:val="24"/>
          <w:szCs w:val="24"/>
        </w:rPr>
      </w:pPr>
      <w:bookmarkStart w:id="5" w:name="_w8kczbud5avg" w:colFirst="0" w:colLast="0"/>
      <w:bookmarkEnd w:id="5"/>
      <w:r w:rsidRPr="00E42A12">
        <w:rPr>
          <w:rFonts w:eastAsia="Times New Roman"/>
          <w:b/>
          <w:bCs/>
          <w:sz w:val="24"/>
          <w:szCs w:val="24"/>
        </w:rPr>
        <w:t>2. Task 2: Strategic Growth and Competitive Positioning</w:t>
      </w:r>
    </w:p>
    <w:p w14:paraId="5056158A" w14:textId="77777777" w:rsidR="00C23641" w:rsidRPr="00E42A12" w:rsidRDefault="00AD02E6">
      <w:pPr>
        <w:pStyle w:val="Heading3"/>
        <w:jc w:val="both"/>
        <w:rPr>
          <w:rFonts w:eastAsia="Times New Roman"/>
          <w:b/>
          <w:bCs/>
          <w:color w:val="000000"/>
          <w:sz w:val="24"/>
          <w:szCs w:val="24"/>
        </w:rPr>
      </w:pPr>
      <w:bookmarkStart w:id="6" w:name="_kca0tw8qboo3" w:colFirst="0" w:colLast="0"/>
      <w:bookmarkEnd w:id="6"/>
      <w:r w:rsidRPr="00E42A12">
        <w:rPr>
          <w:rFonts w:eastAsia="Times New Roman"/>
          <w:b/>
          <w:bCs/>
          <w:color w:val="000000"/>
          <w:sz w:val="24"/>
          <w:szCs w:val="24"/>
        </w:rPr>
        <w:t>2.1 Link between Environmental Analysis and Strategic Growth</w:t>
      </w:r>
    </w:p>
    <w:p w14:paraId="11853557" w14:textId="77777777" w:rsidR="00C23641" w:rsidRPr="00E42A12" w:rsidRDefault="00AD02E6">
      <w:pPr>
        <w:jc w:val="both"/>
        <w:rPr>
          <w:rFonts w:eastAsia="Times New Roman"/>
          <w:sz w:val="24"/>
          <w:szCs w:val="24"/>
        </w:rPr>
      </w:pPr>
      <w:r w:rsidRPr="00E42A12">
        <w:rPr>
          <w:rFonts w:eastAsia="Times New Roman"/>
          <w:sz w:val="24"/>
          <w:szCs w:val="24"/>
        </w:rPr>
        <w:t xml:space="preserve">Task 1 shows that emissions, resource consumption, and regulation, along with thorough stakeholder scrutiny, will create both costs and market opportunities. Rio Tinto will need </w:t>
      </w:r>
      <w:r w:rsidRPr="00E42A12">
        <w:rPr>
          <w:rFonts w:eastAsia="Times New Roman"/>
          <w:sz w:val="24"/>
          <w:szCs w:val="24"/>
        </w:rPr>
        <w:t>to harness new technologies to provide cleaner solutions, traceability, and guaranteed information to its customers. While its operations are large enough to provide the solutions at a global scale, claims will only be differentiated if they truly assess the life cycle impacts and show real improvements.</w:t>
      </w:r>
    </w:p>
    <w:p w14:paraId="3E5BF4CA" w14:textId="77777777" w:rsidR="00C23641" w:rsidRPr="00E42A12" w:rsidRDefault="00AD02E6">
      <w:pPr>
        <w:pStyle w:val="Heading3"/>
        <w:jc w:val="both"/>
        <w:rPr>
          <w:rFonts w:eastAsia="Times New Roman"/>
          <w:b/>
          <w:bCs/>
          <w:color w:val="000000"/>
          <w:sz w:val="24"/>
          <w:szCs w:val="24"/>
        </w:rPr>
      </w:pPr>
      <w:bookmarkStart w:id="7" w:name="_pemr7dt65id2" w:colFirst="0" w:colLast="0"/>
      <w:bookmarkEnd w:id="7"/>
      <w:r w:rsidRPr="00E42A12">
        <w:rPr>
          <w:rFonts w:eastAsia="Times New Roman"/>
          <w:b/>
          <w:bCs/>
          <w:color w:val="000000"/>
          <w:sz w:val="24"/>
          <w:szCs w:val="24"/>
        </w:rPr>
        <w:t>2.2 Application of the Ansoff Matrix to Rio Tinto</w:t>
      </w:r>
    </w:p>
    <w:p w14:paraId="68CACD56" w14:textId="77777777" w:rsidR="00C23641" w:rsidRPr="00E42A12" w:rsidRDefault="00AD02E6">
      <w:pPr>
        <w:jc w:val="both"/>
        <w:rPr>
          <w:rFonts w:eastAsia="Times New Roman"/>
          <w:sz w:val="24"/>
          <w:szCs w:val="24"/>
        </w:rPr>
      </w:pPr>
      <w:r w:rsidRPr="00E42A12">
        <w:rPr>
          <w:rFonts w:eastAsia="Times New Roman"/>
          <w:sz w:val="24"/>
          <w:szCs w:val="24"/>
        </w:rPr>
        <w:t>The Ansoff Matrix presents risk in terms of growth from new products and markets, and the growth from existing products and markets through the capabilities of the firm.</w:t>
      </w:r>
    </w:p>
    <w:p w14:paraId="473441EB" w14:textId="77777777" w:rsidR="00C23641" w:rsidRPr="00E42A12" w:rsidRDefault="00C23641">
      <w:pPr>
        <w:jc w:val="both"/>
        <w:rPr>
          <w:rFonts w:eastAsia="Times New Roman"/>
          <w:sz w:val="24"/>
          <w:szCs w:val="24"/>
        </w:rPr>
      </w:pPr>
    </w:p>
    <w:p w14:paraId="3AD1C0DE" w14:textId="77777777" w:rsidR="00C23641" w:rsidRPr="00E42A12" w:rsidRDefault="00AD02E6">
      <w:pPr>
        <w:jc w:val="both"/>
        <w:rPr>
          <w:rFonts w:eastAsia="Times New Roman"/>
          <w:sz w:val="24"/>
          <w:szCs w:val="24"/>
        </w:rPr>
      </w:pPr>
      <w:r w:rsidRPr="00E42A12">
        <w:rPr>
          <w:rFonts w:eastAsia="Times New Roman"/>
          <w:sz w:val="24"/>
          <w:szCs w:val="24"/>
        </w:rPr>
        <w:t>Rio Tinto could increase sales of RenewAl and other products to existing customers via longer contracts and closed-loop recycling, etc. However, given that the aluminum market is more mature and competitors with lower-carbon solutions exist, market penetration would likely be a supporting growth strategy for Rio Tinto.</w:t>
      </w:r>
    </w:p>
    <w:p w14:paraId="1BE0DF17" w14:textId="77777777" w:rsidR="00C23641" w:rsidRPr="00E42A12" w:rsidRDefault="00C23641">
      <w:pPr>
        <w:jc w:val="both"/>
        <w:rPr>
          <w:rFonts w:eastAsia="Times New Roman"/>
          <w:sz w:val="24"/>
          <w:szCs w:val="24"/>
        </w:rPr>
      </w:pPr>
    </w:p>
    <w:p w14:paraId="1CDB320D" w14:textId="77777777" w:rsidR="00C23641" w:rsidRPr="00E42A12" w:rsidRDefault="00AD02E6">
      <w:pPr>
        <w:jc w:val="both"/>
        <w:rPr>
          <w:rFonts w:eastAsia="Times New Roman"/>
          <w:sz w:val="24"/>
          <w:szCs w:val="24"/>
        </w:rPr>
      </w:pPr>
      <w:r w:rsidRPr="00E42A12">
        <w:rPr>
          <w:rFonts w:eastAsia="Times New Roman"/>
          <w:sz w:val="24"/>
          <w:szCs w:val="24"/>
        </w:rPr>
        <w:t>Rio Tinto is considering lower-carbon aluminum production in India and increasing exposure to Brazil via CBA. These strategies would provide growth for the firm. However, new politics, regulations, and other forms of infrastructure would make these markets unfamiliar for Rio Tinto.</w:t>
      </w:r>
    </w:p>
    <w:p w14:paraId="201BD525" w14:textId="77777777" w:rsidR="00C23641" w:rsidRPr="00E42A12" w:rsidRDefault="00C23641">
      <w:pPr>
        <w:jc w:val="both"/>
        <w:rPr>
          <w:rFonts w:eastAsia="Times New Roman"/>
          <w:sz w:val="24"/>
          <w:szCs w:val="24"/>
        </w:rPr>
      </w:pPr>
    </w:p>
    <w:p w14:paraId="66CCBDA9" w14:textId="77777777" w:rsidR="00C23641" w:rsidRPr="00E42A12" w:rsidRDefault="00AD02E6">
      <w:pPr>
        <w:jc w:val="both"/>
        <w:rPr>
          <w:rFonts w:eastAsia="Times New Roman"/>
          <w:sz w:val="24"/>
          <w:szCs w:val="24"/>
        </w:rPr>
      </w:pPr>
      <w:r w:rsidRPr="00E42A12">
        <w:rPr>
          <w:rFonts w:eastAsia="Times New Roman"/>
          <w:sz w:val="24"/>
          <w:szCs w:val="24"/>
        </w:rPr>
        <w:t>Rio Tinto could offer products with improved traceability and higher levels of ELYSIS metal and AP60, and closed-loop systems, to existing customers. This strategy would have a much lower market risk and greater differentiation than what Rio Tinto would achieve via market penetration.</w:t>
      </w:r>
    </w:p>
    <w:p w14:paraId="5794F8B3" w14:textId="77777777" w:rsidR="00C23641" w:rsidRPr="00E42A12" w:rsidRDefault="00C23641">
      <w:pPr>
        <w:jc w:val="both"/>
        <w:rPr>
          <w:rFonts w:eastAsia="Times New Roman"/>
          <w:sz w:val="24"/>
          <w:szCs w:val="24"/>
        </w:rPr>
      </w:pPr>
    </w:p>
    <w:p w14:paraId="0915D1FC" w14:textId="0F799378" w:rsidR="00C23641" w:rsidRPr="00E42A12" w:rsidRDefault="00AD02E6">
      <w:pPr>
        <w:jc w:val="both"/>
        <w:rPr>
          <w:rFonts w:eastAsia="Times New Roman"/>
          <w:sz w:val="24"/>
          <w:szCs w:val="24"/>
        </w:rPr>
      </w:pPr>
      <w:r w:rsidRPr="00E42A12">
        <w:rPr>
          <w:rFonts w:eastAsia="Times New Roman"/>
          <w:sz w:val="24"/>
          <w:szCs w:val="24"/>
        </w:rPr>
        <w:t>Diversification may offer Rio Tinto the opportunity to produce finished parts, complete cable systems, offer services related to renewable energy, or the selling of carbon. However, there is Ansoff risk in those strategies related to the higher levels of capital and other resources that would likely be diverted to core mining, smelting, refining and recycling.</w:t>
      </w:r>
    </w:p>
    <w:p w14:paraId="252553B1" w14:textId="77777777" w:rsidR="00C23641" w:rsidRPr="00E42A12" w:rsidRDefault="00C23641">
      <w:pPr>
        <w:jc w:val="both"/>
        <w:rPr>
          <w:rFonts w:eastAsia="Times New Roman"/>
          <w:sz w:val="24"/>
          <w:szCs w:val="24"/>
        </w:rPr>
      </w:pPr>
    </w:p>
    <w:p w14:paraId="2408680C" w14:textId="77777777" w:rsidR="00C23641" w:rsidRPr="00E42A12" w:rsidRDefault="00C23641">
      <w:pPr>
        <w:jc w:val="both"/>
        <w:rPr>
          <w:rFonts w:eastAsia="Times New Roman"/>
          <w:sz w:val="24"/>
          <w:szCs w:val="24"/>
        </w:rPr>
      </w:pPr>
    </w:p>
    <w:p w14:paraId="718C576B" w14:textId="77777777" w:rsidR="00C23641" w:rsidRPr="00E42A12" w:rsidRDefault="00C23641">
      <w:pPr>
        <w:jc w:val="both"/>
        <w:rPr>
          <w:rFonts w:eastAsia="Times New Roman"/>
          <w:sz w:val="24"/>
          <w:szCs w:val="24"/>
        </w:rPr>
      </w:pPr>
    </w:p>
    <w:p w14:paraId="30029384" w14:textId="77777777" w:rsidR="00C23641" w:rsidRPr="00E42A12" w:rsidRDefault="00C23641">
      <w:pPr>
        <w:jc w:val="both"/>
        <w:rPr>
          <w:rFonts w:eastAsia="Times New Roman"/>
          <w:sz w:val="24"/>
          <w:szCs w:val="24"/>
        </w:rPr>
      </w:pPr>
    </w:p>
    <w:p w14:paraId="6DE1FB4D" w14:textId="77777777" w:rsidR="00C23641" w:rsidRPr="00E42A12" w:rsidRDefault="00AD02E6">
      <w:pPr>
        <w:jc w:val="center"/>
        <w:rPr>
          <w:rFonts w:eastAsia="Times New Roman"/>
          <w:sz w:val="24"/>
          <w:szCs w:val="24"/>
        </w:rPr>
      </w:pPr>
      <w:r w:rsidRPr="00E42A12">
        <w:rPr>
          <w:rFonts w:eastAsia="Times New Roman"/>
          <w:noProof/>
          <w:sz w:val="24"/>
          <w:szCs w:val="24"/>
        </w:rPr>
        <w:drawing>
          <wp:inline distT="114300" distB="114300" distL="114300" distR="114300" wp14:anchorId="00A0CABD" wp14:editId="338E6956">
            <wp:extent cx="5976288" cy="5003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76288" cy="5003800"/>
                    </a:xfrm>
                    <a:prstGeom prst="rect">
                      <a:avLst/>
                    </a:prstGeom>
                    <a:ln/>
                  </pic:spPr>
                </pic:pic>
              </a:graphicData>
            </a:graphic>
          </wp:inline>
        </w:drawing>
      </w:r>
    </w:p>
    <w:p w14:paraId="1172BCB3" w14:textId="77777777" w:rsidR="00C23641" w:rsidRPr="00E42A12" w:rsidRDefault="00AD02E6">
      <w:pPr>
        <w:jc w:val="center"/>
        <w:rPr>
          <w:rFonts w:eastAsia="Times New Roman"/>
          <w:b/>
          <w:bCs/>
          <w:sz w:val="24"/>
          <w:szCs w:val="24"/>
        </w:rPr>
      </w:pPr>
      <w:r w:rsidRPr="00E42A12">
        <w:rPr>
          <w:rFonts w:eastAsia="Times New Roman"/>
          <w:b/>
          <w:bCs/>
          <w:sz w:val="24"/>
          <w:szCs w:val="24"/>
        </w:rPr>
        <w:t>Table 2: Application of the Ansoff Matrix to Rio Tinto’s aluminium business</w:t>
      </w:r>
    </w:p>
    <w:p w14:paraId="79BDDF16" w14:textId="77777777" w:rsidR="00C23641" w:rsidRPr="00E42A12" w:rsidRDefault="00AD02E6">
      <w:pPr>
        <w:jc w:val="center"/>
        <w:rPr>
          <w:rFonts w:eastAsia="Times New Roman"/>
          <w:sz w:val="24"/>
          <w:szCs w:val="24"/>
        </w:rPr>
      </w:pPr>
      <w:r w:rsidRPr="00E42A12">
        <w:rPr>
          <w:rFonts w:eastAsia="Times New Roman"/>
          <w:sz w:val="24"/>
          <w:szCs w:val="24"/>
        </w:rPr>
        <w:t>Source: Self made.</w:t>
      </w:r>
    </w:p>
    <w:p w14:paraId="04245AD0" w14:textId="77777777" w:rsidR="00C23641" w:rsidRPr="00E42A12" w:rsidRDefault="00AD02E6">
      <w:pPr>
        <w:pStyle w:val="Heading3"/>
        <w:jc w:val="both"/>
        <w:rPr>
          <w:rFonts w:eastAsia="Times New Roman"/>
          <w:b/>
          <w:bCs/>
          <w:color w:val="000000"/>
          <w:sz w:val="24"/>
          <w:szCs w:val="24"/>
        </w:rPr>
      </w:pPr>
      <w:bookmarkStart w:id="8" w:name="_ggibi319cdjt" w:colFirst="0" w:colLast="0"/>
      <w:bookmarkEnd w:id="8"/>
      <w:r w:rsidRPr="00E42A12">
        <w:rPr>
          <w:rFonts w:eastAsia="Times New Roman"/>
          <w:b/>
          <w:bCs/>
          <w:color w:val="000000"/>
          <w:sz w:val="24"/>
          <w:szCs w:val="24"/>
        </w:rPr>
        <w:t>2.3 Recommended Strategy: Product Development</w:t>
      </w:r>
    </w:p>
    <w:p w14:paraId="01BC8EF2" w14:textId="77777777" w:rsidR="00C23641" w:rsidRPr="00E42A12" w:rsidRDefault="00C23641">
      <w:pPr>
        <w:jc w:val="both"/>
        <w:rPr>
          <w:rFonts w:eastAsia="Times New Roman"/>
          <w:sz w:val="24"/>
          <w:szCs w:val="24"/>
        </w:rPr>
      </w:pPr>
    </w:p>
    <w:p w14:paraId="39C481ED" w14:textId="77777777" w:rsidR="00C23641" w:rsidRPr="00E42A12" w:rsidRDefault="00AD02E6">
      <w:pPr>
        <w:jc w:val="both"/>
        <w:rPr>
          <w:rFonts w:eastAsia="Times New Roman"/>
          <w:sz w:val="24"/>
          <w:szCs w:val="24"/>
        </w:rPr>
      </w:pPr>
      <w:r w:rsidRPr="00E42A12">
        <w:rPr>
          <w:rFonts w:eastAsia="Times New Roman"/>
          <w:sz w:val="24"/>
          <w:szCs w:val="24"/>
        </w:rPr>
        <w:t>Rio Tinto should create a verified, integrated portfolio of RenewAl, renewable-powered primary metal, Matalco recycled aluminium</w:t>
      </w:r>
      <w:r w:rsidRPr="00E42A12">
        <w:rPr>
          <w:rFonts w:eastAsia="Times New Roman"/>
          <w:sz w:val="24"/>
          <w:szCs w:val="24"/>
        </w:rPr>
        <w:t>, ELYSIS, AP60, tailored alloys, closed-loop scrap returns, and START traceability. Relative to other options, Canadian hydropower results in fewer emissions, and the agreements in Queensland will add renewable capacity in the future (Rio Tinto, 2025c; 2026a). Mining, refining, the provision of electricity, transportation, and downstream processing all retain their own lifecycle impacts. Any claim must clearly articulate its boundary.</w:t>
      </w:r>
    </w:p>
    <w:p w14:paraId="42B93ACA" w14:textId="77777777" w:rsidR="00C23641" w:rsidRPr="00E42A12" w:rsidRDefault="00C23641">
      <w:pPr>
        <w:jc w:val="both"/>
        <w:rPr>
          <w:rFonts w:eastAsia="Times New Roman"/>
          <w:sz w:val="24"/>
          <w:szCs w:val="24"/>
        </w:rPr>
      </w:pPr>
    </w:p>
    <w:p w14:paraId="5711321F" w14:textId="77777777" w:rsidR="00C23641" w:rsidRPr="00E42A12" w:rsidRDefault="00AD02E6">
      <w:pPr>
        <w:jc w:val="both"/>
        <w:rPr>
          <w:rFonts w:eastAsia="Times New Roman"/>
          <w:sz w:val="24"/>
          <w:szCs w:val="24"/>
        </w:rPr>
      </w:pPr>
      <w:r w:rsidRPr="00E42A12">
        <w:rPr>
          <w:rFonts w:eastAsia="Times New Roman"/>
          <w:sz w:val="24"/>
          <w:szCs w:val="24"/>
        </w:rPr>
        <w:t>Main customers are automotive manufacturers and packaging and construction, cable, and data centre companies who require lower purchased-material emissions. Demand in these areas is reflected in the partnerships with BMW, beverage applications, and Prysmian (Rio Tinto, 2023b; 2024a; 2026g). Providing product-level carbon emissions data and certified recycled content will assist these customers in their Scope 3 emissions reporting and procurement and thus foster long-term supply relationships.</w:t>
      </w:r>
    </w:p>
    <w:p w14:paraId="49BCA7D4" w14:textId="77777777" w:rsidR="00C23641" w:rsidRPr="00E42A12" w:rsidRDefault="00C23641">
      <w:pPr>
        <w:jc w:val="both"/>
        <w:rPr>
          <w:rFonts w:eastAsia="Times New Roman"/>
          <w:sz w:val="24"/>
          <w:szCs w:val="24"/>
        </w:rPr>
      </w:pPr>
    </w:p>
    <w:p w14:paraId="657F3E50" w14:textId="77777777" w:rsidR="00C23641" w:rsidRPr="00E42A12" w:rsidRDefault="00AD02E6">
      <w:pPr>
        <w:jc w:val="both"/>
        <w:rPr>
          <w:rFonts w:eastAsia="Times New Roman"/>
          <w:sz w:val="24"/>
          <w:szCs w:val="24"/>
        </w:rPr>
      </w:pPr>
      <w:r w:rsidRPr="00E42A12">
        <w:rPr>
          <w:rFonts w:eastAsia="Times New Roman"/>
          <w:sz w:val="24"/>
          <w:szCs w:val="24"/>
        </w:rPr>
        <w:t>Product offerings leverage Rio Tinto’s natural advantages in bauxite, alumina, and aluminium</w:t>
      </w:r>
      <w:r w:rsidRPr="00E42A12">
        <w:rPr>
          <w:rFonts w:eastAsia="Times New Roman"/>
          <w:sz w:val="24"/>
          <w:szCs w:val="24"/>
        </w:rPr>
        <w:t xml:space="preserve"> alongside the recycling value chain, hydropower, AP60, and ELYSIS, and industrial relations (Rio Tinto, 2026a). This initiative addresses carbon exposure from pricing and Scope 3 emissions and addresses the new requirements for recycled content and reporting. While the new technologies are not universally commercial, much of Rio Tinto’s business will be using familiar technologies with a low risk of failure (Rio Tinto, 2025d). This approach will be more differentiating than business penetration strategies,</w:t>
      </w:r>
      <w:r w:rsidRPr="00E42A12">
        <w:rPr>
          <w:rFonts w:eastAsia="Times New Roman"/>
          <w:sz w:val="24"/>
          <w:szCs w:val="24"/>
        </w:rPr>
        <w:t xml:space="preserve"> and when combined with the demand in transport, infrastructure, and electrification, it will provide long lasting value (International </w:t>
      </w:r>
      <w:r w:rsidRPr="00E42A12">
        <w:rPr>
          <w:rFonts w:eastAsia="Times New Roman"/>
          <w:sz w:val="24"/>
          <w:szCs w:val="24"/>
        </w:rPr>
        <w:t>Aluminium Institute, 2024a).</w:t>
      </w:r>
    </w:p>
    <w:p w14:paraId="5D867C25" w14:textId="77777777" w:rsidR="00C23641" w:rsidRPr="00E42A12" w:rsidRDefault="00AD02E6">
      <w:pPr>
        <w:pStyle w:val="Heading3"/>
        <w:jc w:val="both"/>
        <w:rPr>
          <w:rFonts w:eastAsia="Times New Roman"/>
          <w:b/>
          <w:bCs/>
          <w:color w:val="000000"/>
          <w:sz w:val="24"/>
          <w:szCs w:val="24"/>
        </w:rPr>
      </w:pPr>
      <w:bookmarkStart w:id="9" w:name="_tnd9hicv0d6g" w:colFirst="0" w:colLast="0"/>
      <w:bookmarkEnd w:id="9"/>
      <w:r w:rsidRPr="00E42A12">
        <w:rPr>
          <w:rFonts w:eastAsia="Times New Roman"/>
          <w:b/>
          <w:bCs/>
          <w:color w:val="000000"/>
          <w:sz w:val="24"/>
          <w:szCs w:val="24"/>
        </w:rPr>
        <w:t>2.4 Achieving Competitive Advantage</w:t>
      </w:r>
    </w:p>
    <w:p w14:paraId="0B5585AA" w14:textId="77777777" w:rsidR="00C23641" w:rsidRPr="00E42A12" w:rsidRDefault="00C23641">
      <w:pPr>
        <w:jc w:val="both"/>
        <w:rPr>
          <w:rFonts w:eastAsia="Times New Roman"/>
          <w:sz w:val="24"/>
          <w:szCs w:val="24"/>
        </w:rPr>
      </w:pPr>
    </w:p>
    <w:p w14:paraId="6AF585A6" w14:textId="77777777" w:rsidR="00C23641" w:rsidRPr="00E42A12" w:rsidRDefault="00AD02E6">
      <w:pPr>
        <w:jc w:val="both"/>
        <w:rPr>
          <w:rFonts w:eastAsia="Times New Roman"/>
          <w:sz w:val="24"/>
          <w:szCs w:val="24"/>
        </w:rPr>
      </w:pPr>
      <w:r w:rsidRPr="00E42A12">
        <w:rPr>
          <w:rFonts w:eastAsia="Times New Roman"/>
          <w:sz w:val="24"/>
          <w:szCs w:val="24"/>
        </w:rPr>
        <w:t>Rio Tinto will be able to distinguish its offerings from its competitors by providing verifiably lower embedded emissions rather than generic sustainability claims. This position will be bolstered by the use of hydropower, RenewAl, and recycled aluminium</w:t>
      </w:r>
      <w:r w:rsidRPr="00E42A12">
        <w:rPr>
          <w:rFonts w:eastAsia="Times New Roman"/>
          <w:sz w:val="24"/>
          <w:szCs w:val="24"/>
        </w:rPr>
        <w:t xml:space="preserve"> for offerings (Rio Tinto, 2026a). Competitors may be able to provide low-emission production, and verifiably low carbon production will be the focus of a stronger offering coupled with ASI certification and the START traceability program. This will enable customers to validate the claims Rio Tinto has made around water management and product footprints (Aluminium Stewardship Initiative, 2024; Rio Tinto, 2026j).</w:t>
      </w:r>
    </w:p>
    <w:p w14:paraId="681528AA" w14:textId="77777777" w:rsidR="00C23641" w:rsidRPr="00E42A12" w:rsidRDefault="00C23641">
      <w:pPr>
        <w:jc w:val="both"/>
        <w:rPr>
          <w:rFonts w:eastAsia="Times New Roman"/>
          <w:sz w:val="24"/>
          <w:szCs w:val="24"/>
        </w:rPr>
      </w:pPr>
    </w:p>
    <w:p w14:paraId="0EC5E93D" w14:textId="53786398" w:rsidR="00C23641" w:rsidRPr="00E42A12" w:rsidRDefault="00AD02E6">
      <w:pPr>
        <w:jc w:val="both"/>
        <w:rPr>
          <w:rFonts w:eastAsia="Times New Roman"/>
          <w:sz w:val="24"/>
          <w:szCs w:val="24"/>
        </w:rPr>
      </w:pPr>
      <w:r w:rsidRPr="00E42A12">
        <w:rPr>
          <w:rFonts w:eastAsia="Times New Roman"/>
          <w:sz w:val="24"/>
          <w:szCs w:val="24"/>
        </w:rPr>
        <w:t xml:space="preserve">Consistent performance improves reputation, leading to longer contracts. Collaborations with BMW and Prysmian show development integration with the automotive and </w:t>
      </w:r>
      <w:r w:rsidR="00897261">
        <w:rPr>
          <w:rFonts w:eastAsia="Times New Roman"/>
          <w:sz w:val="24"/>
          <w:szCs w:val="24"/>
        </w:rPr>
        <w:t>data-centre</w:t>
      </w:r>
      <w:r w:rsidRPr="00E42A12">
        <w:rPr>
          <w:rFonts w:eastAsia="Times New Roman"/>
          <w:sz w:val="24"/>
          <w:szCs w:val="24"/>
        </w:rPr>
        <w:t xml:space="preserve"> businesses (Rio Tinto, 2023b; 2026g). However, reputation is fragile where assertions and operational reality are misaligned. Communication of progress and operational constraints must be verified.</w:t>
      </w:r>
    </w:p>
    <w:p w14:paraId="599176B7" w14:textId="77777777" w:rsidR="00C23641" w:rsidRPr="00E42A12" w:rsidRDefault="00C23641">
      <w:pPr>
        <w:jc w:val="both"/>
        <w:rPr>
          <w:rFonts w:eastAsia="Times New Roman"/>
          <w:sz w:val="24"/>
          <w:szCs w:val="24"/>
        </w:rPr>
      </w:pPr>
    </w:p>
    <w:p w14:paraId="3C84351B" w14:textId="77777777" w:rsidR="00C23641" w:rsidRPr="00E42A12" w:rsidRDefault="00AD02E6">
      <w:pPr>
        <w:jc w:val="both"/>
        <w:rPr>
          <w:rFonts w:eastAsia="Times New Roman"/>
          <w:sz w:val="24"/>
          <w:szCs w:val="24"/>
        </w:rPr>
      </w:pPr>
      <w:r w:rsidRPr="00E42A12">
        <w:rPr>
          <w:rFonts w:eastAsia="Times New Roman"/>
          <w:sz w:val="24"/>
          <w:szCs w:val="24"/>
        </w:rPr>
        <w:t>Rio Tinto is in a strong position with integrated production, Canadian hydropower, AP60, ELYSIS, and Matalco</w:t>
      </w:r>
      <w:r w:rsidRPr="00E42A12">
        <w:rPr>
          <w:rFonts w:eastAsia="Times New Roman"/>
          <w:sz w:val="24"/>
          <w:szCs w:val="24"/>
        </w:rPr>
        <w:t>. Increased efficiency in smelting with the addition of AP60, and the addition of primary, recycled, and blended products with Matalco (Rio Tinto, 2023a; 2026h). Sustainability information becomes traceable with the addition of START (Rio Tinto, 2026j). This integrated system is harder to replicate than a single product.</w:t>
      </w:r>
    </w:p>
    <w:p w14:paraId="36F6127E" w14:textId="77777777" w:rsidR="00C23641" w:rsidRPr="00E42A12" w:rsidRDefault="00AD02E6">
      <w:pPr>
        <w:pStyle w:val="Heading3"/>
        <w:jc w:val="both"/>
        <w:rPr>
          <w:rFonts w:eastAsia="Times New Roman"/>
          <w:b/>
          <w:bCs/>
          <w:color w:val="000000"/>
          <w:sz w:val="24"/>
          <w:szCs w:val="24"/>
        </w:rPr>
      </w:pPr>
      <w:bookmarkStart w:id="10" w:name="_1cokvdxg63gs" w:colFirst="0" w:colLast="0"/>
      <w:bookmarkEnd w:id="10"/>
      <w:r w:rsidRPr="00E42A12">
        <w:rPr>
          <w:rFonts w:eastAsia="Times New Roman"/>
          <w:b/>
          <w:bCs/>
          <w:color w:val="000000"/>
          <w:sz w:val="24"/>
          <w:szCs w:val="24"/>
        </w:rPr>
        <w:t>2.5 Strategic Implementation</w:t>
      </w:r>
    </w:p>
    <w:p w14:paraId="193042C5" w14:textId="08DAAD16" w:rsidR="00C23641" w:rsidRPr="00E42A12" w:rsidRDefault="00AD02E6">
      <w:pPr>
        <w:jc w:val="both"/>
        <w:rPr>
          <w:rFonts w:eastAsia="Times New Roman"/>
          <w:sz w:val="24"/>
          <w:szCs w:val="24"/>
        </w:rPr>
      </w:pPr>
      <w:r w:rsidRPr="00E42A12">
        <w:rPr>
          <w:rFonts w:eastAsia="Times New Roman"/>
          <w:sz w:val="24"/>
          <w:szCs w:val="24"/>
        </w:rPr>
        <w:t xml:space="preserve">AP60, renewable power, recycling, and ELYSIS should be strategically phased (Rio Tinto, 2025a). To further develop the strategy, risk-sharing partnerships with customers and technology providers should be </w:t>
      </w:r>
      <w:r w:rsidR="00897261">
        <w:rPr>
          <w:rFonts w:eastAsia="Times New Roman"/>
          <w:sz w:val="24"/>
          <w:szCs w:val="24"/>
        </w:rPr>
        <w:t>utilised</w:t>
      </w:r>
      <w:r w:rsidRPr="00E42A12">
        <w:rPr>
          <w:rFonts w:eastAsia="Times New Roman"/>
          <w:sz w:val="24"/>
          <w:szCs w:val="24"/>
        </w:rPr>
        <w:t>. Strategic focus should be placed on product footprints, recycled content, and responsible sourcing with assurance. Indicators of success will include lower carbon revenues, contracts, and technology transfer milestones associated with collaborations.</w:t>
      </w:r>
    </w:p>
    <w:p w14:paraId="6B7E2E9E" w14:textId="77777777" w:rsidR="00C23641" w:rsidRPr="00E42A12" w:rsidRDefault="00AD02E6">
      <w:pPr>
        <w:pStyle w:val="Heading3"/>
        <w:jc w:val="both"/>
        <w:rPr>
          <w:rFonts w:eastAsia="Times New Roman"/>
          <w:b/>
          <w:bCs/>
          <w:color w:val="000000"/>
          <w:sz w:val="24"/>
          <w:szCs w:val="24"/>
        </w:rPr>
      </w:pPr>
      <w:bookmarkStart w:id="11" w:name="_tpg52oiwv5kz" w:colFirst="0" w:colLast="0"/>
      <w:bookmarkEnd w:id="11"/>
      <w:r w:rsidRPr="00E42A12">
        <w:rPr>
          <w:rFonts w:eastAsia="Times New Roman"/>
          <w:b/>
          <w:bCs/>
          <w:color w:val="000000"/>
          <w:sz w:val="24"/>
          <w:szCs w:val="24"/>
        </w:rPr>
        <w:t>2.6 Risks and Limitations</w:t>
      </w:r>
    </w:p>
    <w:p w14:paraId="62CF664C" w14:textId="77777777" w:rsidR="00C23641" w:rsidRPr="00E42A12" w:rsidRDefault="00AD02E6">
      <w:pPr>
        <w:jc w:val="both"/>
        <w:rPr>
          <w:rFonts w:eastAsia="Times New Roman"/>
          <w:sz w:val="24"/>
          <w:szCs w:val="24"/>
        </w:rPr>
      </w:pPr>
      <w:r w:rsidRPr="00E42A12">
        <w:rPr>
          <w:rFonts w:eastAsia="Times New Roman"/>
          <w:sz w:val="24"/>
          <w:szCs w:val="24"/>
        </w:rPr>
        <w:t xml:space="preserve">Significant financial investment in AP60, renewable power, and recycling will be required for the strategy to succeed (Rio Tinto, 2024b). ELYSIS will continue to undergo development, and there are significant challenges with the implementation of carbon capture technologies in the smelting process (Rio Tinto, 2025a; 2025d). Regulation will be unpredictable, as will acceptance of the proposed technologies should customers resist paying a premium. </w:t>
      </w:r>
    </w:p>
    <w:p w14:paraId="49945809" w14:textId="77777777" w:rsidR="00C23641" w:rsidRPr="00E42A12" w:rsidRDefault="00AD02E6">
      <w:pPr>
        <w:pStyle w:val="Heading3"/>
        <w:jc w:val="both"/>
        <w:rPr>
          <w:rFonts w:eastAsia="Times New Roman"/>
          <w:b/>
          <w:bCs/>
          <w:color w:val="000000"/>
          <w:sz w:val="24"/>
          <w:szCs w:val="24"/>
        </w:rPr>
      </w:pPr>
      <w:bookmarkStart w:id="12" w:name="_9qtea0e50593" w:colFirst="0" w:colLast="0"/>
      <w:bookmarkEnd w:id="12"/>
      <w:r w:rsidRPr="00E42A12">
        <w:rPr>
          <w:rFonts w:eastAsia="Times New Roman"/>
          <w:b/>
          <w:bCs/>
          <w:color w:val="000000"/>
          <w:sz w:val="24"/>
          <w:szCs w:val="24"/>
        </w:rPr>
        <w:t>2.7 Task Conclusion and Final Recommendation</w:t>
      </w:r>
    </w:p>
    <w:p w14:paraId="5B0236B9" w14:textId="65327FAF" w:rsidR="00C23641" w:rsidRPr="00E42A12" w:rsidRDefault="00AD02E6">
      <w:pPr>
        <w:jc w:val="both"/>
        <w:rPr>
          <w:rFonts w:eastAsia="Times New Roman"/>
          <w:sz w:val="24"/>
          <w:szCs w:val="24"/>
        </w:rPr>
      </w:pPr>
      <w:r w:rsidRPr="00E42A12">
        <w:rPr>
          <w:rFonts w:eastAsia="Times New Roman"/>
          <w:sz w:val="24"/>
          <w:szCs w:val="24"/>
        </w:rPr>
        <w:t xml:space="preserve">While penetration is relatively safe, it does not provide much differentiation. The geographical uncertainty of market development is an issue, and diversification is outside Rio Tinto’s scope. Rio Tinto should offer verified, renewable-powered, recycled content and traceable aluminum to </w:t>
      </w:r>
      <w:r w:rsidR="00897261">
        <w:rPr>
          <w:rFonts w:eastAsia="Times New Roman"/>
          <w:sz w:val="24"/>
          <w:szCs w:val="24"/>
        </w:rPr>
        <w:t>its</w:t>
      </w:r>
      <w:r w:rsidRPr="00E42A12">
        <w:rPr>
          <w:rFonts w:eastAsia="Times New Roman"/>
          <w:sz w:val="24"/>
          <w:szCs w:val="24"/>
        </w:rPr>
        <w:t xml:space="preserve"> current clients. Differentiation, assurance, collaborations, and technology along with circular economy practices, combined with a focused, strategic investment approach and a clear communication strategy regarding remaining impacts in the lifecycle of the product, will yield positive outcomes.</w:t>
      </w:r>
    </w:p>
    <w:p w14:paraId="7EFA2ECB" w14:textId="77777777" w:rsidR="00C23641" w:rsidRPr="00E42A12" w:rsidRDefault="00AD02E6">
      <w:pPr>
        <w:jc w:val="center"/>
        <w:rPr>
          <w:rFonts w:eastAsia="Times New Roman"/>
          <w:sz w:val="24"/>
          <w:szCs w:val="24"/>
        </w:rPr>
      </w:pPr>
      <w:r w:rsidRPr="00E42A12">
        <w:rPr>
          <w:rFonts w:eastAsia="Times New Roman"/>
          <w:noProof/>
          <w:sz w:val="24"/>
          <w:szCs w:val="24"/>
        </w:rPr>
        <w:drawing>
          <wp:inline distT="114300" distB="114300" distL="114300" distR="114300" wp14:anchorId="796BD651" wp14:editId="3909D11B">
            <wp:extent cx="5976288" cy="3124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76288" cy="3124200"/>
                    </a:xfrm>
                    <a:prstGeom prst="rect">
                      <a:avLst/>
                    </a:prstGeom>
                    <a:ln/>
                  </pic:spPr>
                </pic:pic>
              </a:graphicData>
            </a:graphic>
          </wp:inline>
        </w:drawing>
      </w:r>
    </w:p>
    <w:p w14:paraId="5EE22EE9" w14:textId="77777777" w:rsidR="00C23641" w:rsidRPr="00E42A12" w:rsidRDefault="00AD02E6">
      <w:pPr>
        <w:jc w:val="center"/>
        <w:rPr>
          <w:rFonts w:eastAsia="Times New Roman"/>
          <w:b/>
          <w:bCs/>
          <w:sz w:val="24"/>
          <w:szCs w:val="24"/>
        </w:rPr>
      </w:pPr>
      <w:r w:rsidRPr="00E42A12">
        <w:rPr>
          <w:rFonts w:eastAsia="Times New Roman"/>
          <w:b/>
          <w:bCs/>
          <w:sz w:val="24"/>
          <w:szCs w:val="24"/>
        </w:rPr>
        <w:t>Table 3: Proposed implementation indicators for Rio Tinto’s product-development strategy.</w:t>
      </w:r>
    </w:p>
    <w:p w14:paraId="262E8294" w14:textId="238C51C4" w:rsidR="00C23641" w:rsidRPr="00E42A12" w:rsidRDefault="00AD02E6">
      <w:pPr>
        <w:jc w:val="center"/>
        <w:rPr>
          <w:rFonts w:eastAsia="Times New Roman"/>
          <w:sz w:val="24"/>
          <w:szCs w:val="24"/>
        </w:rPr>
      </w:pPr>
      <w:r w:rsidRPr="00E42A12">
        <w:rPr>
          <w:rFonts w:eastAsia="Times New Roman"/>
          <w:sz w:val="24"/>
          <w:szCs w:val="24"/>
        </w:rPr>
        <w:t xml:space="preserve">Source: </w:t>
      </w:r>
      <w:r w:rsidR="00897261">
        <w:rPr>
          <w:rFonts w:eastAsia="Times New Roman"/>
          <w:sz w:val="24"/>
          <w:szCs w:val="24"/>
        </w:rPr>
        <w:t>Self-made</w:t>
      </w:r>
      <w:r w:rsidRPr="00E42A12">
        <w:rPr>
          <w:rFonts w:eastAsia="Times New Roman"/>
          <w:sz w:val="24"/>
          <w:szCs w:val="24"/>
        </w:rPr>
        <w:t>.</w:t>
      </w:r>
    </w:p>
    <w:p w14:paraId="61542AC0" w14:textId="77777777" w:rsidR="00C23641" w:rsidRPr="00E42A12" w:rsidRDefault="00AD02E6">
      <w:pPr>
        <w:pStyle w:val="Heading2"/>
        <w:jc w:val="both"/>
        <w:rPr>
          <w:rFonts w:eastAsia="Times New Roman"/>
          <w:b/>
          <w:bCs/>
          <w:sz w:val="24"/>
          <w:szCs w:val="24"/>
        </w:rPr>
      </w:pPr>
      <w:bookmarkStart w:id="13" w:name="_6iflrxtm5tfj" w:colFirst="0" w:colLast="0"/>
      <w:bookmarkEnd w:id="13"/>
      <w:r w:rsidRPr="00E42A12">
        <w:rPr>
          <w:rFonts w:eastAsia="Times New Roman"/>
          <w:b/>
          <w:bCs/>
          <w:sz w:val="24"/>
          <w:szCs w:val="24"/>
        </w:rPr>
        <w:t>3. Task 3: Critical Reflection on AI Usage</w:t>
      </w:r>
    </w:p>
    <w:p w14:paraId="74F8F06C" w14:textId="77777777" w:rsidR="00C23641" w:rsidRPr="00E42A12" w:rsidRDefault="00AD02E6">
      <w:pPr>
        <w:pStyle w:val="Heading3"/>
        <w:jc w:val="both"/>
        <w:rPr>
          <w:rFonts w:eastAsia="Times New Roman"/>
          <w:b/>
          <w:bCs/>
          <w:color w:val="000000"/>
          <w:sz w:val="24"/>
          <w:szCs w:val="24"/>
        </w:rPr>
      </w:pPr>
      <w:bookmarkStart w:id="14" w:name="_wzjvzt9ip1x0" w:colFirst="0" w:colLast="0"/>
      <w:bookmarkEnd w:id="14"/>
      <w:r w:rsidRPr="00E42A12">
        <w:rPr>
          <w:rFonts w:eastAsia="Times New Roman"/>
          <w:b/>
          <w:bCs/>
          <w:color w:val="000000"/>
          <w:sz w:val="24"/>
          <w:szCs w:val="24"/>
        </w:rPr>
        <w:t>3.1 AI Tools Used and Their Purpose</w:t>
      </w:r>
    </w:p>
    <w:p w14:paraId="0D2C55ED" w14:textId="5CA56AF8" w:rsidR="00C23641" w:rsidRPr="00E42A12" w:rsidRDefault="00AD02E6">
      <w:pPr>
        <w:jc w:val="both"/>
        <w:rPr>
          <w:rFonts w:eastAsia="Times New Roman"/>
          <w:sz w:val="24"/>
          <w:szCs w:val="24"/>
        </w:rPr>
      </w:pPr>
      <w:r w:rsidRPr="00E42A12">
        <w:rPr>
          <w:rFonts w:eastAsia="Times New Roman"/>
          <w:sz w:val="24"/>
          <w:szCs w:val="24"/>
        </w:rPr>
        <w:t>I used ChatGPT for the first time only to help me understand the terminology and assist with generating search keywords. ChatGPT helped me brainstorm ideas for where to go next with my research, but I did not use it to help me plan, organize, or write the report. I did all my independent research for the sources and formulated the arguments, evaluations, and recommendations for the report based on the evidence I interpreted.</w:t>
      </w:r>
    </w:p>
    <w:p w14:paraId="78E90DC8" w14:textId="77777777" w:rsidR="00C23641" w:rsidRPr="00E42A12" w:rsidRDefault="00AD02E6">
      <w:pPr>
        <w:pStyle w:val="Heading3"/>
        <w:jc w:val="both"/>
        <w:rPr>
          <w:rFonts w:eastAsia="Times New Roman"/>
          <w:b/>
          <w:bCs/>
          <w:color w:val="000000"/>
          <w:sz w:val="24"/>
          <w:szCs w:val="24"/>
        </w:rPr>
      </w:pPr>
      <w:bookmarkStart w:id="15" w:name="_8pdey8v47w6n" w:colFirst="0" w:colLast="0"/>
      <w:bookmarkEnd w:id="15"/>
      <w:r w:rsidRPr="00E42A12">
        <w:rPr>
          <w:rFonts w:eastAsia="Times New Roman"/>
          <w:b/>
          <w:bCs/>
          <w:color w:val="000000"/>
          <w:sz w:val="24"/>
          <w:szCs w:val="24"/>
        </w:rPr>
        <w:t>3.2 Verification of AI-Generated Information</w:t>
      </w:r>
    </w:p>
    <w:p w14:paraId="1FC2A3B3" w14:textId="2A929E06" w:rsidR="00C23641" w:rsidRPr="00E42A12" w:rsidRDefault="00AD02E6">
      <w:pPr>
        <w:jc w:val="both"/>
        <w:rPr>
          <w:rFonts w:eastAsia="Times New Roman"/>
          <w:sz w:val="24"/>
          <w:szCs w:val="24"/>
        </w:rPr>
      </w:pPr>
      <w:r w:rsidRPr="00E42A12">
        <w:rPr>
          <w:rFonts w:eastAsia="Times New Roman"/>
          <w:sz w:val="24"/>
          <w:szCs w:val="24"/>
        </w:rPr>
        <w:t>AI-assisted research provided evidence I considered to be only a starting point. I sourced articles directly from journal websites and Google Scholar, checking the accuracy of citations. I verified data against Rio Tinto's annual and climate sustainability reports. I verified regulatory information against government and EU reports. I reviewed corporate reports and academic and industry research because corporate reports are much less critical about their accomplishments. I paid particular attention to unit</w:t>
      </w:r>
      <w:r w:rsidRPr="00E42A12">
        <w:rPr>
          <w:rFonts w:eastAsia="Times New Roman"/>
          <w:sz w:val="24"/>
          <w:szCs w:val="24"/>
        </w:rPr>
        <w:t>s and reported boundaries, especially those regarding Scope 1 and 2 and Scope 3 emissions. Unsupported claims were removed. ELYSIS and any other emerging technologies were presented only in the context that they were still in development. This was intended to show that generative AI still relies on human research and validation when used in this context (Miao and Holmes, 2023).</w:t>
      </w:r>
    </w:p>
    <w:p w14:paraId="090ECF31" w14:textId="77777777" w:rsidR="00C23641" w:rsidRPr="00E42A12" w:rsidRDefault="00AD02E6">
      <w:pPr>
        <w:pStyle w:val="Heading3"/>
        <w:jc w:val="both"/>
        <w:rPr>
          <w:rFonts w:eastAsia="Times New Roman"/>
          <w:b/>
          <w:bCs/>
          <w:color w:val="000000"/>
          <w:sz w:val="24"/>
          <w:szCs w:val="24"/>
        </w:rPr>
      </w:pPr>
      <w:bookmarkStart w:id="16" w:name="_nlrm3igbahdy" w:colFirst="0" w:colLast="0"/>
      <w:bookmarkEnd w:id="16"/>
      <w:r w:rsidRPr="00E42A12">
        <w:rPr>
          <w:rFonts w:eastAsia="Times New Roman"/>
          <w:b/>
          <w:bCs/>
          <w:color w:val="000000"/>
          <w:sz w:val="24"/>
          <w:szCs w:val="24"/>
        </w:rPr>
        <w:t>3.3 AI Contribution and Personal Contribution</w:t>
      </w:r>
    </w:p>
    <w:p w14:paraId="182F3104" w14:textId="5FE453F8" w:rsidR="00C23641" w:rsidRPr="00E42A12" w:rsidRDefault="00AD02E6">
      <w:pPr>
        <w:jc w:val="both"/>
        <w:rPr>
          <w:rFonts w:eastAsia="Times New Roman"/>
          <w:sz w:val="24"/>
          <w:szCs w:val="24"/>
        </w:rPr>
      </w:pPr>
      <w:r w:rsidRPr="00E42A12">
        <w:rPr>
          <w:rFonts w:eastAsia="Times New Roman"/>
          <w:sz w:val="24"/>
          <w:szCs w:val="24"/>
        </w:rPr>
        <w:t>AI's role here was minimal. It clarified keywords and assisted in source discovery. Independent work required me to select Rio Tinto and lower-carbon aluminium, pick two external actors, source and evidence appraisal, and credibility assessment. I chose product development from Ansoff's Matrix after assessing fit and likely risk</w:t>
      </w:r>
      <w:r w:rsidR="00897261">
        <w:rPr>
          <w:rFonts w:eastAsia="Times New Roman"/>
          <w:sz w:val="24"/>
          <w:szCs w:val="24"/>
        </w:rPr>
        <w:t>,</w:t>
      </w:r>
      <w:r w:rsidRPr="00E42A12">
        <w:rPr>
          <w:rFonts w:eastAsia="Times New Roman"/>
          <w:sz w:val="24"/>
          <w:szCs w:val="24"/>
        </w:rPr>
        <w:t xml:space="preserve"> and competitive advantage. The appraisal and conflicts of evidence, and the final argument and recommendation, were done independently. I relied on AI only in instances when clear support was available. I was fully responsible for the organization and structure of the report, the presentation of the academic rationale, the citations, and the precision of the report, including the remaining post-verification limitations.</w:t>
      </w:r>
    </w:p>
    <w:p w14:paraId="6578325B" w14:textId="77777777" w:rsidR="00C23641" w:rsidRPr="00E42A12" w:rsidRDefault="00AD02E6">
      <w:pPr>
        <w:pStyle w:val="Heading3"/>
        <w:jc w:val="both"/>
        <w:rPr>
          <w:rFonts w:eastAsia="Times New Roman"/>
          <w:b/>
          <w:bCs/>
          <w:color w:val="000000"/>
          <w:sz w:val="24"/>
          <w:szCs w:val="24"/>
        </w:rPr>
      </w:pPr>
      <w:bookmarkStart w:id="17" w:name="_rku7wlpb4ol9" w:colFirst="0" w:colLast="0"/>
      <w:bookmarkEnd w:id="17"/>
      <w:r w:rsidRPr="00E42A12">
        <w:rPr>
          <w:rFonts w:eastAsia="Times New Roman"/>
          <w:b/>
          <w:bCs/>
          <w:color w:val="000000"/>
          <w:sz w:val="24"/>
          <w:szCs w:val="24"/>
        </w:rPr>
        <w:t>3.4 Ethical and Professional Issues</w:t>
      </w:r>
    </w:p>
    <w:p w14:paraId="4F30A6F9" w14:textId="505E65A5" w:rsidR="00C23641" w:rsidRPr="00E42A12" w:rsidRDefault="00AD02E6">
      <w:pPr>
        <w:jc w:val="both"/>
        <w:rPr>
          <w:rFonts w:eastAsia="Times New Roman"/>
          <w:sz w:val="24"/>
          <w:szCs w:val="24"/>
        </w:rPr>
      </w:pPr>
      <w:r w:rsidRPr="00E42A12">
        <w:rPr>
          <w:rFonts w:eastAsia="Times New Roman"/>
          <w:sz w:val="24"/>
          <w:szCs w:val="24"/>
        </w:rPr>
        <w:t>I used AI, embraced transparency, and took responsibility for the end result. Restricted reliance and simplified research and generation systems were the negative side of using AI. I used original sources for research and restricted the use of AI to preliminary research. This study did not involve sensitive data</w:t>
      </w:r>
      <w:r w:rsidR="00897261">
        <w:rPr>
          <w:rFonts w:eastAsia="Times New Roman"/>
          <w:sz w:val="24"/>
          <w:szCs w:val="24"/>
        </w:rPr>
        <w:t>,</w:t>
      </w:r>
      <w:r w:rsidRPr="00E42A12">
        <w:rPr>
          <w:rFonts w:eastAsia="Times New Roman"/>
          <w:sz w:val="24"/>
          <w:szCs w:val="24"/>
        </w:rPr>
        <w:t xml:space="preserve"> as I did not provide personal, confidential academic information or trade secrets</w:t>
      </w:r>
      <w:r w:rsidR="00897261">
        <w:rPr>
          <w:rFonts w:eastAsia="Times New Roman"/>
          <w:sz w:val="24"/>
          <w:szCs w:val="24"/>
        </w:rPr>
        <w:t>,</w:t>
      </w:r>
      <w:r w:rsidRPr="00E42A12">
        <w:rPr>
          <w:rFonts w:eastAsia="Times New Roman"/>
          <w:sz w:val="24"/>
          <w:szCs w:val="24"/>
        </w:rPr>
        <w:t xml:space="preserve"> as I respected data privacy (Yang, 2024). Respecting the boundaries of academic integrity and professional responsibility, I ensured traceable and limited assistance. In professional marketing, a reliance on unverifiable AI-generated output could have a highly damaging impact</w:t>
      </w:r>
      <w:r w:rsidR="00897261">
        <w:rPr>
          <w:rFonts w:eastAsia="Times New Roman"/>
          <w:sz w:val="24"/>
          <w:szCs w:val="24"/>
        </w:rPr>
        <w:t>,</w:t>
      </w:r>
      <w:r w:rsidRPr="00E42A12">
        <w:rPr>
          <w:rFonts w:eastAsia="Times New Roman"/>
          <w:sz w:val="24"/>
          <w:szCs w:val="24"/>
        </w:rPr>
        <w:t xml:space="preserve"> including environmental claims, greenwashing and artificial </w:t>
      </w:r>
      <w:r w:rsidR="00897261">
        <w:rPr>
          <w:rFonts w:eastAsia="Times New Roman"/>
          <w:sz w:val="24"/>
          <w:szCs w:val="24"/>
        </w:rPr>
        <w:t>image</w:t>
      </w:r>
      <w:r w:rsidRPr="00E42A12">
        <w:rPr>
          <w:rFonts w:eastAsia="Times New Roman"/>
          <w:sz w:val="24"/>
          <w:szCs w:val="24"/>
        </w:rPr>
        <w:t xml:space="preserve"> investors. Ethical use of AI therefore demands source checking and human accountability and professional reliance over AI (Miao and Holmes, 2023).</w:t>
      </w:r>
    </w:p>
    <w:p w14:paraId="1882771A" w14:textId="77777777" w:rsidR="00C23641" w:rsidRPr="00E42A12" w:rsidRDefault="00AD02E6">
      <w:pPr>
        <w:pStyle w:val="Heading2"/>
        <w:jc w:val="both"/>
        <w:rPr>
          <w:rFonts w:eastAsia="Times New Roman"/>
          <w:b/>
          <w:bCs/>
          <w:sz w:val="24"/>
          <w:szCs w:val="24"/>
        </w:rPr>
      </w:pPr>
      <w:bookmarkStart w:id="18" w:name="_c7w0cda8bdol" w:colFirst="0" w:colLast="0"/>
      <w:bookmarkEnd w:id="18"/>
      <w:r w:rsidRPr="00E42A12">
        <w:rPr>
          <w:rFonts w:eastAsia="Times New Roman"/>
          <w:b/>
          <w:bCs/>
          <w:sz w:val="24"/>
          <w:szCs w:val="24"/>
        </w:rPr>
        <w:t>References:</w:t>
      </w:r>
    </w:p>
    <w:p w14:paraId="601FCF59" w14:textId="77777777" w:rsidR="00C23641" w:rsidRPr="00E42A12" w:rsidRDefault="00AD02E6">
      <w:pPr>
        <w:numPr>
          <w:ilvl w:val="0"/>
          <w:numId w:val="1"/>
        </w:numPr>
        <w:spacing w:before="240"/>
        <w:jc w:val="both"/>
        <w:rPr>
          <w:rFonts w:eastAsia="Times New Roman"/>
          <w:sz w:val="24"/>
          <w:szCs w:val="24"/>
        </w:rPr>
      </w:pPr>
      <w:r w:rsidRPr="00E42A12">
        <w:rPr>
          <w:rFonts w:eastAsia="Times New Roman"/>
          <w:sz w:val="24"/>
          <w:szCs w:val="24"/>
        </w:rPr>
        <w:t xml:space="preserve">Al-Zahrani, A.M. and Alasmari, T.M. (2024) ‘Exploring the impact of artificial intelligence on higher education: The dynamics of ethical, social, and educational implications’, </w:t>
      </w:r>
      <w:r w:rsidRPr="00E42A12">
        <w:rPr>
          <w:rFonts w:eastAsia="Times New Roman"/>
          <w:i/>
          <w:iCs/>
          <w:sz w:val="24"/>
          <w:szCs w:val="24"/>
        </w:rPr>
        <w:t>Humanities and Social Sciences Communications</w:t>
      </w:r>
      <w:r w:rsidRPr="00E42A12">
        <w:rPr>
          <w:rFonts w:eastAsia="Times New Roman"/>
          <w:sz w:val="24"/>
          <w:szCs w:val="24"/>
        </w:rPr>
        <w:t>, 11, article 912.</w:t>
      </w:r>
      <w:r w:rsidRPr="00E42A12">
        <w:rPr>
          <w:rFonts w:eastAsia="Times New Roman"/>
          <w:sz w:val="24"/>
          <w:szCs w:val="24"/>
        </w:rPr>
        <w:br/>
      </w:r>
      <w:hyperlink r:id="rId11">
        <w:r w:rsidR="00C23641" w:rsidRPr="00E42A12">
          <w:rPr>
            <w:rFonts w:eastAsia="Times New Roman"/>
            <w:color w:val="1155CC"/>
            <w:sz w:val="24"/>
            <w:szCs w:val="24"/>
            <w:u w:val="single"/>
          </w:rPr>
          <w:t>https://doi.org/10.1057/s41599-024-03432-4</w:t>
        </w:r>
      </w:hyperlink>
    </w:p>
    <w:p w14:paraId="3F627E4C"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Aluminium Stewardship Initiative (2024) ‘ASI recertifies Rio Tinto Aluminium against ASI Performance Standard V3’, 8 April.</w:t>
      </w:r>
      <w:r w:rsidRPr="00E42A12">
        <w:rPr>
          <w:rFonts w:eastAsia="Times New Roman"/>
          <w:sz w:val="24"/>
          <w:szCs w:val="24"/>
        </w:rPr>
        <w:br/>
      </w:r>
      <w:hyperlink r:id="rId12">
        <w:r w:rsidR="00C23641" w:rsidRPr="00E42A12">
          <w:rPr>
            <w:rFonts w:eastAsia="Times New Roman"/>
            <w:color w:val="1155CC"/>
            <w:sz w:val="24"/>
            <w:szCs w:val="24"/>
            <w:u w:val="single"/>
          </w:rPr>
          <w:t>https://aluminium-stewardship.org/asi-recertifies-rio-tinto-aluminium-against-asi-performance-standard-v3</w:t>
        </w:r>
      </w:hyperlink>
    </w:p>
    <w:p w14:paraId="4093F1D7"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Ansoff, H.I. (1957) ‘Strategies for diversification’, </w:t>
      </w:r>
      <w:r w:rsidRPr="00E42A12">
        <w:rPr>
          <w:rFonts w:eastAsia="Times New Roman"/>
          <w:i/>
          <w:iCs/>
          <w:sz w:val="24"/>
          <w:szCs w:val="24"/>
        </w:rPr>
        <w:t>Harvard Business Review</w:t>
      </w:r>
      <w:r w:rsidRPr="00E42A12">
        <w:rPr>
          <w:rFonts w:eastAsia="Times New Roman"/>
          <w:sz w:val="24"/>
          <w:szCs w:val="24"/>
        </w:rPr>
        <w:t>, 35(5), pp. 113–124.</w:t>
      </w:r>
    </w:p>
    <w:p w14:paraId="06B1A2D8"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Dabis, A. and Csáki, C. (2024) ‘AI and ethics: Investigating the first policy responses of higher education institutions to the challenge of generative AI’, </w:t>
      </w:r>
      <w:r w:rsidRPr="00E42A12">
        <w:rPr>
          <w:rFonts w:eastAsia="Times New Roman"/>
          <w:i/>
          <w:iCs/>
          <w:sz w:val="24"/>
          <w:szCs w:val="24"/>
        </w:rPr>
        <w:t>Humanities and Social Sciences Communications</w:t>
      </w:r>
      <w:r w:rsidRPr="00E42A12">
        <w:rPr>
          <w:rFonts w:eastAsia="Times New Roman"/>
          <w:sz w:val="24"/>
          <w:szCs w:val="24"/>
        </w:rPr>
        <w:t>, 11, article 1006.</w:t>
      </w:r>
      <w:r w:rsidRPr="00E42A12">
        <w:rPr>
          <w:rFonts w:eastAsia="Times New Roman"/>
          <w:sz w:val="24"/>
          <w:szCs w:val="24"/>
        </w:rPr>
        <w:br/>
      </w:r>
      <w:hyperlink r:id="rId13">
        <w:r w:rsidR="00C23641" w:rsidRPr="00E42A12">
          <w:rPr>
            <w:rFonts w:eastAsia="Times New Roman"/>
            <w:color w:val="1155CC"/>
            <w:sz w:val="24"/>
            <w:szCs w:val="24"/>
            <w:u w:val="single"/>
          </w:rPr>
          <w:t>https://doi.org/10.1057/s41599-024-03526-z</w:t>
        </w:r>
      </w:hyperlink>
    </w:p>
    <w:p w14:paraId="67C0F4DC"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Dardor, D., Flórez-Orrego, D., Germanier, R., Margni, M. and Maréchal, F. (2025) ‘Decarbonizing the aluminium industry: A comprehensive review of pathways and process integration perspectives’, </w:t>
      </w:r>
      <w:r w:rsidRPr="00E42A12">
        <w:rPr>
          <w:rFonts w:eastAsia="Times New Roman"/>
          <w:i/>
          <w:iCs/>
          <w:sz w:val="24"/>
          <w:szCs w:val="24"/>
        </w:rPr>
        <w:t>Energy Strategy Reviews</w:t>
      </w:r>
      <w:r w:rsidRPr="00E42A12">
        <w:rPr>
          <w:rFonts w:eastAsia="Times New Roman"/>
          <w:sz w:val="24"/>
          <w:szCs w:val="24"/>
        </w:rPr>
        <w:t>, 61, article 101853.</w:t>
      </w:r>
      <w:r w:rsidRPr="00E42A12">
        <w:rPr>
          <w:rFonts w:eastAsia="Times New Roman"/>
          <w:sz w:val="24"/>
          <w:szCs w:val="24"/>
        </w:rPr>
        <w:br/>
      </w:r>
      <w:hyperlink r:id="rId14">
        <w:r w:rsidR="00C23641" w:rsidRPr="00E42A12">
          <w:rPr>
            <w:rFonts w:eastAsia="Times New Roman"/>
            <w:color w:val="1155CC"/>
            <w:sz w:val="24"/>
            <w:szCs w:val="24"/>
            <w:u w:val="single"/>
          </w:rPr>
          <w:t>https://doi.org/10.1016/j.esr.2025.101853</w:t>
        </w:r>
      </w:hyperlink>
    </w:p>
    <w:p w14:paraId="707E8532"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rPr>
        <w:t xml:space="preserve">Department of Climate Change, Energy, the Environment and Water (2026) </w:t>
      </w:r>
      <w:r w:rsidRPr="00E42A12">
        <w:rPr>
          <w:rFonts w:eastAsia="Times New Roman"/>
          <w:i/>
          <w:iCs/>
          <w:sz w:val="24"/>
          <w:szCs w:val="24"/>
        </w:rPr>
        <w:t>Safeguard Mechanism</w:t>
      </w:r>
      <w:r w:rsidRPr="00E42A12">
        <w:rPr>
          <w:rFonts w:eastAsia="Times New Roman"/>
          <w:sz w:val="24"/>
          <w:szCs w:val="24"/>
        </w:rPr>
        <w:t xml:space="preserve">. </w:t>
      </w:r>
      <w:r w:rsidRPr="00E42A12">
        <w:rPr>
          <w:rFonts w:eastAsia="Times New Roman"/>
          <w:sz w:val="24"/>
          <w:szCs w:val="24"/>
          <w:lang w:val="it-IT"/>
        </w:rPr>
        <w:t>Canberra: Australian Government.</w:t>
      </w:r>
      <w:r w:rsidRPr="00E42A12">
        <w:rPr>
          <w:rFonts w:eastAsia="Times New Roman"/>
          <w:sz w:val="24"/>
          <w:szCs w:val="24"/>
          <w:lang w:val="it-IT"/>
        </w:rPr>
        <w:br/>
      </w:r>
      <w:hyperlink r:id="rId15">
        <w:r w:rsidR="00C23641" w:rsidRPr="00E42A12">
          <w:rPr>
            <w:rFonts w:eastAsia="Times New Roman"/>
            <w:color w:val="1155CC"/>
            <w:sz w:val="24"/>
            <w:szCs w:val="24"/>
            <w:u w:val="single"/>
            <w:lang w:val="it-IT"/>
          </w:rPr>
          <w:t>https://www.dcceew.gov.au/climate-change/emissions-reporting/national-greenhouse-energy-reporting-scheme/safeguard-mechanism/overview</w:t>
        </w:r>
      </w:hyperlink>
    </w:p>
    <w:p w14:paraId="40C8B0DF"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Department of Justice Canada (2026) </w:t>
      </w:r>
      <w:r w:rsidRPr="00E42A12">
        <w:rPr>
          <w:rFonts w:eastAsia="Times New Roman"/>
          <w:i/>
          <w:iCs/>
          <w:sz w:val="24"/>
          <w:szCs w:val="24"/>
        </w:rPr>
        <w:t>About the United Nations Declaration on the Rights of Indigenous Peoples Act</w:t>
      </w:r>
      <w:r w:rsidRPr="00E42A12">
        <w:rPr>
          <w:rFonts w:eastAsia="Times New Roman"/>
          <w:sz w:val="24"/>
          <w:szCs w:val="24"/>
        </w:rPr>
        <w:t>. Ottawa: Government of Canada.</w:t>
      </w:r>
      <w:r w:rsidRPr="00E42A12">
        <w:rPr>
          <w:rFonts w:eastAsia="Times New Roman"/>
          <w:sz w:val="24"/>
          <w:szCs w:val="24"/>
        </w:rPr>
        <w:br/>
      </w:r>
      <w:hyperlink r:id="rId16">
        <w:r w:rsidR="00C23641" w:rsidRPr="00E42A12">
          <w:rPr>
            <w:rFonts w:eastAsia="Times New Roman"/>
            <w:color w:val="1155CC"/>
            <w:sz w:val="24"/>
            <w:szCs w:val="24"/>
            <w:u w:val="single"/>
          </w:rPr>
          <w:t>https://www.justice.gc.ca/eng/declaration/legislation.html</w:t>
        </w:r>
      </w:hyperlink>
    </w:p>
    <w:p w14:paraId="6E362F74"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Dhuliawala, S., Komeili, M., Xu, J., Raileanu, R., Li, X., Celikyilmaz, A. and Weston, J. (2024) ‘Chain-of-verification reduces hallucination in large language models’, in Ku, L.-W., Martins, A. and Srikumar, V. (eds.) </w:t>
      </w:r>
      <w:r w:rsidRPr="00E42A12">
        <w:rPr>
          <w:rFonts w:eastAsia="Times New Roman"/>
          <w:i/>
          <w:iCs/>
          <w:sz w:val="24"/>
          <w:szCs w:val="24"/>
        </w:rPr>
        <w:t>Findings of the Association for Computational Linguistics: ACL 2024</w:t>
      </w:r>
      <w:r w:rsidRPr="00E42A12">
        <w:rPr>
          <w:rFonts w:eastAsia="Times New Roman"/>
          <w:sz w:val="24"/>
          <w:szCs w:val="24"/>
        </w:rPr>
        <w:t>. Bangkok: Association for Computational Linguistics, pp. 3563–3578.</w:t>
      </w:r>
      <w:r w:rsidRPr="00E42A12">
        <w:rPr>
          <w:rFonts w:eastAsia="Times New Roman"/>
          <w:sz w:val="24"/>
          <w:szCs w:val="24"/>
        </w:rPr>
        <w:br/>
      </w:r>
      <w:hyperlink r:id="rId17">
        <w:r w:rsidR="00C23641" w:rsidRPr="00E42A12">
          <w:rPr>
            <w:rFonts w:eastAsia="Times New Roman"/>
            <w:color w:val="1155CC"/>
            <w:sz w:val="24"/>
            <w:szCs w:val="24"/>
            <w:u w:val="single"/>
          </w:rPr>
          <w:t>https://doi.org/10.18653/v1/2024.findings-acl.212</w:t>
        </w:r>
      </w:hyperlink>
    </w:p>
    <w:p w14:paraId="2FC76A2E"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European Commission (2026a) </w:t>
      </w:r>
      <w:r w:rsidRPr="00E42A12">
        <w:rPr>
          <w:rFonts w:eastAsia="Times New Roman"/>
          <w:i/>
          <w:iCs/>
          <w:sz w:val="24"/>
          <w:szCs w:val="24"/>
        </w:rPr>
        <w:t>Carbon Border Adjustment Mechanism</w:t>
      </w:r>
      <w:r w:rsidRPr="00E42A12">
        <w:rPr>
          <w:rFonts w:eastAsia="Times New Roman"/>
          <w:sz w:val="24"/>
          <w:szCs w:val="24"/>
        </w:rPr>
        <w:t>. Brussels: European Commission.</w:t>
      </w:r>
      <w:r w:rsidRPr="00E42A12">
        <w:rPr>
          <w:rFonts w:eastAsia="Times New Roman"/>
          <w:sz w:val="24"/>
          <w:szCs w:val="24"/>
        </w:rPr>
        <w:br/>
      </w:r>
      <w:hyperlink r:id="rId18">
        <w:r w:rsidR="00C23641" w:rsidRPr="00E42A12">
          <w:rPr>
            <w:rFonts w:eastAsia="Times New Roman"/>
            <w:color w:val="1155CC"/>
            <w:sz w:val="24"/>
            <w:szCs w:val="24"/>
            <w:u w:val="single"/>
          </w:rPr>
          <w:t>https://taxation-customs.ec.europa.eu/carbon-border-adjustment-mechanism_en</w:t>
        </w:r>
      </w:hyperlink>
    </w:p>
    <w:p w14:paraId="10413610"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European Commission (2026b) </w:t>
      </w:r>
      <w:r w:rsidRPr="00E42A12">
        <w:rPr>
          <w:rFonts w:eastAsia="Times New Roman"/>
          <w:i/>
          <w:iCs/>
          <w:sz w:val="24"/>
          <w:szCs w:val="24"/>
        </w:rPr>
        <w:t>Corporate Sustainability Reporting</w:t>
      </w:r>
      <w:r w:rsidRPr="00E42A12">
        <w:rPr>
          <w:rFonts w:eastAsia="Times New Roman"/>
          <w:sz w:val="24"/>
          <w:szCs w:val="24"/>
        </w:rPr>
        <w:t>. Brussels: European Commission.</w:t>
      </w:r>
      <w:r w:rsidRPr="00E42A12">
        <w:rPr>
          <w:rFonts w:eastAsia="Times New Roman"/>
          <w:sz w:val="24"/>
          <w:szCs w:val="24"/>
        </w:rPr>
        <w:br/>
      </w:r>
      <w:hyperlink r:id="rId19">
        <w:r w:rsidR="00C23641" w:rsidRPr="00E42A12">
          <w:rPr>
            <w:rFonts w:eastAsia="Times New Roman"/>
            <w:color w:val="1155CC"/>
            <w:sz w:val="24"/>
            <w:szCs w:val="24"/>
            <w:u w:val="single"/>
          </w:rPr>
          <w:t>https://finance.ec.europa.eu/financial-markets/company-reporting-and-auditing/company-reporting/corporate-sustainability-reporting_en</w:t>
        </w:r>
      </w:hyperlink>
    </w:p>
    <w:p w14:paraId="30C3C500"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International Aluminium</w:t>
      </w:r>
      <w:r w:rsidRPr="00E42A12">
        <w:rPr>
          <w:rFonts w:eastAsia="Times New Roman"/>
          <w:sz w:val="24"/>
          <w:szCs w:val="24"/>
        </w:rPr>
        <w:t xml:space="preserve"> Institute (2022) ‘Report reveals global aluminium demand to reach new highs after COVID’. London: International Aluminium Institute.</w:t>
      </w:r>
      <w:r w:rsidRPr="00E42A12">
        <w:rPr>
          <w:rFonts w:eastAsia="Times New Roman"/>
          <w:sz w:val="24"/>
          <w:szCs w:val="24"/>
        </w:rPr>
        <w:br/>
      </w:r>
      <w:hyperlink r:id="rId20">
        <w:r w:rsidR="00C23641" w:rsidRPr="00E42A12">
          <w:rPr>
            <w:rFonts w:eastAsia="Times New Roman"/>
            <w:color w:val="1155CC"/>
            <w:sz w:val="24"/>
            <w:szCs w:val="24"/>
            <w:u w:val="single"/>
          </w:rPr>
          <w:t>https://international-aluminium.org/report-reveals-global-aluminium-demand-to-reach-new-highs-after-covid/</w:t>
        </w:r>
      </w:hyperlink>
    </w:p>
    <w:p w14:paraId="61696BE3"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International Aluminium Institute (2024a) </w:t>
      </w:r>
      <w:r w:rsidRPr="00E42A12">
        <w:rPr>
          <w:rFonts w:eastAsia="Times New Roman"/>
          <w:i/>
          <w:iCs/>
          <w:sz w:val="24"/>
          <w:szCs w:val="24"/>
        </w:rPr>
        <w:t>Greenhouse Gas Emissions Decline in Aluminium Industry</w:t>
      </w:r>
      <w:r w:rsidRPr="00E42A12">
        <w:rPr>
          <w:rFonts w:eastAsia="Times New Roman"/>
          <w:sz w:val="24"/>
          <w:szCs w:val="24"/>
        </w:rPr>
        <w:t>. London: International Aluminium Institute.</w:t>
      </w:r>
      <w:r w:rsidRPr="00E42A12">
        <w:rPr>
          <w:rFonts w:eastAsia="Times New Roman"/>
          <w:sz w:val="24"/>
          <w:szCs w:val="24"/>
        </w:rPr>
        <w:br/>
      </w:r>
      <w:hyperlink r:id="rId21">
        <w:r w:rsidR="00C23641" w:rsidRPr="00E42A12">
          <w:rPr>
            <w:rFonts w:eastAsia="Times New Roman"/>
            <w:color w:val="1155CC"/>
            <w:sz w:val="24"/>
            <w:szCs w:val="24"/>
            <w:u w:val="single"/>
          </w:rPr>
          <w:t>https://international-aluminium.org/resources/greenhouse-gas-emissions-decline-in-aluminium-industry/</w:t>
        </w:r>
      </w:hyperlink>
    </w:p>
    <w:p w14:paraId="245CC9F8"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International Aluminium Institute (2024b) </w:t>
      </w:r>
      <w:r w:rsidRPr="00E42A12">
        <w:rPr>
          <w:rFonts w:eastAsia="Times New Roman"/>
          <w:i/>
          <w:iCs/>
          <w:sz w:val="24"/>
          <w:szCs w:val="24"/>
        </w:rPr>
        <w:t>Low-Carbon Aluminium Factsheet</w:t>
      </w:r>
      <w:r w:rsidRPr="00E42A12">
        <w:rPr>
          <w:rFonts w:eastAsia="Times New Roman"/>
          <w:sz w:val="24"/>
          <w:szCs w:val="24"/>
        </w:rPr>
        <w:t>. London: International Aluminium Institute.</w:t>
      </w:r>
      <w:r w:rsidRPr="00E42A12">
        <w:rPr>
          <w:rFonts w:eastAsia="Times New Roman"/>
          <w:sz w:val="24"/>
          <w:szCs w:val="24"/>
        </w:rPr>
        <w:br/>
      </w:r>
      <w:hyperlink r:id="rId22">
        <w:r w:rsidR="00C23641" w:rsidRPr="00E42A12">
          <w:rPr>
            <w:rFonts w:eastAsia="Times New Roman"/>
            <w:color w:val="1155CC"/>
            <w:sz w:val="24"/>
            <w:szCs w:val="24"/>
            <w:u w:val="single"/>
          </w:rPr>
          <w:t>https://international-aluminium.org/landing/low-carbon-aluminium-factsheet/</w:t>
        </w:r>
      </w:hyperlink>
    </w:p>
    <w:p w14:paraId="16BCF528"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Kotler, P., Armstrong, G., Harris, L.C. and He, H. (2024) </w:t>
      </w:r>
      <w:r w:rsidRPr="00E42A12">
        <w:rPr>
          <w:rFonts w:eastAsia="Times New Roman"/>
          <w:i/>
          <w:iCs/>
          <w:sz w:val="24"/>
          <w:szCs w:val="24"/>
        </w:rPr>
        <w:t>Principles of Marketing</w:t>
      </w:r>
      <w:r w:rsidRPr="00E42A12">
        <w:rPr>
          <w:rFonts w:eastAsia="Times New Roman"/>
          <w:sz w:val="24"/>
          <w:szCs w:val="24"/>
        </w:rPr>
        <w:t>. 19th edn. Harlow: Pearson.</w:t>
      </w:r>
    </w:p>
    <w:p w14:paraId="6A15ACA3"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Luu, N.H., Le, C., Luu, H.N. and Nguyen, D.T.K. (2025) ‘Does mandatory greenhouse gas emissions reporting program deter corporate greenwashing?’, </w:t>
      </w:r>
      <w:r w:rsidRPr="00E42A12">
        <w:rPr>
          <w:rFonts w:eastAsia="Times New Roman"/>
          <w:i/>
          <w:iCs/>
          <w:sz w:val="24"/>
          <w:szCs w:val="24"/>
        </w:rPr>
        <w:t>Journal of Environmental Management</w:t>
      </w:r>
      <w:r w:rsidRPr="00E42A12">
        <w:rPr>
          <w:rFonts w:eastAsia="Times New Roman"/>
          <w:sz w:val="24"/>
          <w:szCs w:val="24"/>
        </w:rPr>
        <w:t>, 373, article 123740.</w:t>
      </w:r>
      <w:r w:rsidRPr="00E42A12">
        <w:rPr>
          <w:rFonts w:eastAsia="Times New Roman"/>
          <w:sz w:val="24"/>
          <w:szCs w:val="24"/>
        </w:rPr>
        <w:br/>
      </w:r>
      <w:hyperlink r:id="rId23">
        <w:r w:rsidR="00C23641" w:rsidRPr="00E42A12">
          <w:rPr>
            <w:rFonts w:eastAsia="Times New Roman"/>
            <w:color w:val="1155CC"/>
            <w:sz w:val="24"/>
            <w:szCs w:val="24"/>
            <w:u w:val="single"/>
          </w:rPr>
          <w:t>https://doi.org/10.1016/j.jenvman.2024.123740</w:t>
        </w:r>
      </w:hyperlink>
    </w:p>
    <w:p w14:paraId="5C8CD064"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Maus, V., Giljum, S., da Silva, D.M., Gutschlhofer, J., da Rosa, R.P., Luckeneder</w:t>
      </w:r>
      <w:r w:rsidRPr="00E42A12">
        <w:rPr>
          <w:rFonts w:eastAsia="Times New Roman"/>
          <w:sz w:val="24"/>
          <w:szCs w:val="24"/>
        </w:rPr>
        <w:t xml:space="preserve">, S., Gass, S.L.B., Lieber, M. and McCallum, I. (2022) ‘An update on global mining land use’, </w:t>
      </w:r>
      <w:r w:rsidRPr="00E42A12">
        <w:rPr>
          <w:rFonts w:eastAsia="Times New Roman"/>
          <w:i/>
          <w:iCs/>
          <w:sz w:val="24"/>
          <w:szCs w:val="24"/>
        </w:rPr>
        <w:t>Scientific Data</w:t>
      </w:r>
      <w:r w:rsidRPr="00E42A12">
        <w:rPr>
          <w:rFonts w:eastAsia="Times New Roman"/>
          <w:sz w:val="24"/>
          <w:szCs w:val="24"/>
        </w:rPr>
        <w:t>, 9, article 433.</w:t>
      </w:r>
      <w:r w:rsidRPr="00E42A12">
        <w:rPr>
          <w:rFonts w:eastAsia="Times New Roman"/>
          <w:sz w:val="24"/>
          <w:szCs w:val="24"/>
        </w:rPr>
        <w:br/>
      </w:r>
      <w:hyperlink r:id="rId24">
        <w:r w:rsidR="00C23641" w:rsidRPr="00E42A12">
          <w:rPr>
            <w:rFonts w:eastAsia="Times New Roman"/>
            <w:color w:val="1155CC"/>
            <w:sz w:val="24"/>
            <w:szCs w:val="24"/>
            <w:u w:val="single"/>
          </w:rPr>
          <w:t>https://doi.org/10.1038/s41597-022-01547-4</w:t>
        </w:r>
      </w:hyperlink>
    </w:p>
    <w:p w14:paraId="21236ABD" w14:textId="77777777" w:rsidR="00C23641" w:rsidRPr="00E42A12" w:rsidRDefault="00AD02E6">
      <w:pPr>
        <w:numPr>
          <w:ilvl w:val="0"/>
          <w:numId w:val="1"/>
        </w:numPr>
        <w:jc w:val="both"/>
        <w:rPr>
          <w:rFonts w:eastAsia="Times New Roman"/>
          <w:sz w:val="24"/>
          <w:szCs w:val="24"/>
          <w:lang w:val="fr-FR"/>
        </w:rPr>
      </w:pPr>
      <w:r w:rsidRPr="00E42A12">
        <w:rPr>
          <w:rFonts w:eastAsia="Times New Roman"/>
          <w:sz w:val="24"/>
          <w:szCs w:val="24"/>
        </w:rPr>
        <w:t xml:space="preserve">Miao, F. and Holmes, W. (2023) </w:t>
      </w:r>
      <w:r w:rsidRPr="00E42A12">
        <w:rPr>
          <w:rFonts w:eastAsia="Times New Roman"/>
          <w:i/>
          <w:iCs/>
          <w:sz w:val="24"/>
          <w:szCs w:val="24"/>
        </w:rPr>
        <w:t>Guidance for Generative AI in Education and Research</w:t>
      </w:r>
      <w:r w:rsidRPr="00E42A12">
        <w:rPr>
          <w:rFonts w:eastAsia="Times New Roman"/>
          <w:sz w:val="24"/>
          <w:szCs w:val="24"/>
        </w:rPr>
        <w:t xml:space="preserve">. </w:t>
      </w:r>
      <w:r w:rsidRPr="00E42A12">
        <w:rPr>
          <w:rFonts w:eastAsia="Times New Roman"/>
          <w:sz w:val="24"/>
          <w:szCs w:val="24"/>
          <w:lang w:val="fr-FR"/>
        </w:rPr>
        <w:t>Paris: UNESCO.</w:t>
      </w:r>
      <w:r w:rsidRPr="00E42A12">
        <w:rPr>
          <w:rFonts w:eastAsia="Times New Roman"/>
          <w:sz w:val="24"/>
          <w:szCs w:val="24"/>
          <w:lang w:val="fr-FR"/>
        </w:rPr>
        <w:br/>
      </w:r>
      <w:hyperlink r:id="rId25">
        <w:r w:rsidR="00C23641" w:rsidRPr="00E42A12">
          <w:rPr>
            <w:rFonts w:eastAsia="Times New Roman"/>
            <w:color w:val="1155CC"/>
            <w:sz w:val="24"/>
            <w:szCs w:val="24"/>
            <w:u w:val="single"/>
            <w:lang w:val="fr-FR"/>
          </w:rPr>
          <w:t>https://www.unesco.org/en/articles/guidance-generative-ai-education-and-research</w:t>
        </w:r>
      </w:hyperlink>
    </w:p>
    <w:p w14:paraId="66C2A967"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Okada, I. (2024) ‘What procedures matter to social acceptance of mining? A conjoint experiment in Peru’, </w:t>
      </w:r>
      <w:r w:rsidRPr="00E42A12">
        <w:rPr>
          <w:rFonts w:eastAsia="Times New Roman"/>
          <w:i/>
          <w:iCs/>
          <w:sz w:val="24"/>
          <w:szCs w:val="24"/>
        </w:rPr>
        <w:t>World Development</w:t>
      </w:r>
      <w:r w:rsidRPr="00E42A12">
        <w:rPr>
          <w:rFonts w:eastAsia="Times New Roman"/>
          <w:sz w:val="24"/>
          <w:szCs w:val="24"/>
        </w:rPr>
        <w:t>, 183, article 106724.</w:t>
      </w:r>
      <w:r w:rsidRPr="00E42A12">
        <w:rPr>
          <w:rFonts w:eastAsia="Times New Roman"/>
          <w:sz w:val="24"/>
          <w:szCs w:val="24"/>
        </w:rPr>
        <w:br/>
      </w:r>
      <w:hyperlink r:id="rId26">
        <w:r w:rsidR="00C23641" w:rsidRPr="00E42A12">
          <w:rPr>
            <w:rFonts w:eastAsia="Times New Roman"/>
            <w:color w:val="1155CC"/>
            <w:sz w:val="24"/>
            <w:szCs w:val="24"/>
            <w:u w:val="single"/>
          </w:rPr>
          <w:t>https://doi.org/10.1016/j.worlddev.2024.106724</w:t>
        </w:r>
      </w:hyperlink>
    </w:p>
    <w:p w14:paraId="54E9BEF7"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Reuters (2025) ‘How aluminium producers are trying to square sky-high emissions with low-carbon future’, 14 May.</w:t>
      </w:r>
      <w:r w:rsidRPr="00E42A12">
        <w:rPr>
          <w:rFonts w:eastAsia="Times New Roman"/>
          <w:sz w:val="24"/>
          <w:szCs w:val="24"/>
        </w:rPr>
        <w:br/>
      </w:r>
      <w:hyperlink r:id="rId27">
        <w:r w:rsidR="00C23641" w:rsidRPr="00E42A12">
          <w:rPr>
            <w:rFonts w:eastAsia="Times New Roman"/>
            <w:color w:val="1155CC"/>
            <w:sz w:val="24"/>
            <w:szCs w:val="24"/>
            <w:u w:val="single"/>
          </w:rPr>
          <w:t>https://www.reuters.com/sustainability/decarbonizing-industries/how-aluminium-producers-are-trying-square-sky-high-emissions-with-role-net-zero-2025-05-14/</w:t>
        </w:r>
      </w:hyperlink>
    </w:p>
    <w:p w14:paraId="264FEED0"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lang w:val="it-IT"/>
        </w:rPr>
        <w:t>Rio Tinto (2023a) ‘Rio Tinto and Giampaolo Group complete Matalco aluminium recycling transaction’, 1 December.</w:t>
      </w:r>
      <w:r w:rsidRPr="00E42A12">
        <w:rPr>
          <w:rFonts w:eastAsia="Times New Roman"/>
          <w:sz w:val="24"/>
          <w:szCs w:val="24"/>
          <w:lang w:val="it-IT"/>
        </w:rPr>
        <w:br/>
      </w:r>
      <w:hyperlink r:id="rId28">
        <w:r w:rsidR="00C23641" w:rsidRPr="00E42A12">
          <w:rPr>
            <w:rFonts w:eastAsia="Times New Roman"/>
            <w:color w:val="1155CC"/>
            <w:sz w:val="24"/>
            <w:szCs w:val="24"/>
            <w:u w:val="single"/>
          </w:rPr>
          <w:t>https://www.riotinto.com/en/news/releases/2023/rio-tinto-and-giampaolo-group-complete-matalco-aluminium-recycling-transaction</w:t>
        </w:r>
      </w:hyperlink>
    </w:p>
    <w:p w14:paraId="6389564F"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(2023b) ‘Road to a greener future: Rio Tinto partners with BMW Group on premium aluminium car parts’, 21 February.</w:t>
      </w:r>
      <w:r w:rsidRPr="00E42A12">
        <w:rPr>
          <w:rFonts w:eastAsia="Times New Roman"/>
          <w:sz w:val="24"/>
          <w:szCs w:val="24"/>
        </w:rPr>
        <w:br/>
      </w:r>
      <w:hyperlink r:id="rId29">
        <w:r w:rsidR="00C23641" w:rsidRPr="00E42A12">
          <w:rPr>
            <w:rFonts w:eastAsia="Times New Roman"/>
            <w:color w:val="1155CC"/>
            <w:sz w:val="24"/>
            <w:szCs w:val="24"/>
            <w:u w:val="single"/>
          </w:rPr>
          <w:t>https://www.riotinto.com/en/can/news/releases/2023/road-to-a-greener-future-rio-tinto-partners-with-bmw-group-on-premium-aluminium-car-parts</w:t>
        </w:r>
      </w:hyperlink>
    </w:p>
    <w:p w14:paraId="26C1101C"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(2024a) ‘New cups produced with Rio Tinto aluminium to debut at the Bell Centre’, 23 January.</w:t>
      </w:r>
      <w:r w:rsidRPr="00E42A12">
        <w:rPr>
          <w:rFonts w:eastAsia="Times New Roman"/>
          <w:sz w:val="24"/>
          <w:szCs w:val="24"/>
        </w:rPr>
        <w:br/>
      </w:r>
      <w:hyperlink r:id="rId30">
        <w:r w:rsidR="00C23641" w:rsidRPr="00E42A12">
          <w:rPr>
            <w:rFonts w:eastAsia="Times New Roman"/>
            <w:color w:val="1155CC"/>
            <w:sz w:val="24"/>
            <w:szCs w:val="24"/>
            <w:u w:val="single"/>
          </w:rPr>
          <w:t>https://www.riotinto.com/can/news/releases/2024/new-cups-produced-with-rio-tinto-aluminium-to-debut-at-the-bell-centre</w:t>
        </w:r>
      </w:hyperlink>
    </w:p>
    <w:p w14:paraId="5793BBDE"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(2024b) ‘Rio Tinto investing for a stronger, more diversified portfolio’, 4 December.</w:t>
      </w:r>
      <w:r w:rsidRPr="00E42A12">
        <w:rPr>
          <w:rFonts w:eastAsia="Times New Roman"/>
          <w:sz w:val="24"/>
          <w:szCs w:val="24"/>
        </w:rPr>
        <w:br/>
      </w:r>
      <w:hyperlink r:id="rId31">
        <w:r w:rsidR="00C23641" w:rsidRPr="00E42A12">
          <w:rPr>
            <w:rFonts w:eastAsia="Times New Roman"/>
            <w:color w:val="1155CC"/>
            <w:sz w:val="24"/>
            <w:szCs w:val="24"/>
            <w:u w:val="single"/>
          </w:rPr>
          <w:t>https://www.riotinto.com/en/news/releases/2024/rio-tinto-investing-for-a-stronger-more-diversified-portfolio</w:t>
        </w:r>
      </w:hyperlink>
    </w:p>
    <w:p w14:paraId="599B083E"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(2025a) ‘ELYSIS achieves breakthrough with commercial-size cell: A first in aluminium production using inert-anode technology’, 13 November.</w:t>
      </w:r>
      <w:r w:rsidRPr="00E42A12">
        <w:rPr>
          <w:rFonts w:eastAsia="Times New Roman"/>
          <w:sz w:val="24"/>
          <w:szCs w:val="24"/>
        </w:rPr>
        <w:br/>
      </w:r>
      <w:hyperlink r:id="rId32">
        <w:r w:rsidR="00C23641" w:rsidRPr="00E42A12">
          <w:rPr>
            <w:rFonts w:eastAsia="Times New Roman"/>
            <w:color w:val="1155CC"/>
            <w:sz w:val="24"/>
            <w:szCs w:val="24"/>
            <w:u w:val="single"/>
          </w:rPr>
          <w:t>https://www.riotinto.com/en/news/releases/2025/elysis-achieves-breakthrough-with-commercial-size-cell</w:t>
        </w:r>
      </w:hyperlink>
    </w:p>
    <w:p w14:paraId="2B980F23"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(2025b) ‘Rio Tinto and AMG Metals &amp; Materials to assess low-carbon aluminium project in India’, 17 April.</w:t>
      </w:r>
      <w:r w:rsidRPr="00E42A12">
        <w:rPr>
          <w:rFonts w:eastAsia="Times New Roman"/>
          <w:sz w:val="24"/>
          <w:szCs w:val="24"/>
        </w:rPr>
        <w:br/>
      </w:r>
      <w:hyperlink r:id="rId33">
        <w:r w:rsidR="00C23641" w:rsidRPr="00E42A12">
          <w:rPr>
            <w:rFonts w:eastAsia="Times New Roman"/>
            <w:color w:val="1155CC"/>
            <w:sz w:val="24"/>
            <w:szCs w:val="24"/>
            <w:u w:val="single"/>
          </w:rPr>
          <w:t>https://www.riotinto.com/en/news/releases/2025/rio-tinto-and-amg-metals--materials-to-assess-low-carbon-aluminium-project-in-india</w:t>
        </w:r>
      </w:hyperlink>
    </w:p>
    <w:p w14:paraId="038978AD"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(2025c) ‘Rio Tinto and Edify Energy sign landmark solar and battery agreement for Rio Tinto’s Gladstone operations’, 13 March.</w:t>
      </w:r>
      <w:r w:rsidRPr="00E42A12">
        <w:rPr>
          <w:rFonts w:eastAsia="Times New Roman"/>
          <w:sz w:val="24"/>
          <w:szCs w:val="24"/>
        </w:rPr>
        <w:br/>
      </w:r>
      <w:hyperlink r:id="rId34">
        <w:r w:rsidR="00C23641" w:rsidRPr="00E42A12">
          <w:rPr>
            <w:rFonts w:eastAsia="Times New Roman"/>
            <w:color w:val="1155CC"/>
            <w:sz w:val="24"/>
            <w:szCs w:val="24"/>
            <w:u w:val="single"/>
          </w:rPr>
          <w:t>https://www.riotinto.com/en/news/releases/2025/rio-tinto-and-edify-energy-sign-landmark-solar-and-battery-agreement-for-rio-tintos-gladstone-operations</w:t>
        </w:r>
      </w:hyperlink>
    </w:p>
    <w:p w14:paraId="4BE738D9"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(2025d) ‘Rio Tinto and Hydro partner on carbon-capture technologies for aluminium smelters’, 30 January.</w:t>
      </w:r>
      <w:r w:rsidRPr="00E42A12">
        <w:rPr>
          <w:rFonts w:eastAsia="Times New Roman"/>
          <w:sz w:val="24"/>
          <w:szCs w:val="24"/>
        </w:rPr>
        <w:br/>
      </w:r>
      <w:hyperlink r:id="rId35">
        <w:r w:rsidR="00C23641" w:rsidRPr="00E42A12">
          <w:rPr>
            <w:rFonts w:eastAsia="Times New Roman"/>
            <w:color w:val="1155CC"/>
            <w:sz w:val="24"/>
            <w:szCs w:val="24"/>
            <w:u w:val="single"/>
          </w:rPr>
          <w:t>https://www.riotinto.com/en/news/releases/2025/rio-tinto-and-hydro-partner-on-carbon-capture-technologies-for-aluminium-smelters</w:t>
        </w:r>
      </w:hyperlink>
    </w:p>
    <w:p w14:paraId="007CB8EC"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lang w:val="it-IT"/>
        </w:rPr>
        <w:t xml:space="preserve">Rio Tinto (2026a) </w:t>
      </w:r>
      <w:r w:rsidRPr="00E42A12">
        <w:rPr>
          <w:rFonts w:eastAsia="Times New Roman"/>
          <w:i/>
          <w:iCs/>
          <w:sz w:val="24"/>
          <w:szCs w:val="24"/>
          <w:lang w:val="it-IT"/>
        </w:rPr>
        <w:t>Aluminium</w:t>
      </w:r>
      <w:r w:rsidRPr="00E42A12">
        <w:rPr>
          <w:rFonts w:eastAsia="Times New Roman"/>
          <w:sz w:val="24"/>
          <w:szCs w:val="24"/>
          <w:lang w:val="it-IT"/>
        </w:rPr>
        <w:t>. London: Rio Tinto.</w:t>
      </w:r>
      <w:r w:rsidRPr="00E42A12">
        <w:rPr>
          <w:rFonts w:eastAsia="Times New Roman"/>
          <w:sz w:val="24"/>
          <w:szCs w:val="24"/>
          <w:lang w:val="it-IT"/>
        </w:rPr>
        <w:br/>
      </w:r>
      <w:hyperlink r:id="rId36">
        <w:r w:rsidR="00C23641" w:rsidRPr="00E42A12">
          <w:rPr>
            <w:rFonts w:eastAsia="Times New Roman"/>
            <w:color w:val="1155CC"/>
            <w:sz w:val="24"/>
            <w:szCs w:val="24"/>
            <w:u w:val="single"/>
          </w:rPr>
          <w:t>https://www.riotinto.com/en/operations/aluminium</w:t>
        </w:r>
      </w:hyperlink>
    </w:p>
    <w:p w14:paraId="4BCEF247"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lang w:val="it-IT"/>
        </w:rPr>
        <w:t xml:space="preserve">Rio Tinto (2026b) </w:t>
      </w:r>
      <w:r w:rsidRPr="00E42A12">
        <w:rPr>
          <w:rFonts w:eastAsia="Times New Roman"/>
          <w:i/>
          <w:iCs/>
          <w:sz w:val="24"/>
          <w:szCs w:val="24"/>
          <w:lang w:val="it-IT"/>
        </w:rPr>
        <w:t>Annual Report 2025</w:t>
      </w:r>
      <w:r w:rsidRPr="00E42A12">
        <w:rPr>
          <w:rFonts w:eastAsia="Times New Roman"/>
          <w:sz w:val="24"/>
          <w:szCs w:val="24"/>
          <w:lang w:val="it-IT"/>
        </w:rPr>
        <w:t>. London: Rio Tinto.</w:t>
      </w:r>
      <w:r w:rsidRPr="00E42A12">
        <w:rPr>
          <w:rFonts w:eastAsia="Times New Roman"/>
          <w:sz w:val="24"/>
          <w:szCs w:val="24"/>
          <w:lang w:val="it-IT"/>
        </w:rPr>
        <w:br/>
      </w:r>
      <w:hyperlink r:id="rId37">
        <w:r w:rsidR="00C23641" w:rsidRPr="00E42A12">
          <w:rPr>
            <w:rFonts w:eastAsia="Times New Roman"/>
            <w:color w:val="1155CC"/>
            <w:sz w:val="24"/>
            <w:szCs w:val="24"/>
            <w:u w:val="single"/>
            <w:lang w:val="it-IT"/>
          </w:rPr>
          <w:t>https://www.riotinto.com/en/invest/reports/annual-report</w:t>
        </w:r>
      </w:hyperlink>
    </w:p>
    <w:p w14:paraId="5D315EA4"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lang w:val="it-IT"/>
        </w:rPr>
        <w:t xml:space="preserve">Rio Tinto (2026c) </w:t>
      </w:r>
      <w:r w:rsidRPr="00E42A12">
        <w:rPr>
          <w:rFonts w:eastAsia="Times New Roman"/>
          <w:i/>
          <w:iCs/>
          <w:sz w:val="24"/>
          <w:szCs w:val="24"/>
          <w:lang w:val="it-IT"/>
        </w:rPr>
        <w:t>Climate Reporting 2025</w:t>
      </w:r>
      <w:r w:rsidRPr="00E42A12">
        <w:rPr>
          <w:rFonts w:eastAsia="Times New Roman"/>
          <w:sz w:val="24"/>
          <w:szCs w:val="24"/>
          <w:lang w:val="it-IT"/>
        </w:rPr>
        <w:t>. London: Rio Tinto.</w:t>
      </w:r>
      <w:r w:rsidRPr="00E42A12">
        <w:rPr>
          <w:rFonts w:eastAsia="Times New Roman"/>
          <w:sz w:val="24"/>
          <w:szCs w:val="24"/>
          <w:lang w:val="it-IT"/>
        </w:rPr>
        <w:br/>
      </w:r>
      <w:hyperlink r:id="rId38">
        <w:r w:rsidR="00C23641" w:rsidRPr="00E42A12">
          <w:rPr>
            <w:rFonts w:eastAsia="Times New Roman"/>
            <w:color w:val="1155CC"/>
            <w:sz w:val="24"/>
            <w:szCs w:val="24"/>
            <w:u w:val="single"/>
            <w:lang w:val="it-IT"/>
          </w:rPr>
          <w:t>https://www.riotinto.com/en/invest/reports</w:t>
        </w:r>
      </w:hyperlink>
    </w:p>
    <w:p w14:paraId="4A089E82"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rPr>
        <w:t xml:space="preserve">Rio Tinto (2026d) </w:t>
      </w:r>
      <w:r w:rsidRPr="00E42A12">
        <w:rPr>
          <w:rFonts w:eastAsia="Times New Roman"/>
          <w:i/>
          <w:iCs/>
          <w:sz w:val="24"/>
          <w:szCs w:val="24"/>
        </w:rPr>
        <w:t>Indigenous and Land-Connected Peoples</w:t>
      </w:r>
      <w:r w:rsidRPr="00E42A12">
        <w:rPr>
          <w:rFonts w:eastAsia="Times New Roman"/>
          <w:sz w:val="24"/>
          <w:szCs w:val="24"/>
        </w:rPr>
        <w:t xml:space="preserve">. </w:t>
      </w:r>
      <w:r w:rsidRPr="00E42A12">
        <w:rPr>
          <w:rFonts w:eastAsia="Times New Roman"/>
          <w:sz w:val="24"/>
          <w:szCs w:val="24"/>
          <w:lang w:val="it-IT"/>
        </w:rPr>
        <w:t>London: Rio Tinto.</w:t>
      </w:r>
      <w:r w:rsidRPr="00E42A12">
        <w:rPr>
          <w:rFonts w:eastAsia="Times New Roman"/>
          <w:sz w:val="24"/>
          <w:szCs w:val="24"/>
          <w:lang w:val="it-IT"/>
        </w:rPr>
        <w:br/>
      </w:r>
      <w:hyperlink r:id="rId39">
        <w:r w:rsidR="00C23641" w:rsidRPr="00E42A12">
          <w:rPr>
            <w:rFonts w:eastAsia="Times New Roman"/>
            <w:color w:val="1155CC"/>
            <w:sz w:val="24"/>
            <w:szCs w:val="24"/>
            <w:u w:val="single"/>
            <w:lang w:val="it-IT"/>
          </w:rPr>
          <w:t>https://www.riotinto.com/sustainability/communities/indigenous-peoples</w:t>
        </w:r>
      </w:hyperlink>
    </w:p>
    <w:p w14:paraId="47B5AE67"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lang w:val="it-IT"/>
        </w:rPr>
        <w:t xml:space="preserve">Rio Tinto (2026e) </w:t>
      </w:r>
      <w:r w:rsidRPr="00E42A12">
        <w:rPr>
          <w:rFonts w:eastAsia="Times New Roman"/>
          <w:i/>
          <w:iCs/>
          <w:sz w:val="24"/>
          <w:szCs w:val="24"/>
          <w:lang w:val="it-IT"/>
        </w:rPr>
        <w:t>Key Performance Indicators: Annual Report 2025</w:t>
      </w:r>
      <w:r w:rsidRPr="00E42A12">
        <w:rPr>
          <w:rFonts w:eastAsia="Times New Roman"/>
          <w:sz w:val="24"/>
          <w:szCs w:val="24"/>
          <w:lang w:val="it-IT"/>
        </w:rPr>
        <w:t>. London: Rio Tinto.</w:t>
      </w:r>
      <w:r w:rsidRPr="00E42A12">
        <w:rPr>
          <w:rFonts w:eastAsia="Times New Roman"/>
          <w:sz w:val="24"/>
          <w:szCs w:val="24"/>
          <w:lang w:val="it-IT"/>
        </w:rPr>
        <w:br/>
      </w:r>
      <w:hyperlink r:id="rId40">
        <w:r w:rsidR="00C23641" w:rsidRPr="00E42A12">
          <w:rPr>
            <w:rFonts w:eastAsia="Times New Roman"/>
            <w:color w:val="1155CC"/>
            <w:sz w:val="24"/>
            <w:szCs w:val="24"/>
            <w:u w:val="single"/>
            <w:lang w:val="it-IT"/>
          </w:rPr>
          <w:t>https://www.riotinto.com/en/invest/reports/annual-report/key-performance-indicators</w:t>
        </w:r>
      </w:hyperlink>
    </w:p>
    <w:p w14:paraId="1FF082B5"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rPr>
        <w:t xml:space="preserve">Rio Tinto (2026f) </w:t>
      </w:r>
      <w:r w:rsidRPr="00E42A12">
        <w:rPr>
          <w:rFonts w:eastAsia="Times New Roman"/>
          <w:i/>
          <w:iCs/>
          <w:sz w:val="24"/>
          <w:szCs w:val="24"/>
        </w:rPr>
        <w:t>Our Business</w:t>
      </w:r>
      <w:r w:rsidRPr="00E42A12">
        <w:rPr>
          <w:rFonts w:eastAsia="Times New Roman"/>
          <w:sz w:val="24"/>
          <w:szCs w:val="24"/>
        </w:rPr>
        <w:t xml:space="preserve">. </w:t>
      </w:r>
      <w:r w:rsidRPr="00E42A12">
        <w:rPr>
          <w:rFonts w:eastAsia="Times New Roman"/>
          <w:sz w:val="24"/>
          <w:szCs w:val="24"/>
          <w:lang w:val="it-IT"/>
        </w:rPr>
        <w:t>London: Rio Tinto.</w:t>
      </w:r>
      <w:r w:rsidRPr="00E42A12">
        <w:rPr>
          <w:rFonts w:eastAsia="Times New Roman"/>
          <w:sz w:val="24"/>
          <w:szCs w:val="24"/>
          <w:lang w:val="it-IT"/>
        </w:rPr>
        <w:br/>
      </w:r>
      <w:hyperlink r:id="rId41">
        <w:r w:rsidR="00C23641" w:rsidRPr="00E42A12">
          <w:rPr>
            <w:rFonts w:eastAsia="Times New Roman"/>
            <w:color w:val="1155CC"/>
            <w:sz w:val="24"/>
            <w:szCs w:val="24"/>
            <w:u w:val="single"/>
            <w:lang w:val="it-IT"/>
          </w:rPr>
          <w:t>https://www.riotinto.com/en/about/our-business</w:t>
        </w:r>
      </w:hyperlink>
    </w:p>
    <w:p w14:paraId="68D312B2"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(2026g) ‘Rio Tinto and Prysmian partner to deliver innovative low-carbon aluminium solutions for the data-centre market’, 12 March.</w:t>
      </w:r>
      <w:r w:rsidRPr="00E42A12">
        <w:rPr>
          <w:rFonts w:eastAsia="Times New Roman"/>
          <w:sz w:val="24"/>
          <w:szCs w:val="24"/>
        </w:rPr>
        <w:br/>
      </w:r>
      <w:hyperlink r:id="rId42">
        <w:r w:rsidR="00C23641" w:rsidRPr="00E42A12">
          <w:rPr>
            <w:rFonts w:eastAsia="Times New Roman"/>
            <w:color w:val="1155CC"/>
            <w:sz w:val="24"/>
            <w:szCs w:val="24"/>
            <w:u w:val="single"/>
          </w:rPr>
          <w:t>https://www.riotinto.com/can/news/releases/2026/rio-tinto-and-prysmian-partner-to-deliver-innovative-low-carbon-aluminium-solutions</w:t>
        </w:r>
      </w:hyperlink>
    </w:p>
    <w:p w14:paraId="048138AB"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(2026h) ‘Rio Tinto commissions $1.5 billion AP60 smelter expansion in Quebec’, 29 May.</w:t>
      </w:r>
      <w:r w:rsidRPr="00E42A12">
        <w:rPr>
          <w:rFonts w:eastAsia="Times New Roman"/>
          <w:sz w:val="24"/>
          <w:szCs w:val="24"/>
        </w:rPr>
        <w:br/>
      </w:r>
      <w:hyperlink r:id="rId43">
        <w:r w:rsidR="00C23641" w:rsidRPr="00E42A12">
          <w:rPr>
            <w:rFonts w:eastAsia="Times New Roman"/>
            <w:color w:val="1155CC"/>
            <w:sz w:val="24"/>
            <w:szCs w:val="24"/>
            <w:u w:val="single"/>
          </w:rPr>
          <w:t>https://www.riotinto.com/en/can/news/releases/2026/rio-tinto-commissions-1-5-billion-ap60-smelter-expansion-in-quebec</w:t>
        </w:r>
      </w:hyperlink>
    </w:p>
    <w:p w14:paraId="6C67B137"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Rio Tinto (2026i) ‘Rio Tinto strengthens its global low-carbon aluminium footprint through joint acquisition with Chalco of Votorantim’s interest in CBA’, 30 January.</w:t>
      </w:r>
      <w:r w:rsidRPr="00E42A12">
        <w:rPr>
          <w:rFonts w:eastAsia="Times New Roman"/>
          <w:sz w:val="24"/>
          <w:szCs w:val="24"/>
        </w:rPr>
        <w:br/>
      </w:r>
      <w:hyperlink r:id="rId44">
        <w:r w:rsidR="00C23641" w:rsidRPr="00E42A12">
          <w:rPr>
            <w:rFonts w:eastAsia="Times New Roman"/>
            <w:color w:val="1155CC"/>
            <w:sz w:val="24"/>
            <w:szCs w:val="24"/>
            <w:u w:val="single"/>
          </w:rPr>
          <w:t>https://www.riotinto.com/en/news/releases/2026/rio-tinto-strengthens-its-global-low-carbon-aluminium-footprint-through-joint-acquisition-with-chalco-of-votorantims-interest-in-cba</w:t>
        </w:r>
      </w:hyperlink>
    </w:p>
    <w:p w14:paraId="6106748E" w14:textId="77777777" w:rsidR="00C23641" w:rsidRPr="00E42A12" w:rsidRDefault="00AD02E6">
      <w:pPr>
        <w:numPr>
          <w:ilvl w:val="0"/>
          <w:numId w:val="1"/>
        </w:numPr>
        <w:jc w:val="both"/>
        <w:rPr>
          <w:rFonts w:eastAsia="Times New Roman"/>
          <w:sz w:val="24"/>
          <w:szCs w:val="24"/>
          <w:lang w:val="it-IT"/>
        </w:rPr>
      </w:pPr>
      <w:r w:rsidRPr="00E42A12">
        <w:rPr>
          <w:rFonts w:eastAsia="Times New Roman"/>
          <w:sz w:val="24"/>
          <w:szCs w:val="24"/>
        </w:rPr>
        <w:t xml:space="preserve">Rio Tinto (2026j) </w:t>
      </w:r>
      <w:r w:rsidRPr="00E42A12">
        <w:rPr>
          <w:rFonts w:eastAsia="Times New Roman"/>
          <w:i/>
          <w:iCs/>
          <w:sz w:val="24"/>
          <w:szCs w:val="24"/>
        </w:rPr>
        <w:t>START: Sustainability, Traceability and Assurance by Rio Tinto</w:t>
      </w:r>
      <w:r w:rsidRPr="00E42A12">
        <w:rPr>
          <w:rFonts w:eastAsia="Times New Roman"/>
          <w:sz w:val="24"/>
          <w:szCs w:val="24"/>
        </w:rPr>
        <w:t xml:space="preserve">. </w:t>
      </w:r>
      <w:r w:rsidRPr="00E42A12">
        <w:rPr>
          <w:rFonts w:eastAsia="Times New Roman"/>
          <w:sz w:val="24"/>
          <w:szCs w:val="24"/>
          <w:lang w:val="it-IT"/>
        </w:rPr>
        <w:t>London: Rio Tinto.</w:t>
      </w:r>
      <w:r w:rsidRPr="00E42A12">
        <w:rPr>
          <w:rFonts w:eastAsia="Times New Roman"/>
          <w:sz w:val="24"/>
          <w:szCs w:val="24"/>
          <w:lang w:val="it-IT"/>
        </w:rPr>
        <w:br/>
      </w:r>
      <w:hyperlink r:id="rId45">
        <w:r w:rsidR="00C23641" w:rsidRPr="00E42A12">
          <w:rPr>
            <w:rFonts w:eastAsia="Times New Roman"/>
            <w:color w:val="1155CC"/>
            <w:sz w:val="24"/>
            <w:szCs w:val="24"/>
            <w:u w:val="single"/>
            <w:lang w:val="it-IT"/>
          </w:rPr>
          <w:t>https://www.riotinto.com/sustainability/ethics-compliance/value-chain/start</w:t>
        </w:r>
      </w:hyperlink>
    </w:p>
    <w:p w14:paraId="4FB242E0"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lang w:val="it-IT"/>
        </w:rPr>
        <w:t xml:space="preserve">Rio Tinto (2026k) </w:t>
      </w:r>
      <w:r w:rsidRPr="00E42A12">
        <w:rPr>
          <w:rFonts w:eastAsia="Times New Roman"/>
          <w:i/>
          <w:iCs/>
          <w:sz w:val="24"/>
          <w:szCs w:val="24"/>
          <w:lang w:val="it-IT"/>
        </w:rPr>
        <w:t>Sustainability Reporting 2025</w:t>
      </w:r>
      <w:r w:rsidRPr="00E42A12">
        <w:rPr>
          <w:rFonts w:eastAsia="Times New Roman"/>
          <w:sz w:val="24"/>
          <w:szCs w:val="24"/>
          <w:lang w:val="it-IT"/>
        </w:rPr>
        <w:t>. London: Rio Tinto.</w:t>
      </w:r>
      <w:r w:rsidRPr="00E42A12">
        <w:rPr>
          <w:rFonts w:eastAsia="Times New Roman"/>
          <w:sz w:val="24"/>
          <w:szCs w:val="24"/>
          <w:lang w:val="it-IT"/>
        </w:rPr>
        <w:br/>
      </w:r>
      <w:hyperlink r:id="rId46">
        <w:r w:rsidR="00C23641" w:rsidRPr="00E42A12">
          <w:rPr>
            <w:rFonts w:eastAsia="Times New Roman"/>
            <w:color w:val="1155CC"/>
            <w:sz w:val="24"/>
            <w:szCs w:val="24"/>
            <w:u w:val="single"/>
          </w:rPr>
          <w:t>https://www.riotinto.com/en/invest/reports</w:t>
        </w:r>
      </w:hyperlink>
    </w:p>
    <w:p w14:paraId="04BC7CAC"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Sánchez, L.E. and Morrison-Saunders, A. (2025) ‘Mine closure planning must face the challenge of delivering nature-positive outcomes’, </w:t>
      </w:r>
      <w:r w:rsidRPr="00E42A12">
        <w:rPr>
          <w:rFonts w:eastAsia="Times New Roman"/>
          <w:i/>
          <w:iCs/>
          <w:sz w:val="24"/>
          <w:szCs w:val="24"/>
        </w:rPr>
        <w:t>Research Directions: Mine Closure and Transitions</w:t>
      </w:r>
      <w:r w:rsidRPr="00E42A12">
        <w:rPr>
          <w:rFonts w:eastAsia="Times New Roman"/>
          <w:sz w:val="24"/>
          <w:szCs w:val="24"/>
        </w:rPr>
        <w:t>, 2, article e1.</w:t>
      </w:r>
      <w:r w:rsidRPr="00E42A12">
        <w:rPr>
          <w:rFonts w:eastAsia="Times New Roman"/>
          <w:sz w:val="24"/>
          <w:szCs w:val="24"/>
        </w:rPr>
        <w:br/>
      </w:r>
      <w:hyperlink r:id="rId47">
        <w:r w:rsidR="00C23641" w:rsidRPr="00E42A12">
          <w:rPr>
            <w:rFonts w:eastAsia="Times New Roman"/>
            <w:color w:val="1155CC"/>
            <w:sz w:val="24"/>
            <w:szCs w:val="24"/>
            <w:u w:val="single"/>
          </w:rPr>
          <w:t>https://doi.org/10.1017/mcl.2025.1</w:t>
        </w:r>
      </w:hyperlink>
    </w:p>
    <w:p w14:paraId="4E07782C" w14:textId="77777777" w:rsidR="00C23641" w:rsidRPr="00E42A12" w:rsidRDefault="00AD02E6">
      <w:pPr>
        <w:numPr>
          <w:ilvl w:val="0"/>
          <w:numId w:val="1"/>
        </w:numPr>
        <w:jc w:val="both"/>
        <w:rPr>
          <w:rFonts w:eastAsia="Times New Roman"/>
          <w:sz w:val="24"/>
          <w:szCs w:val="24"/>
        </w:rPr>
      </w:pPr>
      <w:r w:rsidRPr="00E42A12">
        <w:rPr>
          <w:rFonts w:eastAsia="Times New Roman"/>
          <w:sz w:val="24"/>
          <w:szCs w:val="24"/>
        </w:rPr>
        <w:t xml:space="preserve">Yang, S.J. (2024) ‘Ensuring data privacy in AI/ML implementation’, </w:t>
      </w:r>
      <w:r w:rsidRPr="00E42A12">
        <w:rPr>
          <w:rFonts w:eastAsia="Times New Roman"/>
          <w:i/>
          <w:iCs/>
          <w:sz w:val="24"/>
          <w:szCs w:val="24"/>
        </w:rPr>
        <w:t>New Directions for Higher Education</w:t>
      </w:r>
      <w:r w:rsidRPr="00E42A12">
        <w:rPr>
          <w:rFonts w:eastAsia="Times New Roman"/>
          <w:sz w:val="24"/>
          <w:szCs w:val="24"/>
        </w:rPr>
        <w:t>, 2024, pp. 63–78.</w:t>
      </w:r>
      <w:r w:rsidRPr="00E42A12">
        <w:rPr>
          <w:rFonts w:eastAsia="Times New Roman"/>
          <w:sz w:val="24"/>
          <w:szCs w:val="24"/>
        </w:rPr>
        <w:br/>
      </w:r>
      <w:hyperlink r:id="rId48">
        <w:r w:rsidR="00C23641" w:rsidRPr="00E42A12">
          <w:rPr>
            <w:rFonts w:eastAsia="Times New Roman"/>
            <w:color w:val="1155CC"/>
            <w:sz w:val="24"/>
            <w:szCs w:val="24"/>
            <w:u w:val="single"/>
          </w:rPr>
          <w:t>https://doi.org/10.1002/he.20509</w:t>
        </w:r>
      </w:hyperlink>
    </w:p>
    <w:p w14:paraId="0F9A17D7" w14:textId="77777777" w:rsidR="00C23641" w:rsidRPr="00E42A12" w:rsidRDefault="00AD02E6">
      <w:pPr>
        <w:numPr>
          <w:ilvl w:val="0"/>
          <w:numId w:val="1"/>
        </w:numPr>
        <w:spacing w:after="240"/>
        <w:jc w:val="both"/>
        <w:rPr>
          <w:rFonts w:eastAsia="Times New Roman"/>
          <w:sz w:val="24"/>
          <w:szCs w:val="24"/>
        </w:rPr>
      </w:pPr>
      <w:r w:rsidRPr="00E42A12">
        <w:rPr>
          <w:rFonts w:eastAsia="Times New Roman"/>
          <w:sz w:val="24"/>
          <w:szCs w:val="24"/>
        </w:rPr>
        <w:t xml:space="preserve">Zhou, Y., Chen, L., Zhang, Y. and Li, W. (2024) ‘Environmental disclosure greenwashing and corporate value: The premium effect and premium devalue of environmental information’, </w:t>
      </w:r>
      <w:r w:rsidRPr="00E42A12">
        <w:rPr>
          <w:rFonts w:eastAsia="Times New Roman"/>
          <w:i/>
          <w:iCs/>
          <w:sz w:val="24"/>
          <w:szCs w:val="24"/>
        </w:rPr>
        <w:t>Corporate Social Responsibility and Environmental Management</w:t>
      </w:r>
      <w:r w:rsidRPr="00E42A12">
        <w:rPr>
          <w:rFonts w:eastAsia="Times New Roman"/>
          <w:sz w:val="24"/>
          <w:szCs w:val="24"/>
        </w:rPr>
        <w:t>, 31(3), pp. 2424–2438.</w:t>
      </w:r>
      <w:r w:rsidRPr="00E42A12">
        <w:rPr>
          <w:rFonts w:eastAsia="Times New Roman"/>
          <w:sz w:val="24"/>
          <w:szCs w:val="24"/>
        </w:rPr>
        <w:br/>
      </w:r>
      <w:hyperlink r:id="rId49">
        <w:r w:rsidR="00C23641" w:rsidRPr="00E42A12">
          <w:rPr>
            <w:rFonts w:eastAsia="Times New Roman"/>
            <w:color w:val="1155CC"/>
            <w:sz w:val="24"/>
            <w:szCs w:val="24"/>
            <w:u w:val="single"/>
          </w:rPr>
          <w:t>https://doi.org/10.1002/csr.2698</w:t>
        </w:r>
      </w:hyperlink>
    </w:p>
    <w:p w14:paraId="5C7ED2AB" w14:textId="77777777" w:rsidR="00897261" w:rsidRDefault="00897261" w:rsidP="00897261">
      <w:pPr>
        <w:jc w:val="center"/>
        <w:rPr>
          <w:rFonts w:ascii="Calibri" w:eastAsia="Times New Roman" w:hAnsi="Calibri" w:cs="Calibri"/>
          <w:i/>
          <w:iCs/>
          <w:color w:val="1F497D" w:themeColor="text2"/>
          <w:sz w:val="200"/>
          <w:szCs w:val="200"/>
        </w:rPr>
      </w:pPr>
    </w:p>
    <w:p w14:paraId="25913D24" w14:textId="11AE083D" w:rsidR="00C23641" w:rsidRPr="00897261" w:rsidRDefault="00897261" w:rsidP="00897261">
      <w:pPr>
        <w:jc w:val="center"/>
        <w:rPr>
          <w:rFonts w:ascii="Calibri" w:eastAsia="Times New Roman" w:hAnsi="Calibri" w:cs="Calibri"/>
          <w:i/>
          <w:iCs/>
          <w:color w:val="1F497D" w:themeColor="text2"/>
          <w:sz w:val="200"/>
          <w:szCs w:val="200"/>
        </w:rPr>
      </w:pPr>
      <w:r w:rsidRPr="00897261">
        <w:rPr>
          <w:rFonts w:ascii="Calibri" w:eastAsia="Times New Roman" w:hAnsi="Calibri" w:cs="Calibri"/>
          <w:i/>
          <w:iCs/>
          <w:color w:val="1F497D" w:themeColor="text2"/>
          <w:sz w:val="200"/>
          <w:szCs w:val="200"/>
        </w:rPr>
        <w:t>Thank you</w:t>
      </w:r>
    </w:p>
    <w:sectPr w:rsidR="00C23641" w:rsidRPr="00897261">
      <w:headerReference w:type="even" r:id="rId50"/>
      <w:headerReference w:type="default" r:id="rId51"/>
      <w:footerReference w:type="even" r:id="rId52"/>
      <w:footerReference w:type="default" r:id="rId53"/>
      <w:headerReference w:type="first" r:id="rId54"/>
      <w:footerReference w:type="first" r:id="rId55"/>
      <w:pgSz w:w="12240" w:h="15840"/>
      <w:pgMar w:top="1411" w:right="1411" w:bottom="1411" w:left="1417"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0824C" w14:textId="77777777" w:rsidR="007D06EE" w:rsidRDefault="007D06EE">
      <w:pPr>
        <w:spacing w:line="240" w:lineRule="auto"/>
      </w:pPr>
      <w:r>
        <w:separator/>
      </w:r>
    </w:p>
  </w:endnote>
  <w:endnote w:type="continuationSeparator" w:id="0">
    <w:p w14:paraId="14AADB89" w14:textId="77777777" w:rsidR="007D06EE" w:rsidRDefault="007D06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4724A01E-882E-1B45-B916-6C127463BD96}"/>
  </w:font>
  <w:font w:name="Calibri">
    <w:panose1 w:val="020F0502020204030204"/>
    <w:charset w:val="00"/>
    <w:family w:val="swiss"/>
    <w:pitch w:val="variable"/>
    <w:sig w:usb0="E4002EFF" w:usb1="C200ACFF" w:usb2="00000009" w:usb3="00000000" w:csb0="000001FF" w:csb1="00000000"/>
    <w:embedRegular r:id="rId2" w:fontKey="{6D6F6635-A01E-40CE-98DE-30E75AB988E5}"/>
    <w:embedItalic r:id="rId3" w:fontKey="{FE7B0D16-F8D4-4596-949C-1A75B41E4E1D}"/>
  </w:font>
  <w:font w:name="Mangal">
    <w:panose1 w:val="02040503050203030202"/>
    <w:charset w:val="01"/>
    <w:family w:val="roman"/>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4" w:fontKey="{9E9C2652-A508-6F4A-B9FB-64419D5A9A1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7125C" w14:textId="77777777" w:rsidR="00AD02E6" w:rsidRDefault="00AD02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D01874" w14:textId="77777777" w:rsidR="00C23641" w:rsidRDefault="00AD02E6">
    <w:pPr>
      <w:jc w:val="right"/>
    </w:pPr>
    <w:r>
      <w:fldChar w:fldCharType="begin"/>
    </w:r>
    <w:r>
      <w:instrText>PAGE</w:instrText>
    </w:r>
    <w:r>
      <w:fldChar w:fldCharType="separate"/>
    </w:r>
    <w:r w:rsidR="00E42A12">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E5FEA" w14:textId="77777777" w:rsidR="00AD02E6" w:rsidRDefault="00AD0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9ECFB" w14:textId="77777777" w:rsidR="007D06EE" w:rsidRDefault="007D06EE">
      <w:pPr>
        <w:spacing w:line="240" w:lineRule="auto"/>
      </w:pPr>
      <w:r>
        <w:separator/>
      </w:r>
    </w:p>
  </w:footnote>
  <w:footnote w:type="continuationSeparator" w:id="0">
    <w:p w14:paraId="2B69F133" w14:textId="77777777" w:rsidR="007D06EE" w:rsidRDefault="007D06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1FB1F" w14:textId="77777777" w:rsidR="00AD02E6" w:rsidRDefault="00AD02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9F178" w14:textId="77777777" w:rsidR="00C23641" w:rsidRDefault="00C23641"/>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FB7CA" w14:textId="77777777" w:rsidR="00AD02E6" w:rsidRDefault="00AD02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C81B02"/>
    <w:multiLevelType w:val="multilevel"/>
    <w:tmpl w:val="73307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9144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641"/>
    <w:rsid w:val="007D06EE"/>
    <w:rsid w:val="00897261"/>
    <w:rsid w:val="00AD02E6"/>
    <w:rsid w:val="00B6136E"/>
    <w:rsid w:val="00BC272A"/>
    <w:rsid w:val="00C23641"/>
    <w:rsid w:val="00E42A12"/>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C58CC5"/>
  <w15:docId w15:val="{D1D97A7A-04C5-4812-B234-81FBA3A51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D02E6"/>
    <w:pPr>
      <w:tabs>
        <w:tab w:val="center" w:pos="4680"/>
        <w:tab w:val="right" w:pos="9360"/>
      </w:tabs>
      <w:spacing w:line="240" w:lineRule="auto"/>
    </w:pPr>
  </w:style>
  <w:style w:type="character" w:customStyle="1" w:styleId="HeaderChar">
    <w:name w:val="Header Char"/>
    <w:basedOn w:val="DefaultParagraphFont"/>
    <w:link w:val="Header"/>
    <w:uiPriority w:val="99"/>
    <w:rsid w:val="00AD02E6"/>
  </w:style>
  <w:style w:type="paragraph" w:styleId="Footer">
    <w:name w:val="footer"/>
    <w:basedOn w:val="Normal"/>
    <w:link w:val="FooterChar"/>
    <w:uiPriority w:val="99"/>
    <w:unhideWhenUsed/>
    <w:rsid w:val="00AD02E6"/>
    <w:pPr>
      <w:tabs>
        <w:tab w:val="center" w:pos="4680"/>
        <w:tab w:val="right" w:pos="9360"/>
      </w:tabs>
      <w:spacing w:line="240" w:lineRule="auto"/>
    </w:pPr>
  </w:style>
  <w:style w:type="character" w:customStyle="1" w:styleId="FooterChar">
    <w:name w:val="Footer Char"/>
    <w:basedOn w:val="DefaultParagraphFont"/>
    <w:link w:val="Footer"/>
    <w:uiPriority w:val="99"/>
    <w:rsid w:val="00AD0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57/s41599-024-03526-z" TargetMode="External" /><Relationship Id="rId18" Type="http://schemas.openxmlformats.org/officeDocument/2006/relationships/hyperlink" Target="https://taxation-customs.ec.europa.eu/carbon-border-adjustment-mechanism_en" TargetMode="External" /><Relationship Id="rId26" Type="http://schemas.openxmlformats.org/officeDocument/2006/relationships/hyperlink" Target="https://doi.org/10.1016/j.worlddev.2024.106724" TargetMode="External" /><Relationship Id="rId39" Type="http://schemas.openxmlformats.org/officeDocument/2006/relationships/hyperlink" Target="https://www.riotinto.com/sustainability/communities/indigenous-peoples" TargetMode="External" /><Relationship Id="rId21" Type="http://schemas.openxmlformats.org/officeDocument/2006/relationships/hyperlink" Target="https://international-aluminium.org/resources/greenhouse-gas-emissions-decline-in-aluminium-industry/" TargetMode="External" /><Relationship Id="rId34" Type="http://schemas.openxmlformats.org/officeDocument/2006/relationships/hyperlink" Target="https://www.riotinto.com/en/news/releases/2025/rio-tinto-and-edify-energy-sign-landmark-solar-and-battery-agreement-for-rio-tintos-gladstone-operations" TargetMode="External" /><Relationship Id="rId42" Type="http://schemas.openxmlformats.org/officeDocument/2006/relationships/hyperlink" Target="https://www.riotinto.com/can/news/releases/2026/rio-tinto-and-prysmian-partner-to-deliver-innovative-low-carbon-aluminium-solutions" TargetMode="External" /><Relationship Id="rId47" Type="http://schemas.openxmlformats.org/officeDocument/2006/relationships/hyperlink" Target="https://doi.org/10.1017/mcl.2025.1" TargetMode="External" /><Relationship Id="rId50" Type="http://schemas.openxmlformats.org/officeDocument/2006/relationships/header" Target="header1.xml" /><Relationship Id="rId55" Type="http://schemas.openxmlformats.org/officeDocument/2006/relationships/footer" Target="footer3.xml" /><Relationship Id="rId7" Type="http://schemas.openxmlformats.org/officeDocument/2006/relationships/image" Target="media/image1.png" /><Relationship Id="rId12" Type="http://schemas.openxmlformats.org/officeDocument/2006/relationships/hyperlink" Target="https://aluminium-stewardship.org/asi-recertifies-rio-tinto-aluminium-against-asi-performance-standard-v3" TargetMode="External" /><Relationship Id="rId17" Type="http://schemas.openxmlformats.org/officeDocument/2006/relationships/hyperlink" Target="https://doi.org/10.18653/v1/2024.findings-acl.212" TargetMode="External" /><Relationship Id="rId25" Type="http://schemas.openxmlformats.org/officeDocument/2006/relationships/hyperlink" Target="https://www.unesco.org/en/articles/guidance-generative-ai-education-and-research" TargetMode="External" /><Relationship Id="rId33" Type="http://schemas.openxmlformats.org/officeDocument/2006/relationships/hyperlink" Target="https://www.riotinto.com/en/news/releases/2025/rio-tinto-and-amg-metals--materials-to-assess-low-carbon-aluminium-project-in-india" TargetMode="External" /><Relationship Id="rId38" Type="http://schemas.openxmlformats.org/officeDocument/2006/relationships/hyperlink" Target="https://www.riotinto.com/en/invest/reports" TargetMode="External" /><Relationship Id="rId46" Type="http://schemas.openxmlformats.org/officeDocument/2006/relationships/hyperlink" Target="https://www.riotinto.com/en/invest/reports" TargetMode="External" /><Relationship Id="rId2" Type="http://schemas.openxmlformats.org/officeDocument/2006/relationships/styles" Target="styles.xml" /><Relationship Id="rId16" Type="http://schemas.openxmlformats.org/officeDocument/2006/relationships/hyperlink" Target="https://www.justice.gc.ca/eng/declaration/legislation.html" TargetMode="External" /><Relationship Id="rId20" Type="http://schemas.openxmlformats.org/officeDocument/2006/relationships/hyperlink" Target="https://international-aluminium.org/report-reveals-global-aluminium-demand-to-reach-new-highs-after-covid/" TargetMode="External" /><Relationship Id="rId29" Type="http://schemas.openxmlformats.org/officeDocument/2006/relationships/hyperlink" Target="https://www.riotinto.com/en/can/news/releases/2023/road-to-a-greener-future-rio-tinto-partners-with-bmw-group-on-premium-aluminium-car-parts" TargetMode="External" /><Relationship Id="rId41" Type="http://schemas.openxmlformats.org/officeDocument/2006/relationships/hyperlink" Target="https://www.riotinto.com/en/about/our-business" TargetMode="External" /><Relationship Id="rId54" Type="http://schemas.openxmlformats.org/officeDocument/2006/relationships/header" Target="head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57/s41599-024-03432-4" TargetMode="External" /><Relationship Id="rId24" Type="http://schemas.openxmlformats.org/officeDocument/2006/relationships/hyperlink" Target="https://doi.org/10.1038/s41597-022-01547-4" TargetMode="External" /><Relationship Id="rId32" Type="http://schemas.openxmlformats.org/officeDocument/2006/relationships/hyperlink" Target="https://www.riotinto.com/en/news/releases/2025/elysis-achieves-breakthrough-with-commercial-size-cell" TargetMode="External" /><Relationship Id="rId37" Type="http://schemas.openxmlformats.org/officeDocument/2006/relationships/hyperlink" Target="https://www.riotinto.com/en/invest/reports/annual-report" TargetMode="External" /><Relationship Id="rId40" Type="http://schemas.openxmlformats.org/officeDocument/2006/relationships/hyperlink" Target="https://www.riotinto.com/en/invest/reports/annual-report/key-performance-indicators" TargetMode="External" /><Relationship Id="rId45" Type="http://schemas.openxmlformats.org/officeDocument/2006/relationships/hyperlink" Target="https://www.riotinto.com/sustainability/ethics-compliance/value-chain/start" TargetMode="External" /><Relationship Id="rId53"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www.dcceew.gov.au/climate-change/emissions-reporting/national-greenhouse-energy-reporting-scheme/safeguard-mechanism/overview" TargetMode="External" /><Relationship Id="rId23" Type="http://schemas.openxmlformats.org/officeDocument/2006/relationships/hyperlink" Target="https://doi.org/10.1016/j.jenvman.2024.123740" TargetMode="External" /><Relationship Id="rId28" Type="http://schemas.openxmlformats.org/officeDocument/2006/relationships/hyperlink" Target="https://www.riotinto.com/en/news/releases/2023/rio-tinto-and-giampaolo-group-complete-matalco-aluminium-recycling-transaction" TargetMode="External" /><Relationship Id="rId36" Type="http://schemas.openxmlformats.org/officeDocument/2006/relationships/hyperlink" Target="https://www.riotinto.com/en/operations/aluminium" TargetMode="External" /><Relationship Id="rId49" Type="http://schemas.openxmlformats.org/officeDocument/2006/relationships/hyperlink" Target="https://doi.org/10.1002/csr.2698" TargetMode="External" /><Relationship Id="rId57"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hyperlink" Target="https://finance.ec.europa.eu/financial-markets/company-reporting-and-auditing/company-reporting/corporate-sustainability-reporting_en" TargetMode="External" /><Relationship Id="rId31" Type="http://schemas.openxmlformats.org/officeDocument/2006/relationships/hyperlink" Target="https://www.riotinto.com/en/news/releases/2024/rio-tinto-investing-for-a-stronger-more-diversified-portfolio" TargetMode="External" /><Relationship Id="rId44" Type="http://schemas.openxmlformats.org/officeDocument/2006/relationships/hyperlink" Target="https://www.riotinto.com/en/news/releases/2026/rio-tinto-strengthens-its-global-low-carbon-aluminium-footprint-through-joint-acquisition-with-chalco-of-votorantims-interest-in-cba" TargetMode="External" /><Relationship Id="rId52"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1016/j.esr.2025.101853" TargetMode="External" /><Relationship Id="rId22" Type="http://schemas.openxmlformats.org/officeDocument/2006/relationships/hyperlink" Target="https://international-aluminium.org/landing/low-carbon-aluminium-factsheet/" TargetMode="External" /><Relationship Id="rId27" Type="http://schemas.openxmlformats.org/officeDocument/2006/relationships/hyperlink" Target="https://www.reuters.com/sustainability/decarbonizing-industries/how-aluminium-producers-are-trying-square-sky-high-emissions-with-role-net-zero-2025-05-14/" TargetMode="External" /><Relationship Id="rId30" Type="http://schemas.openxmlformats.org/officeDocument/2006/relationships/hyperlink" Target="https://www.riotinto.com/can/news/releases/2024/new-cups-produced-with-rio-tinto-aluminium-to-debut-at-the-bell-centre" TargetMode="External" /><Relationship Id="rId35" Type="http://schemas.openxmlformats.org/officeDocument/2006/relationships/hyperlink" Target="https://www.riotinto.com/en/news/releases/2025/rio-tinto-and-hydro-partner-on-carbon-capture-technologies-for-aluminium-smelters" TargetMode="External" /><Relationship Id="rId43" Type="http://schemas.openxmlformats.org/officeDocument/2006/relationships/hyperlink" Target="https://www.riotinto.com/en/can/news/releases/2026/rio-tinto-commissions-1-5-billion-ap60-smelter-expansion-in-quebec" TargetMode="External" /><Relationship Id="rId48" Type="http://schemas.openxmlformats.org/officeDocument/2006/relationships/hyperlink" Target="https://doi.org/10.1002/he.20509" TargetMode="External" /><Relationship Id="rId56" Type="http://schemas.openxmlformats.org/officeDocument/2006/relationships/fontTable" Target="fontTable.xml" /><Relationship Id="rId8" Type="http://schemas.openxmlformats.org/officeDocument/2006/relationships/image" Target="media/image2.png" /><Relationship Id="rId51" Type="http://schemas.openxmlformats.org/officeDocument/2006/relationships/header" Target="header2.xml" /><Relationship Id="rId3" Type="http://schemas.openxmlformats.org/officeDocument/2006/relationships/settings" Target="settings.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4963</Words>
  <Characters>28291</Characters>
  <Application>Microsoft Office Word</Application>
  <DocSecurity>0</DocSecurity>
  <Lines>235</Lines>
  <Paragraphs>66</Paragraphs>
  <ScaleCrop>false</ScaleCrop>
  <Company/>
  <LinksUpToDate>false</LinksUpToDate>
  <CharactersWithSpaces>33188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Abhijeet Kanel</cp:lastModifiedBy>
  <cp:revision>2</cp:revision>
  <dcterms:created xsi:type="dcterms:W3CDTF">2026-07-24T08:08:00Z</dcterms:created>
  <dcterms:modified xsi:type="dcterms:W3CDTF">2026-07-24T08:08:00Z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d1a89804-86d6-40b0-99e1-fda81f398790</vt:lpwstr>
  </property>
</Properties>
</file>