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62C82" w14:textId="174B6B3C" w:rsidR="00B96451" w:rsidRDefault="001874E9" w:rsidP="00287C8F">
      <w:pPr>
        <w:spacing w:line="480" w:lineRule="auto"/>
      </w:pPr>
      <w:r>
        <w:t xml:space="preserve">Critically discuss, citing empirical psychological research and giving real world examples, whether gambling disorder can be compared to substance use. </w:t>
      </w:r>
    </w:p>
    <w:p w14:paraId="41EBB217" w14:textId="4A5C518A" w:rsidR="00091B7F" w:rsidRDefault="00524520" w:rsidP="002057AA">
      <w:pPr>
        <w:spacing w:line="480" w:lineRule="auto"/>
      </w:pPr>
      <w:r>
        <w:t xml:space="preserve">The </w:t>
      </w:r>
      <w:r w:rsidRPr="00405A21">
        <w:rPr>
          <w:i/>
        </w:rPr>
        <w:t>Diagnostic and Statistical Manual of Mental Disorders</w:t>
      </w:r>
      <w:r>
        <w:t xml:space="preserve"> (DSM),</w:t>
      </w:r>
      <w:r w:rsidR="005A3C53">
        <w:t xml:space="preserve"> created in 1952 and</w:t>
      </w:r>
      <w:r>
        <w:t xml:space="preserve"> published by the American Psy</w:t>
      </w:r>
      <w:r w:rsidR="005A3C53">
        <w:t xml:space="preserve">chiatric Association (APA), </w:t>
      </w:r>
      <w:r w:rsidR="00E455B6">
        <w:t xml:space="preserve">it </w:t>
      </w:r>
      <w:r w:rsidR="005A3C53">
        <w:t>is the most widely used guide to the diagnosis of mental disorders</w:t>
      </w:r>
      <w:r w:rsidR="00E455B6">
        <w:t xml:space="preserve"> and has become a common language relied on by clinicians and researchers. </w:t>
      </w:r>
      <w:r w:rsidR="003D5748">
        <w:t xml:space="preserve">According to the </w:t>
      </w:r>
      <w:r w:rsidR="00AC5194" w:rsidRPr="00405A21">
        <w:t>DSM-</w:t>
      </w:r>
      <w:r w:rsidR="003B193D" w:rsidRPr="00405A21">
        <w:t>IV</w:t>
      </w:r>
      <w:r w:rsidR="0002505B" w:rsidRPr="00405A21">
        <w:t>-TR</w:t>
      </w:r>
      <w:r w:rsidR="00405A21">
        <w:t>, (2000).</w:t>
      </w:r>
      <w:r w:rsidR="00AC5194">
        <w:rPr>
          <w:i/>
        </w:rPr>
        <w:t xml:space="preserve"> </w:t>
      </w:r>
      <w:r w:rsidR="00AC5194">
        <w:t>gambling was related to an impulsive control disorder</w:t>
      </w:r>
      <w:r w:rsidR="003D5748">
        <w:t xml:space="preserve"> </w:t>
      </w:r>
      <w:r w:rsidR="00AC5194">
        <w:t>and recognised as pathological gambling.</w:t>
      </w:r>
      <w:r w:rsidR="003B193D">
        <w:t xml:space="preserve"> Since the revision </w:t>
      </w:r>
      <w:r w:rsidR="006D38F4">
        <w:t xml:space="preserve">of this manual </w:t>
      </w:r>
      <w:r w:rsidR="003B193D">
        <w:t xml:space="preserve">in 2013 to the </w:t>
      </w:r>
      <w:r w:rsidR="003D5748">
        <w:t>DSM-5</w:t>
      </w:r>
      <w:r w:rsidR="003B193D">
        <w:t xml:space="preserve"> </w:t>
      </w:r>
      <w:r w:rsidR="006D38F4">
        <w:t>gambling is</w:t>
      </w:r>
      <w:r w:rsidR="003B193D">
        <w:t xml:space="preserve"> now recognised</w:t>
      </w:r>
      <w:r w:rsidR="006D38F4">
        <w:t xml:space="preserve"> as</w:t>
      </w:r>
      <w:r w:rsidR="003B193D">
        <w:t xml:space="preserve"> an addictive behaviour</w:t>
      </w:r>
      <w:r w:rsidR="003C6930">
        <w:t>, the term addiction was traditionally used in relation to the engagement of a substance for which a constant incentive to repeatedly engage</w:t>
      </w:r>
      <w:r w:rsidR="00F3048B">
        <w:t xml:space="preserve"> outweighs the detrimental effects that engaging can have,</w:t>
      </w:r>
      <w:r w:rsidR="006D38F4">
        <w:t xml:space="preserve"> though </w:t>
      </w:r>
      <w:r w:rsidR="00845223">
        <w:t xml:space="preserve">in August 2011, the American Society of Addiction Medicine (ASAM) defined all addictions in terms of brain changes, “Addiction is a primary, chronic disease of brain reward, motivation, memory and related circuitry” this has moved </w:t>
      </w:r>
      <w:r w:rsidR="006D38F4">
        <w:t>addiction</w:t>
      </w:r>
      <w:r w:rsidR="00845223">
        <w:t xml:space="preserve"> away from solely being linked to substance dependence and</w:t>
      </w:r>
      <w:r w:rsidR="006D38F4">
        <w:t xml:space="preserve"> is </w:t>
      </w:r>
      <w:r w:rsidR="00845223">
        <w:t>now</w:t>
      </w:r>
      <w:r w:rsidR="006D38F4">
        <w:t xml:space="preserve"> related </w:t>
      </w:r>
      <w:r w:rsidR="00853EBD">
        <w:t>to both substance</w:t>
      </w:r>
      <w:r w:rsidR="000E5977">
        <w:t xml:space="preserve"> use</w:t>
      </w:r>
      <w:r w:rsidR="00853EBD">
        <w:t xml:space="preserve"> and </w:t>
      </w:r>
      <w:r w:rsidR="006D38F4">
        <w:t>behaviour</w:t>
      </w:r>
      <w:r w:rsidR="00853EBD">
        <w:t>s.</w:t>
      </w:r>
      <w:r w:rsidR="006D38F4">
        <w:t xml:space="preserve"> </w:t>
      </w:r>
      <w:r w:rsidR="00853EBD">
        <w:t>G</w:t>
      </w:r>
      <w:r w:rsidR="00F3048B">
        <w:t xml:space="preserve">ambling in the DSM-5 has changed from </w:t>
      </w:r>
      <w:r w:rsidR="003B193D">
        <w:t>pathological gambling</w:t>
      </w:r>
      <w:r w:rsidR="00F3048B">
        <w:t xml:space="preserve"> </w:t>
      </w:r>
      <w:r w:rsidR="00191E5A">
        <w:t xml:space="preserve">(PG) </w:t>
      </w:r>
      <w:r w:rsidR="00F3048B">
        <w:t>to gambling disorder</w:t>
      </w:r>
      <w:r w:rsidR="00853EBD">
        <w:t xml:space="preserve"> </w:t>
      </w:r>
      <w:r w:rsidR="00191E5A">
        <w:t>(GD) to</w:t>
      </w:r>
      <w:r w:rsidR="00853EBD">
        <w:t xml:space="preserve"> alleviate the social stigma surrounding ’problem gambler’ that the term pathological reinforces</w:t>
      </w:r>
      <w:r w:rsidR="003B193D">
        <w:t>.</w:t>
      </w:r>
      <w:r w:rsidR="006D38F4">
        <w:t xml:space="preserve"> </w:t>
      </w:r>
      <w:r w:rsidR="003B193D">
        <w:t>On</w:t>
      </w:r>
      <w:r w:rsidR="001C3F2F">
        <w:t xml:space="preserve"> diagnosis</w:t>
      </w:r>
      <w:r w:rsidR="003B193D">
        <w:t xml:space="preserve"> it can now be found in the category of substance related and addictive behaviour and a</w:t>
      </w:r>
      <w:r w:rsidR="003D5748">
        <w:t xml:space="preserve">t present </w:t>
      </w:r>
      <w:r w:rsidR="003B193D">
        <w:t>it</w:t>
      </w:r>
      <w:r w:rsidR="003D5748">
        <w:t xml:space="preserve"> is the only condition in the sub section of </w:t>
      </w:r>
      <w:r w:rsidR="00AC5194">
        <w:t>non-substance</w:t>
      </w:r>
      <w:r w:rsidR="003D5748">
        <w:t xml:space="preserve"> related disorders.</w:t>
      </w:r>
      <w:r w:rsidR="001C3F2F">
        <w:t xml:space="preserve"> </w:t>
      </w:r>
      <w:r w:rsidR="006D38F4">
        <w:t xml:space="preserve">The reason for this change is the common elements </w:t>
      </w:r>
      <w:r w:rsidR="00337D64">
        <w:t>found through research between</w:t>
      </w:r>
      <w:r w:rsidR="006D38F4">
        <w:t xml:space="preserve"> gambling and substance use</w:t>
      </w:r>
      <w:r w:rsidR="001D3734">
        <w:t>, data has suggested a closer relationship between substance use and pathological gambling th</w:t>
      </w:r>
      <w:r w:rsidR="00337D64">
        <w:t>an that of impulsive control and gambling.</w:t>
      </w:r>
      <w:r w:rsidR="000E5977">
        <w:t xml:space="preserve"> Though features of impulsive control disorders also have relevance to gambling disorder such as an increased sense of tension before the act, and the inability to resist </w:t>
      </w:r>
      <w:r w:rsidR="00DB097D">
        <w:t>temptation or impulses even when the act is harmful to oneself or others there is very little evidence to suggest the associations of pathological gambling between other disorders considered in the Impulse Control Disorder section.</w:t>
      </w:r>
      <w:r w:rsidR="001D3734">
        <w:t xml:space="preserve"> </w:t>
      </w:r>
      <w:r w:rsidR="001C3F2F">
        <w:t>According to the DSM</w:t>
      </w:r>
      <w:r w:rsidR="00405A21">
        <w:t>, (2013).</w:t>
      </w:r>
      <w:r w:rsidR="00AC5194">
        <w:rPr>
          <w:i/>
        </w:rPr>
        <w:t xml:space="preserve"> </w:t>
      </w:r>
      <w:r w:rsidR="001C3F2F" w:rsidRPr="001C3F2F">
        <w:t>g</w:t>
      </w:r>
      <w:r w:rsidR="001874E9" w:rsidRPr="001C3F2F">
        <w:t>a</w:t>
      </w:r>
      <w:r w:rsidR="001874E9">
        <w:t xml:space="preserve">mbling disorder can be defined as a </w:t>
      </w:r>
      <w:r w:rsidR="000724DF">
        <w:t>“</w:t>
      </w:r>
      <w:r w:rsidR="001874E9">
        <w:t>persistent and recurring problematic behaviour which causes significant impairment or distress</w:t>
      </w:r>
      <w:r w:rsidR="000724DF">
        <w:t>”</w:t>
      </w:r>
      <w:r w:rsidR="003A622D">
        <w:t xml:space="preserve">, whilst substance use can be defined as a </w:t>
      </w:r>
      <w:r w:rsidR="000724DF">
        <w:lastRenderedPageBreak/>
        <w:t>“</w:t>
      </w:r>
      <w:r w:rsidR="003A622D">
        <w:t>problematic patter</w:t>
      </w:r>
      <w:r w:rsidR="00665A3A">
        <w:t>n</w:t>
      </w:r>
      <w:r w:rsidR="003A622D">
        <w:t xml:space="preserve"> of using alcohol or another substance that results in impairment</w:t>
      </w:r>
      <w:r w:rsidR="00665A3A">
        <w:t xml:space="preserve"> in daily life or noticeable distress</w:t>
      </w:r>
      <w:r w:rsidR="000724DF">
        <w:t>.”, similarities between gambling disorder and substance use can be seen through these definitions but these similarities go way beyond how they are defined.</w:t>
      </w:r>
      <w:r w:rsidR="00337D64">
        <w:t xml:space="preserve"> The DSM-5’s diagnostic criteria for gambling disorder and substance use disorder </w:t>
      </w:r>
      <w:r w:rsidR="00D76D18">
        <w:t>also show similarities</w:t>
      </w:r>
      <w:r w:rsidR="00337D64">
        <w:t xml:space="preserve">, </w:t>
      </w:r>
      <w:r w:rsidR="00D76D18">
        <w:t xml:space="preserve">such as that, repeated or one or more unsuccessful efforts to cut back or control behaviour </w:t>
      </w:r>
      <w:r>
        <w:t xml:space="preserve">and </w:t>
      </w:r>
      <w:r w:rsidR="00D76D18">
        <w:t>recurr</w:t>
      </w:r>
      <w:r>
        <w:t>ing</w:t>
      </w:r>
      <w:r w:rsidR="00D76D18">
        <w:t xml:space="preserve"> engag</w:t>
      </w:r>
      <w:r>
        <w:t>ement</w:t>
      </w:r>
      <w:r w:rsidR="00D76D18">
        <w:t xml:space="preserve"> in behaviour results in failing or jeopardising</w:t>
      </w:r>
      <w:r>
        <w:t xml:space="preserve"> ones’ job, education or relationship obligations are criteria that is considered in both.</w:t>
      </w:r>
      <w:r w:rsidR="000724DF">
        <w:t xml:space="preserve"> This essay will</w:t>
      </w:r>
      <w:r w:rsidR="006D38F4">
        <w:t xml:space="preserve"> attempt to</w:t>
      </w:r>
      <w:r w:rsidR="000724DF">
        <w:t xml:space="preserve"> discuss both the positive and negative factors relating to the change in classification of gambling disorder in the most recent </w:t>
      </w:r>
      <w:r w:rsidR="00AE4D14">
        <w:t>d</w:t>
      </w:r>
      <w:r w:rsidR="000724DF">
        <w:t xml:space="preserve">iagnostic manual </w:t>
      </w:r>
      <w:r w:rsidR="00AE4D14">
        <w:t xml:space="preserve">whilst also </w:t>
      </w:r>
      <w:r w:rsidR="0096011D">
        <w:t xml:space="preserve">trying to </w:t>
      </w:r>
      <w:r w:rsidR="00AE4D14">
        <w:t>determin</w:t>
      </w:r>
      <w:r w:rsidR="0096011D">
        <w:t>e</w:t>
      </w:r>
      <w:r w:rsidR="00AE4D14">
        <w:t xml:space="preserve"> if gambling </w:t>
      </w:r>
      <w:r w:rsidR="0096011D">
        <w:t xml:space="preserve">does </w:t>
      </w:r>
      <w:r w:rsidR="00AE4D14">
        <w:t>belong in the same category as substance use</w:t>
      </w:r>
      <w:r w:rsidR="0096011D">
        <w:t xml:space="preserve"> and if these two disorders should be compared?</w:t>
      </w:r>
      <w:r>
        <w:t xml:space="preserve"> </w:t>
      </w:r>
    </w:p>
    <w:p w14:paraId="474C707A" w14:textId="09201F47" w:rsidR="00C40A2B" w:rsidRDefault="00C40A2B" w:rsidP="002057AA">
      <w:pPr>
        <w:spacing w:line="480" w:lineRule="auto"/>
        <w:rPr>
          <w:lang w:val="en"/>
        </w:rPr>
      </w:pPr>
      <w:r>
        <w:t>There are genetic predispositions suggested to be linked with pathological gambling.</w:t>
      </w:r>
      <w:r w:rsidR="00091B7F">
        <w:t xml:space="preserve"> Substance use disorders</w:t>
      </w:r>
      <w:r>
        <w:t xml:space="preserve"> and pathological gambling</w:t>
      </w:r>
      <w:r w:rsidR="00091B7F">
        <w:t xml:space="preserve"> share many biological, clinical and phenomenological </w:t>
      </w:r>
      <w:r w:rsidR="0046455C">
        <w:t>features under pinning the need to group both together under the category</w:t>
      </w:r>
      <w:r w:rsidR="00D47D77">
        <w:t xml:space="preserve"> of </w:t>
      </w:r>
      <w:r w:rsidR="0046455C">
        <w:t xml:space="preserve">addictions. </w:t>
      </w:r>
      <w:r w:rsidR="00091B7F">
        <w:t xml:space="preserve">In a community sample by Cunningham-Williams RM, </w:t>
      </w:r>
      <w:proofErr w:type="spellStart"/>
      <w:r w:rsidR="00091B7F">
        <w:t>Cottler</w:t>
      </w:r>
      <w:proofErr w:type="spellEnd"/>
      <w:r w:rsidR="00091B7F">
        <w:t xml:space="preserve"> LB, Compton </w:t>
      </w:r>
      <w:proofErr w:type="spellStart"/>
      <w:r w:rsidR="00091B7F">
        <w:t>WMr</w:t>
      </w:r>
      <w:proofErr w:type="spellEnd"/>
      <w:r w:rsidR="00091B7F">
        <w:t xml:space="preserve">, and </w:t>
      </w:r>
      <w:proofErr w:type="spellStart"/>
      <w:r w:rsidR="00091B7F">
        <w:t>Spitznagel</w:t>
      </w:r>
      <w:proofErr w:type="spellEnd"/>
      <w:r w:rsidR="00091B7F">
        <w:t xml:space="preserve"> EL, (1988). It was found that individuals with pathological gambling symptoms were more likely to have substance use disorders, particularly relating to alcohol use. </w:t>
      </w:r>
      <w:r w:rsidR="00A937F8">
        <w:t>Holden, C. (2001).</w:t>
      </w:r>
      <w:r w:rsidR="00D80974">
        <w:t xml:space="preserve"> Suggested that when it comes to the brain and its reward system it does not matter if a reward comes from </w:t>
      </w:r>
      <w:r w:rsidR="00D47D77">
        <w:t>the</w:t>
      </w:r>
      <w:r w:rsidR="00D80974">
        <w:t xml:space="preserve"> chemical in substance use or from an experience it is still considered a reward and following a reward ones’ brain can easily be trapped in compulsion. </w:t>
      </w:r>
      <w:r w:rsidR="00A17E3B">
        <w:t xml:space="preserve">Holden suggests that </w:t>
      </w:r>
      <w:r w:rsidR="00A17E3B">
        <w:rPr>
          <w:lang w:val="en"/>
        </w:rPr>
        <w:t xml:space="preserve">compulsive gamblers live from fix to fix, much like that of substance users, they continue to engage </w:t>
      </w:r>
      <w:r w:rsidR="002C2852">
        <w:rPr>
          <w:lang w:val="en"/>
        </w:rPr>
        <w:t xml:space="preserve">in risky </w:t>
      </w:r>
      <w:proofErr w:type="spellStart"/>
      <w:r w:rsidR="002C2852">
        <w:rPr>
          <w:lang w:val="en"/>
        </w:rPr>
        <w:t>behaviour</w:t>
      </w:r>
      <w:proofErr w:type="spellEnd"/>
      <w:r w:rsidR="002C2852">
        <w:rPr>
          <w:lang w:val="en"/>
        </w:rPr>
        <w:t xml:space="preserve"> based on chance, with the belief that luck will prevail</w:t>
      </w:r>
      <w:r w:rsidR="001A5061">
        <w:rPr>
          <w:lang w:val="en"/>
        </w:rPr>
        <w:t xml:space="preserve">. </w:t>
      </w:r>
      <w:r w:rsidR="00D47D77">
        <w:rPr>
          <w:lang w:val="en"/>
        </w:rPr>
        <w:t>Griffith, M.D. (1994.)</w:t>
      </w:r>
      <w:r w:rsidR="008B034B">
        <w:rPr>
          <w:lang w:val="en"/>
        </w:rPr>
        <w:t xml:space="preserve"> in a study relating to the cognitive psychology of fruit machine players found that non-regular gamblers showed significantly less irrational verbalisations</w:t>
      </w:r>
      <w:r w:rsidR="00D47D77">
        <w:rPr>
          <w:lang w:val="en"/>
        </w:rPr>
        <w:t xml:space="preserve"> </w:t>
      </w:r>
      <w:r w:rsidR="008B034B">
        <w:rPr>
          <w:lang w:val="en"/>
        </w:rPr>
        <w:t xml:space="preserve">than that of regular gamblers. </w:t>
      </w:r>
      <w:r w:rsidR="00621947">
        <w:rPr>
          <w:lang w:val="en"/>
        </w:rPr>
        <w:t>It is suggested c</w:t>
      </w:r>
      <w:r w:rsidR="002C2852">
        <w:rPr>
          <w:lang w:val="en"/>
        </w:rPr>
        <w:t>ravings for gamblers are as</w:t>
      </w:r>
      <w:r w:rsidR="00A17E3B">
        <w:rPr>
          <w:lang w:val="en"/>
        </w:rPr>
        <w:t xml:space="preserve"> intense as those of </w:t>
      </w:r>
      <w:r w:rsidR="002C2852">
        <w:rPr>
          <w:lang w:val="en"/>
        </w:rPr>
        <w:t>substance abuse and</w:t>
      </w:r>
      <w:r w:rsidR="00A17E3B">
        <w:rPr>
          <w:lang w:val="en"/>
        </w:rPr>
        <w:t xml:space="preserve"> tolerance</w:t>
      </w:r>
      <w:r w:rsidR="002C2852">
        <w:rPr>
          <w:lang w:val="en"/>
        </w:rPr>
        <w:t xml:space="preserve"> is shown</w:t>
      </w:r>
      <w:r w:rsidR="00A17E3B">
        <w:rPr>
          <w:lang w:val="en"/>
        </w:rPr>
        <w:t xml:space="preserve"> through their need to increase betting. </w:t>
      </w:r>
      <w:r w:rsidR="00D70AD1">
        <w:rPr>
          <w:lang w:val="en"/>
        </w:rPr>
        <w:t>According to Schaffer, J. (2003). u</w:t>
      </w:r>
      <w:r w:rsidR="00A17E3B">
        <w:rPr>
          <w:lang w:val="en"/>
        </w:rPr>
        <w:t xml:space="preserve">p to half of pathological gamblers "show withdrawal symptoms looking like a mild form of drug withdrawal," And like drug addicts, </w:t>
      </w:r>
      <w:r w:rsidR="00D70AD1">
        <w:rPr>
          <w:lang w:val="en"/>
        </w:rPr>
        <w:t xml:space="preserve">even after years of abstinence they are still at risk of </w:t>
      </w:r>
      <w:r w:rsidR="00A17E3B">
        <w:rPr>
          <w:lang w:val="en"/>
        </w:rPr>
        <w:t>sudden</w:t>
      </w:r>
      <w:r w:rsidR="00D70AD1">
        <w:rPr>
          <w:lang w:val="en"/>
        </w:rPr>
        <w:t xml:space="preserve"> </w:t>
      </w:r>
      <w:r w:rsidR="00D70AD1">
        <w:rPr>
          <w:lang w:val="en"/>
        </w:rPr>
        <w:lastRenderedPageBreak/>
        <w:t>relapse</w:t>
      </w:r>
      <w:r w:rsidR="00A63622">
        <w:rPr>
          <w:lang w:val="en"/>
        </w:rPr>
        <w:t>, (Donovan, D; &amp; Marlatt, A. 1998.)</w:t>
      </w:r>
      <w:r w:rsidR="00383B83">
        <w:rPr>
          <w:lang w:val="en"/>
        </w:rPr>
        <w:t xml:space="preserve"> Many studies have been</w:t>
      </w:r>
      <w:r w:rsidR="005E14C5">
        <w:rPr>
          <w:lang w:val="en"/>
        </w:rPr>
        <w:t xml:space="preserve"> conducted to determine similarities and differences in pathological gambling and in substance use disorders research</w:t>
      </w:r>
      <w:r w:rsidR="00383B83">
        <w:rPr>
          <w:lang w:val="en"/>
        </w:rPr>
        <w:t xml:space="preserve"> has</w:t>
      </w:r>
      <w:r w:rsidR="005E14C5">
        <w:rPr>
          <w:lang w:val="en"/>
        </w:rPr>
        <w:t xml:space="preserve"> found multiple similarities between the two, including poor performance on neurocognitive tasks. Findings also suggest disfunction involving similar brain regions, </w:t>
      </w:r>
      <w:r w:rsidR="0046488A">
        <w:rPr>
          <w:lang w:val="en"/>
        </w:rPr>
        <w:t>(</w:t>
      </w:r>
      <w:r w:rsidR="005E14C5">
        <w:rPr>
          <w:lang w:val="en"/>
        </w:rPr>
        <w:t>Leeman, R.</w:t>
      </w:r>
      <w:r w:rsidR="0046488A">
        <w:rPr>
          <w:lang w:val="en"/>
        </w:rPr>
        <w:t>;</w:t>
      </w:r>
      <w:r w:rsidR="005E14C5">
        <w:rPr>
          <w:lang w:val="en"/>
        </w:rPr>
        <w:t xml:space="preserve"> &amp; Potenza</w:t>
      </w:r>
      <w:r w:rsidR="0046488A">
        <w:rPr>
          <w:lang w:val="en"/>
        </w:rPr>
        <w:t>, M. 2012.)</w:t>
      </w:r>
      <w:r w:rsidR="005605B7">
        <w:rPr>
          <w:lang w:val="en"/>
        </w:rPr>
        <w:t xml:space="preserve"> </w:t>
      </w:r>
      <w:r w:rsidR="00D64F56">
        <w:rPr>
          <w:lang w:val="en"/>
        </w:rPr>
        <w:t xml:space="preserve">The increased prevalence between DSM IV and DSM 5 </w:t>
      </w:r>
      <w:r w:rsidR="00E207ED">
        <w:rPr>
          <w:lang w:val="en"/>
        </w:rPr>
        <w:t>will prove important as DSM diagnoses are often used when deciding if an individual is eligible for treatment.</w:t>
      </w:r>
      <w:r w:rsidR="003610FC">
        <w:rPr>
          <w:lang w:val="en"/>
        </w:rPr>
        <w:t xml:space="preserve"> </w:t>
      </w:r>
      <w:r w:rsidR="00286117">
        <w:rPr>
          <w:lang w:val="en"/>
        </w:rPr>
        <w:t xml:space="preserve">Similarities can also be highlighted with regards to treatment in both these disorders. Petry, N., Stinson, F., &amp; Grant, B. (2005). Suggests pathological gambling is “highly comorbid” with substance use, mood, personality and anxiety disorders, suggesting that treatment for one condition should also involve the assessment of comorbid conditions. </w:t>
      </w:r>
      <w:r w:rsidR="00DE628F">
        <w:rPr>
          <w:lang w:val="en"/>
        </w:rPr>
        <w:t>Psychosocial treatments such as the use of Cognitive-</w:t>
      </w:r>
      <w:proofErr w:type="spellStart"/>
      <w:r w:rsidR="00DE628F">
        <w:rPr>
          <w:lang w:val="en"/>
        </w:rPr>
        <w:t>behavioural</w:t>
      </w:r>
      <w:proofErr w:type="spellEnd"/>
      <w:r w:rsidR="00DE628F">
        <w:rPr>
          <w:lang w:val="en"/>
        </w:rPr>
        <w:t xml:space="preserve"> therapy have been known to treat both problem gamblers and substance users. </w:t>
      </w:r>
      <w:r w:rsidR="003610FC">
        <w:rPr>
          <w:lang w:val="en"/>
        </w:rPr>
        <w:t xml:space="preserve">Though there seem to various similarities between gambling and substance use, this change in classification has encouraged research into other </w:t>
      </w:r>
      <w:proofErr w:type="spellStart"/>
      <w:r w:rsidR="003610FC">
        <w:rPr>
          <w:lang w:val="en"/>
        </w:rPr>
        <w:t>behaviour</w:t>
      </w:r>
      <w:proofErr w:type="spellEnd"/>
      <w:r w:rsidR="003610FC">
        <w:rPr>
          <w:lang w:val="en"/>
        </w:rPr>
        <w:t xml:space="preserve"> disorders and their similarities with substance use.</w:t>
      </w:r>
    </w:p>
    <w:p w14:paraId="1C083CC7" w14:textId="60C3A881" w:rsidR="009945F1" w:rsidRDefault="00C40A2B" w:rsidP="002057AA">
      <w:pPr>
        <w:spacing w:line="480" w:lineRule="auto"/>
        <w:rPr>
          <w:lang w:val="en"/>
        </w:rPr>
      </w:pPr>
      <w:r>
        <w:t>With gambling now considered to be a disorder it can suggest in</w:t>
      </w:r>
      <w:r w:rsidR="00AC0DD7">
        <w:t>dividuals who have pathological gambling issues are considered in some</w:t>
      </w:r>
      <w:r>
        <w:t xml:space="preserve"> form</w:t>
      </w:r>
      <w:r w:rsidR="00AC0DD7">
        <w:t xml:space="preserve"> different from those</w:t>
      </w:r>
      <w:r>
        <w:t xml:space="preserve"> that do not even though literature has suggested otherwise. </w:t>
      </w:r>
      <w:r w:rsidR="00644D86">
        <w:rPr>
          <w:lang w:val="en"/>
        </w:rPr>
        <w:t>The debate on how to define which disorders constitute addictions remains key, (</w:t>
      </w:r>
      <w:proofErr w:type="spellStart"/>
      <w:r w:rsidR="00644D86">
        <w:rPr>
          <w:lang w:val="en"/>
        </w:rPr>
        <w:t>Avena</w:t>
      </w:r>
      <w:proofErr w:type="spellEnd"/>
      <w:r w:rsidR="00644D86">
        <w:rPr>
          <w:lang w:val="en"/>
        </w:rPr>
        <w:t xml:space="preserve">, </w:t>
      </w:r>
      <w:proofErr w:type="spellStart"/>
      <w:r w:rsidR="00644D86">
        <w:rPr>
          <w:lang w:val="en"/>
        </w:rPr>
        <w:t>Gearhardt</w:t>
      </w:r>
      <w:proofErr w:type="spellEnd"/>
      <w:r w:rsidR="00644D86">
        <w:rPr>
          <w:lang w:val="en"/>
        </w:rPr>
        <w:t xml:space="preserve">, Gold, Wang &amp; Potenza, 2012.) suggests food maybe an important entity to consider within addictive </w:t>
      </w:r>
      <w:proofErr w:type="spellStart"/>
      <w:r w:rsidR="00644D86">
        <w:rPr>
          <w:lang w:val="en"/>
        </w:rPr>
        <w:t>behaviour</w:t>
      </w:r>
      <w:proofErr w:type="spellEnd"/>
      <w:r w:rsidR="00644D86">
        <w:rPr>
          <w:lang w:val="en"/>
        </w:rPr>
        <w:t>.</w:t>
      </w:r>
      <w:r w:rsidR="009945F1">
        <w:rPr>
          <w:lang w:val="en"/>
        </w:rPr>
        <w:t xml:space="preserve"> In a systematic review of epidemiological research in Internet addiction, (</w:t>
      </w:r>
      <w:proofErr w:type="spellStart"/>
      <w:r w:rsidR="009945F1">
        <w:rPr>
          <w:lang w:val="en"/>
        </w:rPr>
        <w:t>Kuss</w:t>
      </w:r>
      <w:proofErr w:type="spellEnd"/>
      <w:r w:rsidR="009945F1">
        <w:rPr>
          <w:lang w:val="en"/>
        </w:rPr>
        <w:t xml:space="preserve">, D.J. Griffiths, M.D. </w:t>
      </w:r>
      <w:proofErr w:type="spellStart"/>
      <w:r w:rsidR="009945F1">
        <w:rPr>
          <w:lang w:val="en"/>
        </w:rPr>
        <w:t>Karila</w:t>
      </w:r>
      <w:proofErr w:type="spellEnd"/>
      <w:r w:rsidR="009945F1">
        <w:rPr>
          <w:lang w:val="en"/>
        </w:rPr>
        <w:t xml:space="preserve">, L. &amp; </w:t>
      </w:r>
      <w:proofErr w:type="spellStart"/>
      <w:r w:rsidR="009945F1">
        <w:rPr>
          <w:lang w:val="en"/>
        </w:rPr>
        <w:t>Billieux</w:t>
      </w:r>
      <w:proofErr w:type="spellEnd"/>
      <w:r w:rsidR="009945F1">
        <w:rPr>
          <w:lang w:val="en"/>
        </w:rPr>
        <w:t>, J., 2014.)</w:t>
      </w:r>
      <w:r w:rsidR="00481E47">
        <w:rPr>
          <w:lang w:val="en"/>
        </w:rPr>
        <w:t xml:space="preserve"> suggests that internet addiction adopts official criteria for both pathological gambling and substance-use. </w:t>
      </w:r>
      <w:r w:rsidR="00260C36">
        <w:rPr>
          <w:lang w:val="en"/>
        </w:rPr>
        <w:t xml:space="preserve">Studies provide compelling evidence for similarities between addictions. Research indicates brain activity alterations that are commonly associated with substance-related addictions </w:t>
      </w:r>
      <w:r w:rsidR="00E85CF7">
        <w:rPr>
          <w:lang w:val="en"/>
        </w:rPr>
        <w:t xml:space="preserve">are present in that of internet gaming on a biochemical level, a consequence of gaming, changes the neurochemical activity and changes can be compared to that of substance-use suggested by Koepp M. J. et al, (1998). </w:t>
      </w:r>
      <w:r w:rsidR="00AC0DD7">
        <w:rPr>
          <w:lang w:val="en"/>
        </w:rPr>
        <w:t xml:space="preserve">Separating gambling addiction from other </w:t>
      </w:r>
      <w:proofErr w:type="spellStart"/>
      <w:r w:rsidR="00AC0DD7">
        <w:rPr>
          <w:lang w:val="en"/>
        </w:rPr>
        <w:t>behaviour</w:t>
      </w:r>
      <w:proofErr w:type="spellEnd"/>
      <w:r w:rsidR="00AC0DD7">
        <w:rPr>
          <w:lang w:val="en"/>
        </w:rPr>
        <w:t xml:space="preserve"> </w:t>
      </w:r>
      <w:proofErr w:type="spellStart"/>
      <w:r w:rsidR="00AC0DD7">
        <w:rPr>
          <w:lang w:val="en"/>
        </w:rPr>
        <w:t>addicitions</w:t>
      </w:r>
      <w:proofErr w:type="spellEnd"/>
      <w:r w:rsidR="00AC0DD7">
        <w:rPr>
          <w:lang w:val="en"/>
        </w:rPr>
        <w:t xml:space="preserve"> like those mentioned above could drive and artificial wedge between them, particularly between substance-use and non-substance use </w:t>
      </w:r>
      <w:proofErr w:type="spellStart"/>
      <w:r w:rsidR="00AC0DD7">
        <w:rPr>
          <w:lang w:val="en"/>
        </w:rPr>
        <w:lastRenderedPageBreak/>
        <w:t>behaviours</w:t>
      </w:r>
      <w:proofErr w:type="spellEnd"/>
      <w:r w:rsidR="00AC0DD7">
        <w:rPr>
          <w:lang w:val="en"/>
        </w:rPr>
        <w:t>, for substance use disorder implications could be that de-emphasis on the chemical substance per-se could cause issues and divides.</w:t>
      </w:r>
      <w:r w:rsidR="003610FC">
        <w:rPr>
          <w:lang w:val="en"/>
        </w:rPr>
        <w:t xml:space="preserve"> </w:t>
      </w:r>
    </w:p>
    <w:p w14:paraId="68809D97" w14:textId="07BA0CF3" w:rsidR="00AC0DD7" w:rsidRPr="00DE628F" w:rsidRDefault="007F6F48" w:rsidP="00DE628F">
      <w:pPr>
        <w:spacing w:line="480" w:lineRule="auto"/>
        <w:rPr>
          <w:lang w:val="en"/>
        </w:rPr>
      </w:pPr>
      <w:r>
        <w:rPr>
          <w:lang w:val="en"/>
        </w:rPr>
        <w:t xml:space="preserve">As the first </w:t>
      </w:r>
      <w:r w:rsidR="00934522">
        <w:rPr>
          <w:lang w:val="en"/>
        </w:rPr>
        <w:t>non-substance</w:t>
      </w:r>
      <w:r>
        <w:rPr>
          <w:lang w:val="en"/>
        </w:rPr>
        <w:t xml:space="preserve"> disorder to be categorized within addictive behaviours does changing the classification raise concern for other </w:t>
      </w:r>
      <w:r w:rsidR="009F1824">
        <w:rPr>
          <w:lang w:val="en"/>
        </w:rPr>
        <w:t>behaviours</w:t>
      </w:r>
      <w:r>
        <w:rPr>
          <w:lang w:val="en"/>
        </w:rPr>
        <w:t xml:space="preserve"> to be included, are we eventually going to see a rise in individuals with disorders relating to things that could be considered as nothing more the inability to control urges or temptations. Does this move </w:t>
      </w:r>
      <w:r w:rsidR="009F1824">
        <w:rPr>
          <w:lang w:val="en"/>
        </w:rPr>
        <w:t xml:space="preserve">in </w:t>
      </w:r>
      <w:r>
        <w:rPr>
          <w:lang w:val="en"/>
        </w:rPr>
        <w:t xml:space="preserve">classification open up a worm-hole </w:t>
      </w:r>
      <w:r w:rsidR="00383B83">
        <w:rPr>
          <w:lang w:val="en"/>
        </w:rPr>
        <w:t>to</w:t>
      </w:r>
      <w:r>
        <w:rPr>
          <w:lang w:val="en"/>
        </w:rPr>
        <w:t xml:space="preserve"> other </w:t>
      </w:r>
      <w:proofErr w:type="spellStart"/>
      <w:r>
        <w:rPr>
          <w:lang w:val="en"/>
        </w:rPr>
        <w:t>behaviours</w:t>
      </w:r>
      <w:proofErr w:type="spellEnd"/>
      <w:r>
        <w:rPr>
          <w:lang w:val="en"/>
        </w:rPr>
        <w:t xml:space="preserve"> that will sooner or later be linked and compared with substance use,</w:t>
      </w:r>
      <w:r w:rsidR="009945F1">
        <w:rPr>
          <w:lang w:val="en"/>
        </w:rPr>
        <w:t xml:space="preserve"> introducing conditions into the DSM 5 that do not cause significant distress and impairment could lower the credibility of disorders more generally,</w:t>
      </w:r>
      <w:r>
        <w:rPr>
          <w:lang w:val="en"/>
        </w:rPr>
        <w:t xml:space="preserve"> </w:t>
      </w:r>
      <w:r w:rsidR="0037123A">
        <w:rPr>
          <w:lang w:val="en"/>
        </w:rPr>
        <w:t xml:space="preserve">for example shopping, could shopping be considered an addictive </w:t>
      </w:r>
      <w:proofErr w:type="spellStart"/>
      <w:r w:rsidR="0037123A">
        <w:rPr>
          <w:lang w:val="en"/>
        </w:rPr>
        <w:t>behaviour</w:t>
      </w:r>
      <w:proofErr w:type="spellEnd"/>
      <w:r w:rsidR="009945F1">
        <w:rPr>
          <w:lang w:val="en"/>
        </w:rPr>
        <w:t>?</w:t>
      </w:r>
      <w:r w:rsidR="0037123A">
        <w:rPr>
          <w:lang w:val="en"/>
        </w:rPr>
        <w:t xml:space="preserve"> absolutely, does classifying it as a </w:t>
      </w:r>
      <w:proofErr w:type="spellStart"/>
      <w:r w:rsidR="009945F1">
        <w:rPr>
          <w:lang w:val="en"/>
        </w:rPr>
        <w:t>behaviour</w:t>
      </w:r>
      <w:proofErr w:type="spellEnd"/>
      <w:r w:rsidR="009945F1">
        <w:rPr>
          <w:lang w:val="en"/>
        </w:rPr>
        <w:t xml:space="preserve"> addiction </w:t>
      </w:r>
      <w:r w:rsidR="0037123A">
        <w:rPr>
          <w:lang w:val="en"/>
        </w:rPr>
        <w:t>alleviate problems</w:t>
      </w:r>
      <w:r w:rsidR="009F1824">
        <w:rPr>
          <w:lang w:val="en"/>
        </w:rPr>
        <w:t xml:space="preserve"> or will we just </w:t>
      </w:r>
      <w:r w:rsidR="0037123A">
        <w:rPr>
          <w:lang w:val="en"/>
        </w:rPr>
        <w:t xml:space="preserve">outstretch the likes of the UK NHS offering treatments to </w:t>
      </w:r>
      <w:r w:rsidR="009F1824">
        <w:rPr>
          <w:lang w:val="en"/>
        </w:rPr>
        <w:t>individuals</w:t>
      </w:r>
      <w:r w:rsidR="0037123A">
        <w:rPr>
          <w:lang w:val="en"/>
        </w:rPr>
        <w:t xml:space="preserve"> who have trouble in resisting temptations that others can. We all as a society face temptation everyday</w:t>
      </w:r>
      <w:r w:rsidR="009F1824">
        <w:rPr>
          <w:lang w:val="en"/>
        </w:rPr>
        <w:t xml:space="preserve"> whether it be walking past your local bakers when that cream cake on display looks delicious, or when you have </w:t>
      </w:r>
      <w:r w:rsidR="00621947">
        <w:rPr>
          <w:lang w:val="en"/>
        </w:rPr>
        <w:t xml:space="preserve">little or </w:t>
      </w:r>
      <w:r w:rsidR="009F1824">
        <w:rPr>
          <w:lang w:val="en"/>
        </w:rPr>
        <w:t>no money</w:t>
      </w:r>
      <w:r w:rsidR="000D2705">
        <w:rPr>
          <w:lang w:val="en"/>
        </w:rPr>
        <w:t>,</w:t>
      </w:r>
      <w:r w:rsidR="009F1824">
        <w:rPr>
          <w:lang w:val="en"/>
        </w:rPr>
        <w:t xml:space="preserve"> </w:t>
      </w:r>
      <w:r w:rsidR="00621947">
        <w:rPr>
          <w:lang w:val="en"/>
        </w:rPr>
        <w:t>yet still justify buying that</w:t>
      </w:r>
      <w:r w:rsidR="009F1824">
        <w:rPr>
          <w:lang w:val="en"/>
        </w:rPr>
        <w:t xml:space="preserve"> nice pair of shoes </w:t>
      </w:r>
      <w:r w:rsidR="00383B83">
        <w:rPr>
          <w:lang w:val="en"/>
        </w:rPr>
        <w:t>you have seen</w:t>
      </w:r>
      <w:r w:rsidR="009F1824">
        <w:rPr>
          <w:lang w:val="en"/>
        </w:rPr>
        <w:t xml:space="preserve"> in the department store</w:t>
      </w:r>
      <w:r w:rsidR="00621947">
        <w:rPr>
          <w:lang w:val="en"/>
        </w:rPr>
        <w:t>?</w:t>
      </w:r>
      <w:r w:rsidR="0037123A">
        <w:rPr>
          <w:lang w:val="en"/>
        </w:rPr>
        <w:t xml:space="preserve"> are we allowing individuals to </w:t>
      </w:r>
      <w:r w:rsidR="000D2705">
        <w:rPr>
          <w:lang w:val="en"/>
        </w:rPr>
        <w:t xml:space="preserve">give in to temptation knowing it can be detrimental because it is considered an addiction and therefor something they cannot control. </w:t>
      </w:r>
      <w:r w:rsidR="0037123A">
        <w:rPr>
          <w:lang w:val="en"/>
        </w:rPr>
        <w:t xml:space="preserve"> </w:t>
      </w:r>
      <w:r w:rsidR="00481091">
        <w:rPr>
          <w:lang w:val="en"/>
        </w:rPr>
        <w:t>Even though gambling is categorized with substance use in the DSM 5 it Is important that consistencies apply to what warrants the term gambling disorder</w:t>
      </w:r>
      <w:r w:rsidR="00621947">
        <w:rPr>
          <w:lang w:val="en"/>
        </w:rPr>
        <w:t xml:space="preserve"> and that other forms of gambling should also be included in any surveys of gambling activity</w:t>
      </w:r>
      <w:r w:rsidR="00481091">
        <w:rPr>
          <w:lang w:val="en"/>
        </w:rPr>
        <w:t>, for example opinions on gambling are different amongst people,</w:t>
      </w:r>
      <w:r w:rsidR="00621947">
        <w:rPr>
          <w:lang w:val="en"/>
        </w:rPr>
        <w:t xml:space="preserve"> are’ quasi-gambling’</w:t>
      </w:r>
      <w:r w:rsidR="00481091">
        <w:rPr>
          <w:lang w:val="en"/>
        </w:rPr>
        <w:t xml:space="preserve"> </w:t>
      </w:r>
      <w:r w:rsidR="00621947">
        <w:rPr>
          <w:lang w:val="en"/>
        </w:rPr>
        <w:t>individuals such as those that invest in properties or</w:t>
      </w:r>
      <w:r w:rsidR="00481091">
        <w:rPr>
          <w:lang w:val="en"/>
        </w:rPr>
        <w:t xml:space="preserve"> stock markets</w:t>
      </w:r>
      <w:r w:rsidR="00934522">
        <w:rPr>
          <w:lang w:val="en"/>
        </w:rPr>
        <w:t xml:space="preserve"> associated</w:t>
      </w:r>
      <w:r w:rsidR="00621947">
        <w:rPr>
          <w:lang w:val="en"/>
        </w:rPr>
        <w:t xml:space="preserve"> with surveys relating to gambling activity.</w:t>
      </w:r>
      <w:r w:rsidR="00934522">
        <w:rPr>
          <w:lang w:val="en"/>
        </w:rPr>
        <w:t xml:space="preserve"> Gambling has become more readily available for individuals with the easily accessed internet, has this change merely increased temptation for individuals and should gambling be considered an impulse control disorder or has the new classification of gambling disorder been justified with empirical evidence linking similarities to substance use</w:t>
      </w:r>
      <w:r w:rsidR="00621947">
        <w:rPr>
          <w:lang w:val="en"/>
        </w:rPr>
        <w:t>?</w:t>
      </w:r>
      <w:r w:rsidR="00DE628F">
        <w:rPr>
          <w:lang w:val="en"/>
        </w:rPr>
        <w:t xml:space="preserve"> To conclude though there are clear signs of similarities between both substance use and gambling disorder </w:t>
      </w:r>
      <w:r w:rsidR="00A57E03">
        <w:rPr>
          <w:lang w:val="en"/>
        </w:rPr>
        <w:t xml:space="preserve">and </w:t>
      </w:r>
      <w:r w:rsidR="00DE628F">
        <w:rPr>
          <w:lang w:val="en"/>
        </w:rPr>
        <w:t xml:space="preserve">the move in the DSM-5 has proved positive in relation to </w:t>
      </w:r>
      <w:r w:rsidR="00A57E03">
        <w:rPr>
          <w:lang w:val="en"/>
        </w:rPr>
        <w:t xml:space="preserve">diagnosis for </w:t>
      </w:r>
      <w:r w:rsidR="00A57E03">
        <w:rPr>
          <w:lang w:val="en"/>
        </w:rPr>
        <w:lastRenderedPageBreak/>
        <w:t xml:space="preserve">patients it is also important we do not over-use the term addiction and in turn lower the </w:t>
      </w:r>
      <w:r w:rsidR="004A1164">
        <w:rPr>
          <w:lang w:val="en"/>
        </w:rPr>
        <w:t>credibility</w:t>
      </w:r>
      <w:r w:rsidR="00A57E03">
        <w:rPr>
          <w:lang w:val="en"/>
        </w:rPr>
        <w:t xml:space="preserve"> of other disorders. Much like the over use of Obsessive Compulsive Disorder, many people claim to have OCD, but few of these claimants have clinically been diagnosed with this disorder. Labelling </w:t>
      </w:r>
      <w:proofErr w:type="spellStart"/>
      <w:r w:rsidR="00A57E03">
        <w:rPr>
          <w:lang w:val="en"/>
        </w:rPr>
        <w:t>behaviours</w:t>
      </w:r>
      <w:proofErr w:type="spellEnd"/>
      <w:r w:rsidR="00A57E03">
        <w:rPr>
          <w:lang w:val="en"/>
        </w:rPr>
        <w:t xml:space="preserve"> considered to be different to that of normal could mean a that eventually we will have a globalised idea of each of us having an addictive </w:t>
      </w:r>
      <w:proofErr w:type="spellStart"/>
      <w:r w:rsidR="00A57E03">
        <w:rPr>
          <w:lang w:val="en"/>
        </w:rPr>
        <w:t>behaviour</w:t>
      </w:r>
      <w:proofErr w:type="spellEnd"/>
      <w:r w:rsidR="00A57E03">
        <w:rPr>
          <w:lang w:val="en"/>
        </w:rPr>
        <w:t xml:space="preserve"> in relation to things we should all learn to resist the urge for. Both positive and negative effects have been shown in relation to the revision in the DSM-5 and though for diagnosis purposes it maybe important to compare gambling disorder with that of </w:t>
      </w:r>
      <w:r w:rsidR="00C92779">
        <w:rPr>
          <w:lang w:val="en"/>
        </w:rPr>
        <w:t xml:space="preserve">substance use it is also important that we do not compare them </w:t>
      </w:r>
      <w:r w:rsidR="00691BAD">
        <w:rPr>
          <w:lang w:val="en"/>
        </w:rPr>
        <w:t xml:space="preserve">both </w:t>
      </w:r>
      <w:r w:rsidR="00C92779">
        <w:rPr>
          <w:lang w:val="en"/>
        </w:rPr>
        <w:t>as whole</w:t>
      </w:r>
      <w:r w:rsidR="00691BAD">
        <w:rPr>
          <w:lang w:val="en"/>
        </w:rPr>
        <w:t xml:space="preserve"> as there are also clear differences between the two that should not be compared like that of serious health </w:t>
      </w:r>
      <w:proofErr w:type="spellStart"/>
      <w:r w:rsidR="00691BAD">
        <w:rPr>
          <w:lang w:val="en"/>
        </w:rPr>
        <w:t>complictions</w:t>
      </w:r>
      <w:proofErr w:type="spellEnd"/>
      <w:r w:rsidR="00691BAD">
        <w:rPr>
          <w:lang w:val="en"/>
        </w:rPr>
        <w:t xml:space="preserve"> in withdrawal of substance use whilst not in that of withdrawal from gambling.</w:t>
      </w:r>
    </w:p>
    <w:p w14:paraId="2579B3CB" w14:textId="72BEA462" w:rsidR="00C40A2B" w:rsidRDefault="00C40A2B" w:rsidP="00C40A2B"/>
    <w:p w14:paraId="16B5344C" w14:textId="40A40247" w:rsidR="00691BAD" w:rsidRDefault="00691BAD" w:rsidP="00C40A2B"/>
    <w:p w14:paraId="6EF8403F" w14:textId="44C5A4A7" w:rsidR="00691BAD" w:rsidRDefault="00691BAD" w:rsidP="00C40A2B"/>
    <w:p w14:paraId="6D4A6691" w14:textId="5A4DC8F4" w:rsidR="00691BAD" w:rsidRDefault="00691BAD" w:rsidP="00C40A2B"/>
    <w:p w14:paraId="75231147" w14:textId="5D5ACC6C" w:rsidR="00691BAD" w:rsidRDefault="00691BAD" w:rsidP="00C40A2B"/>
    <w:p w14:paraId="7F614058" w14:textId="50EE6C80" w:rsidR="00691BAD" w:rsidRDefault="00691BAD" w:rsidP="00C40A2B"/>
    <w:p w14:paraId="65C54024" w14:textId="5B3A9685" w:rsidR="00691BAD" w:rsidRDefault="00691BAD" w:rsidP="00C40A2B"/>
    <w:p w14:paraId="71AD464D" w14:textId="1F6EFDF2" w:rsidR="00691BAD" w:rsidRDefault="00691BAD" w:rsidP="00C40A2B"/>
    <w:p w14:paraId="0010FE11" w14:textId="26EF7ACA" w:rsidR="00691BAD" w:rsidRDefault="00691BAD" w:rsidP="00C40A2B"/>
    <w:p w14:paraId="4C465C18" w14:textId="4247DB7C" w:rsidR="00691BAD" w:rsidRDefault="00691BAD" w:rsidP="00C40A2B"/>
    <w:p w14:paraId="59BC0AEC" w14:textId="1DFBE8A3" w:rsidR="00691BAD" w:rsidRDefault="00691BAD" w:rsidP="00C40A2B"/>
    <w:p w14:paraId="64187414" w14:textId="192A0C51" w:rsidR="00691BAD" w:rsidRDefault="00691BAD" w:rsidP="00C40A2B"/>
    <w:p w14:paraId="7D274C39" w14:textId="67A42DE0" w:rsidR="00691BAD" w:rsidRDefault="00691BAD" w:rsidP="00C40A2B"/>
    <w:p w14:paraId="2080DE4B" w14:textId="0ADC96A7" w:rsidR="00691BAD" w:rsidRDefault="00691BAD" w:rsidP="00C40A2B"/>
    <w:p w14:paraId="4B8C2902" w14:textId="5B0E0F3C" w:rsidR="00691BAD" w:rsidRDefault="00691BAD" w:rsidP="00C40A2B"/>
    <w:p w14:paraId="456B6503" w14:textId="440EF35D" w:rsidR="00691BAD" w:rsidRDefault="00691BAD" w:rsidP="00C40A2B"/>
    <w:p w14:paraId="0C9B175F" w14:textId="34DC5029" w:rsidR="00691BAD" w:rsidRDefault="00691BAD" w:rsidP="00C40A2B"/>
    <w:p w14:paraId="35A12B34" w14:textId="0303320D" w:rsidR="00691BAD" w:rsidRDefault="00691BAD" w:rsidP="00C40A2B"/>
    <w:p w14:paraId="2CA3CD21" w14:textId="77777777" w:rsidR="00691BAD" w:rsidRDefault="00691BAD" w:rsidP="00C40A2B"/>
    <w:p w14:paraId="77B98C9A" w14:textId="59CEAAF0" w:rsidR="00DB097D" w:rsidRDefault="00DB097D" w:rsidP="00C40A2B">
      <w:pPr>
        <w:spacing w:line="480" w:lineRule="auto"/>
        <w:jc w:val="center"/>
      </w:pPr>
      <w:r>
        <w:lastRenderedPageBreak/>
        <w:t xml:space="preserve">Reference List </w:t>
      </w:r>
    </w:p>
    <w:p w14:paraId="4CE3DDE0" w14:textId="76CCD4BC" w:rsidR="00383B83" w:rsidRDefault="00383B83" w:rsidP="00C40A2B">
      <w:pPr>
        <w:spacing w:line="480" w:lineRule="auto"/>
        <w:rPr>
          <w:rFonts w:cstheme="minorHAnsi"/>
        </w:rPr>
      </w:pPr>
    </w:p>
    <w:p w14:paraId="280A3E3D" w14:textId="078F6B4C" w:rsidR="00C40A2B" w:rsidRPr="007A1822" w:rsidRDefault="00C40A2B" w:rsidP="00C40A2B">
      <w:pPr>
        <w:spacing w:line="480" w:lineRule="auto"/>
        <w:rPr>
          <w:rFonts w:cstheme="minorHAnsi"/>
        </w:rPr>
      </w:pPr>
      <w:proofErr w:type="spellStart"/>
      <w:r>
        <w:rPr>
          <w:rStyle w:val="element-citation"/>
          <w:lang w:val="en"/>
        </w:rPr>
        <w:t>Avena</w:t>
      </w:r>
      <w:proofErr w:type="spellEnd"/>
      <w:r>
        <w:rPr>
          <w:rStyle w:val="element-citation"/>
          <w:lang w:val="en"/>
        </w:rPr>
        <w:t>,</w:t>
      </w:r>
      <w:r>
        <w:rPr>
          <w:rStyle w:val="element-citation"/>
          <w:lang w:val="en"/>
        </w:rPr>
        <w:t xml:space="preserve"> N</w:t>
      </w:r>
      <w:r>
        <w:rPr>
          <w:rStyle w:val="element-citation"/>
          <w:lang w:val="en"/>
        </w:rPr>
        <w:t>.</w:t>
      </w:r>
      <w:r>
        <w:rPr>
          <w:rStyle w:val="element-citation"/>
          <w:lang w:val="en"/>
        </w:rPr>
        <w:t>M</w:t>
      </w:r>
      <w:r>
        <w:rPr>
          <w:rStyle w:val="element-citation"/>
          <w:lang w:val="en"/>
        </w:rPr>
        <w:t>.</w:t>
      </w:r>
      <w:r>
        <w:rPr>
          <w:rStyle w:val="element-citation"/>
          <w:lang w:val="en"/>
        </w:rPr>
        <w:t xml:space="preserve">, </w:t>
      </w:r>
      <w:proofErr w:type="spellStart"/>
      <w:r>
        <w:rPr>
          <w:rStyle w:val="element-citation"/>
          <w:lang w:val="en"/>
        </w:rPr>
        <w:t>Gearhardt</w:t>
      </w:r>
      <w:proofErr w:type="spellEnd"/>
      <w:r>
        <w:rPr>
          <w:rStyle w:val="element-citation"/>
          <w:lang w:val="en"/>
        </w:rPr>
        <w:t>,</w:t>
      </w:r>
      <w:r>
        <w:rPr>
          <w:rStyle w:val="element-citation"/>
          <w:lang w:val="en"/>
        </w:rPr>
        <w:t xml:space="preserve"> A</w:t>
      </w:r>
      <w:r>
        <w:rPr>
          <w:rStyle w:val="element-citation"/>
          <w:lang w:val="en"/>
        </w:rPr>
        <w:t>.</w:t>
      </w:r>
      <w:r>
        <w:rPr>
          <w:rStyle w:val="element-citation"/>
          <w:lang w:val="en"/>
        </w:rPr>
        <w:t>N</w:t>
      </w:r>
      <w:r>
        <w:rPr>
          <w:rStyle w:val="element-citation"/>
          <w:lang w:val="en"/>
        </w:rPr>
        <w:t>.</w:t>
      </w:r>
      <w:r>
        <w:rPr>
          <w:rStyle w:val="element-citation"/>
          <w:lang w:val="en"/>
        </w:rPr>
        <w:t>, Gold</w:t>
      </w:r>
      <w:r>
        <w:rPr>
          <w:rStyle w:val="element-citation"/>
          <w:lang w:val="en"/>
        </w:rPr>
        <w:t>,</w:t>
      </w:r>
      <w:r>
        <w:rPr>
          <w:rStyle w:val="element-citation"/>
          <w:lang w:val="en"/>
        </w:rPr>
        <w:t xml:space="preserve"> M</w:t>
      </w:r>
      <w:r>
        <w:rPr>
          <w:rStyle w:val="element-citation"/>
          <w:lang w:val="en"/>
        </w:rPr>
        <w:t>.</w:t>
      </w:r>
      <w:r>
        <w:rPr>
          <w:rStyle w:val="element-citation"/>
          <w:lang w:val="en"/>
        </w:rPr>
        <w:t>S</w:t>
      </w:r>
      <w:r>
        <w:rPr>
          <w:rStyle w:val="element-citation"/>
          <w:lang w:val="en"/>
        </w:rPr>
        <w:t>.</w:t>
      </w:r>
      <w:r>
        <w:rPr>
          <w:rStyle w:val="element-citation"/>
          <w:lang w:val="en"/>
        </w:rPr>
        <w:t>, Wang</w:t>
      </w:r>
      <w:r>
        <w:rPr>
          <w:rStyle w:val="element-citation"/>
          <w:lang w:val="en"/>
        </w:rPr>
        <w:t>,</w:t>
      </w:r>
      <w:r>
        <w:rPr>
          <w:rStyle w:val="element-citation"/>
          <w:lang w:val="en"/>
        </w:rPr>
        <w:t xml:space="preserve"> G</w:t>
      </w:r>
      <w:r>
        <w:rPr>
          <w:rStyle w:val="element-citation"/>
          <w:lang w:val="en"/>
        </w:rPr>
        <w:t>.</w:t>
      </w:r>
      <w:r>
        <w:rPr>
          <w:rStyle w:val="element-citation"/>
          <w:lang w:val="en"/>
        </w:rPr>
        <w:t>J</w:t>
      </w:r>
      <w:r>
        <w:rPr>
          <w:rStyle w:val="element-citation"/>
          <w:lang w:val="en"/>
        </w:rPr>
        <w:t>.</w:t>
      </w:r>
      <w:r>
        <w:rPr>
          <w:rStyle w:val="element-citation"/>
          <w:lang w:val="en"/>
        </w:rPr>
        <w:t>, Potenza</w:t>
      </w:r>
      <w:r>
        <w:rPr>
          <w:rStyle w:val="element-citation"/>
          <w:lang w:val="en"/>
        </w:rPr>
        <w:t>,</w:t>
      </w:r>
      <w:r>
        <w:rPr>
          <w:rStyle w:val="element-citation"/>
          <w:lang w:val="en"/>
        </w:rPr>
        <w:t xml:space="preserve"> M</w:t>
      </w:r>
      <w:r>
        <w:rPr>
          <w:rStyle w:val="element-citation"/>
          <w:lang w:val="en"/>
        </w:rPr>
        <w:t>.</w:t>
      </w:r>
      <w:r>
        <w:rPr>
          <w:rStyle w:val="element-citation"/>
          <w:lang w:val="en"/>
        </w:rPr>
        <w:t>N.</w:t>
      </w:r>
      <w:r>
        <w:rPr>
          <w:rStyle w:val="element-citation"/>
          <w:lang w:val="en"/>
        </w:rPr>
        <w:t xml:space="preserve"> (2</w:t>
      </w:r>
      <w:bookmarkStart w:id="0" w:name="_GoBack"/>
      <w:bookmarkEnd w:id="0"/>
      <w:r>
        <w:rPr>
          <w:rStyle w:val="element-citation"/>
          <w:lang w:val="en"/>
        </w:rPr>
        <w:t>012).</w:t>
      </w:r>
      <w:r>
        <w:rPr>
          <w:rStyle w:val="element-citation"/>
          <w:lang w:val="en"/>
        </w:rPr>
        <w:t xml:space="preserve"> Tossing the baby out </w:t>
      </w:r>
      <w:r>
        <w:rPr>
          <w:rStyle w:val="element-citation"/>
          <w:lang w:val="en"/>
        </w:rPr>
        <w:tab/>
      </w:r>
      <w:r>
        <w:rPr>
          <w:rStyle w:val="element-citation"/>
          <w:lang w:val="en"/>
        </w:rPr>
        <w:t>with the bathwater after a brief rinse? The potential downside of dismissing food addiction</w:t>
      </w:r>
      <w:r>
        <w:rPr>
          <w:rStyle w:val="element-citation"/>
          <w:lang w:val="en"/>
        </w:rPr>
        <w:tab/>
      </w:r>
      <w:r>
        <w:rPr>
          <w:rStyle w:val="element-citation"/>
          <w:lang w:val="en"/>
        </w:rPr>
        <w:t xml:space="preserve"> based on limited data. </w:t>
      </w:r>
      <w:r>
        <w:rPr>
          <w:rStyle w:val="ref-journal"/>
          <w:lang w:val="en"/>
        </w:rPr>
        <w:t>Nat Rev Neurosci</w:t>
      </w:r>
      <w:r>
        <w:rPr>
          <w:rStyle w:val="ref-journal"/>
          <w:lang w:val="en"/>
        </w:rPr>
        <w:t>ence</w:t>
      </w:r>
      <w:r>
        <w:rPr>
          <w:rStyle w:val="element-citation"/>
          <w:lang w:val="en"/>
        </w:rPr>
        <w:t>;</w:t>
      </w:r>
      <w:r>
        <w:rPr>
          <w:rStyle w:val="element-citation"/>
          <w:lang w:val="en"/>
        </w:rPr>
        <w:t xml:space="preserve"> </w:t>
      </w:r>
      <w:r>
        <w:rPr>
          <w:rStyle w:val="ref-vol"/>
          <w:lang w:val="en"/>
        </w:rPr>
        <w:t>13</w:t>
      </w:r>
      <w:r>
        <w:rPr>
          <w:rStyle w:val="element-citation"/>
          <w:lang w:val="en"/>
        </w:rPr>
        <w:t>(7):514.</w:t>
      </w:r>
    </w:p>
    <w:p w14:paraId="66D996E0" w14:textId="74E3F95B" w:rsidR="007A1822" w:rsidRPr="007A1822" w:rsidRDefault="007A1822" w:rsidP="00C40A2B">
      <w:pPr>
        <w:spacing w:line="480" w:lineRule="auto"/>
        <w:rPr>
          <w:rFonts w:cstheme="minorHAnsi"/>
        </w:rPr>
      </w:pPr>
      <w:r w:rsidRPr="007A1822">
        <w:rPr>
          <w:rFonts w:cstheme="minorHAnsi"/>
          <w:color w:val="000000"/>
          <w:lang w:val="en"/>
        </w:rPr>
        <w:t xml:space="preserve">American Psychiatric Association (2000). Diagnostic and statistical manual of mental disorders </w:t>
      </w:r>
      <w:r>
        <w:rPr>
          <w:rFonts w:cstheme="minorHAnsi"/>
          <w:color w:val="000000"/>
          <w:lang w:val="en"/>
        </w:rPr>
        <w:tab/>
      </w:r>
      <w:r>
        <w:rPr>
          <w:rFonts w:cstheme="minorHAnsi"/>
          <w:color w:val="000000"/>
          <w:lang w:val="en"/>
        </w:rPr>
        <w:tab/>
      </w:r>
      <w:r w:rsidRPr="007A1822">
        <w:rPr>
          <w:rFonts w:cstheme="minorHAnsi"/>
          <w:color w:val="000000"/>
          <w:lang w:val="en"/>
        </w:rPr>
        <w:t xml:space="preserve">(4th ed., Text Revision). Washington, DC: </w:t>
      </w:r>
      <w:r w:rsidR="00A63622">
        <w:rPr>
          <w:rFonts w:cstheme="minorHAnsi"/>
          <w:color w:val="000000"/>
          <w:lang w:val="en"/>
        </w:rPr>
        <w:t>American Psychiatric Association</w:t>
      </w:r>
      <w:r w:rsidRPr="007A1822">
        <w:rPr>
          <w:rFonts w:cstheme="minorHAnsi"/>
          <w:color w:val="000000"/>
          <w:lang w:val="en"/>
        </w:rPr>
        <w:t>.</w:t>
      </w:r>
    </w:p>
    <w:p w14:paraId="6D97EFCD" w14:textId="69007E57" w:rsidR="007A1822" w:rsidRDefault="007A1822" w:rsidP="00C40A2B">
      <w:pPr>
        <w:spacing w:line="480" w:lineRule="auto"/>
      </w:pPr>
      <w:r>
        <w:t xml:space="preserve">American Psychiatric Association. (2013). </w:t>
      </w:r>
      <w:r>
        <w:rPr>
          <w:rStyle w:val="Emphasis"/>
        </w:rPr>
        <w:t>Diagnostic and statistical manual of mental disorders</w:t>
      </w:r>
      <w:r>
        <w:rPr>
          <w:rStyle w:val="Emphasis"/>
        </w:rPr>
        <w:tab/>
      </w:r>
      <w:r>
        <w:rPr>
          <w:rStyle w:val="Emphasis"/>
        </w:rPr>
        <w:tab/>
      </w:r>
      <w:r>
        <w:t xml:space="preserve"> (5th ed.). Washington, DC: </w:t>
      </w:r>
      <w:r w:rsidR="00A63622">
        <w:rPr>
          <w:rFonts w:cstheme="minorHAnsi"/>
          <w:color w:val="000000"/>
          <w:lang w:val="en"/>
        </w:rPr>
        <w:t>American Psychiatric Association</w:t>
      </w:r>
      <w:r>
        <w:t>.</w:t>
      </w:r>
    </w:p>
    <w:p w14:paraId="52FBB788" w14:textId="1082466C" w:rsidR="00D64F56" w:rsidRDefault="00D64F56" w:rsidP="00C40A2B">
      <w:pPr>
        <w:spacing w:line="480" w:lineRule="auto"/>
      </w:pPr>
      <w:r>
        <w:t>American Society od Addiction Medicine. Public Policy Statement: Definition of addiction.</w:t>
      </w:r>
      <w:r>
        <w:tab/>
      </w:r>
      <w:r>
        <w:tab/>
      </w:r>
      <w:hyperlink r:id="rId5" w:history="1">
        <w:r w:rsidRPr="00C05F21">
          <w:rPr>
            <w:rStyle w:val="Hyperlink"/>
          </w:rPr>
          <w:t>https://www.asam.org/resources/definitions-of-addiction</w:t>
        </w:r>
      </w:hyperlink>
      <w:r>
        <w:tab/>
      </w:r>
    </w:p>
    <w:p w14:paraId="70D466D0" w14:textId="290C87D4" w:rsidR="00453060" w:rsidRDefault="00C40A2B" w:rsidP="00C40A2B">
      <w:pPr>
        <w:spacing w:line="480" w:lineRule="auto"/>
      </w:pPr>
      <w:r>
        <w:rPr>
          <w:rStyle w:val="citation"/>
          <w:lang w:val="en"/>
        </w:rPr>
        <w:t>Cunningham-Williams</w:t>
      </w:r>
      <w:r>
        <w:rPr>
          <w:rStyle w:val="citation"/>
          <w:lang w:val="en"/>
        </w:rPr>
        <w:t>,</w:t>
      </w:r>
      <w:r>
        <w:rPr>
          <w:rStyle w:val="citation"/>
          <w:lang w:val="en"/>
        </w:rPr>
        <w:t xml:space="preserve"> R</w:t>
      </w:r>
      <w:r>
        <w:rPr>
          <w:rStyle w:val="citation"/>
          <w:lang w:val="en"/>
        </w:rPr>
        <w:t>.</w:t>
      </w:r>
      <w:r>
        <w:rPr>
          <w:rStyle w:val="citation"/>
          <w:lang w:val="en"/>
        </w:rPr>
        <w:t>M</w:t>
      </w:r>
      <w:r>
        <w:rPr>
          <w:rStyle w:val="citation"/>
          <w:lang w:val="en"/>
        </w:rPr>
        <w:t>.</w:t>
      </w:r>
      <w:r>
        <w:rPr>
          <w:rStyle w:val="citation"/>
          <w:lang w:val="en"/>
        </w:rPr>
        <w:t xml:space="preserve">, </w:t>
      </w:r>
      <w:proofErr w:type="spellStart"/>
      <w:r>
        <w:rPr>
          <w:rStyle w:val="citation"/>
          <w:lang w:val="en"/>
        </w:rPr>
        <w:t>Cottler</w:t>
      </w:r>
      <w:proofErr w:type="spellEnd"/>
      <w:r>
        <w:rPr>
          <w:rStyle w:val="citation"/>
          <w:lang w:val="en"/>
        </w:rPr>
        <w:t>,</w:t>
      </w:r>
      <w:r>
        <w:rPr>
          <w:rStyle w:val="citation"/>
          <w:lang w:val="en"/>
        </w:rPr>
        <w:t xml:space="preserve"> L</w:t>
      </w:r>
      <w:r>
        <w:rPr>
          <w:rStyle w:val="citation"/>
          <w:lang w:val="en"/>
        </w:rPr>
        <w:t>.</w:t>
      </w:r>
      <w:r>
        <w:rPr>
          <w:rStyle w:val="citation"/>
          <w:lang w:val="en"/>
        </w:rPr>
        <w:t>B</w:t>
      </w:r>
      <w:r>
        <w:rPr>
          <w:rStyle w:val="citation"/>
          <w:lang w:val="en"/>
        </w:rPr>
        <w:t>.</w:t>
      </w:r>
      <w:r>
        <w:rPr>
          <w:rStyle w:val="citation"/>
          <w:lang w:val="en"/>
        </w:rPr>
        <w:t>, Compton</w:t>
      </w:r>
      <w:r>
        <w:rPr>
          <w:rStyle w:val="citation"/>
          <w:lang w:val="en"/>
        </w:rPr>
        <w:t>,</w:t>
      </w:r>
      <w:r>
        <w:rPr>
          <w:rStyle w:val="citation"/>
          <w:lang w:val="en"/>
        </w:rPr>
        <w:t xml:space="preserve"> W</w:t>
      </w:r>
      <w:r>
        <w:rPr>
          <w:rStyle w:val="citation"/>
          <w:lang w:val="en"/>
        </w:rPr>
        <w:t>.</w:t>
      </w:r>
      <w:r>
        <w:rPr>
          <w:rStyle w:val="citation"/>
          <w:lang w:val="en"/>
        </w:rPr>
        <w:t>M</w:t>
      </w:r>
      <w:r>
        <w:rPr>
          <w:rStyle w:val="citation"/>
          <w:lang w:val="en"/>
        </w:rPr>
        <w:t>.</w:t>
      </w:r>
      <w:r>
        <w:rPr>
          <w:rStyle w:val="citation"/>
          <w:lang w:val="en"/>
        </w:rPr>
        <w:t xml:space="preserve">, </w:t>
      </w:r>
      <w:proofErr w:type="spellStart"/>
      <w:r>
        <w:rPr>
          <w:rStyle w:val="citation"/>
          <w:lang w:val="en"/>
        </w:rPr>
        <w:t>Spitznagel</w:t>
      </w:r>
      <w:proofErr w:type="spellEnd"/>
      <w:r>
        <w:rPr>
          <w:rStyle w:val="citation"/>
          <w:lang w:val="en"/>
        </w:rPr>
        <w:t>,</w:t>
      </w:r>
      <w:r>
        <w:rPr>
          <w:rStyle w:val="citation"/>
          <w:lang w:val="en"/>
        </w:rPr>
        <w:t xml:space="preserve"> E</w:t>
      </w:r>
      <w:r>
        <w:rPr>
          <w:rStyle w:val="citation"/>
          <w:lang w:val="en"/>
        </w:rPr>
        <w:t>.</w:t>
      </w:r>
      <w:r>
        <w:rPr>
          <w:rStyle w:val="citation"/>
          <w:lang w:val="en"/>
        </w:rPr>
        <w:t xml:space="preserve">L. </w:t>
      </w:r>
      <w:r w:rsidR="003610FC">
        <w:rPr>
          <w:rStyle w:val="citation"/>
          <w:lang w:val="en"/>
        </w:rPr>
        <w:t xml:space="preserve">(1998). </w:t>
      </w:r>
      <w:r>
        <w:rPr>
          <w:rStyle w:val="citation"/>
          <w:lang w:val="en"/>
        </w:rPr>
        <w:t xml:space="preserve">Taking chances: </w:t>
      </w:r>
      <w:r w:rsidR="003610FC">
        <w:rPr>
          <w:rStyle w:val="citation"/>
          <w:lang w:val="en"/>
        </w:rPr>
        <w:tab/>
      </w:r>
      <w:r>
        <w:rPr>
          <w:rStyle w:val="citation"/>
          <w:lang w:val="en"/>
        </w:rPr>
        <w:t>problem gamblers and mental health disorders--results from the St. Louis Epidemiologic</w:t>
      </w:r>
      <w:r w:rsidR="003610FC">
        <w:rPr>
          <w:rStyle w:val="citation"/>
          <w:lang w:val="en"/>
        </w:rPr>
        <w:tab/>
      </w:r>
      <w:r>
        <w:rPr>
          <w:rStyle w:val="citation"/>
          <w:lang w:val="en"/>
        </w:rPr>
        <w:t xml:space="preserve">Catchment Area Study. </w:t>
      </w:r>
      <w:r>
        <w:rPr>
          <w:rStyle w:val="ref-journal1"/>
          <w:lang w:val="en"/>
        </w:rPr>
        <w:t>Am J Public Health.</w:t>
      </w:r>
      <w:r>
        <w:rPr>
          <w:rStyle w:val="citation"/>
          <w:lang w:val="en"/>
        </w:rPr>
        <w:t xml:space="preserve"> Jul;</w:t>
      </w:r>
      <w:r>
        <w:rPr>
          <w:rStyle w:val="ref-vol"/>
          <w:lang w:val="en"/>
        </w:rPr>
        <w:t>88</w:t>
      </w:r>
      <w:r>
        <w:rPr>
          <w:rStyle w:val="citation"/>
          <w:lang w:val="en"/>
        </w:rPr>
        <w:t>(7):1093–1096.</w:t>
      </w:r>
      <w:r w:rsidR="00453060">
        <w:t xml:space="preserve"> </w:t>
      </w:r>
    </w:p>
    <w:p w14:paraId="5A768E55" w14:textId="71E3D795" w:rsidR="00A63622" w:rsidRDefault="00A63622" w:rsidP="00C40A2B">
      <w:pPr>
        <w:spacing w:line="480" w:lineRule="auto"/>
      </w:pPr>
      <w:r>
        <w:t xml:space="preserve">Donovan D., &amp; Marlatt A. (1988). Assessment of Addictive behaviours. The Guilford Behavioural </w:t>
      </w:r>
      <w:r>
        <w:tab/>
        <w:t>Assessment Series, New York: Guilford Press</w:t>
      </w:r>
    </w:p>
    <w:p w14:paraId="4CD255C8" w14:textId="723E9589" w:rsidR="00D47D77" w:rsidRPr="00D47D77" w:rsidRDefault="00D47D77" w:rsidP="00C40A2B">
      <w:pPr>
        <w:spacing w:line="480" w:lineRule="auto"/>
      </w:pPr>
      <w:r>
        <w:t xml:space="preserve">Griffiths, M. D. (1994). The role of cognitive bias and skill in fruit machine gambling. </w:t>
      </w:r>
      <w:r w:rsidRPr="00D47D77">
        <w:rPr>
          <w:i/>
        </w:rPr>
        <w:t xml:space="preserve">British Journal of </w:t>
      </w:r>
      <w:r>
        <w:rPr>
          <w:i/>
        </w:rPr>
        <w:tab/>
      </w:r>
      <w:r w:rsidRPr="00D47D77">
        <w:rPr>
          <w:i/>
        </w:rPr>
        <w:t>Psychology</w:t>
      </w:r>
      <w:r>
        <w:rPr>
          <w:i/>
        </w:rPr>
        <w:t>,</w:t>
      </w:r>
      <w:r>
        <w:t xml:space="preserve"> 85:351-69.</w:t>
      </w:r>
    </w:p>
    <w:p w14:paraId="7C5628C9" w14:textId="71505186" w:rsidR="007A1822" w:rsidRDefault="00D70AD1" w:rsidP="00C40A2B">
      <w:pPr>
        <w:spacing w:line="480" w:lineRule="auto"/>
        <w:rPr>
          <w:rStyle w:val="titleauthoretc"/>
          <w:rFonts w:cstheme="minorHAnsi"/>
          <w:lang w:val="en"/>
        </w:rPr>
      </w:pPr>
      <w:r w:rsidRPr="00D70AD1">
        <w:rPr>
          <w:rFonts w:cstheme="minorHAnsi"/>
          <w:lang w:val="en"/>
        </w:rPr>
        <w:t xml:space="preserve">Holden, C. (2001) </w:t>
      </w:r>
      <w:r w:rsidRPr="007A1822">
        <w:rPr>
          <w:rFonts w:cstheme="minorHAnsi"/>
          <w:b/>
          <w:lang w:val="en"/>
        </w:rPr>
        <w:t>“</w:t>
      </w:r>
      <w:r w:rsidRPr="007A1822">
        <w:rPr>
          <w:rStyle w:val="Strong"/>
          <w:rFonts w:cstheme="minorHAnsi"/>
          <w:b w:val="0"/>
          <w:lang w:val="en"/>
        </w:rPr>
        <w:t>Behavioral</w:t>
      </w:r>
      <w:r w:rsidRPr="007A1822">
        <w:rPr>
          <w:rFonts w:cstheme="minorHAnsi"/>
          <w:b/>
          <w:lang w:val="en"/>
        </w:rPr>
        <w:t xml:space="preserve">” </w:t>
      </w:r>
      <w:r w:rsidRPr="007A1822">
        <w:rPr>
          <w:rStyle w:val="Strong"/>
          <w:rFonts w:cstheme="minorHAnsi"/>
          <w:b w:val="0"/>
          <w:lang w:val="en"/>
        </w:rPr>
        <w:t>addictions Do they exist?</w:t>
      </w:r>
      <w:r w:rsidRPr="00D70AD1">
        <w:rPr>
          <w:rFonts w:cstheme="minorHAnsi"/>
          <w:lang w:val="en"/>
        </w:rPr>
        <w:t xml:space="preserve"> Science, 294, 980-982. </w:t>
      </w:r>
      <w:r w:rsidRPr="00D70AD1">
        <w:rPr>
          <w:rFonts w:cstheme="minorHAnsi"/>
          <w:lang w:val="en"/>
        </w:rPr>
        <w:tab/>
        <w:t>doi10.1126/science.294.5544.980</w:t>
      </w:r>
      <w:r w:rsidR="009C278D" w:rsidRPr="00D70AD1">
        <w:rPr>
          <w:rStyle w:val="titleauthoretc"/>
          <w:rFonts w:cstheme="minorHAnsi"/>
          <w:lang w:val="en"/>
        </w:rPr>
        <w:t>.</w:t>
      </w:r>
    </w:p>
    <w:p w14:paraId="31546B8E" w14:textId="3D91788B" w:rsidR="00E85CF7" w:rsidRDefault="00E85CF7" w:rsidP="00C40A2B">
      <w:pPr>
        <w:spacing w:line="480" w:lineRule="auto"/>
        <w:rPr>
          <w:rStyle w:val="titleauthoretc"/>
          <w:rFonts w:cstheme="minorHAnsi"/>
          <w:lang w:val="en"/>
        </w:rPr>
      </w:pPr>
      <w:r>
        <w:rPr>
          <w:rStyle w:val="titleauthoretc"/>
          <w:rFonts w:cstheme="minorHAnsi"/>
          <w:lang w:val="en"/>
        </w:rPr>
        <w:t xml:space="preserve">Koepp, M.J., Gunn R. N., Lawrence, A. D., Cunningham, V.J., </w:t>
      </w:r>
      <w:proofErr w:type="spellStart"/>
      <w:r>
        <w:rPr>
          <w:rStyle w:val="titleauthoretc"/>
          <w:rFonts w:cstheme="minorHAnsi"/>
          <w:lang w:val="en"/>
        </w:rPr>
        <w:t>Dagher</w:t>
      </w:r>
      <w:proofErr w:type="spellEnd"/>
      <w:r>
        <w:rPr>
          <w:rStyle w:val="titleauthoretc"/>
          <w:rFonts w:cstheme="minorHAnsi"/>
          <w:lang w:val="en"/>
        </w:rPr>
        <w:t xml:space="preserve">, A., Jones, T., Brooks, D.J., Bench, </w:t>
      </w:r>
      <w:r>
        <w:rPr>
          <w:rStyle w:val="titleauthoretc"/>
          <w:rFonts w:cstheme="minorHAnsi"/>
          <w:lang w:val="en"/>
        </w:rPr>
        <w:tab/>
      </w:r>
      <w:proofErr w:type="gramStart"/>
      <w:r>
        <w:rPr>
          <w:rStyle w:val="titleauthoretc"/>
          <w:rFonts w:cstheme="minorHAnsi"/>
          <w:lang w:val="en"/>
        </w:rPr>
        <w:t>C,J.</w:t>
      </w:r>
      <w:proofErr w:type="gramEnd"/>
      <w:r>
        <w:rPr>
          <w:rStyle w:val="titleauthoretc"/>
          <w:rFonts w:cstheme="minorHAnsi"/>
          <w:lang w:val="en"/>
        </w:rPr>
        <w:t xml:space="preserve">, </w:t>
      </w:r>
      <w:proofErr w:type="spellStart"/>
      <w:r>
        <w:rPr>
          <w:rStyle w:val="titleauthoretc"/>
          <w:rFonts w:cstheme="minorHAnsi"/>
          <w:lang w:val="en"/>
        </w:rPr>
        <w:t>Grasby</w:t>
      </w:r>
      <w:proofErr w:type="spellEnd"/>
      <w:r>
        <w:rPr>
          <w:rStyle w:val="titleauthoretc"/>
          <w:rFonts w:cstheme="minorHAnsi"/>
          <w:lang w:val="en"/>
        </w:rPr>
        <w:t>, P.M. (1998). Evidence for striatal dopamine release during video game. Nature.</w:t>
      </w:r>
      <w:r>
        <w:rPr>
          <w:rStyle w:val="titleauthoretc"/>
          <w:rFonts w:cstheme="minorHAnsi"/>
          <w:lang w:val="en"/>
        </w:rPr>
        <w:tab/>
        <w:t>393:266-268.</w:t>
      </w:r>
    </w:p>
    <w:p w14:paraId="5225804F" w14:textId="496281D9" w:rsidR="00481E47" w:rsidRDefault="00481E47" w:rsidP="00C40A2B">
      <w:pPr>
        <w:spacing w:line="480" w:lineRule="auto"/>
        <w:rPr>
          <w:rStyle w:val="titleauthoretc"/>
          <w:rFonts w:cstheme="minorHAnsi"/>
          <w:lang w:val="en"/>
        </w:rPr>
      </w:pPr>
      <w:proofErr w:type="spellStart"/>
      <w:r>
        <w:rPr>
          <w:rStyle w:val="titleauthoretc"/>
          <w:rFonts w:cstheme="minorHAnsi"/>
          <w:lang w:val="en"/>
        </w:rPr>
        <w:lastRenderedPageBreak/>
        <w:t>Kuss</w:t>
      </w:r>
      <w:proofErr w:type="spellEnd"/>
      <w:r>
        <w:rPr>
          <w:rStyle w:val="titleauthoretc"/>
          <w:rFonts w:cstheme="minorHAnsi"/>
          <w:lang w:val="en"/>
        </w:rPr>
        <w:t>,</w:t>
      </w:r>
      <w:r w:rsidR="00E85CF7">
        <w:rPr>
          <w:rStyle w:val="titleauthoretc"/>
          <w:rFonts w:cstheme="minorHAnsi"/>
          <w:lang w:val="en"/>
        </w:rPr>
        <w:t xml:space="preserve"> D.J., Griffiths, </w:t>
      </w:r>
      <w:proofErr w:type="gramStart"/>
      <w:r w:rsidR="00E85CF7">
        <w:rPr>
          <w:rStyle w:val="titleauthoretc"/>
          <w:rFonts w:cstheme="minorHAnsi"/>
          <w:lang w:val="en"/>
        </w:rPr>
        <w:t>M.D.(</w:t>
      </w:r>
      <w:proofErr w:type="gramEnd"/>
      <w:r w:rsidR="00E85CF7">
        <w:rPr>
          <w:rStyle w:val="titleauthoretc"/>
          <w:rFonts w:cstheme="minorHAnsi"/>
          <w:lang w:val="en"/>
        </w:rPr>
        <w:t>2012). Internet gaming addiction</w:t>
      </w:r>
      <w:r w:rsidR="00AC0DD7">
        <w:rPr>
          <w:rStyle w:val="titleauthoretc"/>
          <w:rFonts w:cstheme="minorHAnsi"/>
          <w:lang w:val="en"/>
        </w:rPr>
        <w:t xml:space="preserve">: A systematic review of empirical </w:t>
      </w:r>
      <w:r w:rsidR="00AC0DD7">
        <w:rPr>
          <w:rStyle w:val="titleauthoretc"/>
          <w:rFonts w:cstheme="minorHAnsi"/>
          <w:lang w:val="en"/>
        </w:rPr>
        <w:tab/>
        <w:t xml:space="preserve">research. Int. J. Mental Health Addict. 10:278-296. </w:t>
      </w:r>
      <w:proofErr w:type="spellStart"/>
      <w:r w:rsidR="00AC0DD7">
        <w:rPr>
          <w:rStyle w:val="titleauthoretc"/>
          <w:rFonts w:cstheme="minorHAnsi"/>
          <w:lang w:val="en"/>
        </w:rPr>
        <w:t>doi</w:t>
      </w:r>
      <w:proofErr w:type="spellEnd"/>
      <w:r w:rsidR="00AC0DD7">
        <w:rPr>
          <w:rStyle w:val="titleauthoretc"/>
          <w:rFonts w:cstheme="minorHAnsi"/>
          <w:lang w:val="en"/>
        </w:rPr>
        <w:t>: 10.1007/s11469-011-9318-5.</w:t>
      </w:r>
    </w:p>
    <w:p w14:paraId="4F9DFF7B" w14:textId="3BEA112F" w:rsidR="001A5061" w:rsidRDefault="001A5061" w:rsidP="00C40A2B">
      <w:pPr>
        <w:spacing w:line="480" w:lineRule="auto"/>
        <w:rPr>
          <w:rFonts w:cstheme="minorHAnsi"/>
          <w:lang w:val="en"/>
        </w:rPr>
      </w:pPr>
      <w:r>
        <w:rPr>
          <w:rFonts w:cstheme="minorHAnsi"/>
          <w:lang w:val="en"/>
        </w:rPr>
        <w:t xml:space="preserve">Leeman, R. F., &amp; Potenza, M. N. (2012). Similarities and differences between pathological gambling </w:t>
      </w:r>
      <w:r>
        <w:rPr>
          <w:rFonts w:cstheme="minorHAnsi"/>
          <w:lang w:val="en"/>
        </w:rPr>
        <w:tab/>
        <w:t>and substance use disorders: A focus on impulsivity and compulsivity</w:t>
      </w:r>
      <w:r w:rsidRPr="001A5061">
        <w:rPr>
          <w:rFonts w:cstheme="minorHAnsi"/>
          <w:i/>
          <w:lang w:val="en"/>
        </w:rPr>
        <w:t>. Psychopharmacology</w:t>
      </w:r>
      <w:r>
        <w:rPr>
          <w:rFonts w:cstheme="minorHAnsi"/>
          <w:i/>
          <w:lang w:val="en"/>
        </w:rPr>
        <w:t>,</w:t>
      </w:r>
      <w:r>
        <w:rPr>
          <w:rFonts w:cstheme="minorHAnsi"/>
          <w:i/>
          <w:lang w:val="en"/>
        </w:rPr>
        <w:tab/>
      </w:r>
      <w:r>
        <w:rPr>
          <w:rFonts w:cstheme="minorHAnsi"/>
          <w:lang w:val="en"/>
        </w:rPr>
        <w:t>219, 469-490</w:t>
      </w:r>
      <w:r w:rsidR="00286117">
        <w:rPr>
          <w:rFonts w:cstheme="minorHAnsi"/>
          <w:lang w:val="en"/>
        </w:rPr>
        <w:t>.</w:t>
      </w:r>
    </w:p>
    <w:p w14:paraId="0E712CFE" w14:textId="4EE574C4" w:rsidR="00286117" w:rsidRPr="001A5061" w:rsidRDefault="00DE628F" w:rsidP="00C40A2B">
      <w:pPr>
        <w:spacing w:line="480" w:lineRule="auto"/>
        <w:rPr>
          <w:rFonts w:cstheme="minorHAnsi"/>
          <w:lang w:val="en"/>
        </w:rPr>
      </w:pPr>
      <w:r>
        <w:rPr>
          <w:rStyle w:val="mixed-citation"/>
          <w:lang w:val="en"/>
        </w:rPr>
        <w:t>Petry</w:t>
      </w:r>
      <w:r>
        <w:rPr>
          <w:rStyle w:val="mixed-citation"/>
          <w:lang w:val="en"/>
        </w:rPr>
        <w:t>,</w:t>
      </w:r>
      <w:r>
        <w:rPr>
          <w:rStyle w:val="mixed-citation"/>
          <w:lang w:val="en"/>
        </w:rPr>
        <w:t xml:space="preserve"> N., Stinson</w:t>
      </w:r>
      <w:r>
        <w:rPr>
          <w:rStyle w:val="mixed-citation"/>
          <w:lang w:val="en"/>
        </w:rPr>
        <w:t>,</w:t>
      </w:r>
      <w:r>
        <w:rPr>
          <w:rStyle w:val="mixed-citation"/>
          <w:lang w:val="en"/>
        </w:rPr>
        <w:t xml:space="preserve"> F., Grant</w:t>
      </w:r>
      <w:r>
        <w:rPr>
          <w:rStyle w:val="mixed-citation"/>
          <w:lang w:val="en"/>
        </w:rPr>
        <w:t>,</w:t>
      </w:r>
      <w:r>
        <w:rPr>
          <w:rStyle w:val="mixed-citation"/>
          <w:lang w:val="en"/>
        </w:rPr>
        <w:t xml:space="preserve"> B. (2005)</w:t>
      </w:r>
      <w:r>
        <w:rPr>
          <w:rStyle w:val="mixed-citation"/>
          <w:lang w:val="en"/>
        </w:rPr>
        <w:t>.</w:t>
      </w:r>
      <w:r>
        <w:rPr>
          <w:rStyle w:val="mixed-citation"/>
          <w:lang w:val="en"/>
        </w:rPr>
        <w:t xml:space="preserve"> </w:t>
      </w:r>
      <w:r>
        <w:rPr>
          <w:rStyle w:val="ref-title"/>
          <w:lang w:val="en"/>
        </w:rPr>
        <w:t>Comorbidity of DSM-IV pathological gambling and other</w:t>
      </w:r>
      <w:r>
        <w:rPr>
          <w:rStyle w:val="ref-title"/>
          <w:lang w:val="en"/>
        </w:rPr>
        <w:tab/>
      </w:r>
      <w:r>
        <w:rPr>
          <w:rStyle w:val="ref-title"/>
          <w:lang w:val="en"/>
        </w:rPr>
        <w:tab/>
      </w:r>
      <w:r>
        <w:rPr>
          <w:rStyle w:val="ref-title"/>
          <w:lang w:val="en"/>
        </w:rPr>
        <w:t xml:space="preserve"> psychiatric disorders: results from the National Epidemiologic Survey on Alcohol and </w:t>
      </w:r>
      <w:r>
        <w:rPr>
          <w:rStyle w:val="ref-title"/>
          <w:lang w:val="en"/>
        </w:rPr>
        <w:tab/>
      </w:r>
      <w:r>
        <w:rPr>
          <w:rStyle w:val="ref-title"/>
          <w:lang w:val="en"/>
        </w:rPr>
        <w:t>Related Conditions</w:t>
      </w:r>
      <w:r>
        <w:rPr>
          <w:rStyle w:val="mixed-citation"/>
          <w:lang w:val="en"/>
        </w:rPr>
        <w:t xml:space="preserve">. </w:t>
      </w:r>
      <w:r>
        <w:rPr>
          <w:rStyle w:val="ref-journal"/>
          <w:lang w:val="en"/>
        </w:rPr>
        <w:t>J Clin Psychiatry</w:t>
      </w:r>
      <w:r>
        <w:rPr>
          <w:rStyle w:val="mixed-citation"/>
          <w:lang w:val="en"/>
        </w:rPr>
        <w:t xml:space="preserve"> </w:t>
      </w:r>
      <w:r>
        <w:rPr>
          <w:rStyle w:val="ref-vol"/>
          <w:lang w:val="en"/>
        </w:rPr>
        <w:t>66</w:t>
      </w:r>
      <w:r>
        <w:rPr>
          <w:rStyle w:val="mixed-citation"/>
          <w:lang w:val="en"/>
        </w:rPr>
        <w:t>: 564–574</w:t>
      </w:r>
    </w:p>
    <w:p w14:paraId="246A31D7" w14:textId="73C253E3" w:rsidR="000B20A1" w:rsidRDefault="00F20798" w:rsidP="00C40A2B">
      <w:pPr>
        <w:spacing w:line="480" w:lineRule="auto"/>
        <w:rPr>
          <w:rFonts w:cs="Arial"/>
          <w:lang w:val="en-US"/>
        </w:rPr>
      </w:pPr>
      <w:r w:rsidRPr="00F20798">
        <w:rPr>
          <w:rFonts w:cs="Arial"/>
          <w:lang w:val="en-US"/>
        </w:rPr>
        <w:t>Shaffer, H. J., &amp; Kidman, R. (2003). Shifting perspectives on gambling and addiction. </w:t>
      </w:r>
      <w:r w:rsidRPr="00F20798">
        <w:rPr>
          <w:rStyle w:val="Emphasis"/>
          <w:rFonts w:cs="Arial"/>
          <w:lang w:val="en-US"/>
        </w:rPr>
        <w:t>Journal of</w:t>
      </w:r>
      <w:r w:rsidR="00D70AD1">
        <w:rPr>
          <w:rStyle w:val="Emphasis"/>
          <w:rFonts w:cs="Arial"/>
          <w:lang w:val="en-US"/>
        </w:rPr>
        <w:tab/>
      </w:r>
      <w:r w:rsidR="00D70AD1">
        <w:rPr>
          <w:rStyle w:val="Emphasis"/>
          <w:rFonts w:cs="Arial"/>
          <w:lang w:val="en-US"/>
        </w:rPr>
        <w:tab/>
      </w:r>
      <w:r w:rsidRPr="00F20798">
        <w:rPr>
          <w:rStyle w:val="Emphasis"/>
          <w:rFonts w:cs="Arial"/>
          <w:lang w:val="en-US"/>
        </w:rPr>
        <w:t xml:space="preserve"> Gambling Studies, 19</w:t>
      </w:r>
      <w:r w:rsidRPr="00F20798">
        <w:rPr>
          <w:rFonts w:cs="Arial"/>
          <w:lang w:val="en-US"/>
        </w:rPr>
        <w:t>(1), 1-6</w:t>
      </w:r>
    </w:p>
    <w:p w14:paraId="5FFFB2BF" w14:textId="358CC40E" w:rsidR="00287C8F" w:rsidRPr="000B20A1" w:rsidRDefault="00F20798" w:rsidP="00C40A2B">
      <w:pPr>
        <w:spacing w:line="480" w:lineRule="auto"/>
        <w:rPr>
          <w:rFonts w:cs="Arial"/>
          <w:lang w:val="en-US"/>
        </w:rPr>
      </w:pPr>
      <w:r w:rsidRPr="00F20798">
        <w:rPr>
          <w:rFonts w:cs="Arial"/>
          <w:lang w:val="en-US"/>
        </w:rPr>
        <w:t>.</w:t>
      </w:r>
      <w:r w:rsidR="000B20A1">
        <w:rPr>
          <w:rFonts w:cs="Arial"/>
          <w:lang w:val="en-US"/>
        </w:rPr>
        <w:tab/>
      </w:r>
      <w:r w:rsidR="000B20A1">
        <w:rPr>
          <w:rFonts w:cs="Arial"/>
          <w:lang w:val="en-US"/>
        </w:rPr>
        <w:tab/>
      </w:r>
      <w:r w:rsidR="000B20A1">
        <w:rPr>
          <w:rFonts w:cs="Arial"/>
          <w:lang w:val="en-US"/>
        </w:rPr>
        <w:tab/>
      </w:r>
      <w:r w:rsidR="000B3933">
        <w:rPr>
          <w:rFonts w:cs="Arial"/>
          <w:lang w:val="en-US"/>
        </w:rPr>
        <w:tab/>
      </w:r>
      <w:r w:rsidR="000B20A1">
        <w:rPr>
          <w:rFonts w:cs="Arial"/>
          <w:lang w:val="en-US"/>
        </w:rPr>
        <w:tab/>
      </w:r>
      <w:r w:rsidR="000B20A1">
        <w:rPr>
          <w:rFonts w:cs="Arial"/>
          <w:lang w:val="en-US"/>
        </w:rPr>
        <w:tab/>
      </w:r>
      <w:r w:rsidR="000B20A1">
        <w:rPr>
          <w:rFonts w:cs="Arial"/>
          <w:lang w:val="en-US"/>
        </w:rPr>
        <w:tab/>
      </w:r>
      <w:r w:rsidR="000B20A1">
        <w:rPr>
          <w:rFonts w:cs="Arial"/>
          <w:lang w:val="en-US"/>
        </w:rPr>
        <w:tab/>
      </w:r>
      <w:r w:rsidR="000B20A1">
        <w:rPr>
          <w:rFonts w:cs="Arial"/>
          <w:lang w:val="en-US"/>
        </w:rPr>
        <w:tab/>
      </w:r>
      <w:r w:rsidR="000B20A1">
        <w:rPr>
          <w:rFonts w:cs="Arial"/>
          <w:lang w:val="en-US"/>
        </w:rPr>
        <w:tab/>
      </w:r>
      <w:r w:rsidR="000B20A1">
        <w:rPr>
          <w:rFonts w:cs="Arial"/>
          <w:lang w:val="en-US"/>
        </w:rPr>
        <w:tab/>
      </w:r>
      <w:r w:rsidR="000B20A1">
        <w:rPr>
          <w:rFonts w:cs="Arial"/>
          <w:lang w:val="en-US"/>
        </w:rPr>
        <w:tab/>
      </w:r>
      <w:r w:rsidR="000B20A1">
        <w:rPr>
          <w:rFonts w:cs="Arial"/>
          <w:lang w:val="en-US"/>
        </w:rPr>
        <w:tab/>
      </w:r>
      <w:r w:rsidR="000B20A1">
        <w:rPr>
          <w:rFonts w:cs="Arial"/>
          <w:lang w:val="en-US"/>
        </w:rPr>
        <w:tab/>
      </w:r>
    </w:p>
    <w:sectPr w:rsidR="00287C8F" w:rsidRPr="000B20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A022A1"/>
    <w:multiLevelType w:val="multilevel"/>
    <w:tmpl w:val="5AAE4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4E9"/>
    <w:rsid w:val="0002505B"/>
    <w:rsid w:val="000724DF"/>
    <w:rsid w:val="00082AF5"/>
    <w:rsid w:val="00091B7F"/>
    <w:rsid w:val="000B20A1"/>
    <w:rsid w:val="000B3933"/>
    <w:rsid w:val="000D2705"/>
    <w:rsid w:val="000E5977"/>
    <w:rsid w:val="001874E9"/>
    <w:rsid w:val="00191E5A"/>
    <w:rsid w:val="001A5061"/>
    <w:rsid w:val="001B2EE5"/>
    <w:rsid w:val="001C3F2F"/>
    <w:rsid w:val="001D3734"/>
    <w:rsid w:val="00204F90"/>
    <w:rsid w:val="002057AA"/>
    <w:rsid w:val="00260C36"/>
    <w:rsid w:val="00286117"/>
    <w:rsid w:val="00287C8F"/>
    <w:rsid w:val="002C2852"/>
    <w:rsid w:val="0032472F"/>
    <w:rsid w:val="00337D64"/>
    <w:rsid w:val="00344261"/>
    <w:rsid w:val="003610FC"/>
    <w:rsid w:val="00361C8B"/>
    <w:rsid w:val="0037123A"/>
    <w:rsid w:val="00383B83"/>
    <w:rsid w:val="003A622D"/>
    <w:rsid w:val="003B193D"/>
    <w:rsid w:val="003C6930"/>
    <w:rsid w:val="003D5748"/>
    <w:rsid w:val="00405A21"/>
    <w:rsid w:val="00436F4A"/>
    <w:rsid w:val="00453060"/>
    <w:rsid w:val="0046455C"/>
    <w:rsid w:val="0046488A"/>
    <w:rsid w:val="00481091"/>
    <w:rsid w:val="00481E47"/>
    <w:rsid w:val="004A1164"/>
    <w:rsid w:val="004B74AA"/>
    <w:rsid w:val="00524520"/>
    <w:rsid w:val="005605B7"/>
    <w:rsid w:val="005A3C53"/>
    <w:rsid w:val="005E14C5"/>
    <w:rsid w:val="005E4270"/>
    <w:rsid w:val="005F54CF"/>
    <w:rsid w:val="00621947"/>
    <w:rsid w:val="00644D86"/>
    <w:rsid w:val="00665A3A"/>
    <w:rsid w:val="00691BAD"/>
    <w:rsid w:val="006D38F4"/>
    <w:rsid w:val="007100E2"/>
    <w:rsid w:val="007A1822"/>
    <w:rsid w:val="007F6F48"/>
    <w:rsid w:val="00845223"/>
    <w:rsid w:val="00853EBD"/>
    <w:rsid w:val="008A6727"/>
    <w:rsid w:val="008B034B"/>
    <w:rsid w:val="008F36DB"/>
    <w:rsid w:val="00934522"/>
    <w:rsid w:val="0096011D"/>
    <w:rsid w:val="009945F1"/>
    <w:rsid w:val="009C278D"/>
    <w:rsid w:val="009C6C83"/>
    <w:rsid w:val="009F1824"/>
    <w:rsid w:val="00A17E3B"/>
    <w:rsid w:val="00A57E03"/>
    <w:rsid w:val="00A63622"/>
    <w:rsid w:val="00A937F8"/>
    <w:rsid w:val="00AC0DD7"/>
    <w:rsid w:val="00AC33CD"/>
    <w:rsid w:val="00AC5194"/>
    <w:rsid w:val="00AE4D14"/>
    <w:rsid w:val="00B96451"/>
    <w:rsid w:val="00C40A2B"/>
    <w:rsid w:val="00C92779"/>
    <w:rsid w:val="00D47D77"/>
    <w:rsid w:val="00D64F56"/>
    <w:rsid w:val="00D70AD1"/>
    <w:rsid w:val="00D76D18"/>
    <w:rsid w:val="00D80974"/>
    <w:rsid w:val="00DB097D"/>
    <w:rsid w:val="00DE628F"/>
    <w:rsid w:val="00E207ED"/>
    <w:rsid w:val="00E455B6"/>
    <w:rsid w:val="00E85CF7"/>
    <w:rsid w:val="00F04A93"/>
    <w:rsid w:val="00F20798"/>
    <w:rsid w:val="00F30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85B13"/>
  <w15:chartTrackingRefBased/>
  <w15:docId w15:val="{24789457-A46C-43A9-A30D-6D6539E32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F2079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authoretc">
    <w:name w:val="titleauthoretc"/>
    <w:basedOn w:val="DefaultParagraphFont"/>
    <w:rsid w:val="009C278D"/>
  </w:style>
  <w:style w:type="character" w:styleId="Hyperlink">
    <w:name w:val="Hyperlink"/>
    <w:basedOn w:val="DefaultParagraphFont"/>
    <w:uiPriority w:val="99"/>
    <w:unhideWhenUsed/>
    <w:rsid w:val="009C278D"/>
    <w:rPr>
      <w:color w:val="0000FF"/>
      <w:u w:val="single"/>
    </w:rPr>
  </w:style>
  <w:style w:type="character" w:styleId="Strong">
    <w:name w:val="Strong"/>
    <w:basedOn w:val="DefaultParagraphFont"/>
    <w:uiPriority w:val="22"/>
    <w:qFormat/>
    <w:rsid w:val="009C278D"/>
    <w:rPr>
      <w:b/>
      <w:bCs/>
    </w:rPr>
  </w:style>
  <w:style w:type="character" w:customStyle="1" w:styleId="Heading3Char">
    <w:name w:val="Heading 3 Char"/>
    <w:basedOn w:val="DefaultParagraphFont"/>
    <w:link w:val="Heading3"/>
    <w:uiPriority w:val="9"/>
    <w:rsid w:val="00F20798"/>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F20798"/>
    <w:rPr>
      <w:i/>
      <w:iCs/>
    </w:rPr>
  </w:style>
  <w:style w:type="character" w:styleId="UnresolvedMention">
    <w:name w:val="Unresolved Mention"/>
    <w:basedOn w:val="DefaultParagraphFont"/>
    <w:uiPriority w:val="99"/>
    <w:semiHidden/>
    <w:unhideWhenUsed/>
    <w:rsid w:val="00D64F56"/>
    <w:rPr>
      <w:color w:val="808080"/>
      <w:shd w:val="clear" w:color="auto" w:fill="E6E6E6"/>
    </w:rPr>
  </w:style>
  <w:style w:type="character" w:customStyle="1" w:styleId="element-citation">
    <w:name w:val="element-citation"/>
    <w:basedOn w:val="DefaultParagraphFont"/>
    <w:rsid w:val="00C40A2B"/>
  </w:style>
  <w:style w:type="character" w:customStyle="1" w:styleId="ref-journal">
    <w:name w:val="ref-journal"/>
    <w:basedOn w:val="DefaultParagraphFont"/>
    <w:rsid w:val="00C40A2B"/>
  </w:style>
  <w:style w:type="character" w:customStyle="1" w:styleId="ref-vol">
    <w:name w:val="ref-vol"/>
    <w:basedOn w:val="DefaultParagraphFont"/>
    <w:rsid w:val="00C40A2B"/>
  </w:style>
  <w:style w:type="character" w:customStyle="1" w:styleId="citation">
    <w:name w:val="citation"/>
    <w:basedOn w:val="DefaultParagraphFont"/>
    <w:rsid w:val="00C40A2B"/>
  </w:style>
  <w:style w:type="character" w:customStyle="1" w:styleId="ref-journal1">
    <w:name w:val="ref-journal1"/>
    <w:basedOn w:val="DefaultParagraphFont"/>
    <w:rsid w:val="00C40A2B"/>
    <w:rPr>
      <w:i/>
      <w:iCs/>
    </w:rPr>
  </w:style>
  <w:style w:type="character" w:customStyle="1" w:styleId="mixed-citation">
    <w:name w:val="mixed-citation"/>
    <w:basedOn w:val="DefaultParagraphFont"/>
    <w:rsid w:val="00DE628F"/>
  </w:style>
  <w:style w:type="character" w:customStyle="1" w:styleId="ref-title">
    <w:name w:val="ref-title"/>
    <w:basedOn w:val="DefaultParagraphFont"/>
    <w:rsid w:val="00DE6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251750">
      <w:bodyDiv w:val="1"/>
      <w:marLeft w:val="0"/>
      <w:marRight w:val="0"/>
      <w:marTop w:val="0"/>
      <w:marBottom w:val="0"/>
      <w:divBdr>
        <w:top w:val="none" w:sz="0" w:space="0" w:color="auto"/>
        <w:left w:val="none" w:sz="0" w:space="0" w:color="auto"/>
        <w:bottom w:val="none" w:sz="0" w:space="0" w:color="auto"/>
        <w:right w:val="none" w:sz="0" w:space="0" w:color="auto"/>
      </w:divBdr>
      <w:divsChild>
        <w:div w:id="1709916062">
          <w:marLeft w:val="0"/>
          <w:marRight w:val="0"/>
          <w:marTop w:val="0"/>
          <w:marBottom w:val="0"/>
          <w:divBdr>
            <w:top w:val="none" w:sz="0" w:space="0" w:color="auto"/>
            <w:left w:val="none" w:sz="0" w:space="0" w:color="auto"/>
            <w:bottom w:val="none" w:sz="0" w:space="0" w:color="auto"/>
            <w:right w:val="none" w:sz="0" w:space="0" w:color="auto"/>
          </w:divBdr>
          <w:divsChild>
            <w:div w:id="1557007890">
              <w:marLeft w:val="0"/>
              <w:marRight w:val="0"/>
              <w:marTop w:val="0"/>
              <w:marBottom w:val="0"/>
              <w:divBdr>
                <w:top w:val="none" w:sz="0" w:space="0" w:color="auto"/>
                <w:left w:val="none" w:sz="0" w:space="0" w:color="auto"/>
                <w:bottom w:val="none" w:sz="0" w:space="0" w:color="auto"/>
                <w:right w:val="none" w:sz="0" w:space="0" w:color="auto"/>
              </w:divBdr>
              <w:divsChild>
                <w:div w:id="2033653734">
                  <w:marLeft w:val="0"/>
                  <w:marRight w:val="0"/>
                  <w:marTop w:val="0"/>
                  <w:marBottom w:val="0"/>
                  <w:divBdr>
                    <w:top w:val="none" w:sz="0" w:space="0" w:color="auto"/>
                    <w:left w:val="none" w:sz="0" w:space="0" w:color="auto"/>
                    <w:bottom w:val="none" w:sz="0" w:space="0" w:color="auto"/>
                    <w:right w:val="none" w:sz="0" w:space="0" w:color="auto"/>
                  </w:divBdr>
                  <w:divsChild>
                    <w:div w:id="1732577811">
                      <w:marLeft w:val="0"/>
                      <w:marRight w:val="0"/>
                      <w:marTop w:val="0"/>
                      <w:marBottom w:val="0"/>
                      <w:divBdr>
                        <w:top w:val="none" w:sz="0" w:space="0" w:color="auto"/>
                        <w:left w:val="none" w:sz="0" w:space="0" w:color="auto"/>
                        <w:bottom w:val="none" w:sz="0" w:space="0" w:color="auto"/>
                        <w:right w:val="none" w:sz="0" w:space="0" w:color="auto"/>
                      </w:divBdr>
                      <w:divsChild>
                        <w:div w:id="582565291">
                          <w:marLeft w:val="0"/>
                          <w:marRight w:val="0"/>
                          <w:marTop w:val="0"/>
                          <w:marBottom w:val="0"/>
                          <w:divBdr>
                            <w:top w:val="none" w:sz="0" w:space="0" w:color="auto"/>
                            <w:left w:val="none" w:sz="0" w:space="0" w:color="auto"/>
                            <w:bottom w:val="none" w:sz="0" w:space="0" w:color="auto"/>
                            <w:right w:val="none" w:sz="0" w:space="0" w:color="auto"/>
                          </w:divBdr>
                          <w:divsChild>
                            <w:div w:id="1455322618">
                              <w:marLeft w:val="0"/>
                              <w:marRight w:val="0"/>
                              <w:marTop w:val="0"/>
                              <w:marBottom w:val="0"/>
                              <w:divBdr>
                                <w:top w:val="none" w:sz="0" w:space="0" w:color="auto"/>
                                <w:left w:val="none" w:sz="0" w:space="0" w:color="auto"/>
                                <w:bottom w:val="none" w:sz="0" w:space="0" w:color="auto"/>
                                <w:right w:val="none" w:sz="0" w:space="0" w:color="auto"/>
                              </w:divBdr>
                              <w:divsChild>
                                <w:div w:id="1130903361">
                                  <w:marLeft w:val="0"/>
                                  <w:marRight w:val="0"/>
                                  <w:marTop w:val="0"/>
                                  <w:marBottom w:val="0"/>
                                  <w:divBdr>
                                    <w:top w:val="none" w:sz="0" w:space="0" w:color="auto"/>
                                    <w:left w:val="none" w:sz="0" w:space="0" w:color="auto"/>
                                    <w:bottom w:val="none" w:sz="0" w:space="0" w:color="auto"/>
                                    <w:right w:val="none" w:sz="0" w:space="0" w:color="auto"/>
                                  </w:divBdr>
                                  <w:divsChild>
                                    <w:div w:id="63308011">
                                      <w:marLeft w:val="0"/>
                                      <w:marRight w:val="0"/>
                                      <w:marTop w:val="0"/>
                                      <w:marBottom w:val="0"/>
                                      <w:divBdr>
                                        <w:top w:val="none" w:sz="0" w:space="0" w:color="auto"/>
                                        <w:left w:val="none" w:sz="0" w:space="0" w:color="auto"/>
                                        <w:bottom w:val="none" w:sz="0" w:space="0" w:color="auto"/>
                                        <w:right w:val="none" w:sz="0" w:space="0" w:color="auto"/>
                                      </w:divBdr>
                                      <w:divsChild>
                                        <w:div w:id="1699575049">
                                          <w:marLeft w:val="0"/>
                                          <w:marRight w:val="0"/>
                                          <w:marTop w:val="0"/>
                                          <w:marBottom w:val="0"/>
                                          <w:divBdr>
                                            <w:top w:val="none" w:sz="0" w:space="0" w:color="auto"/>
                                            <w:left w:val="none" w:sz="0" w:space="0" w:color="auto"/>
                                            <w:bottom w:val="none" w:sz="0" w:space="0" w:color="auto"/>
                                            <w:right w:val="none" w:sz="0" w:space="0" w:color="auto"/>
                                          </w:divBdr>
                                          <w:divsChild>
                                            <w:div w:id="1304697106">
                                              <w:marLeft w:val="0"/>
                                              <w:marRight w:val="0"/>
                                              <w:marTop w:val="0"/>
                                              <w:marBottom w:val="0"/>
                                              <w:divBdr>
                                                <w:top w:val="none" w:sz="0" w:space="0" w:color="auto"/>
                                                <w:left w:val="none" w:sz="0" w:space="0" w:color="auto"/>
                                                <w:bottom w:val="none" w:sz="0" w:space="0" w:color="auto"/>
                                                <w:right w:val="none" w:sz="0" w:space="0" w:color="auto"/>
                                              </w:divBdr>
                                              <w:divsChild>
                                                <w:div w:id="1124270092">
                                                  <w:marLeft w:val="0"/>
                                                  <w:marRight w:val="0"/>
                                                  <w:marTop w:val="0"/>
                                                  <w:marBottom w:val="0"/>
                                                  <w:divBdr>
                                                    <w:top w:val="none" w:sz="0" w:space="0" w:color="auto"/>
                                                    <w:left w:val="none" w:sz="0" w:space="0" w:color="auto"/>
                                                    <w:bottom w:val="none" w:sz="0" w:space="0" w:color="auto"/>
                                                    <w:right w:val="none" w:sz="0" w:space="0" w:color="auto"/>
                                                  </w:divBdr>
                                                  <w:divsChild>
                                                    <w:div w:id="1911307620">
                                                      <w:marLeft w:val="0"/>
                                                      <w:marRight w:val="0"/>
                                                      <w:marTop w:val="0"/>
                                                      <w:marBottom w:val="0"/>
                                                      <w:divBdr>
                                                        <w:top w:val="none" w:sz="0" w:space="0" w:color="auto"/>
                                                        <w:left w:val="none" w:sz="0" w:space="0" w:color="auto"/>
                                                        <w:bottom w:val="none" w:sz="0" w:space="0" w:color="auto"/>
                                                        <w:right w:val="none" w:sz="0" w:space="0" w:color="auto"/>
                                                      </w:divBdr>
                                                      <w:divsChild>
                                                        <w:div w:id="434517529">
                                                          <w:marLeft w:val="0"/>
                                                          <w:marRight w:val="0"/>
                                                          <w:marTop w:val="0"/>
                                                          <w:marBottom w:val="0"/>
                                                          <w:divBdr>
                                                            <w:top w:val="none" w:sz="0" w:space="0" w:color="auto"/>
                                                            <w:left w:val="none" w:sz="0" w:space="0" w:color="auto"/>
                                                            <w:bottom w:val="none" w:sz="0" w:space="0" w:color="auto"/>
                                                            <w:right w:val="none" w:sz="0" w:space="0" w:color="auto"/>
                                                          </w:divBdr>
                                                          <w:divsChild>
                                                            <w:div w:id="655305992">
                                                              <w:marLeft w:val="0"/>
                                                              <w:marRight w:val="0"/>
                                                              <w:marTop w:val="0"/>
                                                              <w:marBottom w:val="0"/>
                                                              <w:divBdr>
                                                                <w:top w:val="none" w:sz="0" w:space="0" w:color="auto"/>
                                                                <w:left w:val="none" w:sz="0" w:space="0" w:color="auto"/>
                                                                <w:bottom w:val="none" w:sz="0" w:space="0" w:color="auto"/>
                                                                <w:right w:val="none" w:sz="0" w:space="0" w:color="auto"/>
                                                              </w:divBdr>
                                                              <w:divsChild>
                                                                <w:div w:id="695691569">
                                                                  <w:marLeft w:val="0"/>
                                                                  <w:marRight w:val="0"/>
                                                                  <w:marTop w:val="0"/>
                                                                  <w:marBottom w:val="0"/>
                                                                  <w:divBdr>
                                                                    <w:top w:val="none" w:sz="0" w:space="0" w:color="auto"/>
                                                                    <w:left w:val="none" w:sz="0" w:space="0" w:color="auto"/>
                                                                    <w:bottom w:val="none" w:sz="0" w:space="0" w:color="auto"/>
                                                                    <w:right w:val="none" w:sz="0" w:space="0" w:color="auto"/>
                                                                  </w:divBdr>
                                                                  <w:divsChild>
                                                                    <w:div w:id="2114551578">
                                                                      <w:marLeft w:val="0"/>
                                                                      <w:marRight w:val="0"/>
                                                                      <w:marTop w:val="0"/>
                                                                      <w:marBottom w:val="0"/>
                                                                      <w:divBdr>
                                                                        <w:top w:val="none" w:sz="0" w:space="0" w:color="auto"/>
                                                                        <w:left w:val="none" w:sz="0" w:space="0" w:color="auto"/>
                                                                        <w:bottom w:val="none" w:sz="0" w:space="0" w:color="auto"/>
                                                                        <w:right w:val="none" w:sz="0" w:space="0" w:color="auto"/>
                                                                      </w:divBdr>
                                                                      <w:divsChild>
                                                                        <w:div w:id="127513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sam.org/resources/definitions-of-addic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889</TotalTime>
  <Pages>7</Pages>
  <Words>2005</Words>
  <Characters>11431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Evans</dc:creator>
  <cp:keywords/>
  <dc:description/>
  <cp:lastModifiedBy>Danielle Evans</cp:lastModifiedBy>
  <cp:revision>44</cp:revision>
  <dcterms:created xsi:type="dcterms:W3CDTF">2019-01-17T13:34:00Z</dcterms:created>
  <dcterms:modified xsi:type="dcterms:W3CDTF">2019-01-18T11:55:00Z</dcterms:modified>
</cp:coreProperties>
</file>