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56EB269" wp14:paraId="52F12216" wp14:textId="604B4CBC">
      <w:pPr>
        <w:pStyle w:val="NoSpacing"/>
        <w:spacing w:after="0"/>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r w:rsidRPr="156EB269" w:rsidR="44F3A5B8">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 xml:space="preserve">Student Name - </w:t>
      </w:r>
      <w:r w:rsidRPr="156EB269" w:rsidR="2F7545BC">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 xml:space="preserve">Simon Canby </w:t>
      </w:r>
    </w:p>
    <w:p xmlns:wp14="http://schemas.microsoft.com/office/word/2010/wordml" w:rsidP="156EB269" wp14:paraId="5E6777AF" wp14:textId="624D701E">
      <w:pPr>
        <w:pStyle w:val="NoSpacing"/>
        <w:spacing w:after="0"/>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r w:rsidRPr="156EB269" w:rsidR="277653A0">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 xml:space="preserve">Student Number - </w:t>
      </w:r>
      <w:r w:rsidRPr="156EB269" w:rsidR="2F7545BC">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 xml:space="preserve">2304206 </w:t>
      </w:r>
    </w:p>
    <w:p xmlns:wp14="http://schemas.microsoft.com/office/word/2010/wordml" w:rsidP="156EB269" wp14:paraId="5A2EBE75" wp14:textId="266ED231">
      <w:pPr>
        <w:pStyle w:val="NoSpacing"/>
        <w:spacing w:after="0"/>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pPr>
      <w:r w:rsidRPr="156EB269" w:rsidR="2F7545BC">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Independent project</w:t>
      </w:r>
      <w:r w:rsidRPr="156EB269" w:rsidR="2C8E48B8">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 xml:space="preserve"> – </w:t>
      </w:r>
      <w:r w:rsidRPr="156EB269" w:rsidR="2C8E48B8">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Dissertation pre</w:t>
      </w:r>
      <w:r w:rsidRPr="156EB269" w:rsidR="2F7545BC">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-event</w:t>
      </w:r>
      <w:r w:rsidRPr="156EB269" w:rsidR="2F7545BC">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 xml:space="preserve"> plan</w:t>
      </w:r>
    </w:p>
    <w:p xmlns:wp14="http://schemas.microsoft.com/office/word/2010/wordml" w:rsidP="156EB269" wp14:paraId="3A36B582" wp14:textId="75367709">
      <w:pPr>
        <w:pStyle w:val="NoSpacing"/>
        <w:spacing w:after="0"/>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r w:rsidRPr="156EB269" w:rsidR="7C389EB2">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 xml:space="preserve">Lecture - </w:t>
      </w:r>
      <w:r w:rsidRPr="156EB269" w:rsidR="2F7545BC">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 xml:space="preserve">Scott James </w:t>
      </w:r>
    </w:p>
    <w:p xmlns:wp14="http://schemas.microsoft.com/office/word/2010/wordml" w:rsidP="156EB269" wp14:paraId="4B883F5A" wp14:textId="33482670">
      <w:pPr>
        <w:pStyle w:val="NoSpacing"/>
        <w:spacing w:after="0"/>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pPr>
      <w:r w:rsidRPr="156EB269" w:rsidR="1D3B83B4">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Module handbook</w:t>
      </w:r>
      <w:r w:rsidRPr="156EB269" w:rsidR="48FBB9D2">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 xml:space="preserve"> – </w:t>
      </w:r>
      <w:r w:rsidRPr="156EB269" w:rsidR="2F7545BC">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BMTP6015</w:t>
      </w:r>
    </w:p>
    <w:p xmlns:wp14="http://schemas.microsoft.com/office/word/2010/wordml" w:rsidP="156EB269" wp14:paraId="27CAFDEE" wp14:textId="55B9722D">
      <w:pPr>
        <w:pStyle w:val="NoSpacing"/>
        <w:spacing w:after="0"/>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pPr>
    </w:p>
    <w:p xmlns:wp14="http://schemas.microsoft.com/office/word/2010/wordml" w:rsidP="156EB269" wp14:paraId="2BE084CA" wp14:textId="5C9BA498">
      <w:pPr>
        <w:pStyle w:val="NoSpacing"/>
        <w:spacing w:after="0"/>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pPr>
    </w:p>
    <w:p xmlns:wp14="http://schemas.microsoft.com/office/word/2010/wordml" wp14:paraId="4C56B467" wp14:textId="354B8EA7">
      <w:r>
        <w:br w:type="page"/>
      </w:r>
    </w:p>
    <w:p xmlns:wp14="http://schemas.microsoft.com/office/word/2010/wordml" w:rsidP="156EB269" wp14:paraId="0D412026" wp14:textId="37AE7A2F">
      <w:pPr>
        <w:pStyle w:val="NoSpacing"/>
        <w:spacing w:after="0"/>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pPr>
      <w:r w:rsidRPr="156EB269" w:rsidR="6925677C">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t xml:space="preserve">Content page </w:t>
      </w:r>
    </w:p>
    <w:sdt>
      <w:sdtPr>
        <w:id w:val="155032714"/>
        <w:docPartObj>
          <w:docPartGallery w:val="Table of Contents"/>
          <w:docPartUnique/>
        </w:docPartObj>
      </w:sdtPr>
      <w:sdtContent>
        <w:p xmlns:wp14="http://schemas.microsoft.com/office/word/2010/wordml" w:rsidP="156EB269" wp14:paraId="11ED7AFA" wp14:textId="2A0684D7">
          <w:pPr>
            <w:pStyle w:val="TOC1"/>
            <w:tabs>
              <w:tab w:val="right" w:leader="dot" w:pos="9360"/>
            </w:tabs>
            <w:bidi w:val="0"/>
            <w:rPr>
              <w:rStyle w:val="Hyperlink"/>
            </w:rPr>
          </w:pPr>
          <w:r>
            <w:fldChar w:fldCharType="begin"/>
          </w:r>
          <w:r>
            <w:instrText xml:space="preserve">TOC \o "1-9" \z \u \h</w:instrText>
          </w:r>
          <w:r>
            <w:fldChar w:fldCharType="separate"/>
          </w:r>
          <w:hyperlink w:anchor="_Toc1769926474">
            <w:r w:rsidRPr="156EB269" w:rsidR="156EB269">
              <w:rPr>
                <w:rStyle w:val="Hyperlink"/>
              </w:rPr>
              <w:t>Introduction</w:t>
            </w:r>
            <w:r>
              <w:tab/>
            </w:r>
            <w:r>
              <w:fldChar w:fldCharType="begin"/>
            </w:r>
            <w:r>
              <w:instrText xml:space="preserve">PAGEREF _Toc1769926474 \h</w:instrText>
            </w:r>
            <w:r>
              <w:fldChar w:fldCharType="separate"/>
            </w:r>
            <w:r w:rsidRPr="156EB269" w:rsidR="156EB269">
              <w:rPr>
                <w:rStyle w:val="Hyperlink"/>
              </w:rPr>
              <w:t>2</w:t>
            </w:r>
            <w:r>
              <w:fldChar w:fldCharType="end"/>
            </w:r>
          </w:hyperlink>
        </w:p>
        <w:p xmlns:wp14="http://schemas.microsoft.com/office/word/2010/wordml" w:rsidP="156EB269" wp14:paraId="33CE5600" wp14:textId="79056FD8">
          <w:pPr>
            <w:pStyle w:val="TOC1"/>
            <w:tabs>
              <w:tab w:val="right" w:leader="dot" w:pos="9360"/>
            </w:tabs>
            <w:bidi w:val="0"/>
            <w:rPr>
              <w:rStyle w:val="Hyperlink"/>
            </w:rPr>
          </w:pPr>
          <w:hyperlink w:anchor="_Toc1702882360">
            <w:r w:rsidRPr="156EB269" w:rsidR="156EB269">
              <w:rPr>
                <w:rStyle w:val="Hyperlink"/>
              </w:rPr>
              <w:t>Event Planning Process</w:t>
            </w:r>
            <w:r>
              <w:tab/>
            </w:r>
            <w:r>
              <w:fldChar w:fldCharType="begin"/>
            </w:r>
            <w:r>
              <w:instrText xml:space="preserve">PAGEREF _Toc1702882360 \h</w:instrText>
            </w:r>
            <w:r>
              <w:fldChar w:fldCharType="separate"/>
            </w:r>
            <w:r w:rsidRPr="156EB269" w:rsidR="156EB269">
              <w:rPr>
                <w:rStyle w:val="Hyperlink"/>
              </w:rPr>
              <w:t>3</w:t>
            </w:r>
            <w:r>
              <w:fldChar w:fldCharType="end"/>
            </w:r>
          </w:hyperlink>
        </w:p>
        <w:p xmlns:wp14="http://schemas.microsoft.com/office/word/2010/wordml" w:rsidP="156EB269" wp14:paraId="104E2743" wp14:textId="58E2314C">
          <w:pPr>
            <w:pStyle w:val="TOC1"/>
            <w:tabs>
              <w:tab w:val="right" w:leader="dot" w:pos="9360"/>
            </w:tabs>
            <w:bidi w:val="0"/>
            <w:rPr>
              <w:rStyle w:val="Hyperlink"/>
            </w:rPr>
          </w:pPr>
          <w:hyperlink w:anchor="_Toc586301267">
            <w:r w:rsidRPr="156EB269" w:rsidR="156EB269">
              <w:rPr>
                <w:rStyle w:val="Hyperlink"/>
              </w:rPr>
              <w:t>Budget Planning</w:t>
            </w:r>
            <w:r>
              <w:tab/>
            </w:r>
            <w:r>
              <w:fldChar w:fldCharType="begin"/>
            </w:r>
            <w:r>
              <w:instrText xml:space="preserve">PAGEREF _Toc586301267 \h</w:instrText>
            </w:r>
            <w:r>
              <w:fldChar w:fldCharType="separate"/>
            </w:r>
            <w:r w:rsidRPr="156EB269" w:rsidR="156EB269">
              <w:rPr>
                <w:rStyle w:val="Hyperlink"/>
              </w:rPr>
              <w:t>5</w:t>
            </w:r>
            <w:r>
              <w:fldChar w:fldCharType="end"/>
            </w:r>
          </w:hyperlink>
        </w:p>
        <w:p xmlns:wp14="http://schemas.microsoft.com/office/word/2010/wordml" w:rsidP="156EB269" wp14:paraId="3C480165" wp14:textId="75459A4F">
          <w:pPr>
            <w:pStyle w:val="TOC1"/>
            <w:tabs>
              <w:tab w:val="right" w:leader="dot" w:pos="9360"/>
            </w:tabs>
            <w:bidi w:val="0"/>
            <w:rPr>
              <w:rStyle w:val="Hyperlink"/>
            </w:rPr>
          </w:pPr>
          <w:hyperlink w:anchor="_Toc1760718540">
            <w:r w:rsidRPr="156EB269" w:rsidR="156EB269">
              <w:rPr>
                <w:rStyle w:val="Hyperlink"/>
              </w:rPr>
              <w:t>Risk Management</w:t>
            </w:r>
            <w:r>
              <w:tab/>
            </w:r>
            <w:r>
              <w:fldChar w:fldCharType="begin"/>
            </w:r>
            <w:r>
              <w:instrText xml:space="preserve">PAGEREF _Toc1760718540 \h</w:instrText>
            </w:r>
            <w:r>
              <w:fldChar w:fldCharType="separate"/>
            </w:r>
            <w:r w:rsidRPr="156EB269" w:rsidR="156EB269">
              <w:rPr>
                <w:rStyle w:val="Hyperlink"/>
              </w:rPr>
              <w:t>6</w:t>
            </w:r>
            <w:r>
              <w:fldChar w:fldCharType="end"/>
            </w:r>
          </w:hyperlink>
        </w:p>
        <w:p xmlns:wp14="http://schemas.microsoft.com/office/word/2010/wordml" w:rsidP="156EB269" wp14:paraId="510DC577" wp14:textId="0A370FB0">
          <w:pPr>
            <w:pStyle w:val="TOC1"/>
            <w:tabs>
              <w:tab w:val="right" w:leader="dot" w:pos="9360"/>
            </w:tabs>
            <w:bidi w:val="0"/>
            <w:rPr>
              <w:rStyle w:val="Hyperlink"/>
            </w:rPr>
          </w:pPr>
          <w:hyperlink w:anchor="_Toc229924268">
            <w:r w:rsidRPr="156EB269" w:rsidR="156EB269">
              <w:rPr>
                <w:rStyle w:val="Hyperlink"/>
              </w:rPr>
              <w:t>Marketing and Promotion</w:t>
            </w:r>
            <w:r>
              <w:tab/>
            </w:r>
            <w:r>
              <w:fldChar w:fldCharType="begin"/>
            </w:r>
            <w:r>
              <w:instrText xml:space="preserve">PAGEREF _Toc229924268 \h</w:instrText>
            </w:r>
            <w:r>
              <w:fldChar w:fldCharType="separate"/>
            </w:r>
            <w:r w:rsidRPr="156EB269" w:rsidR="156EB269">
              <w:rPr>
                <w:rStyle w:val="Hyperlink"/>
              </w:rPr>
              <w:t>7</w:t>
            </w:r>
            <w:r>
              <w:fldChar w:fldCharType="end"/>
            </w:r>
          </w:hyperlink>
        </w:p>
        <w:p xmlns:wp14="http://schemas.microsoft.com/office/word/2010/wordml" w:rsidP="156EB269" wp14:paraId="559C4430" wp14:textId="7586EA0C">
          <w:pPr>
            <w:pStyle w:val="TOC1"/>
            <w:tabs>
              <w:tab w:val="right" w:leader="dot" w:pos="9360"/>
            </w:tabs>
            <w:bidi w:val="0"/>
            <w:rPr>
              <w:rStyle w:val="Hyperlink"/>
            </w:rPr>
          </w:pPr>
          <w:hyperlink w:anchor="_Toc1439829237">
            <w:r w:rsidRPr="156EB269" w:rsidR="156EB269">
              <w:rPr>
                <w:rStyle w:val="Hyperlink"/>
              </w:rPr>
              <w:t>Logistics and Operations</w:t>
            </w:r>
            <w:r>
              <w:tab/>
            </w:r>
            <w:r>
              <w:fldChar w:fldCharType="begin"/>
            </w:r>
            <w:r>
              <w:instrText xml:space="preserve">PAGEREF _Toc1439829237 \h</w:instrText>
            </w:r>
            <w:r>
              <w:fldChar w:fldCharType="separate"/>
            </w:r>
            <w:r w:rsidRPr="156EB269" w:rsidR="156EB269">
              <w:rPr>
                <w:rStyle w:val="Hyperlink"/>
              </w:rPr>
              <w:t>8</w:t>
            </w:r>
            <w:r>
              <w:fldChar w:fldCharType="end"/>
            </w:r>
          </w:hyperlink>
        </w:p>
        <w:p xmlns:wp14="http://schemas.microsoft.com/office/word/2010/wordml" w:rsidP="156EB269" wp14:paraId="3F1A38E9" wp14:textId="2CBC5F97">
          <w:pPr>
            <w:pStyle w:val="TOC1"/>
            <w:tabs>
              <w:tab w:val="right" w:leader="dot" w:pos="9360"/>
            </w:tabs>
            <w:bidi w:val="0"/>
            <w:rPr>
              <w:rStyle w:val="Hyperlink"/>
            </w:rPr>
          </w:pPr>
          <w:hyperlink w:anchor="_Toc155406313">
            <w:r w:rsidRPr="156EB269" w:rsidR="156EB269">
              <w:rPr>
                <w:rStyle w:val="Hyperlink"/>
              </w:rPr>
              <w:t>Event Schedule</w:t>
            </w:r>
            <w:r>
              <w:tab/>
            </w:r>
            <w:r>
              <w:fldChar w:fldCharType="begin"/>
            </w:r>
            <w:r>
              <w:instrText xml:space="preserve">PAGEREF _Toc155406313 \h</w:instrText>
            </w:r>
            <w:r>
              <w:fldChar w:fldCharType="separate"/>
            </w:r>
            <w:r w:rsidRPr="156EB269" w:rsidR="156EB269">
              <w:rPr>
                <w:rStyle w:val="Hyperlink"/>
              </w:rPr>
              <w:t>9</w:t>
            </w:r>
            <w:r>
              <w:fldChar w:fldCharType="end"/>
            </w:r>
          </w:hyperlink>
        </w:p>
        <w:p xmlns:wp14="http://schemas.microsoft.com/office/word/2010/wordml" w:rsidP="156EB269" wp14:paraId="01D7DA5E" wp14:textId="3F1CD788">
          <w:pPr>
            <w:pStyle w:val="TOC1"/>
            <w:tabs>
              <w:tab w:val="right" w:leader="dot" w:pos="9360"/>
            </w:tabs>
            <w:bidi w:val="0"/>
            <w:rPr>
              <w:rStyle w:val="Hyperlink"/>
            </w:rPr>
          </w:pPr>
          <w:hyperlink w:anchor="_Toc197957387">
            <w:r w:rsidRPr="156EB269" w:rsidR="156EB269">
              <w:rPr>
                <w:rStyle w:val="Hyperlink"/>
              </w:rPr>
              <w:t>Staffing and Roles</w:t>
            </w:r>
            <w:r>
              <w:tab/>
            </w:r>
            <w:r>
              <w:fldChar w:fldCharType="begin"/>
            </w:r>
            <w:r>
              <w:instrText xml:space="preserve">PAGEREF _Toc197957387 \h</w:instrText>
            </w:r>
            <w:r>
              <w:fldChar w:fldCharType="separate"/>
            </w:r>
            <w:r w:rsidRPr="156EB269" w:rsidR="156EB269">
              <w:rPr>
                <w:rStyle w:val="Hyperlink"/>
              </w:rPr>
              <w:t>10</w:t>
            </w:r>
            <w:r>
              <w:fldChar w:fldCharType="end"/>
            </w:r>
          </w:hyperlink>
        </w:p>
        <w:p xmlns:wp14="http://schemas.microsoft.com/office/word/2010/wordml" w:rsidP="156EB269" wp14:paraId="45D97996" wp14:textId="782C5357">
          <w:pPr>
            <w:pStyle w:val="TOC1"/>
            <w:tabs>
              <w:tab w:val="right" w:leader="dot" w:pos="9360"/>
            </w:tabs>
            <w:bidi w:val="0"/>
            <w:rPr>
              <w:rStyle w:val="Hyperlink"/>
            </w:rPr>
          </w:pPr>
          <w:hyperlink w:anchor="_Toc1102423752">
            <w:r w:rsidRPr="156EB269" w:rsidR="156EB269">
              <w:rPr>
                <w:rStyle w:val="Hyperlink"/>
              </w:rPr>
              <w:t>Communication Plan</w:t>
            </w:r>
            <w:r>
              <w:tab/>
            </w:r>
            <w:r>
              <w:fldChar w:fldCharType="begin"/>
            </w:r>
            <w:r>
              <w:instrText xml:space="preserve">PAGEREF _Toc1102423752 \h</w:instrText>
            </w:r>
            <w:r>
              <w:fldChar w:fldCharType="separate"/>
            </w:r>
            <w:r w:rsidRPr="156EB269" w:rsidR="156EB269">
              <w:rPr>
                <w:rStyle w:val="Hyperlink"/>
              </w:rPr>
              <w:t>11</w:t>
            </w:r>
            <w:r>
              <w:fldChar w:fldCharType="end"/>
            </w:r>
          </w:hyperlink>
        </w:p>
        <w:p xmlns:wp14="http://schemas.microsoft.com/office/word/2010/wordml" w:rsidP="156EB269" wp14:paraId="591DF5A3" wp14:textId="5372B2C5">
          <w:pPr>
            <w:pStyle w:val="TOC1"/>
            <w:tabs>
              <w:tab w:val="right" w:leader="dot" w:pos="9360"/>
            </w:tabs>
            <w:bidi w:val="0"/>
            <w:rPr>
              <w:rStyle w:val="Hyperlink"/>
            </w:rPr>
          </w:pPr>
          <w:hyperlink w:anchor="_Toc1568948603">
            <w:r w:rsidRPr="156EB269" w:rsidR="156EB269">
              <w:rPr>
                <w:rStyle w:val="Hyperlink"/>
              </w:rPr>
              <w:t>Stakeholder Communication</w:t>
            </w:r>
            <w:r>
              <w:tab/>
            </w:r>
            <w:r>
              <w:fldChar w:fldCharType="begin"/>
            </w:r>
            <w:r>
              <w:instrText xml:space="preserve">PAGEREF _Toc1568948603 \h</w:instrText>
            </w:r>
            <w:r>
              <w:fldChar w:fldCharType="separate"/>
            </w:r>
            <w:r w:rsidRPr="156EB269" w:rsidR="156EB269">
              <w:rPr>
                <w:rStyle w:val="Hyperlink"/>
              </w:rPr>
              <w:t>11</w:t>
            </w:r>
            <w:r>
              <w:fldChar w:fldCharType="end"/>
            </w:r>
          </w:hyperlink>
        </w:p>
        <w:p xmlns:wp14="http://schemas.microsoft.com/office/word/2010/wordml" w:rsidP="156EB269" wp14:paraId="43E8C26D" wp14:textId="6CDA3262">
          <w:pPr>
            <w:pStyle w:val="TOC1"/>
            <w:tabs>
              <w:tab w:val="right" w:leader="dot" w:pos="9360"/>
            </w:tabs>
            <w:bidi w:val="0"/>
            <w:rPr>
              <w:rStyle w:val="Hyperlink"/>
            </w:rPr>
          </w:pPr>
          <w:hyperlink w:anchor="_Toc1790865991">
            <w:r w:rsidRPr="156EB269" w:rsidR="156EB269">
              <w:rPr>
                <w:rStyle w:val="Hyperlink"/>
              </w:rPr>
              <w:t>Sponsors</w:t>
            </w:r>
            <w:r>
              <w:tab/>
            </w:r>
            <w:r>
              <w:fldChar w:fldCharType="begin"/>
            </w:r>
            <w:r>
              <w:instrText xml:space="preserve">PAGEREF _Toc1790865991 \h</w:instrText>
            </w:r>
            <w:r>
              <w:fldChar w:fldCharType="separate"/>
            </w:r>
            <w:r w:rsidRPr="156EB269" w:rsidR="156EB269">
              <w:rPr>
                <w:rStyle w:val="Hyperlink"/>
              </w:rPr>
              <w:t>12</w:t>
            </w:r>
            <w:r>
              <w:fldChar w:fldCharType="end"/>
            </w:r>
          </w:hyperlink>
        </w:p>
        <w:p xmlns:wp14="http://schemas.microsoft.com/office/word/2010/wordml" w:rsidP="156EB269" wp14:paraId="26D21D4D" wp14:textId="788CFB88">
          <w:pPr>
            <w:pStyle w:val="TOC1"/>
            <w:tabs>
              <w:tab w:val="right" w:leader="dot" w:pos="9360"/>
            </w:tabs>
            <w:bidi w:val="0"/>
            <w:rPr>
              <w:rStyle w:val="Hyperlink"/>
            </w:rPr>
          </w:pPr>
          <w:hyperlink w:anchor="_Toc188442177">
            <w:r w:rsidRPr="156EB269" w:rsidR="156EB269">
              <w:rPr>
                <w:rStyle w:val="Hyperlink"/>
              </w:rPr>
              <w:t>Vendors / Exhibitors</w:t>
            </w:r>
            <w:r>
              <w:tab/>
            </w:r>
            <w:r>
              <w:fldChar w:fldCharType="begin"/>
            </w:r>
            <w:r>
              <w:instrText xml:space="preserve">PAGEREF _Toc188442177 \h</w:instrText>
            </w:r>
            <w:r>
              <w:fldChar w:fldCharType="separate"/>
            </w:r>
            <w:r w:rsidRPr="156EB269" w:rsidR="156EB269">
              <w:rPr>
                <w:rStyle w:val="Hyperlink"/>
              </w:rPr>
              <w:t>12</w:t>
            </w:r>
            <w:r>
              <w:fldChar w:fldCharType="end"/>
            </w:r>
          </w:hyperlink>
        </w:p>
        <w:p xmlns:wp14="http://schemas.microsoft.com/office/word/2010/wordml" w:rsidP="156EB269" wp14:paraId="6378D0B6" wp14:textId="095D9145">
          <w:pPr>
            <w:pStyle w:val="TOC1"/>
            <w:tabs>
              <w:tab w:val="right" w:leader="dot" w:pos="9360"/>
            </w:tabs>
            <w:bidi w:val="0"/>
            <w:rPr>
              <w:rStyle w:val="Hyperlink"/>
            </w:rPr>
          </w:pPr>
          <w:hyperlink w:anchor="_Toc2131498295">
            <w:r w:rsidRPr="156EB269" w:rsidR="156EB269">
              <w:rPr>
                <w:rStyle w:val="Hyperlink"/>
              </w:rPr>
              <w:t>Attendees</w:t>
            </w:r>
            <w:r>
              <w:tab/>
            </w:r>
            <w:r>
              <w:fldChar w:fldCharType="begin"/>
            </w:r>
            <w:r>
              <w:instrText xml:space="preserve">PAGEREF _Toc2131498295 \h</w:instrText>
            </w:r>
            <w:r>
              <w:fldChar w:fldCharType="separate"/>
            </w:r>
            <w:r w:rsidRPr="156EB269" w:rsidR="156EB269">
              <w:rPr>
                <w:rStyle w:val="Hyperlink"/>
              </w:rPr>
              <w:t>13</w:t>
            </w:r>
            <w:r>
              <w:fldChar w:fldCharType="end"/>
            </w:r>
          </w:hyperlink>
        </w:p>
        <w:p xmlns:wp14="http://schemas.microsoft.com/office/word/2010/wordml" w:rsidP="156EB269" wp14:paraId="25D12587" wp14:textId="23D8324A">
          <w:pPr>
            <w:pStyle w:val="TOC1"/>
            <w:tabs>
              <w:tab w:val="right" w:leader="dot" w:pos="9360"/>
            </w:tabs>
            <w:bidi w:val="0"/>
            <w:rPr>
              <w:rStyle w:val="Hyperlink"/>
            </w:rPr>
          </w:pPr>
          <w:hyperlink w:anchor="_Toc1746734384">
            <w:r w:rsidRPr="156EB269" w:rsidR="156EB269">
              <w:rPr>
                <w:rStyle w:val="Hyperlink"/>
              </w:rPr>
              <w:t>Communication Records</w:t>
            </w:r>
            <w:r>
              <w:tab/>
            </w:r>
            <w:r>
              <w:fldChar w:fldCharType="begin"/>
            </w:r>
            <w:r>
              <w:instrText xml:space="preserve">PAGEREF _Toc1746734384 \h</w:instrText>
            </w:r>
            <w:r>
              <w:fldChar w:fldCharType="separate"/>
            </w:r>
            <w:r w:rsidRPr="156EB269" w:rsidR="156EB269">
              <w:rPr>
                <w:rStyle w:val="Hyperlink"/>
              </w:rPr>
              <w:t>13</w:t>
            </w:r>
            <w:r>
              <w:fldChar w:fldCharType="end"/>
            </w:r>
          </w:hyperlink>
        </w:p>
        <w:p xmlns:wp14="http://schemas.microsoft.com/office/word/2010/wordml" w:rsidP="156EB269" wp14:paraId="3C5C5AA3" wp14:textId="7FCB317A">
          <w:pPr>
            <w:pStyle w:val="TOC1"/>
            <w:tabs>
              <w:tab w:val="right" w:leader="dot" w:pos="9360"/>
            </w:tabs>
            <w:bidi w:val="0"/>
            <w:rPr>
              <w:rStyle w:val="Hyperlink"/>
            </w:rPr>
          </w:pPr>
          <w:hyperlink w:anchor="_Toc532039256">
            <w:r w:rsidRPr="156EB269" w:rsidR="156EB269">
              <w:rPr>
                <w:rStyle w:val="Hyperlink"/>
              </w:rPr>
              <w:t>Event Execution</w:t>
            </w:r>
            <w:r>
              <w:tab/>
            </w:r>
            <w:r>
              <w:fldChar w:fldCharType="begin"/>
            </w:r>
            <w:r>
              <w:instrText xml:space="preserve">PAGEREF _Toc532039256 \h</w:instrText>
            </w:r>
            <w:r>
              <w:fldChar w:fldCharType="separate"/>
            </w:r>
            <w:r w:rsidRPr="156EB269" w:rsidR="156EB269">
              <w:rPr>
                <w:rStyle w:val="Hyperlink"/>
              </w:rPr>
              <w:t>13</w:t>
            </w:r>
            <w:r>
              <w:fldChar w:fldCharType="end"/>
            </w:r>
          </w:hyperlink>
        </w:p>
        <w:p xmlns:wp14="http://schemas.microsoft.com/office/word/2010/wordml" w:rsidP="156EB269" wp14:paraId="44FA6BA4" wp14:textId="68342ACF">
          <w:pPr>
            <w:pStyle w:val="TOC1"/>
            <w:tabs>
              <w:tab w:val="right" w:leader="dot" w:pos="9360"/>
            </w:tabs>
            <w:bidi w:val="0"/>
            <w:rPr>
              <w:rStyle w:val="Hyperlink"/>
            </w:rPr>
          </w:pPr>
          <w:hyperlink w:anchor="_Toc23395294">
            <w:r w:rsidRPr="156EB269" w:rsidR="156EB269">
              <w:rPr>
                <w:rStyle w:val="Hyperlink"/>
              </w:rPr>
              <w:t>Pre‑Event Conclusion</w:t>
            </w:r>
            <w:r>
              <w:tab/>
            </w:r>
            <w:r>
              <w:fldChar w:fldCharType="begin"/>
            </w:r>
            <w:r>
              <w:instrText xml:space="preserve">PAGEREF _Toc23395294 \h</w:instrText>
            </w:r>
            <w:r>
              <w:fldChar w:fldCharType="separate"/>
            </w:r>
            <w:r w:rsidRPr="156EB269" w:rsidR="156EB269">
              <w:rPr>
                <w:rStyle w:val="Hyperlink"/>
              </w:rPr>
              <w:t>14</w:t>
            </w:r>
            <w:r>
              <w:fldChar w:fldCharType="end"/>
            </w:r>
          </w:hyperlink>
          <w:r>
            <w:fldChar w:fldCharType="end"/>
          </w:r>
        </w:p>
      </w:sdtContent>
    </w:sdt>
    <w:p xmlns:wp14="http://schemas.microsoft.com/office/word/2010/wordml" w:rsidP="156EB269" wp14:paraId="10EFD83C" wp14:textId="095A1263">
      <w:pPr>
        <w:pStyle w:val="NoSpacing"/>
        <w:spacing w:after="0"/>
        <w:rPr>
          <w:rFonts w:ascii="Aptos Display" w:hAnsi="Aptos Display" w:eastAsia="Aptos Display" w:cs="Aptos Display"/>
          <w:b w:val="1"/>
          <w:bCs w:val="1"/>
          <w:i w:val="0"/>
          <w:iCs w:val="0"/>
          <w:caps w:val="0"/>
          <w:smallCaps w:val="0"/>
          <w:noProof w:val="0"/>
          <w:color w:val="000000" w:themeColor="text1" w:themeTint="FF" w:themeShade="FF"/>
          <w:sz w:val="32"/>
          <w:szCs w:val="32"/>
          <w:lang w:val="en-US"/>
        </w:rPr>
      </w:pPr>
    </w:p>
    <w:p xmlns:wp14="http://schemas.microsoft.com/office/word/2010/wordml" w:rsidP="156EB269" wp14:paraId="7D0BE34F" wp14:textId="612C12C5">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p>
    <w:p xmlns:wp14="http://schemas.microsoft.com/office/word/2010/wordml" wp14:paraId="3A357F2E" wp14:textId="1238CA36">
      <w:pPr>
        <w:rPr>
          <w:b w:val="0"/>
          <w:bCs w:val="0"/>
          <w:u w:val="none"/>
        </w:rPr>
      </w:pPr>
    </w:p>
    <w:p xmlns:wp14="http://schemas.microsoft.com/office/word/2010/wordml" wp14:paraId="7D4C89FF" wp14:textId="6B02DE63">
      <w:pPr>
        <w:rPr>
          <w:b w:val="0"/>
          <w:bCs w:val="0"/>
          <w:u w:val="none"/>
        </w:rPr>
      </w:pPr>
    </w:p>
    <w:p xmlns:wp14="http://schemas.microsoft.com/office/word/2010/wordml" wp14:paraId="2C7D6D8C" wp14:textId="386F3634">
      <w:pPr>
        <w:rPr>
          <w:b w:val="0"/>
          <w:bCs w:val="0"/>
          <w:u w:val="none"/>
        </w:rPr>
      </w:pPr>
    </w:p>
    <w:p xmlns:wp14="http://schemas.microsoft.com/office/word/2010/wordml" wp14:paraId="6EE3C9A9" wp14:textId="3D6F8109">
      <w:pPr>
        <w:rPr>
          <w:b w:val="0"/>
          <w:bCs w:val="0"/>
          <w:u w:val="none"/>
        </w:rPr>
      </w:pPr>
    </w:p>
    <w:p xmlns:wp14="http://schemas.microsoft.com/office/word/2010/wordml" wp14:paraId="5C7803A3" wp14:textId="0B454702">
      <w:pPr>
        <w:rPr>
          <w:b w:val="0"/>
          <w:bCs w:val="0"/>
          <w:u w:val="none"/>
        </w:rPr>
      </w:pPr>
    </w:p>
    <w:p xmlns:wp14="http://schemas.microsoft.com/office/word/2010/wordml" wp14:paraId="365E7A99" wp14:textId="401D9725">
      <w:pPr>
        <w:rPr>
          <w:b w:val="0"/>
          <w:bCs w:val="0"/>
          <w:u w:val="none"/>
        </w:rPr>
      </w:pPr>
    </w:p>
    <w:p xmlns:wp14="http://schemas.microsoft.com/office/word/2010/wordml" wp14:paraId="66378C8B" wp14:textId="33BB78F1">
      <w:pPr>
        <w:rPr>
          <w:b w:val="0"/>
          <w:bCs w:val="0"/>
          <w:u w:val="none"/>
        </w:rPr>
      </w:pPr>
    </w:p>
    <w:p xmlns:wp14="http://schemas.microsoft.com/office/word/2010/wordml" w:rsidP="156EB269" wp14:paraId="315A6256" wp14:textId="07194E2A">
      <w:pPr>
        <w:pStyle w:val="Heading1"/>
        <w:rPr>
          <w:b w:val="1"/>
          <w:bCs w:val="1"/>
          <w:sz w:val="24"/>
          <w:szCs w:val="24"/>
          <w:u w:val="single"/>
        </w:rPr>
      </w:pPr>
      <w:bookmarkStart w:name="_Toc1769926474" w:id="288531295"/>
      <w:r w:rsidRPr="156EB269" w:rsidR="6BDBD0B3">
        <w:rPr>
          <w:sz w:val="24"/>
          <w:szCs w:val="24"/>
          <w:u w:val="single"/>
        </w:rPr>
        <w:t>Introduction</w:t>
      </w:r>
      <w:bookmarkEnd w:id="288531295"/>
      <w:r w:rsidRPr="156EB269" w:rsidR="6BDBD0B3">
        <w:rPr>
          <w:sz w:val="24"/>
          <w:szCs w:val="24"/>
          <w:u w:val="single"/>
        </w:rPr>
        <w:t xml:space="preserve"> </w:t>
      </w:r>
    </w:p>
    <w:p xmlns:wp14="http://schemas.microsoft.com/office/word/2010/wordml" w:rsidP="52098D57" wp14:paraId="3121613C" wp14:textId="78463773">
      <w:pPr>
        <w:pStyle w:val="Normal"/>
      </w:pPr>
      <w:r w:rsidR="53CE7C8C">
        <w:rPr/>
        <w:t xml:space="preserve">The ITT Future You Wales event on 10 March 2026 is part of a wider push to get young people </w:t>
      </w:r>
      <w:r w:rsidR="08F542D8">
        <w:rPr/>
        <w:t>The ITT Future You Wales 2026 event has been developed to support young people as they explore future education and career pathways. The event brings together schools, colleges, universities, employers, and industry professionals to create an engaging and informative experience for learners. This aligns with national priorities around widening participation and improving access to career‑related opportunities for young people, as highlighted by Careers Wales (2026) and research showing the importance of meaningful work‑related experiences for learners (Barnes &amp; Wright, 2023).</w:t>
      </w:r>
    </w:p>
    <w:p xmlns:wp14="http://schemas.microsoft.com/office/word/2010/wordml" w:rsidP="52098D57" wp14:paraId="67E3C171" wp14:textId="117D6738">
      <w:pPr>
        <w:pStyle w:val="Normal"/>
      </w:pPr>
      <w:r w:rsidR="08F542D8">
        <w:rPr/>
        <w:t>The planning process for this event has involved a wide range of tasks, including budgeting, marketing, risk management, stakeholder communication, and venue coordination. Each of these areas plays a crucial role in ensuring that the event is safe, accessible, and effective for all attendees. Following recognised industry guidance, such as the Purple Guide for event safety (admin, 2026a) and accessibility recommendations from Disability Rights UK (2022), has helped shape the planning process and ensure that the event meets professional standards.</w:t>
      </w:r>
    </w:p>
    <w:p xmlns:wp14="http://schemas.microsoft.com/office/word/2010/wordml" w:rsidP="52098D57" wp14:paraId="552206DA" wp14:textId="65989240">
      <w:pPr>
        <w:pStyle w:val="Normal"/>
      </w:pPr>
      <w:r w:rsidR="08F542D8">
        <w:rPr/>
        <w:t>A key aim of the event is to create an inclusive and supportive environment where young people can explore different career options, speak directly with exhibitors, and gain insights into future pathways. This reflects wider evidence showing that early exposure to career‑related activities can positively influence young people’s confidence and long‑term aspirations (Barnes &amp; Wright, 2023). By bringing together a diverse range of exhibitors and providing structured sessions throughout the day, the event aims to inspire and inform learners at a crucial stage in their development.</w:t>
      </w:r>
    </w:p>
    <w:p xmlns:wp14="http://schemas.microsoft.com/office/word/2010/wordml" w:rsidP="52098D57" wp14:paraId="4F1D1B3A" wp14:textId="27BD5804">
      <w:pPr>
        <w:pStyle w:val="Normal"/>
      </w:pPr>
    </w:p>
    <w:p xmlns:wp14="http://schemas.microsoft.com/office/word/2010/wordml" w:rsidP="156EB269" wp14:paraId="2684870F" wp14:textId="4B7FEF8B">
      <w:pPr>
        <w:pStyle w:val="Heading1"/>
        <w:rPr>
          <w:sz w:val="24"/>
          <w:szCs w:val="24"/>
        </w:rPr>
      </w:pPr>
    </w:p>
    <w:p xmlns:wp14="http://schemas.microsoft.com/office/word/2010/wordml" w:rsidP="156EB269" wp14:paraId="61E559EF" wp14:textId="4B7FEF8B">
      <w:pPr>
        <w:pStyle w:val="Heading1"/>
        <w:rPr>
          <w:sz w:val="24"/>
          <w:szCs w:val="24"/>
        </w:rPr>
      </w:pPr>
    </w:p>
    <w:p xmlns:wp14="http://schemas.microsoft.com/office/word/2010/wordml" w:rsidP="156EB269" wp14:paraId="418D09EB" wp14:textId="24818E00">
      <w:pPr>
        <w:pStyle w:val="Heading1"/>
        <w:bidi w:val="0"/>
        <w:rPr>
          <w:sz w:val="24"/>
          <w:szCs w:val="24"/>
        </w:rPr>
      </w:pPr>
      <w:bookmarkStart w:name="_Toc1702882360" w:id="1440664563"/>
      <w:r w:rsidRPr="156EB269" w:rsidR="6A31BE78">
        <w:rPr>
          <w:sz w:val="24"/>
          <w:szCs w:val="24"/>
        </w:rPr>
        <w:t>Event Planning Process</w:t>
      </w:r>
      <w:bookmarkEnd w:id="1440664563"/>
      <w:r w:rsidRPr="156EB269" w:rsidR="6A31BE78">
        <w:rPr>
          <w:sz w:val="24"/>
          <w:szCs w:val="24"/>
        </w:rPr>
        <w:t xml:space="preserve">  </w:t>
      </w:r>
    </w:p>
    <w:p xmlns:wp14="http://schemas.microsoft.com/office/word/2010/wordml" w:rsidP="156EB269" wp14:paraId="58670E70" wp14:textId="4A9C1919">
      <w:pPr>
        <w:pStyle w:val="Normal"/>
        <w:suppressLineNumbers w:val="0"/>
        <w:bidi w:val="0"/>
        <w:spacing w:before="0" w:beforeAutospacing="off" w:after="160" w:afterAutospacing="off" w:line="279" w:lineRule="auto"/>
        <w:ind w:left="0" w:right="0"/>
        <w:jc w:val="left"/>
        <w:rPr>
          <w:b w:val="1"/>
          <w:bCs w:val="1"/>
          <w:u w:val="single"/>
        </w:rPr>
      </w:pPr>
      <w:r w:rsidRPr="156EB269" w:rsidR="1AA5FF31">
        <w:rPr>
          <w:b w:val="1"/>
          <w:bCs w:val="1"/>
          <w:u w:val="none"/>
        </w:rPr>
        <w:t>(</w:t>
      </w:r>
      <w:r w:rsidRPr="156EB269" w:rsidR="197BDD8C">
        <w:rPr>
          <w:b w:val="1"/>
          <w:bCs w:val="1"/>
          <w:u w:val="none"/>
        </w:rPr>
        <w:t xml:space="preserve">Event Planning Timeline in </w:t>
      </w:r>
      <w:r w:rsidRPr="156EB269" w:rsidR="48A272D1">
        <w:rPr>
          <w:b w:val="1"/>
          <w:bCs w:val="1"/>
          <w:u w:val="none"/>
        </w:rPr>
        <w:t>Appendix A)</w:t>
      </w:r>
    </w:p>
    <w:p xmlns:wp14="http://schemas.microsoft.com/office/word/2010/wordml" w:rsidP="156EB269" wp14:paraId="747B614A" wp14:textId="4BD96250">
      <w:pPr>
        <w:pStyle w:val="Normal"/>
        <w:spacing w:before="240" w:beforeAutospacing="off" w:after="240" w:afterAutospacing="off"/>
      </w:pPr>
      <w:r w:rsidRPr="156EB269" w:rsidR="3CDE8662">
        <w:rPr>
          <w:rFonts w:ascii="Aptos Display" w:hAnsi="Aptos Display" w:eastAsia="Aptos Display" w:cs="Aptos Display"/>
          <w:noProof w:val="0"/>
          <w:sz w:val="24"/>
          <w:szCs w:val="24"/>
          <w:lang w:val="en-US"/>
        </w:rPr>
        <w:t>The planning process for ITT Future You Wales 2026 has involved a structured and collaborative approach to ensure that every element of the event is organised effectively. The process began with defining the event’s purpose and identifying the key outcomes for young people, which aligns with national guidance on supporting learner progression and widening participation (Careers Wales, 2026; Jones &amp; Phillips, 2021). Establishing a clear purpose early on helped guide decisions around venue selection, exhibitor recruitment, marketing, and accessibility.</w:t>
      </w:r>
    </w:p>
    <w:p xmlns:wp14="http://schemas.microsoft.com/office/word/2010/wordml" w:rsidP="156EB269" wp14:paraId="1851DF4B" wp14:textId="230E1ED2">
      <w:pPr>
        <w:pStyle w:val="Normal"/>
        <w:spacing w:before="240" w:beforeAutospacing="off" w:after="240" w:afterAutospacing="off"/>
      </w:pPr>
      <w:r w:rsidRPr="156EB269" w:rsidR="3CDE8662">
        <w:rPr>
          <w:rFonts w:ascii="Aptos Display" w:hAnsi="Aptos Display" w:eastAsia="Aptos Display" w:cs="Aptos Display"/>
          <w:noProof w:val="0"/>
          <w:sz w:val="24"/>
          <w:szCs w:val="24"/>
          <w:lang w:val="en-US"/>
        </w:rPr>
        <w:t>A major part of the planning process involved researching best practice within the events industry. Guidance from the Purple Guide provided essential information on safety, welfare, and operational standards, helping the team understand legal responsibilities and practical requirements for running a large‑scale event (admin, 2026a). Additional insights from the British Safety Council (2025) and the Health and Safety Executive (2022) supported the development of risk assessments and safety procedures, ensuring that the event meets professional expectations for managing hazards and protecting attendees.</w:t>
      </w:r>
    </w:p>
    <w:p xmlns:wp14="http://schemas.microsoft.com/office/word/2010/wordml" w:rsidP="156EB269" wp14:paraId="490DE461" wp14:textId="61AC846D">
      <w:pPr>
        <w:pStyle w:val="Normal"/>
        <w:spacing w:before="240" w:beforeAutospacing="off" w:after="240" w:afterAutospacing="off"/>
      </w:pPr>
      <w:r w:rsidRPr="156EB269" w:rsidR="3CDE8662">
        <w:rPr>
          <w:rFonts w:ascii="Aptos Display" w:hAnsi="Aptos Display" w:eastAsia="Aptos Display" w:cs="Aptos Display"/>
          <w:noProof w:val="0"/>
          <w:sz w:val="24"/>
          <w:szCs w:val="24"/>
          <w:lang w:val="en-US"/>
        </w:rPr>
        <w:t>The planning process also included detailed budgeting and financial management. Professional guidance on event budgeting, such as that provided by the Crown Institute London (2026) and the Event Management Institute (Institute Event Management, 2026), helped shape decisions around cost control, sponsorship, and resource allocation. Sponsorship strategies were informed by industry advice on building strong partnerships and communicating value to potential sponsors (Baylis, 2024; One Nine Design, 2026).</w:t>
      </w:r>
    </w:p>
    <w:p xmlns:wp14="http://schemas.microsoft.com/office/word/2010/wordml" w:rsidP="156EB269" wp14:paraId="57DDB3CB" wp14:textId="5348BE40">
      <w:pPr>
        <w:pStyle w:val="Normal"/>
        <w:spacing w:before="240" w:beforeAutospacing="off" w:after="240" w:afterAutospacing="off"/>
      </w:pPr>
      <w:r w:rsidRPr="156EB269" w:rsidR="3CDE8662">
        <w:rPr>
          <w:rFonts w:ascii="Aptos Display" w:hAnsi="Aptos Display" w:eastAsia="Aptos Display" w:cs="Aptos Display"/>
          <w:noProof w:val="0"/>
          <w:sz w:val="24"/>
          <w:szCs w:val="24"/>
          <w:lang w:val="en-US"/>
        </w:rPr>
        <w:t>Marketing and communication formed another key part of the planning process. Research into youth engagement and digital communication trends helped shape the event’s promotional strategy, particularly the use of social media platforms such as Instagram, TikTok, and LinkedIn (Hays, 2025; Presly, 2025; Benson, 2026). Insights from Flamingo Marketing Strategies (2022) and the Chartered Institute of Marketing (2023) supported decisions around messaging, audience targeting, and content design.</w:t>
      </w:r>
    </w:p>
    <w:p xmlns:wp14="http://schemas.microsoft.com/office/word/2010/wordml" w:rsidP="156EB269" wp14:paraId="72B3A30C" wp14:textId="4ADB4B14">
      <w:pPr>
        <w:pStyle w:val="Normal"/>
        <w:spacing w:before="240" w:beforeAutospacing="off" w:after="240" w:afterAutospacing="off"/>
      </w:pPr>
      <w:r w:rsidRPr="156EB269" w:rsidR="3CDE8662">
        <w:rPr>
          <w:rFonts w:ascii="Aptos Display" w:hAnsi="Aptos Display" w:eastAsia="Aptos Display" w:cs="Aptos Display"/>
          <w:noProof w:val="0"/>
          <w:sz w:val="24"/>
          <w:szCs w:val="24"/>
          <w:lang w:val="en-US"/>
        </w:rPr>
        <w:t>Accessibility and inclusion were considered throughout the planning process. Guidance from Disability Rights UK (2022) and Attitude is Everything (2025) helped ensure that the event layout, signage, and communication methods were suitable for attendees with mobility, sensory, or neurodiverse needs. This aligns with wider youth participation principles highlighted by organisations such as the National Youth Agency (2025) and Young Voices Heard (2026), which emphasise the importance of creating inclusive environments where young people feel supported and represented.</w:t>
      </w:r>
    </w:p>
    <w:p xmlns:wp14="http://schemas.microsoft.com/office/word/2010/wordml" w:rsidP="156EB269" wp14:paraId="57892C9F" wp14:textId="021995D4">
      <w:pPr>
        <w:pStyle w:val="Normal"/>
        <w:spacing w:before="240" w:beforeAutospacing="off" w:after="240" w:afterAutospacing="off"/>
      </w:pPr>
      <w:r w:rsidRPr="156EB269" w:rsidR="3CDE8662">
        <w:rPr>
          <w:rFonts w:ascii="Aptos Display" w:hAnsi="Aptos Display" w:eastAsia="Aptos Display" w:cs="Aptos Display"/>
          <w:noProof w:val="0"/>
          <w:sz w:val="24"/>
          <w:szCs w:val="24"/>
          <w:lang w:val="en-US"/>
        </w:rPr>
        <w:t>Regular team meetings and communication channels, including WhatsApp and email, helped keep the planning process organised and ensured that all team members were aware of their responsibilities. This approach reflects best practice in project communication and coordination, as recommended by NCVO (2024) and Savanta (2026), who highlight the importance of clear communication in delivering successful events.</w:t>
      </w:r>
    </w:p>
    <w:p xmlns:wp14="http://schemas.microsoft.com/office/word/2010/wordml" w:rsidP="156EB269" wp14:paraId="08487E0D" wp14:textId="50A1D6D4">
      <w:pPr>
        <w:pStyle w:val="Normal"/>
        <w:spacing w:before="240" w:beforeAutospacing="off" w:after="240" w:afterAutospacing="off"/>
      </w:pPr>
      <w:r w:rsidRPr="156EB269" w:rsidR="3CDE8662">
        <w:rPr>
          <w:rFonts w:ascii="Aptos Display" w:hAnsi="Aptos Display" w:eastAsia="Aptos Display" w:cs="Aptos Display"/>
          <w:noProof w:val="0"/>
          <w:sz w:val="24"/>
          <w:szCs w:val="24"/>
          <w:lang w:val="en-US"/>
        </w:rPr>
        <w:t>Overall, the event planning process has been structured, research‑informed, and collaborative, ensuring that every aspect of the event is aligned with professional standards and the needs of young people.</w:t>
      </w:r>
    </w:p>
    <w:p xmlns:wp14="http://schemas.microsoft.com/office/word/2010/wordml" wp14:paraId="1C27BD8B" wp14:textId="60530644"/>
    <w:p xmlns:wp14="http://schemas.microsoft.com/office/word/2010/wordml" w:rsidP="156EB269" wp14:paraId="0B8EFD4B" wp14:textId="5C2A7706">
      <w:pPr>
        <w:pStyle w:val="Heading1"/>
        <w:bidi w:val="0"/>
        <w:rPr>
          <w:noProof w:val="0"/>
          <w:sz w:val="24"/>
          <w:szCs w:val="24"/>
          <w:lang w:val="en-US"/>
        </w:rPr>
      </w:pPr>
      <w:bookmarkStart w:name="_Toc586301267" w:id="1711342898"/>
      <w:r w:rsidRPr="156EB269" w:rsidR="2FF06A62">
        <w:rPr>
          <w:noProof w:val="0"/>
          <w:sz w:val="24"/>
          <w:szCs w:val="24"/>
          <w:lang w:val="en-US"/>
        </w:rPr>
        <w:t>Budget Planning</w:t>
      </w:r>
      <w:bookmarkEnd w:id="1711342898"/>
      <w:r w:rsidRPr="156EB269" w:rsidR="54D11C99">
        <w:rPr>
          <w:noProof w:val="0"/>
          <w:sz w:val="24"/>
          <w:szCs w:val="24"/>
          <w:lang w:val="en-US"/>
        </w:rPr>
        <w:t xml:space="preserve"> </w:t>
      </w:r>
    </w:p>
    <w:p xmlns:wp14="http://schemas.microsoft.com/office/word/2010/wordml" w:rsidP="156EB269" wp14:paraId="123ED201" wp14:textId="35299828">
      <w:pPr>
        <w:pStyle w:val="Normal"/>
        <w:suppressLineNumbers w:val="0"/>
        <w:bidi w:val="0"/>
        <w:spacing w:before="240" w:beforeAutospacing="off" w:after="240" w:afterAutospacing="off" w:line="279" w:lineRule="auto"/>
        <w:ind w:left="0" w:right="0"/>
        <w:jc w:val="left"/>
        <w:rPr>
          <w:b w:val="1"/>
          <w:bCs w:val="1"/>
          <w:u w:val="single"/>
        </w:rPr>
      </w:pPr>
      <w:r w:rsidRPr="156EB269" w:rsidR="54D11C99">
        <w:rPr>
          <w:b w:val="1"/>
          <w:bCs w:val="1"/>
          <w:u w:val="none"/>
        </w:rPr>
        <w:t>(Event Budget in Appendix B)</w:t>
      </w:r>
    </w:p>
    <w:p w:rsidR="14539139" w:rsidP="156EB269" w:rsidRDefault="14539139" w14:paraId="3D697A6B" w14:textId="55BD2D37">
      <w:pPr>
        <w:pStyle w:val="Normal"/>
        <w:bidi w:val="0"/>
        <w:spacing w:before="240" w:beforeAutospacing="off" w:after="240" w:afterAutospacing="off"/>
      </w:pPr>
      <w:r w:rsidRPr="156EB269" w:rsidR="14539139">
        <w:rPr>
          <w:rFonts w:ascii="Aptos Display" w:hAnsi="Aptos Display" w:eastAsia="Aptos Display" w:cs="Aptos Display"/>
          <w:noProof w:val="0"/>
          <w:sz w:val="24"/>
          <w:szCs w:val="24"/>
          <w:lang w:val="en-US"/>
        </w:rPr>
        <w:t>Budget planning has been a central part of organising ITT Future You Wales 2026, ensuring that all financial decisions support the event’s aims while staying within realistic limits. Effective budgeting is essential in event management because it directly affects safety, logistics, and the overall attendee experience, something highlighted in professional guidance on risk and resource planning (British Safety Council, 2025). To support this, the team used recognised budgeting principles from event‑specific training resources, such as those provided by the Crown Institute London (2026), which outline how to structure event finances, allocate costs, and manage expenditure responsibly.</w:t>
      </w:r>
    </w:p>
    <w:p w:rsidR="14539139" w:rsidP="156EB269" w:rsidRDefault="14539139" w14:paraId="13904C90" w14:textId="03A02A95">
      <w:pPr>
        <w:pStyle w:val="Normal"/>
        <w:bidi w:val="0"/>
        <w:spacing w:before="240" w:beforeAutospacing="off" w:after="240" w:afterAutospacing="off"/>
      </w:pPr>
      <w:r w:rsidRPr="156EB269" w:rsidR="14539139">
        <w:rPr>
          <w:rFonts w:ascii="Aptos Display" w:hAnsi="Aptos Display" w:eastAsia="Aptos Display" w:cs="Aptos Display"/>
          <w:noProof w:val="0"/>
          <w:sz w:val="24"/>
          <w:szCs w:val="24"/>
          <w:lang w:val="en-US"/>
        </w:rPr>
        <w:t>The budget covers key areas including marketing, signage, printing, equipment hire, refreshments, accessibility adjustments, and contingency planning. Sponsorship has played a major role in reducing overall costs, with contributions from Radnor Hills, Castell Howell, Pizza Pond Express, and Tesco. Industry guidance on sponsorship proposals and partnership communication, such as the Sponsorship Collective’s step‑by‑step approach (Baylis, 2024), helped shape how the team approached sponsors and ensured that each organisation received clear information about the value and visibility they would gain from supporting the event.</w:t>
      </w:r>
    </w:p>
    <w:p w:rsidR="14539139" w:rsidP="156EB269" w:rsidRDefault="14539139" w14:paraId="4540391A" w14:textId="3AD29ECB">
      <w:pPr>
        <w:pStyle w:val="Normal"/>
        <w:bidi w:val="0"/>
        <w:spacing w:before="240" w:beforeAutospacing="off" w:after="240" w:afterAutospacing="off"/>
      </w:pPr>
      <w:r w:rsidRPr="156EB269" w:rsidR="14539139">
        <w:rPr>
          <w:rFonts w:ascii="Aptos Display" w:hAnsi="Aptos Display" w:eastAsia="Aptos Display" w:cs="Aptos Display"/>
          <w:noProof w:val="0"/>
          <w:sz w:val="24"/>
          <w:szCs w:val="24"/>
          <w:lang w:val="en-US"/>
        </w:rPr>
        <w:t>Sustainability expectations also influenced budget decisions. The Events Industry Council’s sustainability standards (Events Industry Council, 2026) emphasise responsible sourcing, waste reduction, and environmentally conscious planning. This encouraged the team to prioritise reusable signage, minimise single‑use materials, and use digital communication wherever possible to reduce printing costs and environmental impact.</w:t>
      </w:r>
    </w:p>
    <w:p w:rsidR="14539139" w:rsidP="156EB269" w:rsidRDefault="14539139" w14:paraId="598E9832" w14:textId="4071E2A5">
      <w:pPr>
        <w:pStyle w:val="Normal"/>
        <w:bidi w:val="0"/>
        <w:spacing w:before="240" w:beforeAutospacing="off" w:after="240" w:afterAutospacing="off"/>
      </w:pPr>
      <w:r w:rsidRPr="156EB269" w:rsidR="14539139">
        <w:rPr>
          <w:rFonts w:ascii="Aptos Display" w:hAnsi="Aptos Display" w:eastAsia="Aptos Display" w:cs="Aptos Display"/>
          <w:noProof w:val="0"/>
          <w:sz w:val="24"/>
          <w:szCs w:val="24"/>
          <w:lang w:val="en-US"/>
        </w:rPr>
        <w:t xml:space="preserve">Financial accountability was </w:t>
      </w:r>
      <w:r w:rsidRPr="156EB269" w:rsidR="14539139">
        <w:rPr>
          <w:rFonts w:ascii="Aptos Display" w:hAnsi="Aptos Display" w:eastAsia="Aptos Display" w:cs="Aptos Display"/>
          <w:noProof w:val="0"/>
          <w:sz w:val="24"/>
          <w:szCs w:val="24"/>
          <w:lang w:val="en-US"/>
        </w:rPr>
        <w:t>maintained</w:t>
      </w:r>
      <w:r w:rsidRPr="156EB269" w:rsidR="14539139">
        <w:rPr>
          <w:rFonts w:ascii="Aptos Display" w:hAnsi="Aptos Display" w:eastAsia="Aptos Display" w:cs="Aptos Display"/>
          <w:noProof w:val="0"/>
          <w:sz w:val="24"/>
          <w:szCs w:val="24"/>
          <w:lang w:val="en-US"/>
        </w:rPr>
        <w:t xml:space="preserve"> throughout the planning process. All expenses were tracked using a structured budgeting template, and regular updates were shared with the </w:t>
      </w:r>
      <w:r w:rsidRPr="156EB269" w:rsidR="14539139">
        <w:rPr>
          <w:rFonts w:ascii="Aptos Display" w:hAnsi="Aptos Display" w:eastAsia="Aptos Display" w:cs="Aptos Display"/>
          <w:noProof w:val="0"/>
          <w:sz w:val="24"/>
          <w:szCs w:val="24"/>
          <w:lang w:val="en-US"/>
        </w:rPr>
        <w:t>organising</w:t>
      </w:r>
      <w:r w:rsidRPr="156EB269" w:rsidR="14539139">
        <w:rPr>
          <w:rFonts w:ascii="Aptos Display" w:hAnsi="Aptos Display" w:eastAsia="Aptos Display" w:cs="Aptos Display"/>
          <w:noProof w:val="0"/>
          <w:sz w:val="24"/>
          <w:szCs w:val="24"/>
          <w:lang w:val="en-US"/>
        </w:rPr>
        <w:t xml:space="preserve"> team to ensure transparency. This approach reflects best practice in event financing and accounting, as outlined by the Event Management Institute’s guidance on managing event funds and </w:t>
      </w:r>
      <w:r w:rsidRPr="156EB269" w:rsidR="14539139">
        <w:rPr>
          <w:rFonts w:ascii="Aptos Display" w:hAnsi="Aptos Display" w:eastAsia="Aptos Display" w:cs="Aptos Display"/>
          <w:noProof w:val="0"/>
          <w:sz w:val="24"/>
          <w:szCs w:val="24"/>
          <w:lang w:val="en-US"/>
        </w:rPr>
        <w:t>maintaining</w:t>
      </w:r>
      <w:r w:rsidRPr="156EB269" w:rsidR="14539139">
        <w:rPr>
          <w:rFonts w:ascii="Aptos Display" w:hAnsi="Aptos Display" w:eastAsia="Aptos Display" w:cs="Aptos Display"/>
          <w:noProof w:val="0"/>
          <w:sz w:val="24"/>
          <w:szCs w:val="24"/>
          <w:lang w:val="en-US"/>
        </w:rPr>
        <w:t xml:space="preserve"> </w:t>
      </w:r>
      <w:r w:rsidRPr="156EB269" w:rsidR="14539139">
        <w:rPr>
          <w:rFonts w:ascii="Aptos Display" w:hAnsi="Aptos Display" w:eastAsia="Aptos Display" w:cs="Aptos Display"/>
          <w:noProof w:val="0"/>
          <w:sz w:val="24"/>
          <w:szCs w:val="24"/>
          <w:lang w:val="en-US"/>
        </w:rPr>
        <w:t>accurate</w:t>
      </w:r>
      <w:r w:rsidRPr="156EB269" w:rsidR="14539139">
        <w:rPr>
          <w:rFonts w:ascii="Aptos Display" w:hAnsi="Aptos Display" w:eastAsia="Aptos Display" w:cs="Aptos Display"/>
          <w:noProof w:val="0"/>
          <w:sz w:val="24"/>
          <w:szCs w:val="24"/>
          <w:lang w:val="en-US"/>
        </w:rPr>
        <w:t xml:space="preserve"> financial records (Institute Event Management, 2026). By combining sponsorship income, careful cost control, and informed decision‑making, the event has been able to remain within budget while still delivering a high‑quality experience for attendees.</w:t>
      </w:r>
    </w:p>
    <w:p xmlns:wp14="http://schemas.microsoft.com/office/word/2010/wordml" w:rsidP="156EB269" wp14:paraId="6AD0B69F" wp14:textId="1D8068A4">
      <w:pPr>
        <w:pStyle w:val="Heading1"/>
        <w:rPr>
          <w:noProof w:val="0"/>
          <w:sz w:val="24"/>
          <w:szCs w:val="24"/>
          <w:lang w:val="en-US"/>
        </w:rPr>
      </w:pPr>
    </w:p>
    <w:p xmlns:wp14="http://schemas.microsoft.com/office/word/2010/wordml" w:rsidP="156EB269" wp14:paraId="771C821C" wp14:textId="77178187">
      <w:pPr>
        <w:pStyle w:val="Heading1"/>
        <w:rPr>
          <w:noProof w:val="0"/>
          <w:sz w:val="24"/>
          <w:szCs w:val="24"/>
          <w:lang w:val="en-US"/>
        </w:rPr>
      </w:pPr>
      <w:bookmarkStart w:name="_Toc1760718540" w:id="561764027"/>
      <w:r w:rsidRPr="156EB269" w:rsidR="575E544F">
        <w:rPr>
          <w:noProof w:val="0"/>
          <w:sz w:val="24"/>
          <w:szCs w:val="24"/>
          <w:lang w:val="en-US"/>
        </w:rPr>
        <w:t>Risk Management</w:t>
      </w:r>
      <w:bookmarkEnd w:id="561764027"/>
    </w:p>
    <w:p xmlns:wp14="http://schemas.microsoft.com/office/word/2010/wordml" w:rsidP="156EB269" wp14:paraId="3AB622B6" wp14:textId="4BA4FAD3">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b w:val="1"/>
          <w:bCs w:val="1"/>
          <w:noProof w:val="0"/>
          <w:sz w:val="28"/>
          <w:szCs w:val="28"/>
          <w:u w:val="none"/>
          <w:lang w:val="en-US"/>
        </w:rPr>
      </w:pPr>
      <w:r w:rsidRPr="156EB269" w:rsidR="02148CE0">
        <w:rPr>
          <w:rStyle w:val="Heading1Char"/>
          <w:noProof w:val="0"/>
          <w:sz w:val="24"/>
          <w:szCs w:val="24"/>
          <w:lang w:val="en-US"/>
        </w:rPr>
        <w:t xml:space="preserve"> </w:t>
      </w:r>
      <w:r w:rsidRPr="156EB269" w:rsidR="60DFF7E6">
        <w:rPr>
          <w:rFonts w:ascii="Aptos Display" w:hAnsi="Aptos Display" w:eastAsia="Aptos Display" w:cs="Aptos Display"/>
          <w:b w:val="1"/>
          <w:bCs w:val="1"/>
          <w:noProof w:val="0"/>
          <w:sz w:val="24"/>
          <w:szCs w:val="24"/>
          <w:u w:val="none"/>
          <w:lang w:val="en-US"/>
        </w:rPr>
        <w:t>(In</w:t>
      </w:r>
      <w:r w:rsidRPr="156EB269" w:rsidR="02148CE0">
        <w:rPr>
          <w:rFonts w:ascii="Aptos Display" w:hAnsi="Aptos Display" w:eastAsia="Aptos Display" w:cs="Aptos Display"/>
          <w:b w:val="1"/>
          <w:bCs w:val="1"/>
          <w:noProof w:val="0"/>
          <w:sz w:val="24"/>
          <w:szCs w:val="24"/>
          <w:u w:val="none"/>
          <w:lang w:val="en-US"/>
        </w:rPr>
        <w:t xml:space="preserve"> </w:t>
      </w:r>
      <w:r w:rsidRPr="156EB269" w:rsidR="2C641D4B">
        <w:rPr>
          <w:rFonts w:ascii="Aptos Display" w:hAnsi="Aptos Display" w:eastAsia="Aptos Display" w:cs="Aptos Display"/>
          <w:b w:val="1"/>
          <w:bCs w:val="1"/>
          <w:noProof w:val="0"/>
          <w:sz w:val="24"/>
          <w:szCs w:val="24"/>
          <w:u w:val="none"/>
          <w:lang w:val="en-US"/>
        </w:rPr>
        <w:t>Appendix C)</w:t>
      </w:r>
    </w:p>
    <w:p w:rsidR="462DF574" w:rsidP="156EB269" w:rsidRDefault="462DF574" w14:paraId="29F98E9E" w14:textId="09A375E7">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b w:val="0"/>
          <w:bCs w:val="0"/>
          <w:noProof w:val="0"/>
          <w:sz w:val="24"/>
          <w:szCs w:val="24"/>
          <w:lang w:val="en-US"/>
        </w:rPr>
      </w:pPr>
      <w:r w:rsidRPr="156EB269" w:rsidR="462DF574">
        <w:rPr>
          <w:rFonts w:ascii="Aptos Display" w:hAnsi="Aptos Display" w:eastAsia="Aptos Display" w:cs="Aptos Display"/>
          <w:b w:val="0"/>
          <w:bCs w:val="0"/>
          <w:noProof w:val="0"/>
          <w:sz w:val="24"/>
          <w:szCs w:val="24"/>
          <w:lang w:val="en-US"/>
        </w:rPr>
        <w:t xml:space="preserve">Risk management has been a key part of planning ITT Future You Wales 2026, ensuring that the event is safe, compliant, and well‑prepared for any potential issues. The process began with identifying hazards across all areas of the event, including crowd movement, technical equipment, accessibility, fire safety, and exhibitor setup. This approach follows the Health and Safety Executive’s guidance on risk assessment, which </w:t>
      </w:r>
      <w:r w:rsidRPr="156EB269" w:rsidR="462DF574">
        <w:rPr>
          <w:rFonts w:ascii="Aptos Display" w:hAnsi="Aptos Display" w:eastAsia="Aptos Display" w:cs="Aptos Display"/>
          <w:b w:val="0"/>
          <w:bCs w:val="0"/>
          <w:noProof w:val="0"/>
          <w:sz w:val="24"/>
          <w:szCs w:val="24"/>
          <w:lang w:val="en-US"/>
        </w:rPr>
        <w:t>emphasises</w:t>
      </w:r>
      <w:r w:rsidRPr="156EB269" w:rsidR="462DF574">
        <w:rPr>
          <w:rFonts w:ascii="Aptos Display" w:hAnsi="Aptos Display" w:eastAsia="Aptos Display" w:cs="Aptos Display"/>
          <w:b w:val="0"/>
          <w:bCs w:val="0"/>
          <w:noProof w:val="0"/>
          <w:sz w:val="24"/>
          <w:szCs w:val="24"/>
          <w:lang w:val="en-US"/>
        </w:rPr>
        <w:t xml:space="preserve"> the importance of </w:t>
      </w:r>
      <w:r w:rsidRPr="156EB269" w:rsidR="462DF574">
        <w:rPr>
          <w:rFonts w:ascii="Aptos Display" w:hAnsi="Aptos Display" w:eastAsia="Aptos Display" w:cs="Aptos Display"/>
          <w:b w:val="0"/>
          <w:bCs w:val="0"/>
          <w:noProof w:val="0"/>
          <w:sz w:val="24"/>
          <w:szCs w:val="24"/>
          <w:lang w:val="en-US"/>
        </w:rPr>
        <w:t>identifying</w:t>
      </w:r>
      <w:r w:rsidRPr="156EB269" w:rsidR="462DF574">
        <w:rPr>
          <w:rFonts w:ascii="Aptos Display" w:hAnsi="Aptos Display" w:eastAsia="Aptos Display" w:cs="Aptos Display"/>
          <w:b w:val="0"/>
          <w:bCs w:val="0"/>
          <w:noProof w:val="0"/>
          <w:sz w:val="24"/>
          <w:szCs w:val="24"/>
          <w:lang w:val="en-US"/>
        </w:rPr>
        <w:t xml:space="preserve"> hazards, evaluating risks, and implementing control measures to protect attendees and staff (Health and Safety Executive, 2022).</w:t>
      </w:r>
    </w:p>
    <w:p w:rsidR="462DF574" w:rsidP="156EB269" w:rsidRDefault="462DF574" w14:paraId="7FB83773" w14:textId="52A69823">
      <w:pPr>
        <w:pStyle w:val="Normal"/>
        <w:bidi w:val="0"/>
        <w:spacing w:before="240" w:beforeAutospacing="off" w:after="240" w:afterAutospacing="off" w:line="279" w:lineRule="auto"/>
        <w:ind w:left="0" w:right="0"/>
        <w:jc w:val="left"/>
        <w:rPr>
          <w:rFonts w:ascii="Aptos Display" w:hAnsi="Aptos Display" w:eastAsia="Aptos Display" w:cs="Aptos Display"/>
          <w:b w:val="0"/>
          <w:bCs w:val="0"/>
          <w:noProof w:val="0"/>
          <w:sz w:val="24"/>
          <w:szCs w:val="24"/>
          <w:lang w:val="en-US"/>
        </w:rPr>
      </w:pPr>
      <w:r w:rsidRPr="156EB269" w:rsidR="462DF574">
        <w:rPr>
          <w:rFonts w:ascii="Aptos Display" w:hAnsi="Aptos Display" w:eastAsia="Aptos Display" w:cs="Aptos Display"/>
          <w:b w:val="0"/>
          <w:bCs w:val="0"/>
          <w:noProof w:val="0"/>
          <w:sz w:val="24"/>
          <w:szCs w:val="24"/>
          <w:lang w:val="en-US"/>
        </w:rPr>
        <w:t xml:space="preserve">Industry standards such as the Purple Guide were used to shape decisions around crowd management, welfare, and operational safety, providing clear expectations for managing large groups and ensuring safe movement throughout the venue (admin, 2026a). </w:t>
      </w:r>
      <w:r w:rsidRPr="156EB269" w:rsidR="462DF574">
        <w:rPr>
          <w:rFonts w:ascii="Aptos Display" w:hAnsi="Aptos Display" w:eastAsia="Aptos Display" w:cs="Aptos Display"/>
          <w:b w:val="0"/>
          <w:bCs w:val="0"/>
          <w:noProof w:val="0"/>
          <w:sz w:val="24"/>
          <w:szCs w:val="24"/>
          <w:lang w:val="en-US"/>
        </w:rPr>
        <w:t>Additional</w:t>
      </w:r>
      <w:r w:rsidRPr="156EB269" w:rsidR="462DF574">
        <w:rPr>
          <w:rFonts w:ascii="Aptos Display" w:hAnsi="Aptos Display" w:eastAsia="Aptos Display" w:cs="Aptos Display"/>
          <w:b w:val="0"/>
          <w:bCs w:val="0"/>
          <w:noProof w:val="0"/>
          <w:sz w:val="24"/>
          <w:szCs w:val="24"/>
          <w:lang w:val="en-US"/>
        </w:rPr>
        <w:t xml:space="preserve"> guidance from the British Safety Council (2025) supported the development of structured risk assessments, particularly around equipment, manual handling, and emergency procedures. Fire safety planning was informed by the National Fire Chiefs Council, which highlights the need for clear evacuation routes, trained staff, and accessible emergency exits (</w:t>
      </w:r>
      <w:r w:rsidRPr="156EB269" w:rsidR="462DF574">
        <w:rPr>
          <w:rFonts w:ascii="Aptos Display" w:hAnsi="Aptos Display" w:eastAsia="Aptos Display" w:cs="Aptos Display"/>
          <w:b w:val="0"/>
          <w:bCs w:val="0"/>
          <w:noProof w:val="0"/>
          <w:sz w:val="24"/>
          <w:szCs w:val="24"/>
          <w:lang w:val="en-US"/>
        </w:rPr>
        <w:t>weareops</w:t>
      </w:r>
      <w:r w:rsidRPr="156EB269" w:rsidR="462DF574">
        <w:rPr>
          <w:rFonts w:ascii="Aptos Display" w:hAnsi="Aptos Display" w:eastAsia="Aptos Display" w:cs="Aptos Display"/>
          <w:b w:val="0"/>
          <w:bCs w:val="0"/>
          <w:noProof w:val="0"/>
          <w:sz w:val="24"/>
          <w:szCs w:val="24"/>
          <w:lang w:val="en-US"/>
        </w:rPr>
        <w:t>, 2025).</w:t>
      </w:r>
    </w:p>
    <w:p w:rsidR="462DF574" w:rsidP="156EB269" w:rsidRDefault="462DF574" w14:paraId="3BC04481" w14:textId="0AC59B51">
      <w:pPr>
        <w:pStyle w:val="Normal"/>
        <w:bidi w:val="0"/>
        <w:spacing w:before="240" w:beforeAutospacing="off" w:after="240" w:afterAutospacing="off" w:line="279" w:lineRule="auto"/>
        <w:ind w:left="0" w:right="0"/>
        <w:jc w:val="left"/>
        <w:rPr>
          <w:rFonts w:ascii="Aptos Display" w:hAnsi="Aptos Display" w:eastAsia="Aptos Display" w:cs="Aptos Display"/>
          <w:b w:val="0"/>
          <w:bCs w:val="0"/>
          <w:noProof w:val="0"/>
          <w:sz w:val="24"/>
          <w:szCs w:val="24"/>
          <w:lang w:val="en-US"/>
        </w:rPr>
      </w:pPr>
      <w:r w:rsidRPr="156EB269" w:rsidR="462DF574">
        <w:rPr>
          <w:rFonts w:ascii="Aptos Display" w:hAnsi="Aptos Display" w:eastAsia="Aptos Display" w:cs="Aptos Display"/>
          <w:b w:val="0"/>
          <w:bCs w:val="0"/>
          <w:noProof w:val="0"/>
          <w:sz w:val="24"/>
          <w:szCs w:val="24"/>
          <w:lang w:val="en-US"/>
        </w:rPr>
        <w:t>Technical risks were also considered, including potential issues with microphones, screens, Wi‑Fi, and lighting. The Technical Standards for Places of Entertainment (Technical Standards for Places of Entertainment, 2022) provided a framework for ensuring that all equipment is tested, safe, and suitable for public use. These standards helped guide communication with the Swansea Arena technical team, who will complete full checks during the setup day.</w:t>
      </w:r>
    </w:p>
    <w:p w:rsidR="462DF574" w:rsidP="156EB269" w:rsidRDefault="462DF574" w14:paraId="253AD3C6" w14:textId="6785A05F">
      <w:pPr>
        <w:pStyle w:val="Normal"/>
        <w:bidi w:val="0"/>
        <w:spacing w:before="240" w:beforeAutospacing="off" w:after="240" w:afterAutospacing="off" w:line="279" w:lineRule="auto"/>
        <w:ind w:left="0" w:right="0"/>
        <w:jc w:val="left"/>
        <w:rPr>
          <w:rFonts w:ascii="Aptos Display" w:hAnsi="Aptos Display" w:eastAsia="Aptos Display" w:cs="Aptos Display"/>
          <w:b w:val="0"/>
          <w:bCs w:val="0"/>
          <w:noProof w:val="0"/>
          <w:sz w:val="24"/>
          <w:szCs w:val="24"/>
          <w:lang w:val="en-US"/>
        </w:rPr>
      </w:pPr>
      <w:r w:rsidRPr="156EB269" w:rsidR="462DF574">
        <w:rPr>
          <w:rFonts w:ascii="Aptos Display" w:hAnsi="Aptos Display" w:eastAsia="Aptos Display" w:cs="Aptos Display"/>
          <w:b w:val="0"/>
          <w:bCs w:val="0"/>
          <w:noProof w:val="0"/>
          <w:sz w:val="24"/>
          <w:szCs w:val="24"/>
          <w:lang w:val="en-US"/>
        </w:rPr>
        <w:t xml:space="preserve">Accessibility risks were addressed using guidance from Disability Rights UK (2022) and Attitude is Everything (2025), ensuring that the event layout, signage, and communication methods support attendees with mobility, sensory, or neurodiverse needs. This included planning clear pathways, providing quiet spaces where possible, and ensuring that volunteers are briefed on how to support attendees who may </w:t>
      </w:r>
      <w:r w:rsidRPr="156EB269" w:rsidR="462DF574">
        <w:rPr>
          <w:rFonts w:ascii="Aptos Display" w:hAnsi="Aptos Display" w:eastAsia="Aptos Display" w:cs="Aptos Display"/>
          <w:b w:val="0"/>
          <w:bCs w:val="0"/>
          <w:noProof w:val="0"/>
          <w:sz w:val="24"/>
          <w:szCs w:val="24"/>
          <w:lang w:val="en-US"/>
        </w:rPr>
        <w:t>require</w:t>
      </w:r>
      <w:r w:rsidRPr="156EB269" w:rsidR="462DF574">
        <w:rPr>
          <w:rFonts w:ascii="Aptos Display" w:hAnsi="Aptos Display" w:eastAsia="Aptos Display" w:cs="Aptos Display"/>
          <w:b w:val="0"/>
          <w:bCs w:val="0"/>
          <w:noProof w:val="0"/>
          <w:sz w:val="24"/>
          <w:szCs w:val="24"/>
          <w:lang w:val="en-US"/>
        </w:rPr>
        <w:t xml:space="preserve"> </w:t>
      </w:r>
      <w:r w:rsidRPr="156EB269" w:rsidR="462DF574">
        <w:rPr>
          <w:rFonts w:ascii="Aptos Display" w:hAnsi="Aptos Display" w:eastAsia="Aptos Display" w:cs="Aptos Display"/>
          <w:b w:val="0"/>
          <w:bCs w:val="0"/>
          <w:noProof w:val="0"/>
          <w:sz w:val="24"/>
          <w:szCs w:val="24"/>
          <w:lang w:val="en-US"/>
        </w:rPr>
        <w:t>additional</w:t>
      </w:r>
      <w:r w:rsidRPr="156EB269" w:rsidR="462DF574">
        <w:rPr>
          <w:rFonts w:ascii="Aptos Display" w:hAnsi="Aptos Display" w:eastAsia="Aptos Display" w:cs="Aptos Display"/>
          <w:b w:val="0"/>
          <w:bCs w:val="0"/>
          <w:noProof w:val="0"/>
          <w:sz w:val="24"/>
          <w:szCs w:val="24"/>
          <w:lang w:val="en-US"/>
        </w:rPr>
        <w:t xml:space="preserve"> assistance.</w:t>
      </w:r>
    </w:p>
    <w:p w:rsidR="462DF574" w:rsidP="156EB269" w:rsidRDefault="462DF574" w14:paraId="2E32BDA2" w14:textId="27393A86">
      <w:pPr>
        <w:pStyle w:val="Normal"/>
        <w:bidi w:val="0"/>
        <w:spacing w:before="240" w:beforeAutospacing="off" w:after="240" w:afterAutospacing="off" w:line="279" w:lineRule="auto"/>
        <w:ind w:left="0" w:right="0"/>
        <w:jc w:val="left"/>
        <w:rPr>
          <w:rFonts w:ascii="Aptos Display" w:hAnsi="Aptos Display" w:eastAsia="Aptos Display" w:cs="Aptos Display"/>
          <w:b w:val="0"/>
          <w:bCs w:val="0"/>
          <w:noProof w:val="0"/>
          <w:sz w:val="24"/>
          <w:szCs w:val="24"/>
          <w:lang w:val="en-US"/>
        </w:rPr>
      </w:pPr>
      <w:r w:rsidRPr="156EB269" w:rsidR="462DF574">
        <w:rPr>
          <w:rFonts w:ascii="Aptos Display" w:hAnsi="Aptos Display" w:eastAsia="Aptos Display" w:cs="Aptos Display"/>
          <w:b w:val="0"/>
          <w:bCs w:val="0"/>
          <w:noProof w:val="0"/>
          <w:sz w:val="24"/>
          <w:szCs w:val="24"/>
          <w:lang w:val="en-US"/>
        </w:rPr>
        <w:t xml:space="preserve">Sustainability and environmental risks were also considered, following the Events Industry Council’s sustainability standards, which encourage responsible resource use, waste reduction, and environmentally conscious planning (Events Industry Council, 2026). This influenced decisions around reusable signage, reduced printing, and </w:t>
      </w:r>
      <w:r w:rsidRPr="156EB269" w:rsidR="462DF574">
        <w:rPr>
          <w:rFonts w:ascii="Aptos Display" w:hAnsi="Aptos Display" w:eastAsia="Aptos Display" w:cs="Aptos Display"/>
          <w:b w:val="0"/>
          <w:bCs w:val="0"/>
          <w:noProof w:val="0"/>
          <w:sz w:val="24"/>
          <w:szCs w:val="24"/>
          <w:lang w:val="en-US"/>
        </w:rPr>
        <w:t>minimising</w:t>
      </w:r>
      <w:r w:rsidRPr="156EB269" w:rsidR="462DF574">
        <w:rPr>
          <w:rFonts w:ascii="Aptos Display" w:hAnsi="Aptos Display" w:eastAsia="Aptos Display" w:cs="Aptos Display"/>
          <w:b w:val="0"/>
          <w:bCs w:val="0"/>
          <w:noProof w:val="0"/>
          <w:sz w:val="24"/>
          <w:szCs w:val="24"/>
          <w:lang w:val="en-US"/>
        </w:rPr>
        <w:t xml:space="preserve"> single‑use materials.</w:t>
      </w:r>
    </w:p>
    <w:p w:rsidR="462DF574" w:rsidP="156EB269" w:rsidRDefault="462DF574" w14:paraId="7E9CCC43" w14:textId="1F4FF905">
      <w:pPr>
        <w:pStyle w:val="Normal"/>
        <w:bidi w:val="0"/>
        <w:spacing w:before="240" w:beforeAutospacing="off" w:after="240" w:afterAutospacing="off" w:line="279" w:lineRule="auto"/>
        <w:ind w:left="0" w:right="0"/>
        <w:jc w:val="left"/>
        <w:rPr>
          <w:rFonts w:ascii="Aptos Display" w:hAnsi="Aptos Display" w:eastAsia="Aptos Display" w:cs="Aptos Display"/>
          <w:b w:val="0"/>
          <w:bCs w:val="0"/>
          <w:noProof w:val="0"/>
          <w:sz w:val="24"/>
          <w:szCs w:val="24"/>
          <w:lang w:val="en-US"/>
        </w:rPr>
      </w:pPr>
      <w:r w:rsidRPr="156EB269" w:rsidR="462DF574">
        <w:rPr>
          <w:rFonts w:ascii="Aptos Display" w:hAnsi="Aptos Display" w:eastAsia="Aptos Display" w:cs="Aptos Display"/>
          <w:b w:val="0"/>
          <w:bCs w:val="0"/>
          <w:noProof w:val="0"/>
          <w:sz w:val="24"/>
          <w:szCs w:val="24"/>
          <w:lang w:val="en-US"/>
        </w:rPr>
        <w:t xml:space="preserve">Communication </w:t>
      </w:r>
      <w:r w:rsidRPr="156EB269" w:rsidR="462DF574">
        <w:rPr>
          <w:rFonts w:ascii="Aptos Display" w:hAnsi="Aptos Display" w:eastAsia="Aptos Display" w:cs="Aptos Display"/>
          <w:b w:val="0"/>
          <w:bCs w:val="0"/>
          <w:noProof w:val="0"/>
          <w:sz w:val="24"/>
          <w:szCs w:val="24"/>
          <w:lang w:val="en-US"/>
        </w:rPr>
        <w:t>played</w:t>
      </w:r>
      <w:r w:rsidRPr="156EB269" w:rsidR="462DF574">
        <w:rPr>
          <w:rFonts w:ascii="Aptos Display" w:hAnsi="Aptos Display" w:eastAsia="Aptos Display" w:cs="Aptos Display"/>
          <w:b w:val="0"/>
          <w:bCs w:val="0"/>
          <w:noProof w:val="0"/>
          <w:sz w:val="24"/>
          <w:szCs w:val="24"/>
          <w:lang w:val="en-US"/>
        </w:rPr>
        <w:t xml:space="preserve"> </w:t>
      </w:r>
      <w:r w:rsidRPr="156EB269" w:rsidR="462DF574">
        <w:rPr>
          <w:rFonts w:ascii="Aptos Display" w:hAnsi="Aptos Display" w:eastAsia="Aptos Display" w:cs="Aptos Display"/>
          <w:b w:val="0"/>
          <w:bCs w:val="0"/>
          <w:noProof w:val="0"/>
          <w:sz w:val="24"/>
          <w:szCs w:val="24"/>
          <w:lang w:val="en-US"/>
        </w:rPr>
        <w:t>an important role</w:t>
      </w:r>
      <w:r w:rsidRPr="156EB269" w:rsidR="462DF574">
        <w:rPr>
          <w:rFonts w:ascii="Aptos Display" w:hAnsi="Aptos Display" w:eastAsia="Aptos Display" w:cs="Aptos Display"/>
          <w:b w:val="0"/>
          <w:bCs w:val="0"/>
          <w:noProof w:val="0"/>
          <w:sz w:val="24"/>
          <w:szCs w:val="24"/>
          <w:lang w:val="en-US"/>
        </w:rPr>
        <w:t xml:space="preserve"> in managing risks. Regular team meetings and updates ensured that all staff and volunteers understood their responsibilities, reflecting best practice in project coordination and team communication (NCVO, 2024). Clear instructions were also provided to exhibitors </w:t>
      </w:r>
      <w:r w:rsidRPr="156EB269" w:rsidR="462DF574">
        <w:rPr>
          <w:rFonts w:ascii="Aptos Display" w:hAnsi="Aptos Display" w:eastAsia="Aptos Display" w:cs="Aptos Display"/>
          <w:b w:val="0"/>
          <w:bCs w:val="0"/>
          <w:noProof w:val="0"/>
          <w:sz w:val="24"/>
          <w:szCs w:val="24"/>
          <w:lang w:val="en-US"/>
        </w:rPr>
        <w:t>regarding</w:t>
      </w:r>
      <w:r w:rsidRPr="156EB269" w:rsidR="462DF574">
        <w:rPr>
          <w:rFonts w:ascii="Aptos Display" w:hAnsi="Aptos Display" w:eastAsia="Aptos Display" w:cs="Aptos Display"/>
          <w:b w:val="0"/>
          <w:bCs w:val="0"/>
          <w:noProof w:val="0"/>
          <w:sz w:val="24"/>
          <w:szCs w:val="24"/>
          <w:lang w:val="en-US"/>
        </w:rPr>
        <w:t xml:space="preserve"> arrival times, setup procedures, and safety expectations, helping reduce the likelihood of last‑minute issues.</w:t>
      </w:r>
    </w:p>
    <w:p w:rsidR="462DF574" w:rsidP="156EB269" w:rsidRDefault="462DF574" w14:paraId="2B83E911" w14:textId="42DADAC6">
      <w:pPr>
        <w:pStyle w:val="Normal"/>
        <w:bidi w:val="0"/>
        <w:spacing w:before="240" w:beforeAutospacing="off" w:after="240" w:afterAutospacing="off" w:line="279" w:lineRule="auto"/>
        <w:ind w:left="0" w:right="0"/>
        <w:jc w:val="left"/>
        <w:rPr>
          <w:rFonts w:ascii="Aptos Display" w:hAnsi="Aptos Display" w:eastAsia="Aptos Display" w:cs="Aptos Display"/>
          <w:b w:val="0"/>
          <w:bCs w:val="0"/>
          <w:noProof w:val="0"/>
          <w:sz w:val="24"/>
          <w:szCs w:val="24"/>
          <w:lang w:val="en-US"/>
        </w:rPr>
      </w:pPr>
      <w:r w:rsidRPr="156EB269" w:rsidR="462DF574">
        <w:rPr>
          <w:rFonts w:ascii="Aptos Display" w:hAnsi="Aptos Display" w:eastAsia="Aptos Display" w:cs="Aptos Display"/>
          <w:b w:val="0"/>
          <w:bCs w:val="0"/>
          <w:noProof w:val="0"/>
          <w:sz w:val="24"/>
          <w:szCs w:val="24"/>
          <w:lang w:val="en-US"/>
        </w:rPr>
        <w:t>Overall, the risk management process has been thorough, evidence‑based, and aligned with professional standards, ensuring that ITT Future You Wales 2026 is safe, accessible, and well‑prepared for any challenges that may arise.</w:t>
      </w:r>
    </w:p>
    <w:p w:rsidR="156EB269" w:rsidP="156EB269" w:rsidRDefault="156EB269" w14:paraId="15D17831" w14:textId="58EE8EE5">
      <w:pPr>
        <w:pStyle w:val="Normal"/>
        <w:rPr>
          <w:b w:val="1"/>
          <w:bCs w:val="1"/>
          <w:sz w:val="28"/>
          <w:szCs w:val="28"/>
          <w:u w:val="single"/>
        </w:rPr>
      </w:pPr>
    </w:p>
    <w:p w:rsidR="6BDBD0B3" w:rsidP="156EB269" w:rsidRDefault="6BDBD0B3" w14:paraId="0ECAC652" w14:textId="395585DE">
      <w:pPr>
        <w:pStyle w:val="Heading1"/>
        <w:rPr>
          <w:sz w:val="24"/>
          <w:szCs w:val="24"/>
        </w:rPr>
      </w:pPr>
      <w:r w:rsidRPr="156EB269" w:rsidR="6BDBD0B3">
        <w:rPr>
          <w:sz w:val="24"/>
          <w:szCs w:val="24"/>
        </w:rPr>
        <w:t xml:space="preserve"> </w:t>
      </w:r>
      <w:bookmarkStart w:name="_Toc229924268" w:id="1621502679"/>
      <w:r w:rsidRPr="156EB269" w:rsidR="6BDBD0B3">
        <w:rPr>
          <w:sz w:val="24"/>
          <w:szCs w:val="24"/>
        </w:rPr>
        <w:t>Marketing and Promotion</w:t>
      </w:r>
      <w:bookmarkEnd w:id="1621502679"/>
      <w:r w:rsidRPr="156EB269" w:rsidR="1EFF5881">
        <w:rPr>
          <w:sz w:val="24"/>
          <w:szCs w:val="24"/>
        </w:rPr>
        <w:t xml:space="preserve"> </w:t>
      </w:r>
    </w:p>
    <w:p w:rsidR="1EFF5881" w:rsidP="156EB269" w:rsidRDefault="1EFF5881" w14:paraId="0D1384AB" w14:textId="467A8F8C">
      <w:pPr>
        <w:pStyle w:val="Normal"/>
        <w:rPr>
          <w:b w:val="1"/>
          <w:bCs w:val="1"/>
          <w:u w:val="single"/>
        </w:rPr>
      </w:pPr>
      <w:r w:rsidRPr="156EB269" w:rsidR="1EFF5881">
        <w:rPr>
          <w:b w:val="1"/>
          <w:bCs w:val="1"/>
        </w:rPr>
        <w:t>(Event Poster in Appendix D)</w:t>
      </w:r>
    </w:p>
    <w:p w:rsidR="6BDBD0B3" w:rsidP="156EB269" w:rsidRDefault="6BDBD0B3" w14:paraId="04A1BDF9" w14:textId="79DD3FE0">
      <w:pPr>
        <w:pStyle w:val="Normal"/>
        <w:rPr>
          <w:b w:val="1"/>
          <w:bCs w:val="1"/>
          <w:sz w:val="28"/>
          <w:szCs w:val="28"/>
          <w:u w:val="single"/>
        </w:rPr>
      </w:pPr>
      <w:r w:rsidRPr="156EB269" w:rsidR="6BDBD0B3">
        <w:rPr>
          <w:b w:val="1"/>
          <w:bCs w:val="1"/>
        </w:rPr>
        <w:t xml:space="preserve"> </w:t>
      </w:r>
      <w:r w:rsidRPr="156EB269" w:rsidR="3F3737C7">
        <w:rPr>
          <w:b w:val="1"/>
          <w:bCs w:val="1"/>
        </w:rPr>
        <w:t>Marketing and Promotion, Marketing Materials, and Anticipated Effectiveness of Marketing</w:t>
      </w:r>
    </w:p>
    <w:p w:rsidR="3F3737C7" w:rsidP="156EB269" w:rsidRDefault="3F3737C7" w14:paraId="40FDFD45" w14:textId="396A0D22">
      <w:pPr>
        <w:spacing w:before="240" w:beforeAutospacing="off" w:after="240" w:afterAutospacing="off"/>
        <w:rPr>
          <w:rFonts w:ascii="Aptos Display" w:hAnsi="Aptos Display" w:eastAsia="Aptos Display" w:cs="Aptos Display"/>
          <w:noProof w:val="0"/>
          <w:sz w:val="24"/>
          <w:szCs w:val="24"/>
          <w:lang w:val="en-US"/>
        </w:rPr>
      </w:pPr>
      <w:r w:rsidRPr="156EB269" w:rsidR="3F3737C7">
        <w:rPr>
          <w:rFonts w:ascii="Aptos Display" w:hAnsi="Aptos Display" w:eastAsia="Aptos Display" w:cs="Aptos Display"/>
          <w:noProof w:val="0"/>
          <w:sz w:val="24"/>
          <w:szCs w:val="24"/>
          <w:lang w:val="en-US"/>
        </w:rPr>
        <w:t xml:space="preserve">Marketing and promotion for ITT Future You Wales 2026 were designed to reach young people, schools, exhibitors, and wider stakeholders through clear, engaging, and accessible communication. The strategy was shaped by an understanding of how young people interact with digital content, with research showing that social media </w:t>
      </w:r>
      <w:r w:rsidRPr="156EB269" w:rsidR="3F3737C7">
        <w:rPr>
          <w:rFonts w:ascii="Aptos Display" w:hAnsi="Aptos Display" w:eastAsia="Aptos Display" w:cs="Aptos Display"/>
          <w:noProof w:val="0"/>
          <w:sz w:val="24"/>
          <w:szCs w:val="24"/>
          <w:lang w:val="en-US"/>
        </w:rPr>
        <w:t>remains</w:t>
      </w:r>
      <w:r w:rsidRPr="156EB269" w:rsidR="3F3737C7">
        <w:rPr>
          <w:rFonts w:ascii="Aptos Display" w:hAnsi="Aptos Display" w:eastAsia="Aptos Display" w:cs="Aptos Display"/>
          <w:noProof w:val="0"/>
          <w:sz w:val="24"/>
          <w:szCs w:val="24"/>
          <w:lang w:val="en-US"/>
        </w:rPr>
        <w:t xml:space="preserve"> one of the most effective ways to reach younger audiences (Flamingo Marketing Strategies, 2022; Hays, 2025). Platforms such as Instagram, TikTok, and LinkedIn were </w:t>
      </w:r>
      <w:r w:rsidRPr="156EB269" w:rsidR="3F3737C7">
        <w:rPr>
          <w:rFonts w:ascii="Aptos Display" w:hAnsi="Aptos Display" w:eastAsia="Aptos Display" w:cs="Aptos Display"/>
          <w:noProof w:val="0"/>
          <w:sz w:val="24"/>
          <w:szCs w:val="24"/>
          <w:lang w:val="en-US"/>
        </w:rPr>
        <w:t>prioritised</w:t>
      </w:r>
      <w:r w:rsidRPr="156EB269" w:rsidR="3F3737C7">
        <w:rPr>
          <w:rFonts w:ascii="Aptos Display" w:hAnsi="Aptos Display" w:eastAsia="Aptos Display" w:cs="Aptos Display"/>
          <w:noProof w:val="0"/>
          <w:sz w:val="24"/>
          <w:szCs w:val="24"/>
          <w:lang w:val="en-US"/>
        </w:rPr>
        <w:t xml:space="preserve"> because they offer strong visual engagement and allow targeted messaging that feels relevant to learners.</w:t>
      </w:r>
    </w:p>
    <w:p w:rsidR="3F3737C7" w:rsidP="156EB269" w:rsidRDefault="3F3737C7" w14:paraId="68F31C85" w14:textId="7639CFF8">
      <w:pPr>
        <w:spacing w:before="240" w:beforeAutospacing="off" w:after="240" w:afterAutospacing="off"/>
        <w:rPr>
          <w:rFonts w:ascii="Aptos Display" w:hAnsi="Aptos Display" w:eastAsia="Aptos Display" w:cs="Aptos Display"/>
          <w:noProof w:val="0"/>
          <w:sz w:val="28"/>
          <w:szCs w:val="28"/>
          <w:lang w:val="en-US"/>
        </w:rPr>
      </w:pPr>
      <w:r w:rsidRPr="156EB269" w:rsidR="3F3737C7">
        <w:rPr>
          <w:rFonts w:ascii="Aptos Display" w:hAnsi="Aptos Display" w:eastAsia="Aptos Display" w:cs="Aptos Display"/>
          <w:noProof w:val="0"/>
          <w:sz w:val="24"/>
          <w:szCs w:val="24"/>
          <w:lang w:val="en-US"/>
        </w:rPr>
        <w:t xml:space="preserve">Short‑form video content was used heavily on TikTok and Instagram, reflecting trends in youth engagement and the growing influence of these platforms on event participation (Presly, 2025; The Event Planner Expo, 2023). These posts showcased exhibitors, highlighted event features, and built excitement through countdowns and behind‑the‑scenes content. LinkedIn supported communication with exhibitors, sponsors, and industry professionals, guided by best practice in professional networking and event promotion (Benson, </w:t>
      </w:r>
      <w:r w:rsidRPr="156EB269" w:rsidR="3F3737C7">
        <w:rPr>
          <w:rFonts w:ascii="Aptos Display" w:hAnsi="Aptos Display" w:eastAsia="Aptos Display" w:cs="Aptos Display"/>
          <w:noProof w:val="0"/>
          <w:sz w:val="24"/>
          <w:szCs w:val="24"/>
          <w:lang w:val="en-US"/>
        </w:rPr>
        <w:t>2026</w:t>
      </w:r>
      <w:r w:rsidRPr="156EB269" w:rsidR="3F3737C7">
        <w:rPr>
          <w:rFonts w:ascii="Aptos Display" w:hAnsi="Aptos Display" w:eastAsia="Aptos Display" w:cs="Aptos Display"/>
          <w:noProof w:val="0"/>
          <w:sz w:val="24"/>
          <w:szCs w:val="24"/>
          <w:lang w:val="en-US"/>
        </w:rPr>
        <w:t>).</w:t>
      </w:r>
      <w:r w:rsidRPr="156EB269" w:rsidR="2CF58E34">
        <w:rPr>
          <w:rFonts w:ascii="Aptos Display" w:hAnsi="Aptos Display" w:eastAsia="Aptos Display" w:cs="Aptos Display"/>
          <w:noProof w:val="0"/>
          <w:sz w:val="24"/>
          <w:szCs w:val="24"/>
          <w:lang w:val="en-US"/>
        </w:rPr>
        <w:t xml:space="preserve"> </w:t>
      </w:r>
    </w:p>
    <w:p w:rsidR="3F3737C7" w:rsidP="156EB269" w:rsidRDefault="3F3737C7" w14:paraId="3E24D119" w14:textId="1B0C22D9">
      <w:pPr>
        <w:spacing w:before="240" w:beforeAutospacing="off" w:after="240" w:afterAutospacing="off"/>
        <w:rPr>
          <w:rFonts w:ascii="Aptos Display" w:hAnsi="Aptos Display" w:eastAsia="Aptos Display" w:cs="Aptos Display"/>
          <w:noProof w:val="0"/>
          <w:sz w:val="24"/>
          <w:szCs w:val="24"/>
          <w:highlight w:val="cyan"/>
          <w:lang w:val="en-US"/>
        </w:rPr>
      </w:pPr>
      <w:r w:rsidRPr="156EB269" w:rsidR="3F3737C7">
        <w:rPr>
          <w:rFonts w:ascii="Aptos Display" w:hAnsi="Aptos Display" w:eastAsia="Aptos Display" w:cs="Aptos Display"/>
          <w:noProof w:val="0"/>
          <w:sz w:val="24"/>
          <w:szCs w:val="24"/>
          <w:lang w:val="en-US"/>
        </w:rPr>
        <w:t xml:space="preserve">Marketing materials were designed to be visually consistent and accessible. Branding decisions followed principles from the Chartered Institute of Marketing (2023), which highlight the importance of </w:t>
      </w:r>
      <w:r w:rsidRPr="156EB269" w:rsidR="3F3737C7">
        <w:rPr>
          <w:rFonts w:ascii="Aptos Display" w:hAnsi="Aptos Display" w:eastAsia="Aptos Display" w:cs="Aptos Display"/>
          <w:noProof w:val="0"/>
          <w:sz w:val="24"/>
          <w:szCs w:val="24"/>
          <w:lang w:val="en-US"/>
        </w:rPr>
        <w:t>recognisable</w:t>
      </w:r>
      <w:r w:rsidRPr="156EB269" w:rsidR="3F3737C7">
        <w:rPr>
          <w:rFonts w:ascii="Aptos Display" w:hAnsi="Aptos Display" w:eastAsia="Aptos Display" w:cs="Aptos Display"/>
          <w:noProof w:val="0"/>
          <w:sz w:val="24"/>
          <w:szCs w:val="24"/>
          <w:lang w:val="en-US"/>
        </w:rPr>
        <w:t xml:space="preserve"> design, coherent messaging, and strong visual identity. This included using a consistent </w:t>
      </w:r>
      <w:r w:rsidRPr="156EB269" w:rsidR="3F3737C7">
        <w:rPr>
          <w:rFonts w:ascii="Aptos Display" w:hAnsi="Aptos Display" w:eastAsia="Aptos Display" w:cs="Aptos Display"/>
          <w:noProof w:val="0"/>
          <w:sz w:val="24"/>
          <w:szCs w:val="24"/>
          <w:lang w:val="en-US"/>
        </w:rPr>
        <w:t>colour</w:t>
      </w:r>
      <w:r w:rsidRPr="156EB269" w:rsidR="3F3737C7">
        <w:rPr>
          <w:rFonts w:ascii="Aptos Display" w:hAnsi="Aptos Display" w:eastAsia="Aptos Display" w:cs="Aptos Display"/>
          <w:noProof w:val="0"/>
          <w:sz w:val="24"/>
          <w:szCs w:val="24"/>
          <w:lang w:val="en-US"/>
        </w:rPr>
        <w:t xml:space="preserve"> scheme, clear typography, and simple layouts across posters, banners, social media graphics, and digital documents. Accessibility guidance from Disability Rights UK (2022) and Attitude is Everything (2025) informed decisions around </w:t>
      </w:r>
      <w:r w:rsidRPr="156EB269" w:rsidR="3F3737C7">
        <w:rPr>
          <w:rFonts w:ascii="Aptos Display" w:hAnsi="Aptos Display" w:eastAsia="Aptos Display" w:cs="Aptos Display"/>
          <w:noProof w:val="0"/>
          <w:sz w:val="24"/>
          <w:szCs w:val="24"/>
          <w:lang w:val="en-US"/>
        </w:rPr>
        <w:t>colour</w:t>
      </w:r>
      <w:r w:rsidRPr="156EB269" w:rsidR="3F3737C7">
        <w:rPr>
          <w:rFonts w:ascii="Aptos Display" w:hAnsi="Aptos Display" w:eastAsia="Aptos Display" w:cs="Aptos Display"/>
          <w:noProof w:val="0"/>
          <w:sz w:val="24"/>
          <w:szCs w:val="24"/>
          <w:lang w:val="en-US"/>
        </w:rPr>
        <w:t xml:space="preserve"> contrast, font size, readability, and alternative formats, ensuring that materials were suitable for attendees with mobility, sensory, or neurodiverse needs.</w:t>
      </w:r>
      <w:r w:rsidRPr="156EB269" w:rsidR="0E3ECB50">
        <w:rPr>
          <w:rFonts w:ascii="Aptos Display" w:hAnsi="Aptos Display" w:eastAsia="Aptos Display" w:cs="Aptos Display"/>
          <w:noProof w:val="0"/>
          <w:sz w:val="24"/>
          <w:szCs w:val="24"/>
          <w:lang w:val="en-US"/>
        </w:rPr>
        <w:t xml:space="preserve"> </w:t>
      </w:r>
    </w:p>
    <w:p w:rsidR="3F3737C7" w:rsidP="156EB269" w:rsidRDefault="3F3737C7" w14:paraId="332C6089" w14:textId="1B949C75">
      <w:pPr>
        <w:spacing w:before="240" w:beforeAutospacing="off" w:after="240" w:afterAutospacing="off"/>
        <w:rPr>
          <w:rFonts w:ascii="Aptos Display" w:hAnsi="Aptos Display" w:eastAsia="Aptos Display" w:cs="Aptos Display"/>
          <w:noProof w:val="0"/>
          <w:sz w:val="24"/>
          <w:szCs w:val="24"/>
          <w:lang w:val="en-US"/>
        </w:rPr>
      </w:pPr>
      <w:r w:rsidRPr="156EB269" w:rsidR="3F3737C7">
        <w:rPr>
          <w:rFonts w:ascii="Aptos Display" w:hAnsi="Aptos Display" w:eastAsia="Aptos Display" w:cs="Aptos Display"/>
          <w:noProof w:val="0"/>
          <w:sz w:val="24"/>
          <w:szCs w:val="24"/>
          <w:lang w:val="en-US"/>
        </w:rPr>
        <w:t xml:space="preserve">The </w:t>
      </w:r>
      <w:r w:rsidRPr="156EB269" w:rsidR="3F3737C7">
        <w:rPr>
          <w:rFonts w:ascii="Aptos Display" w:hAnsi="Aptos Display" w:eastAsia="Aptos Display" w:cs="Aptos Display"/>
          <w:noProof w:val="0"/>
          <w:sz w:val="24"/>
          <w:szCs w:val="24"/>
          <w:lang w:val="en-US"/>
        </w:rPr>
        <w:t>anticipated</w:t>
      </w:r>
      <w:r w:rsidRPr="156EB269" w:rsidR="3F3737C7">
        <w:rPr>
          <w:rFonts w:ascii="Aptos Display" w:hAnsi="Aptos Display" w:eastAsia="Aptos Display" w:cs="Aptos Display"/>
          <w:noProof w:val="0"/>
          <w:sz w:val="24"/>
          <w:szCs w:val="24"/>
          <w:lang w:val="en-US"/>
        </w:rPr>
        <w:t xml:space="preserve"> effectiveness of the marketing strategy is strong due to its alignment with youth communication trends and evidence‑based engagement methods. Research from the National Youth Agency (2025) and Young Voices Heard (2026) highlights that young people respond best to communication that is visual, relatable, and easy to access—criteria that shaped the entire promotional approach. The use of multiple platforms increased the likelihood of reaching a broad audience, while targeted messaging ensured that content remained relevant to </w:t>
      </w:r>
      <w:r w:rsidRPr="156EB269" w:rsidR="3F3737C7">
        <w:rPr>
          <w:rFonts w:ascii="Aptos Display" w:hAnsi="Aptos Display" w:eastAsia="Aptos Display" w:cs="Aptos Display"/>
          <w:noProof w:val="0"/>
          <w:sz w:val="24"/>
          <w:szCs w:val="24"/>
          <w:lang w:val="en-US"/>
        </w:rPr>
        <w:t>different groups</w:t>
      </w:r>
      <w:r w:rsidRPr="156EB269" w:rsidR="3F3737C7">
        <w:rPr>
          <w:rFonts w:ascii="Aptos Display" w:hAnsi="Aptos Display" w:eastAsia="Aptos Display" w:cs="Aptos Display"/>
          <w:noProof w:val="0"/>
          <w:sz w:val="24"/>
          <w:szCs w:val="24"/>
          <w:lang w:val="en-US"/>
        </w:rPr>
        <w:t>, including learners, teachers, exhibitors, and sponsors.</w:t>
      </w:r>
    </w:p>
    <w:p w:rsidR="3F3737C7" w:rsidP="156EB269" w:rsidRDefault="3F3737C7" w14:paraId="7B4283E0" w14:textId="208C1FBC">
      <w:pPr>
        <w:spacing w:before="240" w:beforeAutospacing="off" w:after="240" w:afterAutospacing="off"/>
        <w:rPr>
          <w:rFonts w:ascii="Aptos Display" w:hAnsi="Aptos Display" w:eastAsia="Aptos Display" w:cs="Aptos Display"/>
          <w:noProof w:val="0"/>
          <w:sz w:val="24"/>
          <w:szCs w:val="24"/>
          <w:lang w:val="en-US"/>
        </w:rPr>
      </w:pPr>
      <w:r w:rsidRPr="156EB269" w:rsidR="3F3737C7">
        <w:rPr>
          <w:rFonts w:ascii="Aptos Display" w:hAnsi="Aptos Display" w:eastAsia="Aptos Display" w:cs="Aptos Display"/>
          <w:noProof w:val="0"/>
          <w:sz w:val="24"/>
          <w:szCs w:val="24"/>
          <w:lang w:val="en-US"/>
        </w:rPr>
        <w:t xml:space="preserve">The combination of digital promotion, school outreach, and consistent branding is expected to generate </w:t>
      </w:r>
      <w:r w:rsidRPr="156EB269" w:rsidR="3F3737C7">
        <w:rPr>
          <w:rFonts w:ascii="Aptos Display" w:hAnsi="Aptos Display" w:eastAsia="Aptos Display" w:cs="Aptos Display"/>
          <w:noProof w:val="0"/>
          <w:sz w:val="24"/>
          <w:szCs w:val="24"/>
          <w:lang w:val="en-US"/>
        </w:rPr>
        <w:t>high levels</w:t>
      </w:r>
      <w:r w:rsidRPr="156EB269" w:rsidR="3F3737C7">
        <w:rPr>
          <w:rFonts w:ascii="Aptos Display" w:hAnsi="Aptos Display" w:eastAsia="Aptos Display" w:cs="Aptos Display"/>
          <w:noProof w:val="0"/>
          <w:sz w:val="24"/>
          <w:szCs w:val="24"/>
          <w:lang w:val="en-US"/>
        </w:rPr>
        <w:t xml:space="preserve"> of awareness and engagement. The strategy also supports inclusivity by ensuring that all materials are accessible and easy to understand, which is essential for an event designed to support young people from a wide range of backgrounds. Overall, the marketing and promotional approach is well‑positioned to attract strong attendance, encourage exhibitor participation, and create a positive and engaging experience for all involved.</w:t>
      </w:r>
    </w:p>
    <w:p w:rsidR="156EB269" w:rsidP="156EB269" w:rsidRDefault="156EB269" w14:paraId="01C9C1D8" w14:textId="0CB70A7E">
      <w:pPr>
        <w:pStyle w:val="Normal"/>
        <w:rPr>
          <w:b w:val="1"/>
          <w:bCs w:val="1"/>
          <w:u w:val="single"/>
        </w:rPr>
      </w:pPr>
    </w:p>
    <w:p xmlns:wp14="http://schemas.microsoft.com/office/word/2010/wordml" w:rsidP="156EB269" wp14:paraId="708189BD" wp14:textId="426B032F">
      <w:pPr>
        <w:pStyle w:val="Heading1"/>
        <w:rPr>
          <w:b w:val="1"/>
          <w:bCs w:val="1"/>
          <w:sz w:val="24"/>
          <w:szCs w:val="24"/>
          <w:u w:val="single"/>
        </w:rPr>
      </w:pPr>
      <w:bookmarkStart w:name="_Toc1439829237" w:id="1139073434"/>
      <w:r w:rsidRPr="156EB269" w:rsidR="7C087301">
        <w:rPr>
          <w:sz w:val="24"/>
          <w:szCs w:val="24"/>
        </w:rPr>
        <w:t>Logistics and Operations</w:t>
      </w:r>
      <w:bookmarkEnd w:id="1139073434"/>
      <w:r w:rsidRPr="156EB269" w:rsidR="7C087301">
        <w:rPr>
          <w:sz w:val="24"/>
          <w:szCs w:val="24"/>
        </w:rPr>
        <w:t xml:space="preserve"> </w:t>
      </w:r>
    </w:p>
    <w:p xmlns:wp14="http://schemas.microsoft.com/office/word/2010/wordml" w:rsidP="156EB269" wp14:paraId="694C1F6E" wp14:textId="00EC703B">
      <w:pPr>
        <w:pStyle w:val="Normal"/>
        <w:rPr>
          <w:b w:val="1"/>
          <w:bCs w:val="1"/>
          <w:u w:val="single"/>
        </w:rPr>
      </w:pPr>
      <w:r w:rsidRPr="156EB269" w:rsidR="3236703F">
        <w:rPr>
          <w:noProof w:val="0"/>
          <w:lang w:val="en-US"/>
        </w:rPr>
        <w:t>Venue and Layout</w:t>
      </w:r>
      <w:r w:rsidRPr="156EB269" w:rsidR="5E4806BC">
        <w:rPr>
          <w:noProof w:val="0"/>
          <w:lang w:val="en-US"/>
        </w:rPr>
        <w:t xml:space="preserve"> </w:t>
      </w:r>
      <w:r w:rsidRPr="156EB269" w:rsidR="5E4806BC">
        <w:rPr>
          <w:noProof w:val="0"/>
          <w:lang w:val="en-US"/>
        </w:rPr>
        <w:t>(In</w:t>
      </w:r>
      <w:r w:rsidR="5E4806BC">
        <w:rPr/>
        <w:t xml:space="preserve"> Appendix E)</w:t>
      </w:r>
    </w:p>
    <w:p w:rsidR="74B1103E" w:rsidP="156EB269" w:rsidRDefault="74B1103E" w14:paraId="40E77E5D" w14:textId="0F356B1F">
      <w:pPr>
        <w:spacing w:before="240" w:beforeAutospacing="off" w:after="240" w:afterAutospacing="off"/>
        <w:rPr>
          <w:rFonts w:ascii="Aptos Display" w:hAnsi="Aptos Display" w:eastAsia="Aptos Display" w:cs="Aptos Display"/>
          <w:b w:val="0"/>
          <w:bCs w:val="0"/>
          <w:noProof w:val="0"/>
          <w:sz w:val="24"/>
          <w:szCs w:val="24"/>
          <w:lang w:val="en-US"/>
        </w:rPr>
      </w:pPr>
      <w:r w:rsidRPr="156EB269" w:rsidR="74B1103E">
        <w:rPr>
          <w:rFonts w:ascii="Aptos Display" w:hAnsi="Aptos Display" w:eastAsia="Aptos Display" w:cs="Aptos Display"/>
          <w:b w:val="0"/>
          <w:bCs w:val="0"/>
          <w:noProof w:val="0"/>
          <w:sz w:val="24"/>
          <w:szCs w:val="24"/>
          <w:lang w:val="en-US"/>
        </w:rPr>
        <w:t>The venue for ITT Future You Wales 2026 is the Swansea Arena, chosen for its modern facilities, accessibility, and capacity to host large‑scale educational events. The decision to use this venue aligns with industry expectations for safe and well‑equipped event spaces, supported by the Technical Standards for Places of Entertainment, which outline requirements for structural safety, technical equipment, and audience welfare (Technical Standards for Places of Entertainment, 2022). The Arena’s layout provides a flexible open‑plan space suitable for exhibitor stands, networking areas, and conference sessions, allowing the event to accommodate a high number of attendees while maintaining clear movement routes.</w:t>
      </w:r>
    </w:p>
    <w:p w:rsidR="74B1103E" w:rsidP="156EB269" w:rsidRDefault="74B1103E" w14:paraId="5DF24D8E" w14:textId="36E076E5">
      <w:pPr>
        <w:pStyle w:val="Normal"/>
        <w:spacing w:before="240" w:beforeAutospacing="off" w:after="240" w:afterAutospacing="off"/>
      </w:pPr>
      <w:r w:rsidRPr="156EB269" w:rsidR="74B1103E">
        <w:rPr>
          <w:rFonts w:ascii="Aptos Display" w:hAnsi="Aptos Display" w:eastAsia="Aptos Display" w:cs="Aptos Display"/>
          <w:b w:val="0"/>
          <w:bCs w:val="0"/>
          <w:noProof w:val="0"/>
          <w:sz w:val="24"/>
          <w:szCs w:val="24"/>
          <w:lang w:val="en-US"/>
        </w:rPr>
        <w:t>Safety and accessibility were central considerations when designing the layout. Guidance from the Purple Guide emphasises the importance of clear crowd flow, visible signage, and designated welfare areas to ensure safe movement throughout the venue (admin, 2026a). These principles shaped decisions around stand placement, entrance and exit points, and the positioning of staff and volunteers. Additional safety considerations were informed by the British Safety Council (2025) and the Health and Safety Executive (2022), ensuring that risks related to congestion, equipment, and emergency procedures were addressed early in the planning process.</w:t>
      </w:r>
    </w:p>
    <w:p w:rsidR="74B1103E" w:rsidP="156EB269" w:rsidRDefault="74B1103E" w14:paraId="65FB979E" w14:textId="0B690189">
      <w:pPr>
        <w:pStyle w:val="Normal"/>
        <w:spacing w:before="240" w:beforeAutospacing="off" w:after="240" w:afterAutospacing="off"/>
      </w:pPr>
      <w:r w:rsidRPr="156EB269" w:rsidR="74B1103E">
        <w:rPr>
          <w:rFonts w:ascii="Aptos Display" w:hAnsi="Aptos Display" w:eastAsia="Aptos Display" w:cs="Aptos Display"/>
          <w:b w:val="0"/>
          <w:bCs w:val="0"/>
          <w:noProof w:val="0"/>
          <w:sz w:val="24"/>
          <w:szCs w:val="24"/>
          <w:lang w:val="en-US"/>
        </w:rPr>
        <w:t>Accessibility was a priority throughout the layout design. Recommendations from Disability Rights UK (2022) and Attitude is Everything (2025) guided decisions around wheelchair access, quiet spaces, sensory‑friendly signage, and the placement of information points. These sources highlight the importance of creating environments that support attendees with mobility, sensory, or neurodiverse needs, which influenced the inclusion of wide pathways, clear visual markers, and accessible seating areas.</w:t>
      </w:r>
    </w:p>
    <w:p w:rsidR="74B1103E" w:rsidP="156EB269" w:rsidRDefault="74B1103E" w14:paraId="17377915" w14:textId="38800BBD">
      <w:pPr>
        <w:pStyle w:val="Normal"/>
        <w:spacing w:before="240" w:beforeAutospacing="off" w:after="240" w:afterAutospacing="off"/>
      </w:pPr>
      <w:r w:rsidRPr="156EB269" w:rsidR="74B1103E">
        <w:rPr>
          <w:rFonts w:ascii="Aptos Display" w:hAnsi="Aptos Display" w:eastAsia="Aptos Display" w:cs="Aptos Display"/>
          <w:b w:val="0"/>
          <w:bCs w:val="0"/>
          <w:noProof w:val="0"/>
          <w:sz w:val="24"/>
          <w:szCs w:val="24"/>
          <w:lang w:val="en-US"/>
        </w:rPr>
        <w:t>The layout was also designed to support exhibitors effectively. Industry guidance on exhibitor communication and setup, such as that provided by AEO (2017), helped shape decisions around stand spacing, power access, and the flow of visitors between exhibitors. This ensured that each organisation had enough space to engage with attendees while maintaining a smooth visitor journey. Sustainability considerations from the Events Industry Council (2026) also influenced layout decisions, encouraging the use of reusable signage, efficient lighting, and reduced waste in exhibitor areas.</w:t>
      </w:r>
    </w:p>
    <w:p w:rsidR="74B1103E" w:rsidP="156EB269" w:rsidRDefault="74B1103E" w14:paraId="08C27B2E" w14:textId="08F58875">
      <w:pPr>
        <w:pStyle w:val="Normal"/>
        <w:spacing w:before="240" w:beforeAutospacing="off" w:after="240" w:afterAutospacing="off"/>
      </w:pPr>
      <w:r w:rsidRPr="156EB269" w:rsidR="74B1103E">
        <w:rPr>
          <w:rFonts w:ascii="Aptos Display" w:hAnsi="Aptos Display" w:eastAsia="Aptos Display" w:cs="Aptos Display"/>
          <w:b w:val="0"/>
          <w:bCs w:val="0"/>
          <w:noProof w:val="0"/>
          <w:sz w:val="24"/>
          <w:szCs w:val="24"/>
          <w:lang w:val="en-US"/>
        </w:rPr>
        <w:t>Clear signage and branding were incorporated throughout the venue to support navigation and enhance the event experience. The Chartered Institute of Marketing (2023) highlights the importance of consistent visual identity in building trust and engagement, which informed the design of banners, directional signs, and digital screens. These materials were created with accessibility in mind, following best practice in readability and inclusive communication.</w:t>
      </w:r>
    </w:p>
    <w:p w:rsidR="74B1103E" w:rsidP="156EB269" w:rsidRDefault="74B1103E" w14:paraId="5F427A9C" w14:textId="32E0363E">
      <w:pPr>
        <w:pStyle w:val="Normal"/>
        <w:spacing w:before="240" w:beforeAutospacing="off" w:after="240" w:afterAutospacing="off"/>
      </w:pPr>
      <w:r w:rsidRPr="156EB269" w:rsidR="74B1103E">
        <w:rPr>
          <w:rFonts w:ascii="Aptos Display" w:hAnsi="Aptos Display" w:eastAsia="Aptos Display" w:cs="Aptos Display"/>
          <w:b w:val="0"/>
          <w:bCs w:val="0"/>
          <w:noProof w:val="0"/>
          <w:sz w:val="24"/>
          <w:szCs w:val="24"/>
          <w:lang w:val="en-US"/>
        </w:rPr>
        <w:t>Overall, the venue and layout have been designed to create a safe, accessible, and engaging environment that supports both exhibitors and attendees. The combination of industry guidance, accessibility standards, and practical planning ensures that Swansea Arena is well‑prepared to host a successful and impactful event.</w:t>
      </w:r>
    </w:p>
    <w:p xmlns:wp14="http://schemas.microsoft.com/office/word/2010/wordml" w:rsidP="156EB269" wp14:paraId="76218931" wp14:textId="4A0368BF">
      <w:pPr>
        <w:pStyle w:val="Heading1"/>
        <w:rPr>
          <w:rFonts w:ascii="Aptos Display" w:hAnsi="Aptos Display" w:eastAsia="Aptos Display" w:cs="Aptos Display"/>
          <w:b w:val="1"/>
          <w:bCs w:val="1"/>
          <w:noProof w:val="0"/>
          <w:sz w:val="24"/>
          <w:szCs w:val="24"/>
          <w:highlight w:val="cyan"/>
          <w:lang w:val="en-US"/>
        </w:rPr>
      </w:pPr>
      <w:bookmarkStart w:name="_Toc155406313" w:id="248114827"/>
      <w:r w:rsidRPr="156EB269" w:rsidR="3236703F">
        <w:rPr>
          <w:noProof w:val="0"/>
          <w:sz w:val="24"/>
          <w:szCs w:val="24"/>
          <w:lang w:val="en-US"/>
        </w:rPr>
        <w:t xml:space="preserve">Event </w:t>
      </w:r>
      <w:r w:rsidRPr="156EB269" w:rsidR="3236703F">
        <w:rPr>
          <w:noProof w:val="0"/>
          <w:sz w:val="24"/>
          <w:szCs w:val="24"/>
          <w:lang w:val="en-US"/>
        </w:rPr>
        <w:t>Schedule</w:t>
      </w:r>
      <w:bookmarkEnd w:id="248114827"/>
      <w:r w:rsidRPr="156EB269" w:rsidR="5BDFA098">
        <w:rPr>
          <w:noProof w:val="0"/>
          <w:sz w:val="24"/>
          <w:szCs w:val="24"/>
          <w:lang w:val="en-US"/>
        </w:rPr>
        <w:t xml:space="preserve"> </w:t>
      </w:r>
    </w:p>
    <w:p w:rsidR="6C965859" w:rsidP="156EB269" w:rsidRDefault="6C965859" w14:paraId="7C505696" w14:textId="59F6888B">
      <w:pPr>
        <w:spacing w:before="240" w:beforeAutospacing="off" w:after="240" w:afterAutospacing="off"/>
        <w:rPr>
          <w:rFonts w:ascii="Aptos Display" w:hAnsi="Aptos Display" w:eastAsia="Aptos Display" w:cs="Aptos Display"/>
          <w:b w:val="0"/>
          <w:bCs w:val="0"/>
          <w:noProof w:val="0"/>
          <w:sz w:val="24"/>
          <w:szCs w:val="24"/>
          <w:lang w:val="en-US"/>
        </w:rPr>
      </w:pPr>
      <w:r w:rsidRPr="156EB269" w:rsidR="6C965859">
        <w:rPr>
          <w:rFonts w:ascii="Aptos Display" w:hAnsi="Aptos Display" w:eastAsia="Aptos Display" w:cs="Aptos Display"/>
          <w:b w:val="0"/>
          <w:bCs w:val="0"/>
          <w:noProof w:val="0"/>
          <w:sz w:val="24"/>
          <w:szCs w:val="24"/>
          <w:lang w:val="en-US"/>
        </w:rPr>
        <w:t>The event schedule for ITT Future You Wales 2026 was designed to provide a structured, engaging, and accessible experience for all attendees. The schedule follows recognised event‑planning principles, ensuring that activities flow smoothly and that young people have clear opportunities to explore exhibitors, attend talks, and participate in interactive sessions. Guidance from the Purple Guide emphasises the importance of clear timings, structured movement, and well‑planned transitions to support crowd flow and safety throughout the day (admin, 2026a). These principles shaped the order of activities and the spacing between sessions.</w:t>
      </w:r>
    </w:p>
    <w:p w:rsidR="6C965859" w:rsidP="156EB269" w:rsidRDefault="6C965859" w14:paraId="23409490" w14:textId="201A7C57">
      <w:pPr>
        <w:pStyle w:val="Normal"/>
        <w:spacing w:before="240" w:beforeAutospacing="off" w:after="240" w:afterAutospacing="off"/>
      </w:pPr>
      <w:r w:rsidRPr="156EB269" w:rsidR="6C965859">
        <w:rPr>
          <w:rFonts w:ascii="Aptos Display" w:hAnsi="Aptos Display" w:eastAsia="Aptos Display" w:cs="Aptos Display"/>
          <w:b w:val="0"/>
          <w:bCs w:val="0"/>
          <w:noProof w:val="0"/>
          <w:sz w:val="24"/>
          <w:szCs w:val="24"/>
          <w:lang w:val="en-US"/>
        </w:rPr>
        <w:t>The day begins with school arrivals and registration, supported by clear signage and staff positioned at key points to guide attendees. This approach reflects accessibility and communication recommendations from Disability Rights UK (2022) and Attitude is Everything (2025), ensuring that all learners — including those with mobility or sensory needs — can navigate the venue confidently. Exhibitors are given dedicated setup time before the event opens, following best practice in exhibitor coordination and venue preparation (AEO, 2017).</w:t>
      </w:r>
    </w:p>
    <w:p w:rsidR="6C965859" w:rsidP="156EB269" w:rsidRDefault="6C965859" w14:paraId="592ED85F" w14:textId="4F4AF229">
      <w:pPr>
        <w:pStyle w:val="Normal"/>
        <w:spacing w:before="240" w:beforeAutospacing="off" w:after="240" w:afterAutospacing="off"/>
      </w:pPr>
      <w:r w:rsidRPr="156EB269" w:rsidR="6C965859">
        <w:rPr>
          <w:rFonts w:ascii="Aptos Display" w:hAnsi="Aptos Display" w:eastAsia="Aptos Display" w:cs="Aptos Display"/>
          <w:b w:val="0"/>
          <w:bCs w:val="0"/>
          <w:noProof w:val="0"/>
          <w:sz w:val="24"/>
          <w:szCs w:val="24"/>
          <w:lang w:val="en-US"/>
        </w:rPr>
        <w:t>The main exhibition period runs throughout the morning and early afternoon, allowing students to explore stands at their own pace. Research shows that unstructured exploration time helps young people engage more meaningfully with exhibitors and ask questions relevant to their interests (Barnes &amp; Wright, 2023). To support this, the layout and schedule were designed to avoid overcrowding and ensure that students could move freely between stands, following crowd‑management guidance from the British Safety Council (2025) and the Health and Safety Executive (2022).</w:t>
      </w:r>
    </w:p>
    <w:p w:rsidR="6C965859" w:rsidP="156EB269" w:rsidRDefault="6C965859" w14:paraId="2DFAB7C7" w14:textId="438785C6">
      <w:pPr>
        <w:pStyle w:val="Normal"/>
        <w:spacing w:before="240" w:beforeAutospacing="off" w:after="240" w:afterAutospacing="off"/>
      </w:pPr>
      <w:r w:rsidRPr="156EB269" w:rsidR="6C965859">
        <w:rPr>
          <w:rFonts w:ascii="Aptos Display" w:hAnsi="Aptos Display" w:eastAsia="Aptos Display" w:cs="Aptos Display"/>
          <w:b w:val="0"/>
          <w:bCs w:val="0"/>
          <w:noProof w:val="0"/>
          <w:sz w:val="24"/>
          <w:szCs w:val="24"/>
          <w:lang w:val="en-US"/>
        </w:rPr>
        <w:t>Alongside the exhibition, scheduled conference sessions take place in the Arena’s theatre space. These sessions include talks from industry professionals, universities, and training providers, offering insights into career pathways, apprenticeships, and higher education. The inclusion of structured talks aligns with Careers Wales (2026), which highlights the importance of providing young people with clear, reliable information to support informed decision‑making.</w:t>
      </w:r>
    </w:p>
    <w:p w:rsidR="6C965859" w:rsidP="156EB269" w:rsidRDefault="6C965859" w14:paraId="0B6AB4BF" w14:textId="0EA39E4B">
      <w:pPr>
        <w:pStyle w:val="Normal"/>
        <w:spacing w:before="240" w:beforeAutospacing="off" w:after="240" w:afterAutospacing="off"/>
      </w:pPr>
      <w:r w:rsidRPr="156EB269" w:rsidR="6C965859">
        <w:rPr>
          <w:rFonts w:ascii="Aptos Display" w:hAnsi="Aptos Display" w:eastAsia="Aptos Display" w:cs="Aptos Display"/>
          <w:b w:val="0"/>
          <w:bCs w:val="0"/>
          <w:noProof w:val="0"/>
          <w:sz w:val="24"/>
          <w:szCs w:val="24"/>
          <w:lang w:val="en-US"/>
        </w:rPr>
        <w:t>Breaks are built into the schedule to support wellbeing and reduce fatigue, reflecting recommendations from the Events Industry Council on sustainability and attendee welfare (Events Industry Council, 2026). These breaks also allow exhibitors to reset materials and prepare for the next wave of students. Staff and volunteers are positioned throughout the venue during these periods to support movement and ensure that safety procedures remain in place, following operational guidance from the Technical Standards for Places of Entertainment (2022).</w:t>
      </w:r>
    </w:p>
    <w:p w:rsidR="6C965859" w:rsidP="156EB269" w:rsidRDefault="6C965859" w14:paraId="344CE1A9" w14:textId="7D21F81B">
      <w:pPr>
        <w:pStyle w:val="Normal"/>
        <w:spacing w:before="240" w:beforeAutospacing="off" w:after="240" w:afterAutospacing="off"/>
      </w:pPr>
      <w:r w:rsidRPr="156EB269" w:rsidR="6C965859">
        <w:rPr>
          <w:rFonts w:ascii="Aptos Display" w:hAnsi="Aptos Display" w:eastAsia="Aptos Display" w:cs="Aptos Display"/>
          <w:b w:val="0"/>
          <w:bCs w:val="0"/>
          <w:noProof w:val="0"/>
          <w:sz w:val="24"/>
          <w:szCs w:val="24"/>
          <w:lang w:val="en-US"/>
        </w:rPr>
        <w:t>The event concludes with a final networking period, giving students a last opportunity to revisit stands or ask follow‑up questions. This closing structure supports youth engagement principles highlighted by the National Youth Agency (2025), which emphasise the value of giving young people time to reflect, explore, and build confidence in their choices.</w:t>
      </w:r>
    </w:p>
    <w:p w:rsidR="6C965859" w:rsidP="156EB269" w:rsidRDefault="6C965859" w14:paraId="5F894F2E" w14:textId="56C586BC">
      <w:pPr>
        <w:pStyle w:val="Normal"/>
        <w:spacing w:before="240" w:beforeAutospacing="off" w:after="240" w:afterAutospacing="off"/>
      </w:pPr>
      <w:r w:rsidRPr="156EB269" w:rsidR="6C965859">
        <w:rPr>
          <w:rFonts w:ascii="Aptos Display" w:hAnsi="Aptos Display" w:eastAsia="Aptos Display" w:cs="Aptos Display"/>
          <w:b w:val="0"/>
          <w:bCs w:val="0"/>
          <w:noProof w:val="0"/>
          <w:sz w:val="24"/>
          <w:szCs w:val="24"/>
          <w:lang w:val="en-US"/>
        </w:rPr>
        <w:t>Overall, the event schedule has been designed to balance structure with flexibility, ensuring that ITT Future You Wales 2026 provides a safe, engaging, and meaningful experience for all attendees.</w:t>
      </w:r>
    </w:p>
    <w:p xmlns:wp14="http://schemas.microsoft.com/office/word/2010/wordml" w:rsidP="156EB269" wp14:paraId="7FF60113" wp14:textId="6361F59E">
      <w:pPr>
        <w:pStyle w:val="Heading1"/>
        <w:rPr>
          <w:rFonts w:ascii="Aptos Display" w:hAnsi="Aptos Display" w:eastAsia="Aptos Display" w:cs="Aptos Display"/>
          <w:b w:val="1"/>
          <w:bCs w:val="1"/>
          <w:noProof w:val="0"/>
          <w:sz w:val="24"/>
          <w:szCs w:val="24"/>
          <w:highlight w:val="cyan"/>
          <w:lang w:val="en-US"/>
        </w:rPr>
      </w:pPr>
      <w:bookmarkStart w:name="_Toc197957387" w:id="1767655511"/>
      <w:r w:rsidRPr="156EB269" w:rsidR="3236703F">
        <w:rPr>
          <w:noProof w:val="0"/>
          <w:sz w:val="24"/>
          <w:szCs w:val="24"/>
          <w:lang w:val="en-US"/>
        </w:rPr>
        <w:t>Staffing and Roles</w:t>
      </w:r>
      <w:bookmarkEnd w:id="1767655511"/>
    </w:p>
    <w:p w:rsidR="43A97946" w:rsidP="156EB269" w:rsidRDefault="43A97946" w14:paraId="18D5EEB9" w14:textId="2485EC7A">
      <w:pPr>
        <w:pStyle w:val="Normal"/>
        <w:rPr>
          <w:b w:val="0"/>
          <w:bCs w:val="0"/>
          <w:u w:val="none"/>
        </w:rPr>
      </w:pPr>
      <w:r w:rsidR="43A97946">
        <w:rPr>
          <w:b w:val="0"/>
          <w:bCs w:val="0"/>
          <w:u w:val="none"/>
        </w:rPr>
        <w:t xml:space="preserve">Staffing for ITT Future You Wales 2026 was </w:t>
      </w:r>
      <w:r w:rsidR="43A97946">
        <w:rPr>
          <w:b w:val="0"/>
          <w:bCs w:val="0"/>
          <w:u w:val="none"/>
        </w:rPr>
        <w:t>organised</w:t>
      </w:r>
      <w:r w:rsidR="43A97946">
        <w:rPr>
          <w:b w:val="0"/>
          <w:bCs w:val="0"/>
          <w:u w:val="none"/>
        </w:rPr>
        <w:t xml:space="preserve"> to ensure the event runs safely and efficiently. Clear role allocation is essential in large events, with </w:t>
      </w:r>
      <w:r w:rsidR="43A97946">
        <w:rPr>
          <w:b w:val="0"/>
          <w:bCs w:val="0"/>
          <w:u w:val="none"/>
        </w:rPr>
        <w:t>good communication</w:t>
      </w:r>
      <w:r w:rsidR="43A97946">
        <w:rPr>
          <w:b w:val="0"/>
          <w:bCs w:val="0"/>
          <w:u w:val="none"/>
        </w:rPr>
        <w:t xml:space="preserve"> and structured responsibilities helping teams work effectively (NCVO, 2024). The core planning team managed budgeting, marketing, exhibitor communication, and risk management, reflecting the professional expectations outlined by the Institute of Event Management (Professional Recognition for Event Managers, </w:t>
      </w:r>
      <w:r w:rsidR="43A97946">
        <w:rPr>
          <w:b w:val="0"/>
          <w:bCs w:val="0"/>
          <w:u w:val="none"/>
        </w:rPr>
        <w:t>2026</w:t>
      </w:r>
      <w:r w:rsidR="43A97946">
        <w:rPr>
          <w:b w:val="0"/>
          <w:bCs w:val="0"/>
          <w:u w:val="none"/>
        </w:rPr>
        <w:t>).</w:t>
      </w:r>
    </w:p>
    <w:p w:rsidR="43A97946" w:rsidP="156EB269" w:rsidRDefault="43A97946" w14:paraId="067A47A4" w14:textId="6CB6B1F6">
      <w:pPr>
        <w:pStyle w:val="Normal"/>
        <w:rPr>
          <w:b w:val="0"/>
          <w:bCs w:val="0"/>
          <w:u w:val="none"/>
        </w:rPr>
      </w:pPr>
      <w:r w:rsidR="43A97946">
        <w:rPr>
          <w:b w:val="0"/>
          <w:bCs w:val="0"/>
          <w:u w:val="none"/>
        </w:rPr>
        <w:t xml:space="preserve">On the event day, staff and volunteers will be positioned across key areas to support crowd flow, answer questions, and guide attendees. This follows best practice in event operations, where visible staffing helps </w:t>
      </w:r>
      <w:r w:rsidR="43A97946">
        <w:rPr>
          <w:b w:val="0"/>
          <w:bCs w:val="0"/>
          <w:u w:val="none"/>
        </w:rPr>
        <w:t>maintain</w:t>
      </w:r>
      <w:r w:rsidR="43A97946">
        <w:rPr>
          <w:b w:val="0"/>
          <w:bCs w:val="0"/>
          <w:u w:val="none"/>
        </w:rPr>
        <w:t xml:space="preserve"> safety and smooth movement (British Safety Council, 2025). Volunteers will receive a full </w:t>
      </w:r>
      <w:r w:rsidR="43A97946">
        <w:rPr>
          <w:b w:val="0"/>
          <w:bCs w:val="0"/>
          <w:u w:val="none"/>
        </w:rPr>
        <w:t>briefing</w:t>
      </w:r>
      <w:r w:rsidR="43A97946">
        <w:rPr>
          <w:b w:val="0"/>
          <w:bCs w:val="0"/>
          <w:u w:val="none"/>
        </w:rPr>
        <w:t xml:space="preserve"> so they understand their duties and emergency procedures, again aligning with NCVO (2024).</w:t>
      </w:r>
    </w:p>
    <w:p w:rsidR="43A97946" w:rsidP="156EB269" w:rsidRDefault="43A97946" w14:paraId="08D6A977" w14:textId="1EC720B8">
      <w:pPr>
        <w:pStyle w:val="Normal"/>
        <w:rPr>
          <w:b w:val="0"/>
          <w:bCs w:val="0"/>
          <w:u w:val="none"/>
        </w:rPr>
      </w:pPr>
      <w:r w:rsidR="43A97946">
        <w:rPr>
          <w:b w:val="0"/>
          <w:bCs w:val="0"/>
          <w:u w:val="none"/>
        </w:rPr>
        <w:t xml:space="preserve">Accessibility support is built into the staffing plan. Guidance from Disability Rights UK (2022) and Attitude is Everything (2025) highlights the importance of trained staff who can </w:t>
      </w:r>
      <w:r w:rsidR="43A97946">
        <w:rPr>
          <w:b w:val="0"/>
          <w:bCs w:val="0"/>
          <w:u w:val="none"/>
        </w:rPr>
        <w:t>assist</w:t>
      </w:r>
      <w:r w:rsidR="43A97946">
        <w:rPr>
          <w:b w:val="0"/>
          <w:bCs w:val="0"/>
          <w:u w:val="none"/>
        </w:rPr>
        <w:t xml:space="preserve"> attendees with mobility, sensory, or neurodiverse needs. Staff will therefore be placed at entrances, quiet areas, and key navigation points.</w:t>
      </w:r>
    </w:p>
    <w:p w:rsidR="43A97946" w:rsidP="156EB269" w:rsidRDefault="43A97946" w14:paraId="0547AE1F" w14:textId="60BB8A87">
      <w:pPr>
        <w:pStyle w:val="Normal"/>
        <w:rPr>
          <w:b w:val="0"/>
          <w:bCs w:val="0"/>
          <w:u w:val="none"/>
        </w:rPr>
      </w:pPr>
      <w:r w:rsidR="43A97946">
        <w:rPr>
          <w:b w:val="0"/>
          <w:bCs w:val="0"/>
          <w:u w:val="none"/>
        </w:rPr>
        <w:t xml:space="preserve">Technical staff from Swansea Arena will manage equipment such as lighting, microphones, and screens, following the Technical Standards for Places of Entertainment (2022). Exhibitor support roles are also included to help </w:t>
      </w:r>
      <w:r w:rsidR="43A97946">
        <w:rPr>
          <w:b w:val="0"/>
          <w:bCs w:val="0"/>
          <w:u w:val="none"/>
        </w:rPr>
        <w:t>organisations</w:t>
      </w:r>
      <w:r w:rsidR="43A97946">
        <w:rPr>
          <w:b w:val="0"/>
          <w:bCs w:val="0"/>
          <w:u w:val="none"/>
        </w:rPr>
        <w:t xml:space="preserve"> with setup and troubleshooting, reflecting AEO’s recommendations for exhibitor‑focused staffing (AEO, 2017).</w:t>
      </w:r>
    </w:p>
    <w:p w:rsidR="43A97946" w:rsidP="156EB269" w:rsidRDefault="43A97946" w14:paraId="3CB493B1" w14:textId="7AA71EA9">
      <w:pPr>
        <w:pStyle w:val="Normal"/>
        <w:rPr>
          <w:b w:val="0"/>
          <w:bCs w:val="0"/>
          <w:u w:val="none"/>
        </w:rPr>
      </w:pPr>
      <w:r w:rsidR="43A97946">
        <w:rPr>
          <w:b w:val="0"/>
          <w:bCs w:val="0"/>
          <w:u w:val="none"/>
        </w:rPr>
        <w:t>Overall, the staffing structure ensures the event is safe, accessible, and well‑supported, with clear responsibilities and trained personnel positioned throughout the venue.</w:t>
      </w:r>
    </w:p>
    <w:p w:rsidR="7C34B05B" w:rsidP="156EB269" w:rsidRDefault="7C34B05B" w14:paraId="1E335539" w14:textId="2E446C56">
      <w:pPr>
        <w:pStyle w:val="Heading1"/>
        <w:rPr>
          <w:b w:val="1"/>
          <w:bCs w:val="1"/>
          <w:sz w:val="24"/>
          <w:szCs w:val="24"/>
          <w:u w:val="single"/>
        </w:rPr>
      </w:pPr>
      <w:bookmarkStart w:name="_Toc1102423752" w:id="1638903795"/>
      <w:r w:rsidRPr="156EB269" w:rsidR="7C34B05B">
        <w:rPr>
          <w:sz w:val="24"/>
          <w:szCs w:val="24"/>
        </w:rPr>
        <w:t>Communication Plan</w:t>
      </w:r>
      <w:bookmarkEnd w:id="1638903795"/>
    </w:p>
    <w:p w:rsidR="48C7D08E" w:rsidP="156EB269" w:rsidRDefault="48C7D08E" w14:paraId="1C49D2CE" w14:textId="150C2FB0">
      <w:pPr>
        <w:pStyle w:val="Normal"/>
      </w:pPr>
      <w:r w:rsidR="48C7D08E">
        <w:rPr/>
        <w:t>The communication plan for ITT Future You Wales 2026 ensures that all stakeholders receive clear and timely information. Effective communication is essential for coordinating large events, and structured messaging helps teams stay aligned throughout the planning process (NCVO, 2024).</w:t>
      </w:r>
    </w:p>
    <w:p w:rsidR="156EB269" w:rsidP="156EB269" w:rsidRDefault="156EB269" w14:paraId="4DF4DCA1" w14:textId="070C5347">
      <w:pPr>
        <w:pStyle w:val="Normal"/>
      </w:pPr>
    </w:p>
    <w:p xmlns:wp14="http://schemas.microsoft.com/office/word/2010/wordml" w:rsidP="156EB269" wp14:paraId="5F6FF10C" wp14:textId="7D7CDC7F">
      <w:pPr>
        <w:pStyle w:val="Heading1"/>
        <w:rPr>
          <w:b w:val="1"/>
          <w:bCs w:val="1"/>
          <w:sz w:val="24"/>
          <w:szCs w:val="24"/>
        </w:rPr>
      </w:pPr>
      <w:bookmarkStart w:name="_Toc1568948603" w:id="1681066543"/>
      <w:r w:rsidRPr="156EB269" w:rsidR="6BDBD0B3">
        <w:rPr>
          <w:sz w:val="24"/>
          <w:szCs w:val="24"/>
        </w:rPr>
        <w:t>Stakeholder Communication</w:t>
      </w:r>
      <w:bookmarkEnd w:id="1681066543"/>
      <w:r w:rsidRPr="156EB269" w:rsidR="6BDBD0B3">
        <w:rPr>
          <w:sz w:val="24"/>
          <w:szCs w:val="24"/>
        </w:rPr>
        <w:t xml:space="preserve"> </w:t>
      </w:r>
    </w:p>
    <w:p w:rsidR="652E6DF0" w:rsidP="156EB269" w:rsidRDefault="652E6DF0" w14:paraId="5D499355" w14:textId="40F4E310">
      <w:pPr>
        <w:pStyle w:val="Heading1"/>
        <w:rPr>
          <w:b w:val="1"/>
          <w:bCs w:val="1"/>
          <w:sz w:val="24"/>
          <w:szCs w:val="24"/>
        </w:rPr>
      </w:pPr>
      <w:bookmarkStart w:name="_Toc1790865991" w:id="1467466801"/>
      <w:r w:rsidRPr="156EB269" w:rsidR="652E6DF0">
        <w:rPr>
          <w:sz w:val="24"/>
          <w:szCs w:val="24"/>
        </w:rPr>
        <w:t>Sponsors</w:t>
      </w:r>
      <w:bookmarkEnd w:id="1467466801"/>
    </w:p>
    <w:p w:rsidR="3B49BD0A" w:rsidP="156EB269" w:rsidRDefault="3B49BD0A" w14:paraId="4975BB43" w14:textId="683553CE">
      <w:pPr>
        <w:pStyle w:val="Normal"/>
        <w:rPr>
          <w:b w:val="0"/>
          <w:bCs w:val="0"/>
        </w:rPr>
      </w:pPr>
      <w:r w:rsidR="3B49BD0A">
        <w:rPr>
          <w:b w:val="0"/>
          <w:bCs w:val="0"/>
        </w:rPr>
        <w:t>Effective communication with stakeholders has been central to organising ITT Future You Wales 2026. Clear, consistent messaging helps maintain strong relationships and ensures that all partners understand their roles, expectations, and contributions. This approach reflects guidance from NCVO (2024), which highlights the importance of structured communication when coordinating multiple organisations.</w:t>
      </w:r>
    </w:p>
    <w:p w:rsidR="3B49BD0A" w:rsidP="156EB269" w:rsidRDefault="3B49BD0A" w14:paraId="547E43E5" w14:textId="25AB6204">
      <w:pPr>
        <w:pStyle w:val="Normal"/>
      </w:pPr>
      <w:r w:rsidR="3B49BD0A">
        <w:rPr>
          <w:b w:val="0"/>
          <w:bCs w:val="0"/>
        </w:rPr>
        <w:t>Schools received early information packs containing schedules, exhibitor lists, and travel details, following Careers Wales (2026), which emphasises the need for accessible and well‑structured information to support learner participation. Exhibitors were kept updated through regular emails outlining setup times, stand requirements, and safety procedures, aligning with AEO (2017), which stresses the importance of timely and practical communication for exhibitor coordination.</w:t>
      </w:r>
    </w:p>
    <w:p w:rsidR="3B49BD0A" w:rsidP="156EB269" w:rsidRDefault="3B49BD0A" w14:paraId="545F427A" w14:textId="6A135722">
      <w:pPr>
        <w:pStyle w:val="Normal"/>
      </w:pPr>
      <w:r w:rsidR="3B49BD0A">
        <w:rPr>
          <w:b w:val="0"/>
          <w:bCs w:val="0"/>
        </w:rPr>
        <w:t>Sponsors were engaged through tailored communication that highlighted the value and visibility they would receive from supporting the event. Sponsorship guidance from the Sponsorship Collective (Baylis, 2024) emphasises the importance of clear proposals, transparent expectations, and ongoing updates to maintain strong partnerships. This shaped how the team communicated with organisations such as Radnor Hills, Castell Howell, Pizza Pond Express, and Tesco, ensuring they were informed about branding opportunities, event logistics, and their role in supporting young people’s career exploration.</w:t>
      </w:r>
    </w:p>
    <w:p w:rsidR="3B49BD0A" w:rsidP="156EB269" w:rsidRDefault="3B49BD0A" w14:paraId="19BF78E1" w14:textId="6D9A8A0D">
      <w:pPr>
        <w:pStyle w:val="Normal"/>
      </w:pPr>
      <w:r w:rsidR="3B49BD0A">
        <w:rPr>
          <w:b w:val="0"/>
          <w:bCs w:val="0"/>
        </w:rPr>
        <w:t>Accessibility considerations were built into all communication, following recommendations from Disability Rights UK (2022) and Attitude is Everything (2025), ensuring that information was readable, inclusive, and suitable for attendees with additional needs.</w:t>
      </w:r>
    </w:p>
    <w:p w:rsidR="3B49BD0A" w:rsidP="156EB269" w:rsidRDefault="3B49BD0A" w14:paraId="2D729B15" w14:textId="627BD0BB">
      <w:pPr>
        <w:pStyle w:val="Normal"/>
      </w:pPr>
      <w:r w:rsidR="3B49BD0A">
        <w:rPr>
          <w:b w:val="0"/>
          <w:bCs w:val="0"/>
        </w:rPr>
        <w:t>Overall, the communication approach strengthened relationships with schools, exhibitors, and sponsors, ensuring that all stakeholders were informed, valued, and fully prepared for their involvement in the event.</w:t>
      </w:r>
    </w:p>
    <w:p w:rsidR="37FEC80E" w:rsidP="156EB269" w:rsidRDefault="37FEC80E" w14:paraId="271D527B" w14:textId="1C1A1F8D">
      <w:pPr>
        <w:pStyle w:val="Normal"/>
        <w:rPr>
          <w:b w:val="1"/>
          <w:bCs w:val="1"/>
          <w:u w:val="single"/>
        </w:rPr>
      </w:pPr>
      <w:bookmarkStart w:name="_Toc188442177" w:id="2041028484"/>
      <w:r w:rsidRPr="156EB269" w:rsidR="37FEC80E">
        <w:rPr>
          <w:rStyle w:val="Heading1Char"/>
          <w:sz w:val="24"/>
          <w:szCs w:val="24"/>
        </w:rPr>
        <w:t>Vendors / Exhibitors</w:t>
      </w:r>
      <w:bookmarkEnd w:id="2041028484"/>
      <w:r w:rsidRPr="156EB269" w:rsidR="37FEC80E">
        <w:rPr>
          <w:b w:val="1"/>
          <w:bCs w:val="1"/>
        </w:rPr>
        <w:t xml:space="preserve"> (In </w:t>
      </w:r>
      <w:r w:rsidRPr="156EB269" w:rsidR="17D779D4">
        <w:rPr>
          <w:b w:val="1"/>
          <w:bCs w:val="1"/>
          <w:u w:val="none"/>
        </w:rPr>
        <w:t xml:space="preserve">Appendix </w:t>
      </w:r>
      <w:r w:rsidRPr="156EB269" w:rsidR="7C24E400">
        <w:rPr>
          <w:b w:val="1"/>
          <w:bCs w:val="1"/>
          <w:u w:val="none"/>
        </w:rPr>
        <w:t>F</w:t>
      </w:r>
      <w:r w:rsidRPr="156EB269" w:rsidR="17D779D4">
        <w:rPr>
          <w:b w:val="1"/>
          <w:bCs w:val="1"/>
          <w:u w:val="none"/>
        </w:rPr>
        <w:t>)</w:t>
      </w:r>
    </w:p>
    <w:p w:rsidR="72E336E7" w:rsidP="156EB269" w:rsidRDefault="72E336E7" w14:paraId="615E4F44" w14:textId="7A6BBD5E">
      <w:pPr>
        <w:pStyle w:val="Normal"/>
      </w:pPr>
      <w:r w:rsidR="72E336E7">
        <w:rPr>
          <w:b w:val="0"/>
          <w:bCs w:val="0"/>
        </w:rPr>
        <w:t>Vendors and exhibitors are central to ITT Future You Wales 2026, providing young people with direct access to universities, colleges, employers, and training providers. Effective exhibitor coordination requires clear instructions, early communication, and practical support, which aligns with industry expectations for exhibitor management (AEO, 2017). Exhibitors received detailed guidance on arrival times, stand layouts, equipment needs, and safety procedures to ensure a smooth setup and consistent presentation across the venue. This structured approach supports high‑quality engagement and helps create a professional environment for students exploring future pathways.</w:t>
      </w:r>
    </w:p>
    <w:p w:rsidR="72E336E7" w:rsidP="156EB269" w:rsidRDefault="72E336E7" w14:paraId="2C73AFB7" w14:textId="72AA4193">
      <w:pPr>
        <w:pStyle w:val="Normal"/>
      </w:pPr>
      <w:r w:rsidR="72E336E7">
        <w:rPr>
          <w:b w:val="0"/>
          <w:bCs w:val="0"/>
        </w:rPr>
        <w:t xml:space="preserve"> </w:t>
      </w:r>
    </w:p>
    <w:p w:rsidR="72E336E7" w:rsidP="156EB269" w:rsidRDefault="72E336E7" w14:paraId="31B6B999" w14:textId="1358C547">
      <w:pPr>
        <w:pStyle w:val="Heading1"/>
        <w:rPr>
          <w:sz w:val="24"/>
          <w:szCs w:val="24"/>
        </w:rPr>
      </w:pPr>
      <w:bookmarkStart w:name="_Toc2131498295" w:id="2128080908"/>
      <w:r w:rsidRPr="156EB269" w:rsidR="72E336E7">
        <w:rPr>
          <w:sz w:val="24"/>
          <w:szCs w:val="24"/>
        </w:rPr>
        <w:t>Attendees</w:t>
      </w:r>
      <w:bookmarkEnd w:id="2128080908"/>
    </w:p>
    <w:p w:rsidR="72E336E7" w:rsidP="156EB269" w:rsidRDefault="72E336E7" w14:paraId="14910FE1" w14:textId="1AE0F9AC">
      <w:pPr>
        <w:pStyle w:val="Normal"/>
      </w:pPr>
      <w:r w:rsidR="72E336E7">
        <w:rPr>
          <w:b w:val="0"/>
          <w:bCs w:val="0"/>
        </w:rPr>
        <w:t>Attendees include school groups from across Wales, with the event designed to support learners at different stages of their career exploration. Careers Wales (2026) highlights the importance of providing young people with meaningful encounters and accessible information, which shaped the event’s layout, signage, and schedule. Accessibility guidance from Disability Rights UK (2022) and Attitude is Everything (2025) informed decisions around navigation, quiet spaces, and support for mobility, sensory, or neurodiverse needs. Research shows that varied engagement opportunities—such as exhibitor interaction and structured talks—help build confidence and aspiration among young people (Barnes &amp; Wright, 2023).</w:t>
      </w:r>
    </w:p>
    <w:p w:rsidR="72E336E7" w:rsidP="156EB269" w:rsidRDefault="72E336E7" w14:paraId="1E426CB4" w14:textId="0C60E06B">
      <w:pPr>
        <w:pStyle w:val="Heading1"/>
        <w:rPr>
          <w:sz w:val="24"/>
          <w:szCs w:val="24"/>
        </w:rPr>
      </w:pPr>
      <w:r w:rsidRPr="156EB269" w:rsidR="72E336E7">
        <w:rPr>
          <w:sz w:val="24"/>
          <w:szCs w:val="24"/>
        </w:rPr>
        <w:t xml:space="preserve"> </w:t>
      </w:r>
    </w:p>
    <w:p w:rsidR="72E336E7" w:rsidP="156EB269" w:rsidRDefault="72E336E7" w14:paraId="69BC3CEB" w14:textId="687DCC89">
      <w:pPr>
        <w:pStyle w:val="Heading1"/>
        <w:rPr>
          <w:sz w:val="24"/>
          <w:szCs w:val="24"/>
        </w:rPr>
      </w:pPr>
      <w:bookmarkStart w:name="_Toc1746734384" w:id="1295316505"/>
      <w:r w:rsidRPr="156EB269" w:rsidR="72E336E7">
        <w:rPr>
          <w:sz w:val="24"/>
          <w:szCs w:val="24"/>
        </w:rPr>
        <w:t>Communication Records</w:t>
      </w:r>
      <w:bookmarkEnd w:id="1295316505"/>
    </w:p>
    <w:p w:rsidR="72E336E7" w:rsidP="156EB269" w:rsidRDefault="72E336E7" w14:paraId="1F3EC89D" w14:textId="59827D07">
      <w:pPr>
        <w:pStyle w:val="Normal"/>
      </w:pPr>
      <w:r w:rsidR="72E336E7">
        <w:rPr>
          <w:b w:val="0"/>
          <w:bCs w:val="0"/>
        </w:rPr>
        <w:t>Communication records were maintained throughout the planning process to ensure consistency, transparency, and accountability. NCVO (2024) emphasises the importance of clear communication channels when coordinating volunteers, partners, and external organisations. Emails, meeting notes, exhibitor updates, and school information packs were organised to track decisions and ensure all stakeholders received accurate information. Sponsorship communication followed best‑practice guidance, focusing on clarity, value, and ongoing updates to maintain strong relationships with supporting organisations (Baylis, 2024). Keeping structured records also helped the team respond efficiently to queries and monitor progress across planning stages.</w:t>
      </w:r>
    </w:p>
    <w:p w:rsidR="72E336E7" w:rsidP="156EB269" w:rsidRDefault="72E336E7" w14:paraId="1D807525" w14:textId="3D6FB579">
      <w:pPr>
        <w:pStyle w:val="Heading1"/>
        <w:rPr>
          <w:sz w:val="24"/>
          <w:szCs w:val="24"/>
        </w:rPr>
      </w:pPr>
      <w:r w:rsidRPr="156EB269" w:rsidR="72E336E7">
        <w:rPr>
          <w:sz w:val="24"/>
          <w:szCs w:val="24"/>
        </w:rPr>
        <w:t xml:space="preserve"> </w:t>
      </w:r>
    </w:p>
    <w:p w:rsidR="72E336E7" w:rsidP="156EB269" w:rsidRDefault="72E336E7" w14:paraId="3A57C601" w14:textId="6A0BE7EB">
      <w:pPr>
        <w:pStyle w:val="Heading1"/>
        <w:rPr>
          <w:sz w:val="24"/>
          <w:szCs w:val="24"/>
        </w:rPr>
      </w:pPr>
      <w:bookmarkStart w:name="_Toc532039256" w:id="779402953"/>
      <w:r w:rsidRPr="156EB269" w:rsidR="72E336E7">
        <w:rPr>
          <w:sz w:val="24"/>
          <w:szCs w:val="24"/>
        </w:rPr>
        <w:t>Event Execution</w:t>
      </w:r>
      <w:bookmarkEnd w:id="779402953"/>
    </w:p>
    <w:p w:rsidR="72E336E7" w:rsidP="156EB269" w:rsidRDefault="72E336E7" w14:paraId="6A1B8248" w14:textId="6AF88C7B">
      <w:pPr>
        <w:pStyle w:val="Normal"/>
      </w:pPr>
      <w:r w:rsidR="72E336E7">
        <w:rPr>
          <w:b w:val="0"/>
          <w:bCs w:val="0"/>
        </w:rPr>
        <w:t xml:space="preserve">Event execution on the day follows a structured operational plan designed to ensure safety, accessibility, and a positive experience for all attendees. The Purple Guide highlights the </w:t>
      </w:r>
      <w:r w:rsidR="72E336E7">
        <w:rPr>
          <w:b w:val="0"/>
          <w:bCs w:val="0"/>
        </w:rPr>
        <w:t xml:space="preserve">importance of clear crowd flow, visible staffing, and well‑managed transitions between activities </w:t>
      </w:r>
      <w:r w:rsidR="72E336E7">
        <w:rPr>
          <w:b w:val="0"/>
          <w:bCs w:val="0"/>
        </w:rPr>
        <w:t>(admin, 2026a), which shaped volunteer placement, signage, and entry/exit routes. Technical sta</w:t>
      </w:r>
      <w:r w:rsidRPr="156EB269" w:rsidR="72E336E7">
        <w:rPr>
          <w:b w:val="0"/>
          <w:bCs w:val="0"/>
          <w:color w:val="auto"/>
        </w:rPr>
        <w:t xml:space="preserve">ff from Swansea Arena will manage lighting, audio, and equipment in line with the Technical Standards for Places of Entertainment (2022), </w:t>
      </w:r>
      <w:r w:rsidRPr="156EB269" w:rsidR="72E336E7">
        <w:rPr>
          <w:b w:val="0"/>
          <w:bCs w:val="0"/>
          <w:color w:val="auto"/>
        </w:rPr>
        <w:t>reducing the risk of technical issues during presentations.</w:t>
      </w:r>
      <w:r w:rsidRPr="156EB269" w:rsidR="72E336E7">
        <w:rPr>
          <w:b w:val="0"/>
          <w:bCs w:val="0"/>
          <w:color w:val="auto"/>
        </w:rPr>
        <w:t xml:space="preserve"> Staff and volunteers will support</w:t>
      </w:r>
      <w:r w:rsidRPr="156EB269" w:rsidR="72E336E7">
        <w:rPr>
          <w:b w:val="0"/>
          <w:bCs w:val="0"/>
          <w:color w:val="auto"/>
        </w:rPr>
        <w:t xml:space="preserve"> registr</w:t>
      </w:r>
      <w:r w:rsidR="72E336E7">
        <w:rPr>
          <w:b w:val="0"/>
          <w:bCs w:val="0"/>
        </w:rPr>
        <w:t>ation, navigation, and accessibility needs, reflecting best practice in event operations (British Safe</w:t>
      </w:r>
      <w:r w:rsidR="72E336E7">
        <w:rPr>
          <w:b w:val="0"/>
          <w:bCs w:val="0"/>
        </w:rPr>
        <w:t>ty Counc</w:t>
      </w:r>
      <w:r w:rsidR="72E336E7">
        <w:rPr>
          <w:b w:val="0"/>
          <w:bCs w:val="0"/>
        </w:rPr>
        <w:t>il, 2025). Welfare areas and scheduled breaks align with sustainability and attendee‑care recommendations from the Events Industry Council (2026), ensuring a comfortable and supportive environment throughout the day.</w:t>
      </w:r>
    </w:p>
    <w:p w:rsidR="156EB269" w:rsidP="156EB269" w:rsidRDefault="156EB269" w14:paraId="24272FB4" w14:textId="0510FE9C">
      <w:pPr>
        <w:pStyle w:val="Heading1"/>
        <w:rPr>
          <w:sz w:val="24"/>
          <w:szCs w:val="24"/>
        </w:rPr>
      </w:pPr>
    </w:p>
    <w:p w:rsidR="02FC048D" w:rsidP="156EB269" w:rsidRDefault="02FC048D" w14:paraId="32FA476F" w14:textId="0F7FF85C">
      <w:pPr>
        <w:pStyle w:val="Heading1"/>
        <w:rPr>
          <w:b w:val="1"/>
          <w:bCs w:val="1"/>
          <w:sz w:val="24"/>
          <w:szCs w:val="24"/>
          <w:u w:val="single"/>
        </w:rPr>
      </w:pPr>
      <w:bookmarkStart w:name="_Toc23395294" w:id="1870464956"/>
      <w:r w:rsidRPr="156EB269" w:rsidR="02FC048D">
        <w:rPr>
          <w:sz w:val="24"/>
          <w:szCs w:val="24"/>
        </w:rPr>
        <w:t>Pre‑Event Conclusion</w:t>
      </w:r>
      <w:bookmarkEnd w:id="1870464956"/>
    </w:p>
    <w:p w:rsidR="35C018EA" w:rsidP="156EB269" w:rsidRDefault="35C018EA" w14:paraId="772B8EDE" w14:textId="40D70276">
      <w:pPr>
        <w:pStyle w:val="Normal"/>
      </w:pPr>
      <w:r w:rsidR="35C018EA">
        <w:rPr/>
        <w:t>The pre‑event planning for ITT Future You Wales 2026 has created a strong foundation for a safe, accessible, and engaging experience for all attendees. Every stage of preparation has been shaped by industry standards, youth‑engagement research, and clear communication with stakeholders. The planning process followed recognised guidance on event safety, risk management, and operational structure, ensuring that the event meets professional expectations for large‑scale delivery (admin, 2026a; British Safety Council, 2025; Health and Safety Executive, 2022). This has helped the team develop a well‑organised approach to crowd flow, technical setup, and emergency procedures.</w:t>
      </w:r>
    </w:p>
    <w:p w:rsidR="35C018EA" w:rsidP="156EB269" w:rsidRDefault="35C018EA" w14:paraId="59BC598B" w14:textId="672D6894">
      <w:pPr>
        <w:pStyle w:val="Normal"/>
      </w:pPr>
      <w:r w:rsidR="35C018EA">
        <w:rPr/>
        <w:t>A major strength of the pre‑event phase has been the focus on accessibility and inclusion. Recommendations from Disability Rights UK (2022) and Attitude is Everything (2025) shaped decisions around venue layout, signage, communication formats, and attendee support, ensuring that the event is welcoming to learners with mobility, sensory, or neurodiverse needs. This aligns with wider youth‑participation principles that emphasise the importance of creating environments where young people feel supported and able to engage confidently (National Youth Agency, 2025; Young Voices Heard, 2026).</w:t>
      </w:r>
    </w:p>
    <w:p w:rsidR="35C018EA" w:rsidP="156EB269" w:rsidRDefault="35C018EA" w14:paraId="251A5FF3" w14:textId="3752F822">
      <w:pPr>
        <w:pStyle w:val="Normal"/>
      </w:pPr>
      <w:r w:rsidR="35C018EA">
        <w:rPr/>
        <w:t>Marketing and communication have also been carefully planned to maximise engagement. Research into youth digital behaviour and social media trends informed the promotional strategy, helping the team reach learners through platforms they use most (Flamingo Marketing Strategies, 2022; Hays, 2025; Presly, 2025). Clear communication with schools and exhibitors ensured that all stakeholders received timely, structured information, reflecting best practice in event coordination (NCVO, 2024; AEO, 2017). Sponsors were kept informed through value‑focused communication, following guidance on building strong partnership relationships (Baylis, 2024).</w:t>
      </w:r>
    </w:p>
    <w:p w:rsidR="35C018EA" w:rsidP="156EB269" w:rsidRDefault="35C018EA" w14:paraId="60465E1B" w14:textId="01DEC7A2">
      <w:pPr>
        <w:pStyle w:val="Normal"/>
      </w:pPr>
      <w:r w:rsidR="35C018EA">
        <w:rPr/>
        <w:t>Financial planning and sustainability were integrated throughout the pre‑event phase. Budgeting decisions were guided by professional event‑management resources (Crown Institute London, 2026; Institute Event Management, 2026), while sustainability expectations encouraged responsible resource use and reduced waste (Events Industry Council, 2026). This ensured that the event remained cost‑effective without compromising quality or environmental responsibility.</w:t>
      </w:r>
    </w:p>
    <w:p w:rsidR="35C018EA" w:rsidP="156EB269" w:rsidRDefault="35C018EA" w14:paraId="73ACDD4B" w14:textId="7CD3F99C">
      <w:pPr>
        <w:pStyle w:val="Normal"/>
      </w:pPr>
      <w:r w:rsidR="35C018EA">
        <w:rPr/>
        <w:t>Overall, the pre‑event planning has been thorough, evidence‑based, and aligned with industry standards. The combination of structured communication, strong stakeholder relationships, accessibility planning, and detailed operational preparation positions ITT Future You Wales 2026 for a successful and impactful delivery. The event is now well‑placed to provide meaningful experiences that support young people’s career exploration and future aspirations.</w:t>
      </w:r>
    </w:p>
    <w:p w:rsidR="156EB269" w:rsidP="156EB269" w:rsidRDefault="156EB269" w14:paraId="1CFB592D" w14:textId="607730D5">
      <w:pPr>
        <w:pStyle w:val="Normal"/>
      </w:pPr>
    </w:p>
    <w:p w:rsidR="156EB269" w:rsidP="156EB269" w:rsidRDefault="156EB269" w14:paraId="0EC2F656" w14:textId="37BC7717">
      <w:pPr>
        <w:pStyle w:val="Normal"/>
      </w:pPr>
    </w:p>
    <w:p w:rsidR="156EB269" w:rsidP="156EB269" w:rsidRDefault="156EB269" w14:paraId="38BFEB7D" w14:textId="6CF23FA9">
      <w:pPr>
        <w:pStyle w:val="Normal"/>
      </w:pPr>
    </w:p>
    <w:p w:rsidR="156EB269" w:rsidP="156EB269" w:rsidRDefault="156EB269" w14:paraId="46A0DCE9" w14:textId="2E87DA9A">
      <w:pPr>
        <w:pStyle w:val="Normal"/>
      </w:pPr>
    </w:p>
    <w:p w:rsidR="156EB269" w:rsidP="156EB269" w:rsidRDefault="156EB269" w14:paraId="2AAF99DB" w14:textId="0CD9C19D">
      <w:pPr>
        <w:pStyle w:val="Normal"/>
      </w:pPr>
    </w:p>
    <w:p w:rsidR="156EB269" w:rsidP="156EB269" w:rsidRDefault="156EB269" w14:paraId="4E4D3620" w14:textId="3EA9F7B1">
      <w:pPr>
        <w:pStyle w:val="Normal"/>
      </w:pPr>
    </w:p>
    <w:p w:rsidR="156EB269" w:rsidP="156EB269" w:rsidRDefault="156EB269" w14:paraId="5C2BBDDE" w14:textId="4A88B622">
      <w:pPr>
        <w:pStyle w:val="Normal"/>
      </w:pPr>
    </w:p>
    <w:p w:rsidR="156EB269" w:rsidP="156EB269" w:rsidRDefault="156EB269" w14:paraId="60ED7042" w14:textId="2EF6EC93">
      <w:pPr>
        <w:pStyle w:val="Normal"/>
      </w:pPr>
    </w:p>
    <w:p w:rsidR="156EB269" w:rsidP="156EB269" w:rsidRDefault="156EB269" w14:paraId="2655AC7C" w14:textId="44629B45">
      <w:pPr>
        <w:pStyle w:val="Normal"/>
      </w:pPr>
    </w:p>
    <w:p w:rsidR="156EB269" w:rsidP="156EB269" w:rsidRDefault="156EB269" w14:paraId="25A5882C" w14:textId="3E3EA7D4">
      <w:pPr>
        <w:pStyle w:val="Normal"/>
      </w:pPr>
    </w:p>
    <w:p w:rsidR="156EB269" w:rsidP="156EB269" w:rsidRDefault="156EB269" w14:paraId="25B41E65" w14:textId="57300B95">
      <w:pPr>
        <w:pStyle w:val="Normal"/>
      </w:pPr>
    </w:p>
    <w:p w:rsidR="156EB269" w:rsidP="156EB269" w:rsidRDefault="156EB269" w14:paraId="23EAF4E6" w14:textId="19969885">
      <w:pPr>
        <w:pStyle w:val="Normal"/>
      </w:pPr>
    </w:p>
    <w:p w:rsidR="156EB269" w:rsidP="156EB269" w:rsidRDefault="156EB269" w14:paraId="2E40AD99" w14:textId="545D3460">
      <w:pPr>
        <w:pStyle w:val="Normal"/>
      </w:pPr>
    </w:p>
    <w:p w:rsidR="156EB269" w:rsidP="156EB269" w:rsidRDefault="156EB269" w14:paraId="6F77835E" w14:textId="24DAC289">
      <w:pPr>
        <w:pStyle w:val="Normal"/>
      </w:pPr>
    </w:p>
    <w:p w:rsidR="156EB269" w:rsidP="156EB269" w:rsidRDefault="156EB269" w14:paraId="44A306BA" w14:textId="104BA508">
      <w:pPr>
        <w:pStyle w:val="Normal"/>
      </w:pPr>
    </w:p>
    <w:p w:rsidR="156EB269" w:rsidP="156EB269" w:rsidRDefault="156EB269" w14:paraId="14472DD5" w14:textId="1214D152">
      <w:pPr>
        <w:pStyle w:val="Normal"/>
        <w:rPr>
          <w:b w:val="1"/>
          <w:bCs w:val="1"/>
        </w:rPr>
      </w:pPr>
    </w:p>
    <w:p w:rsidR="7BE0AB71" w:rsidP="156EB269" w:rsidRDefault="7BE0AB71" w14:paraId="67546F83" w14:textId="0F5B57C8">
      <w:pPr>
        <w:pStyle w:val="Normal"/>
        <w:rPr>
          <w:b w:val="1"/>
          <w:bCs w:val="1"/>
          <w:u w:val="single"/>
        </w:rPr>
      </w:pPr>
      <w:r w:rsidRPr="156EB269" w:rsidR="7BE0AB71">
        <w:rPr>
          <w:b w:val="1"/>
          <w:bCs w:val="1"/>
          <w:u w:val="single"/>
        </w:rPr>
        <w:t xml:space="preserve">Appendix </w:t>
      </w:r>
      <w:r w:rsidRPr="156EB269" w:rsidR="1F6772F1">
        <w:rPr>
          <w:b w:val="1"/>
          <w:bCs w:val="1"/>
          <w:u w:val="single"/>
        </w:rPr>
        <w:t>A</w:t>
      </w:r>
    </w:p>
    <w:p w:rsidR="32736663" w:rsidP="156EB269" w:rsidRDefault="32736663" w14:paraId="1833EDCF" w14:textId="1032DD89">
      <w:pPr>
        <w:spacing w:before="240" w:beforeAutospacing="off" w:after="240" w:afterAutospacing="off"/>
        <w:rPr>
          <w:rFonts w:ascii="Aptos Display" w:hAnsi="Aptos Display" w:eastAsia="Aptos Display" w:cs="Aptos Display"/>
          <w:b w:val="1"/>
          <w:bCs w:val="1"/>
          <w:noProof w:val="0"/>
          <w:sz w:val="24"/>
          <w:szCs w:val="24"/>
          <w:lang w:val="en-US"/>
        </w:rPr>
      </w:pPr>
      <w:r w:rsidRPr="156EB269" w:rsidR="32736663">
        <w:rPr>
          <w:rFonts w:ascii="Aptos Display" w:hAnsi="Aptos Display" w:eastAsia="Aptos Display" w:cs="Aptos Display"/>
          <w:b w:val="0"/>
          <w:bCs w:val="0"/>
          <w:noProof w:val="0"/>
          <w:sz w:val="24"/>
          <w:szCs w:val="24"/>
          <w:lang w:val="en-US"/>
        </w:rPr>
        <w:t>Event Planning Timeline</w:t>
      </w:r>
      <w:r w:rsidRPr="156EB269" w:rsidR="32736663">
        <w:rPr>
          <w:rFonts w:ascii="Aptos Display" w:hAnsi="Aptos Display" w:eastAsia="Aptos Display" w:cs="Aptos Display"/>
          <w:b w:val="0"/>
          <w:bCs w:val="0"/>
          <w:noProof w:val="0"/>
          <w:sz w:val="24"/>
          <w:szCs w:val="24"/>
          <w:lang w:val="en-US"/>
        </w:rPr>
        <w:t xml:space="preserve">            </w:t>
      </w:r>
      <w:r w:rsidRPr="156EB269" w:rsidR="32736663">
        <w:rPr>
          <w:rFonts w:ascii="Aptos Display" w:hAnsi="Aptos Display" w:eastAsia="Aptos Display" w:cs="Aptos Display"/>
          <w:b w:val="1"/>
          <w:bCs w:val="1"/>
          <w:noProof w:val="0"/>
          <w:sz w:val="24"/>
          <w:szCs w:val="24"/>
          <w:lang w:val="en-US"/>
        </w:rPr>
        <w:t xml:space="preserve">                         </w:t>
      </w:r>
    </w:p>
    <w:tbl>
      <w:tblPr>
        <w:tblStyle w:val="TableGrid"/>
        <w:tblW w:w="0" w:type="auto"/>
        <w:tblLook w:val="06A0" w:firstRow="1" w:lastRow="0" w:firstColumn="1" w:lastColumn="0" w:noHBand="1" w:noVBand="1"/>
      </w:tblPr>
      <w:tblGrid>
        <w:gridCol w:w="2445"/>
        <w:gridCol w:w="1485"/>
        <w:gridCol w:w="1500"/>
        <w:gridCol w:w="2430"/>
        <w:gridCol w:w="1500"/>
      </w:tblGrid>
      <w:tr w:rsidR="156EB269" w:rsidTr="156EB269" w14:paraId="0F375BD5">
        <w:trPr>
          <w:trHeight w:val="300"/>
        </w:trPr>
        <w:tc>
          <w:tcPr>
            <w:tcW w:w="2445" w:type="dxa"/>
            <w:tcMar/>
          </w:tcPr>
          <w:p w:rsidR="156EB269" w:rsidP="156EB269" w:rsidRDefault="156EB269" w14:paraId="12FCC5B9" w14:textId="2241554F">
            <w:pPr>
              <w:pStyle w:val="Normal"/>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Task </w:t>
            </w:r>
          </w:p>
        </w:tc>
        <w:tc>
          <w:tcPr>
            <w:tcW w:w="1485" w:type="dxa"/>
            <w:tcMar/>
          </w:tcPr>
          <w:p w:rsidR="156EB269" w:rsidP="156EB269" w:rsidRDefault="156EB269" w14:paraId="252CFFD2" w14:textId="7DCEF5E3">
            <w:pPr>
              <w:pStyle w:val="Normal"/>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Start Date</w:t>
            </w:r>
          </w:p>
        </w:tc>
        <w:tc>
          <w:tcPr>
            <w:tcW w:w="1500" w:type="dxa"/>
            <w:tcMar/>
          </w:tcPr>
          <w:p w:rsidR="156EB269" w:rsidP="156EB269" w:rsidRDefault="156EB269" w14:paraId="5A570A35" w14:textId="48EFD91B">
            <w:pPr>
              <w:pStyle w:val="Normal"/>
              <w:jc w:val="center"/>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pPr>
            <w:r w:rsidRPr="156EB269" w:rsidR="156EB269">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 xml:space="preserve">End Date </w:t>
            </w:r>
          </w:p>
        </w:tc>
        <w:tc>
          <w:tcPr>
            <w:tcW w:w="2430" w:type="dxa"/>
            <w:tcMar/>
          </w:tcPr>
          <w:p w:rsidR="156EB269" w:rsidP="156EB269" w:rsidRDefault="156EB269" w14:paraId="646A2D40" w14:textId="572BA438">
            <w:pPr>
              <w:pStyle w:val="Normal"/>
              <w:jc w:val="center"/>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pPr>
            <w:r w:rsidRPr="156EB269" w:rsidR="156EB269">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Responsible Person</w:t>
            </w:r>
          </w:p>
        </w:tc>
        <w:tc>
          <w:tcPr>
            <w:tcW w:w="1500" w:type="dxa"/>
            <w:tcMar/>
          </w:tcPr>
          <w:p w:rsidR="156EB269" w:rsidP="156EB269" w:rsidRDefault="156EB269" w14:paraId="6E64C4D9" w14:textId="342DB81F">
            <w:pPr>
              <w:pStyle w:val="Normal"/>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Status </w:t>
            </w:r>
          </w:p>
        </w:tc>
      </w:tr>
      <w:tr w:rsidR="156EB269" w:rsidTr="156EB269" w14:paraId="78AD7440">
        <w:trPr>
          <w:trHeight w:val="300"/>
        </w:trPr>
        <w:tc>
          <w:tcPr>
            <w:tcW w:w="2445" w:type="dxa"/>
            <w:tcMar/>
          </w:tcPr>
          <w:p w:rsidR="156EB269" w:rsidP="156EB269" w:rsidRDefault="156EB269" w14:paraId="791BFC23" w14:textId="467B449A">
            <w:pPr>
              <w:pStyle w:val="Normal"/>
              <w:rPr>
                <w:rFonts w:ascii="Aptos Display" w:hAnsi="Aptos Display" w:eastAsia="Aptos Display" w:cs="Aptos Display" w:asciiTheme="minorAscii" w:hAnsiTheme="minorAscii" w:eastAsiaTheme="minorAscii" w:cstheme="minorAscii"/>
                <w:b w:val="0"/>
                <w:bCs w:val="0"/>
                <w:noProof w:val="0"/>
                <w:sz w:val="24"/>
                <w:szCs w:val="24"/>
                <w:lang w:val="en-US"/>
              </w:rPr>
            </w:pP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Initial outreach to exhibitors &amp; sponsors</w:t>
            </w:r>
          </w:p>
        </w:tc>
        <w:tc>
          <w:tcPr>
            <w:tcW w:w="1485" w:type="dxa"/>
            <w:tcMar/>
          </w:tcPr>
          <w:p w:rsidR="156EB269" w:rsidP="156EB269" w:rsidRDefault="156EB269" w14:paraId="3456147A" w14:textId="059CD4C4">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01/12/2025</w:t>
            </w:r>
          </w:p>
        </w:tc>
        <w:tc>
          <w:tcPr>
            <w:tcW w:w="1500" w:type="dxa"/>
            <w:tcMar/>
          </w:tcPr>
          <w:p w:rsidR="156EB269" w:rsidP="156EB269" w:rsidRDefault="156EB269" w14:paraId="7DD1C675" w14:textId="66D03E6A">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1</w:t>
            </w:r>
            <w:r w:rsidRPr="156EB269" w:rsidR="156EB269">
              <w:rPr>
                <w:rFonts w:ascii="Aptos Display" w:hAnsi="Aptos Display" w:eastAsia="Aptos Display" w:cs="Aptos Display"/>
                <w:b w:val="0"/>
                <w:bCs w:val="0"/>
                <w:noProof w:val="0"/>
                <w:sz w:val="24"/>
                <w:szCs w:val="24"/>
                <w:lang w:val="en-US"/>
              </w:rPr>
              <w:t>5</w:t>
            </w:r>
            <w:r w:rsidRPr="156EB269" w:rsidR="156EB269">
              <w:rPr>
                <w:rFonts w:ascii="Aptos Display" w:hAnsi="Aptos Display" w:eastAsia="Aptos Display" w:cs="Aptos Display"/>
                <w:b w:val="0"/>
                <w:bCs w:val="0"/>
                <w:noProof w:val="0"/>
                <w:sz w:val="24"/>
                <w:szCs w:val="24"/>
                <w:lang w:val="en-US"/>
              </w:rPr>
              <w:t>/12/2025</w:t>
            </w:r>
          </w:p>
        </w:tc>
        <w:tc>
          <w:tcPr>
            <w:tcW w:w="2430" w:type="dxa"/>
            <w:tcMar/>
          </w:tcPr>
          <w:p w:rsidR="156EB269" w:rsidP="156EB269" w:rsidRDefault="156EB269" w14:paraId="72B64A14" w14:textId="4DF347CC">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Exhibition &amp; Sponsorship Team</w:t>
            </w:r>
          </w:p>
        </w:tc>
        <w:tc>
          <w:tcPr>
            <w:tcW w:w="1500" w:type="dxa"/>
            <w:tcMar/>
          </w:tcPr>
          <w:p w:rsidR="156EB269" w:rsidP="156EB269" w:rsidRDefault="156EB269" w14:paraId="550FA812" w14:textId="7A4D2F5F">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Completed</w:t>
            </w:r>
          </w:p>
        </w:tc>
      </w:tr>
      <w:tr w:rsidR="156EB269" w:rsidTr="156EB269" w14:paraId="09689036">
        <w:trPr>
          <w:trHeight w:val="300"/>
        </w:trPr>
        <w:tc>
          <w:tcPr>
            <w:tcW w:w="2445" w:type="dxa"/>
            <w:tcMar/>
          </w:tcPr>
          <w:p w:rsidR="156EB269" w:rsidP="156EB269" w:rsidRDefault="156EB269" w14:paraId="6E0AF2B4" w14:textId="5B23D952">
            <w:pPr>
              <w:pStyle w:val="Normal"/>
              <w:rPr>
                <w:rFonts w:ascii="Aptos Display" w:hAnsi="Aptos Display" w:eastAsia="Aptos Display" w:cs="Aptos Display" w:asciiTheme="minorAscii" w:hAnsiTheme="minorAscii" w:eastAsiaTheme="minorAscii" w:cstheme="minorAscii"/>
                <w:b w:val="0"/>
                <w:bCs w:val="0"/>
                <w:noProof w:val="0"/>
                <w:sz w:val="24"/>
                <w:szCs w:val="24"/>
                <w:lang w:val="en-US"/>
              </w:rPr>
            </w:pP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Christmas</w:t>
            </w: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 xml:space="preserve"> break – limited responses</w:t>
            </w:r>
          </w:p>
        </w:tc>
        <w:tc>
          <w:tcPr>
            <w:tcW w:w="1485" w:type="dxa"/>
            <w:tcMar/>
          </w:tcPr>
          <w:p w:rsidR="156EB269" w:rsidP="156EB269" w:rsidRDefault="156EB269" w14:paraId="15D7FAD7" w14:textId="01C16748">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16/12/2025</w:t>
            </w:r>
          </w:p>
          <w:p w:rsidR="156EB269" w:rsidP="156EB269" w:rsidRDefault="156EB269" w14:paraId="3FD3118C" w14:textId="23F73FC3">
            <w:pPr>
              <w:pStyle w:val="Normal"/>
              <w:rPr>
                <w:rFonts w:ascii="Aptos Display" w:hAnsi="Aptos Display" w:eastAsia="Aptos Display" w:cs="Aptos Display"/>
                <w:b w:val="0"/>
                <w:bCs w:val="0"/>
                <w:noProof w:val="0"/>
                <w:sz w:val="24"/>
                <w:szCs w:val="24"/>
                <w:lang w:val="en-US"/>
              </w:rPr>
            </w:pPr>
          </w:p>
        </w:tc>
        <w:tc>
          <w:tcPr>
            <w:tcW w:w="1500" w:type="dxa"/>
            <w:tcMar/>
          </w:tcPr>
          <w:p w:rsidR="156EB269" w:rsidP="156EB269" w:rsidRDefault="156EB269" w14:paraId="0EDB446F" w14:textId="67AB20A5">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05</w:t>
            </w:r>
            <w:r w:rsidRPr="156EB269" w:rsidR="156EB269">
              <w:rPr>
                <w:rFonts w:ascii="Aptos Display" w:hAnsi="Aptos Display" w:eastAsia="Aptos Display" w:cs="Aptos Display"/>
                <w:b w:val="0"/>
                <w:bCs w:val="0"/>
                <w:noProof w:val="0"/>
                <w:sz w:val="24"/>
                <w:szCs w:val="24"/>
                <w:lang w:val="en-US"/>
              </w:rPr>
              <w:t>/</w:t>
            </w: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1/202</w:t>
            </w:r>
            <w:r w:rsidRPr="156EB269" w:rsidR="156EB269">
              <w:rPr>
                <w:rFonts w:ascii="Aptos Display" w:hAnsi="Aptos Display" w:eastAsia="Aptos Display" w:cs="Aptos Display"/>
                <w:b w:val="0"/>
                <w:bCs w:val="0"/>
                <w:noProof w:val="0"/>
                <w:sz w:val="24"/>
                <w:szCs w:val="24"/>
                <w:lang w:val="en-US"/>
              </w:rPr>
              <w:t>6</w:t>
            </w:r>
          </w:p>
          <w:p w:rsidR="156EB269" w:rsidP="156EB269" w:rsidRDefault="156EB269" w14:paraId="28C4DB1A" w14:textId="23F73FC3">
            <w:pPr>
              <w:pStyle w:val="Normal"/>
              <w:rPr>
                <w:rFonts w:ascii="Aptos Display" w:hAnsi="Aptos Display" w:eastAsia="Aptos Display" w:cs="Aptos Display"/>
                <w:b w:val="0"/>
                <w:bCs w:val="0"/>
                <w:noProof w:val="0"/>
                <w:sz w:val="24"/>
                <w:szCs w:val="24"/>
                <w:lang w:val="en-US"/>
              </w:rPr>
            </w:pPr>
          </w:p>
        </w:tc>
        <w:tc>
          <w:tcPr>
            <w:tcW w:w="2430" w:type="dxa"/>
            <w:tcMar/>
          </w:tcPr>
          <w:p w:rsidR="156EB269" w:rsidP="156EB269" w:rsidRDefault="156EB269" w14:paraId="48437437" w14:textId="623D39AD">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 xml:space="preserve">N/A Due to Christmas Holidays </w:t>
            </w:r>
          </w:p>
        </w:tc>
        <w:tc>
          <w:tcPr>
            <w:tcW w:w="1500" w:type="dxa"/>
            <w:tcMar/>
          </w:tcPr>
          <w:p w:rsidR="156EB269" w:rsidP="156EB269" w:rsidRDefault="156EB269" w14:paraId="2264A2AE" w14:textId="0B54811E">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Expected delay</w:t>
            </w:r>
          </w:p>
        </w:tc>
      </w:tr>
      <w:tr w:rsidR="156EB269" w:rsidTr="156EB269" w14:paraId="5A892032">
        <w:trPr>
          <w:trHeight w:val="300"/>
        </w:trPr>
        <w:tc>
          <w:tcPr>
            <w:tcW w:w="2445" w:type="dxa"/>
            <w:tcMar/>
          </w:tcPr>
          <w:p w:rsidR="156EB269" w:rsidP="156EB269" w:rsidRDefault="156EB269" w14:paraId="248E1F90" w14:textId="266E4874">
            <w:pPr>
              <w:pStyle w:val="Normal"/>
              <w:rPr>
                <w:rFonts w:ascii="Aptos Display" w:hAnsi="Aptos Display" w:eastAsia="Aptos Display" w:cs="Aptos Display" w:asciiTheme="minorAscii" w:hAnsiTheme="minorAscii" w:eastAsiaTheme="minorAscii" w:cstheme="minorAscii"/>
                <w:b w:val="0"/>
                <w:bCs w:val="0"/>
                <w:noProof w:val="0"/>
                <w:sz w:val="24"/>
                <w:szCs w:val="24"/>
                <w:lang w:val="en-US"/>
              </w:rPr>
            </w:pP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 xml:space="preserve">Follow‑up emails to re‑engage </w:t>
            </w: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organisations</w:t>
            </w:r>
          </w:p>
        </w:tc>
        <w:tc>
          <w:tcPr>
            <w:tcW w:w="1485" w:type="dxa"/>
            <w:tcMar/>
          </w:tcPr>
          <w:p w:rsidR="156EB269" w:rsidP="156EB269" w:rsidRDefault="156EB269" w14:paraId="43C4DEB6" w14:textId="6E625483">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6</w:t>
            </w:r>
            <w:r w:rsidRPr="156EB269" w:rsidR="156EB269">
              <w:rPr>
                <w:rFonts w:ascii="Aptos Display" w:hAnsi="Aptos Display" w:eastAsia="Aptos Display" w:cs="Aptos Display"/>
                <w:b w:val="0"/>
                <w:bCs w:val="0"/>
                <w:noProof w:val="0"/>
                <w:sz w:val="24"/>
                <w:szCs w:val="24"/>
                <w:lang w:val="en-US"/>
              </w:rPr>
              <w:t>/</w:t>
            </w: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1/202</w:t>
            </w:r>
            <w:r w:rsidRPr="156EB269" w:rsidR="156EB269">
              <w:rPr>
                <w:rFonts w:ascii="Aptos Display" w:hAnsi="Aptos Display" w:eastAsia="Aptos Display" w:cs="Aptos Display"/>
                <w:b w:val="0"/>
                <w:bCs w:val="0"/>
                <w:noProof w:val="0"/>
                <w:sz w:val="24"/>
                <w:szCs w:val="24"/>
                <w:lang w:val="en-US"/>
              </w:rPr>
              <w:t>6</w:t>
            </w:r>
          </w:p>
        </w:tc>
        <w:tc>
          <w:tcPr>
            <w:tcW w:w="1500" w:type="dxa"/>
            <w:tcMar/>
          </w:tcPr>
          <w:p w:rsidR="156EB269" w:rsidP="156EB269" w:rsidRDefault="156EB269" w14:paraId="678D197D" w14:textId="03677FE1">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1</w:t>
            </w:r>
            <w:r w:rsidRPr="156EB269" w:rsidR="156EB269">
              <w:rPr>
                <w:rFonts w:ascii="Aptos Display" w:hAnsi="Aptos Display" w:eastAsia="Aptos Display" w:cs="Aptos Display"/>
                <w:b w:val="0"/>
                <w:bCs w:val="0"/>
                <w:noProof w:val="0"/>
                <w:sz w:val="24"/>
                <w:szCs w:val="24"/>
                <w:lang w:val="en-US"/>
              </w:rPr>
              <w:t>5</w:t>
            </w:r>
            <w:r w:rsidRPr="156EB269" w:rsidR="156EB269">
              <w:rPr>
                <w:rFonts w:ascii="Aptos Display" w:hAnsi="Aptos Display" w:eastAsia="Aptos Display" w:cs="Aptos Display"/>
                <w:b w:val="0"/>
                <w:bCs w:val="0"/>
                <w:noProof w:val="0"/>
                <w:sz w:val="24"/>
                <w:szCs w:val="24"/>
                <w:lang w:val="en-US"/>
              </w:rPr>
              <w:t>/</w:t>
            </w: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1/202</w:t>
            </w:r>
            <w:r w:rsidRPr="156EB269" w:rsidR="156EB269">
              <w:rPr>
                <w:rFonts w:ascii="Aptos Display" w:hAnsi="Aptos Display" w:eastAsia="Aptos Display" w:cs="Aptos Display"/>
                <w:b w:val="0"/>
                <w:bCs w:val="0"/>
                <w:noProof w:val="0"/>
                <w:sz w:val="24"/>
                <w:szCs w:val="24"/>
                <w:lang w:val="en-US"/>
              </w:rPr>
              <w:t>6</w:t>
            </w:r>
          </w:p>
        </w:tc>
        <w:tc>
          <w:tcPr>
            <w:tcW w:w="2430" w:type="dxa"/>
            <w:tcMar/>
          </w:tcPr>
          <w:p w:rsidR="156EB269" w:rsidP="156EB269" w:rsidRDefault="156EB269" w14:paraId="4148AF3B" w14:textId="52810AF7">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Exhibition Coordinator</w:t>
            </w:r>
          </w:p>
        </w:tc>
        <w:tc>
          <w:tcPr>
            <w:tcW w:w="1500" w:type="dxa"/>
            <w:tcMar/>
          </w:tcPr>
          <w:p w:rsidR="156EB269" w:rsidP="156EB269" w:rsidRDefault="156EB269" w14:paraId="625F9756" w14:textId="1D1ACE82">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Completed</w:t>
            </w:r>
          </w:p>
        </w:tc>
      </w:tr>
      <w:tr w:rsidR="156EB269" w:rsidTr="156EB269" w14:paraId="62B4A634">
        <w:trPr>
          <w:trHeight w:val="300"/>
        </w:trPr>
        <w:tc>
          <w:tcPr>
            <w:tcW w:w="2445" w:type="dxa"/>
            <w:tcMar/>
          </w:tcPr>
          <w:p w:rsidR="156EB269" w:rsidP="156EB269" w:rsidRDefault="156EB269" w14:paraId="7E73147C" w14:textId="1E63F078">
            <w:pPr>
              <w:pStyle w:val="Normal"/>
              <w:rPr>
                <w:rFonts w:ascii="Aptos Display" w:hAnsi="Aptos Display" w:eastAsia="Aptos Display" w:cs="Aptos Display" w:asciiTheme="minorAscii" w:hAnsiTheme="minorAscii" w:eastAsiaTheme="minorAscii" w:cstheme="minorAscii"/>
                <w:b w:val="0"/>
                <w:bCs w:val="0"/>
                <w:noProof w:val="0"/>
                <w:sz w:val="24"/>
                <w:szCs w:val="24"/>
                <w:lang w:val="en-US"/>
              </w:rPr>
            </w:pP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Confirming exhibitors &amp; sponsors</w:t>
            </w:r>
          </w:p>
        </w:tc>
        <w:tc>
          <w:tcPr>
            <w:tcW w:w="1485" w:type="dxa"/>
            <w:tcMar/>
          </w:tcPr>
          <w:p w:rsidR="156EB269" w:rsidP="156EB269" w:rsidRDefault="156EB269" w14:paraId="6C8B72C9" w14:textId="368F74E1">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1</w:t>
            </w: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w:t>
            </w: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1/202</w:t>
            </w:r>
            <w:r w:rsidRPr="156EB269" w:rsidR="156EB269">
              <w:rPr>
                <w:rFonts w:ascii="Aptos Display" w:hAnsi="Aptos Display" w:eastAsia="Aptos Display" w:cs="Aptos Display"/>
                <w:b w:val="0"/>
                <w:bCs w:val="0"/>
                <w:noProof w:val="0"/>
                <w:sz w:val="24"/>
                <w:szCs w:val="24"/>
                <w:lang w:val="en-US"/>
              </w:rPr>
              <w:t>6</w:t>
            </w:r>
          </w:p>
          <w:p w:rsidR="156EB269" w:rsidP="156EB269" w:rsidRDefault="156EB269" w14:paraId="541B2B47" w14:textId="23F73FC3">
            <w:pPr>
              <w:pStyle w:val="Normal"/>
              <w:rPr>
                <w:rFonts w:ascii="Aptos Display" w:hAnsi="Aptos Display" w:eastAsia="Aptos Display" w:cs="Aptos Display"/>
                <w:b w:val="0"/>
                <w:bCs w:val="0"/>
                <w:noProof w:val="0"/>
                <w:sz w:val="24"/>
                <w:szCs w:val="24"/>
                <w:lang w:val="en-US"/>
              </w:rPr>
            </w:pPr>
          </w:p>
        </w:tc>
        <w:tc>
          <w:tcPr>
            <w:tcW w:w="1500" w:type="dxa"/>
            <w:tcMar/>
          </w:tcPr>
          <w:p w:rsidR="156EB269" w:rsidP="156EB269" w:rsidRDefault="156EB269" w14:paraId="747D1BF9" w14:textId="41977DBF">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1</w:t>
            </w: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w:t>
            </w: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2/202</w:t>
            </w:r>
            <w:r w:rsidRPr="156EB269" w:rsidR="156EB269">
              <w:rPr>
                <w:rFonts w:ascii="Aptos Display" w:hAnsi="Aptos Display" w:eastAsia="Aptos Display" w:cs="Aptos Display"/>
                <w:b w:val="0"/>
                <w:bCs w:val="0"/>
                <w:noProof w:val="0"/>
                <w:sz w:val="24"/>
                <w:szCs w:val="24"/>
                <w:lang w:val="en-US"/>
              </w:rPr>
              <w:t>6</w:t>
            </w:r>
          </w:p>
          <w:p w:rsidR="156EB269" w:rsidP="156EB269" w:rsidRDefault="156EB269" w14:paraId="085CF5A3" w14:textId="23F73FC3">
            <w:pPr>
              <w:pStyle w:val="Normal"/>
              <w:rPr>
                <w:rFonts w:ascii="Aptos Display" w:hAnsi="Aptos Display" w:eastAsia="Aptos Display" w:cs="Aptos Display"/>
                <w:b w:val="0"/>
                <w:bCs w:val="0"/>
                <w:noProof w:val="0"/>
                <w:sz w:val="24"/>
                <w:szCs w:val="24"/>
                <w:lang w:val="en-US"/>
              </w:rPr>
            </w:pPr>
          </w:p>
        </w:tc>
        <w:tc>
          <w:tcPr>
            <w:tcW w:w="2430" w:type="dxa"/>
            <w:tcMar/>
          </w:tcPr>
          <w:p w:rsidR="156EB269" w:rsidP="156EB269" w:rsidRDefault="156EB269" w14:paraId="26B2A501" w14:textId="6A8AD517">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Exhibition &amp; Sponsorship Team</w:t>
            </w:r>
          </w:p>
        </w:tc>
        <w:tc>
          <w:tcPr>
            <w:tcW w:w="1500" w:type="dxa"/>
            <w:tcMar/>
          </w:tcPr>
          <w:p w:rsidR="156EB269" w:rsidP="156EB269" w:rsidRDefault="156EB269" w14:paraId="045CDDE8" w14:textId="5101FC79">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Ongoing</w:t>
            </w:r>
          </w:p>
        </w:tc>
      </w:tr>
      <w:tr w:rsidR="156EB269" w:rsidTr="156EB269" w14:paraId="5F82B780">
        <w:trPr>
          <w:trHeight w:val="420"/>
        </w:trPr>
        <w:tc>
          <w:tcPr>
            <w:tcW w:w="2445" w:type="dxa"/>
            <w:tcMar/>
          </w:tcPr>
          <w:p w:rsidR="156EB269" w:rsidP="156EB269" w:rsidRDefault="156EB269" w14:paraId="0B96042B" w14:textId="0E4F587E">
            <w:pPr>
              <w:pStyle w:val="Normal"/>
              <w:rPr>
                <w:rFonts w:ascii="Aptos Display" w:hAnsi="Aptos Display" w:eastAsia="Aptos Display" w:cs="Aptos Display" w:asciiTheme="minorAscii" w:hAnsiTheme="minorAscii" w:eastAsiaTheme="minorAscii" w:cstheme="minorAscii"/>
                <w:b w:val="0"/>
                <w:bCs w:val="0"/>
                <w:noProof w:val="0"/>
                <w:sz w:val="24"/>
                <w:szCs w:val="24"/>
                <w:lang w:val="en-US"/>
              </w:rPr>
            </w:pP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Venue meeting with Swansea Arena</w:t>
            </w:r>
          </w:p>
        </w:tc>
        <w:tc>
          <w:tcPr>
            <w:tcW w:w="1485" w:type="dxa"/>
            <w:tcMar/>
          </w:tcPr>
          <w:p w:rsidR="156EB269" w:rsidP="156EB269" w:rsidRDefault="156EB269" w14:paraId="49819633" w14:textId="1CAA8DFB">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20</w:t>
            </w:r>
            <w:r w:rsidRPr="156EB269" w:rsidR="156EB269">
              <w:rPr>
                <w:rFonts w:ascii="Aptos Display" w:hAnsi="Aptos Display" w:eastAsia="Aptos Display" w:cs="Aptos Display"/>
                <w:b w:val="0"/>
                <w:bCs w:val="0"/>
                <w:noProof w:val="0"/>
                <w:sz w:val="24"/>
                <w:szCs w:val="24"/>
                <w:lang w:val="en-US"/>
              </w:rPr>
              <w:t>/</w:t>
            </w: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1/202</w:t>
            </w:r>
            <w:r w:rsidRPr="156EB269" w:rsidR="156EB269">
              <w:rPr>
                <w:rFonts w:ascii="Aptos Display" w:hAnsi="Aptos Display" w:eastAsia="Aptos Display" w:cs="Aptos Display"/>
                <w:b w:val="0"/>
                <w:bCs w:val="0"/>
                <w:noProof w:val="0"/>
                <w:sz w:val="24"/>
                <w:szCs w:val="24"/>
                <w:lang w:val="en-US"/>
              </w:rPr>
              <w:t>6</w:t>
            </w:r>
          </w:p>
        </w:tc>
        <w:tc>
          <w:tcPr>
            <w:tcW w:w="1500" w:type="dxa"/>
            <w:tcMar/>
          </w:tcPr>
          <w:p w:rsidR="156EB269" w:rsidP="156EB269" w:rsidRDefault="156EB269" w14:paraId="02D01E68" w14:textId="247A7C44">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20/0</w:t>
            </w:r>
            <w:r w:rsidRPr="156EB269" w:rsidR="156EB269">
              <w:rPr>
                <w:rFonts w:ascii="Aptos Display" w:hAnsi="Aptos Display" w:eastAsia="Aptos Display" w:cs="Aptos Display"/>
                <w:b w:val="0"/>
                <w:bCs w:val="0"/>
                <w:noProof w:val="0"/>
                <w:sz w:val="24"/>
                <w:szCs w:val="24"/>
                <w:lang w:val="en-US"/>
              </w:rPr>
              <w:t>2</w:t>
            </w:r>
            <w:r w:rsidRPr="156EB269" w:rsidR="156EB269">
              <w:rPr>
                <w:rFonts w:ascii="Aptos Display" w:hAnsi="Aptos Display" w:eastAsia="Aptos Display" w:cs="Aptos Display"/>
                <w:b w:val="0"/>
                <w:bCs w:val="0"/>
                <w:noProof w:val="0"/>
                <w:sz w:val="24"/>
                <w:szCs w:val="24"/>
                <w:lang w:val="en-US"/>
              </w:rPr>
              <w:t>/2026</w:t>
            </w:r>
          </w:p>
          <w:p w:rsidR="156EB269" w:rsidP="156EB269" w:rsidRDefault="156EB269" w14:paraId="74732EF8" w14:textId="009F0BFE">
            <w:pPr>
              <w:pStyle w:val="Normal"/>
              <w:rPr>
                <w:rFonts w:ascii="Aptos Display" w:hAnsi="Aptos Display" w:eastAsia="Aptos Display" w:cs="Aptos Display"/>
                <w:b w:val="0"/>
                <w:bCs w:val="0"/>
                <w:noProof w:val="0"/>
                <w:sz w:val="24"/>
                <w:szCs w:val="24"/>
                <w:lang w:val="en-US"/>
              </w:rPr>
            </w:pPr>
          </w:p>
        </w:tc>
        <w:tc>
          <w:tcPr>
            <w:tcW w:w="2430" w:type="dxa"/>
            <w:tcMar/>
          </w:tcPr>
          <w:p w:rsidR="156EB269" w:rsidP="156EB269" w:rsidRDefault="156EB269" w14:paraId="571AC91B" w14:textId="3FB2A348">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Event Team</w:t>
            </w:r>
          </w:p>
        </w:tc>
        <w:tc>
          <w:tcPr>
            <w:tcW w:w="1500" w:type="dxa"/>
            <w:tcMar/>
          </w:tcPr>
          <w:p w:rsidR="156EB269" w:rsidP="156EB269" w:rsidRDefault="156EB269" w14:paraId="1356B399" w14:textId="5E5F2953">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Completed</w:t>
            </w:r>
          </w:p>
        </w:tc>
      </w:tr>
      <w:tr w:rsidR="156EB269" w:rsidTr="156EB269" w14:paraId="0F4D4A18">
        <w:trPr>
          <w:trHeight w:val="360"/>
        </w:trPr>
        <w:tc>
          <w:tcPr>
            <w:tcW w:w="2445" w:type="dxa"/>
            <w:tcMar/>
          </w:tcPr>
          <w:p w:rsidR="156EB269" w:rsidP="156EB269" w:rsidRDefault="156EB269" w14:paraId="27AB631C" w14:textId="0D4AB0A7">
            <w:pPr>
              <w:pStyle w:val="Normal"/>
              <w:rPr>
                <w:rFonts w:ascii="Aptos Display" w:hAnsi="Aptos Display" w:eastAsia="Aptos Display" w:cs="Aptos Display" w:asciiTheme="minorAscii" w:hAnsiTheme="minorAscii" w:eastAsiaTheme="minorAscii" w:cstheme="minorAscii"/>
                <w:b w:val="0"/>
                <w:bCs w:val="0"/>
                <w:noProof w:val="0"/>
                <w:sz w:val="24"/>
                <w:szCs w:val="24"/>
                <w:lang w:val="en-US"/>
              </w:rPr>
            </w:pP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Marketing launch</w:t>
            </w:r>
          </w:p>
        </w:tc>
        <w:tc>
          <w:tcPr>
            <w:tcW w:w="1485" w:type="dxa"/>
            <w:tcMar/>
          </w:tcPr>
          <w:p w:rsidR="156EB269" w:rsidP="156EB269" w:rsidRDefault="156EB269" w14:paraId="7EFC754C" w14:textId="2492D988">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25</w:t>
            </w:r>
            <w:r w:rsidRPr="156EB269" w:rsidR="156EB269">
              <w:rPr>
                <w:rFonts w:ascii="Aptos Display" w:hAnsi="Aptos Display" w:eastAsia="Aptos Display" w:cs="Aptos Display"/>
                <w:b w:val="0"/>
                <w:bCs w:val="0"/>
                <w:noProof w:val="0"/>
                <w:sz w:val="24"/>
                <w:szCs w:val="24"/>
                <w:lang w:val="en-US"/>
              </w:rPr>
              <w:t>/</w:t>
            </w: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1/202</w:t>
            </w:r>
            <w:r w:rsidRPr="156EB269" w:rsidR="156EB269">
              <w:rPr>
                <w:rFonts w:ascii="Aptos Display" w:hAnsi="Aptos Display" w:eastAsia="Aptos Display" w:cs="Aptos Display"/>
                <w:b w:val="0"/>
                <w:bCs w:val="0"/>
                <w:noProof w:val="0"/>
                <w:sz w:val="24"/>
                <w:szCs w:val="24"/>
                <w:lang w:val="en-US"/>
              </w:rPr>
              <w:t>6</w:t>
            </w:r>
          </w:p>
          <w:p w:rsidR="156EB269" w:rsidP="156EB269" w:rsidRDefault="156EB269" w14:paraId="12291478" w14:textId="23F73FC3">
            <w:pPr>
              <w:pStyle w:val="Normal"/>
              <w:rPr>
                <w:rFonts w:ascii="Aptos Display" w:hAnsi="Aptos Display" w:eastAsia="Aptos Display" w:cs="Aptos Display"/>
                <w:b w:val="0"/>
                <w:bCs w:val="0"/>
                <w:noProof w:val="0"/>
                <w:sz w:val="24"/>
                <w:szCs w:val="24"/>
                <w:lang w:val="en-US"/>
              </w:rPr>
            </w:pPr>
          </w:p>
        </w:tc>
        <w:tc>
          <w:tcPr>
            <w:tcW w:w="1500" w:type="dxa"/>
            <w:tcMar/>
          </w:tcPr>
          <w:p w:rsidR="156EB269" w:rsidP="156EB269" w:rsidRDefault="156EB269" w14:paraId="70501CDF" w14:textId="0AB92AD4">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15/02/2026</w:t>
            </w:r>
          </w:p>
          <w:p w:rsidR="156EB269" w:rsidP="156EB269" w:rsidRDefault="156EB269" w14:paraId="75C0C810" w14:textId="53CE2CEF">
            <w:pPr>
              <w:pStyle w:val="Normal"/>
              <w:rPr>
                <w:rFonts w:ascii="Aptos Display" w:hAnsi="Aptos Display" w:eastAsia="Aptos Display" w:cs="Aptos Display"/>
                <w:b w:val="0"/>
                <w:bCs w:val="0"/>
                <w:noProof w:val="0"/>
                <w:sz w:val="24"/>
                <w:szCs w:val="24"/>
                <w:lang w:val="en-US"/>
              </w:rPr>
            </w:pPr>
          </w:p>
        </w:tc>
        <w:tc>
          <w:tcPr>
            <w:tcW w:w="2430" w:type="dxa"/>
            <w:tcMar/>
          </w:tcPr>
          <w:p w:rsidR="156EB269" w:rsidP="156EB269" w:rsidRDefault="156EB269" w14:paraId="50431772" w14:textId="7C356334">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Marketing Team</w:t>
            </w:r>
          </w:p>
        </w:tc>
        <w:tc>
          <w:tcPr>
            <w:tcW w:w="1500" w:type="dxa"/>
            <w:tcMar/>
          </w:tcPr>
          <w:p w:rsidR="156EB269" w:rsidP="156EB269" w:rsidRDefault="156EB269" w14:paraId="23CB2ED7" w14:textId="4F772D23">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In progress</w:t>
            </w:r>
          </w:p>
        </w:tc>
      </w:tr>
      <w:tr w:rsidR="156EB269" w:rsidTr="156EB269" w14:paraId="6F944623">
        <w:trPr>
          <w:trHeight w:val="300"/>
        </w:trPr>
        <w:tc>
          <w:tcPr>
            <w:tcW w:w="2445" w:type="dxa"/>
            <w:tcMar/>
          </w:tcPr>
          <w:p w:rsidR="156EB269" w:rsidP="156EB269" w:rsidRDefault="156EB269" w14:paraId="2BB261EC" w14:textId="756D28EF">
            <w:pPr>
              <w:pStyle w:val="Normal"/>
              <w:rPr>
                <w:rFonts w:ascii="Aptos Display" w:hAnsi="Aptos Display" w:eastAsia="Aptos Display" w:cs="Aptos Display" w:asciiTheme="minorAscii" w:hAnsiTheme="minorAscii" w:eastAsiaTheme="minorAscii" w:cstheme="minorAscii"/>
                <w:b w:val="0"/>
                <w:bCs w:val="0"/>
                <w:noProof w:val="0"/>
                <w:sz w:val="24"/>
                <w:szCs w:val="24"/>
                <w:lang w:val="en-US"/>
              </w:rPr>
            </w:pP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 xml:space="preserve">Final </w:t>
            </w: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logistics</w:t>
            </w:r>
            <w:r w:rsidRPr="156EB269" w:rsidR="156EB269">
              <w:rPr>
                <w:rFonts w:ascii="Aptos Display" w:hAnsi="Aptos Display" w:eastAsia="Aptos Display" w:cs="Aptos Display" w:asciiTheme="minorAscii" w:hAnsiTheme="minorAscii" w:eastAsiaTheme="minorAscii" w:cstheme="minorAscii"/>
                <w:b w:val="0"/>
                <w:bCs w:val="0"/>
                <w:noProof w:val="0"/>
                <w:sz w:val="24"/>
                <w:szCs w:val="24"/>
                <w:lang w:val="en-US"/>
              </w:rPr>
              <w:t xml:space="preserve"> &amp; layout planning</w:t>
            </w:r>
          </w:p>
        </w:tc>
        <w:tc>
          <w:tcPr>
            <w:tcW w:w="1485" w:type="dxa"/>
            <w:tcMar/>
          </w:tcPr>
          <w:p w:rsidR="156EB269" w:rsidP="156EB269" w:rsidRDefault="156EB269" w14:paraId="18E6679A" w14:textId="1EA2D9D1">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01/</w:t>
            </w:r>
            <w:r w:rsidRPr="156EB269" w:rsidR="156EB269">
              <w:rPr>
                <w:rFonts w:ascii="Aptos Display" w:hAnsi="Aptos Display" w:eastAsia="Aptos Display" w:cs="Aptos Display"/>
                <w:b w:val="0"/>
                <w:bCs w:val="0"/>
                <w:noProof w:val="0"/>
                <w:sz w:val="24"/>
                <w:szCs w:val="24"/>
                <w:lang w:val="en-US"/>
              </w:rPr>
              <w:t>0</w:t>
            </w:r>
            <w:r w:rsidRPr="156EB269" w:rsidR="156EB269">
              <w:rPr>
                <w:rFonts w:ascii="Aptos Display" w:hAnsi="Aptos Display" w:eastAsia="Aptos Display" w:cs="Aptos Display"/>
                <w:b w:val="0"/>
                <w:bCs w:val="0"/>
                <w:noProof w:val="0"/>
                <w:sz w:val="24"/>
                <w:szCs w:val="24"/>
                <w:lang w:val="en-US"/>
              </w:rPr>
              <w:t>2/202</w:t>
            </w:r>
            <w:r w:rsidRPr="156EB269" w:rsidR="156EB269">
              <w:rPr>
                <w:rFonts w:ascii="Aptos Display" w:hAnsi="Aptos Display" w:eastAsia="Aptos Display" w:cs="Aptos Display"/>
                <w:b w:val="0"/>
                <w:bCs w:val="0"/>
                <w:noProof w:val="0"/>
                <w:sz w:val="24"/>
                <w:szCs w:val="24"/>
                <w:lang w:val="en-US"/>
              </w:rPr>
              <w:t>6</w:t>
            </w:r>
          </w:p>
          <w:p w:rsidR="156EB269" w:rsidP="156EB269" w:rsidRDefault="156EB269" w14:paraId="04D2221F" w14:textId="35E35B4C">
            <w:pPr>
              <w:pStyle w:val="Normal"/>
              <w:rPr>
                <w:rFonts w:ascii="Aptos Display" w:hAnsi="Aptos Display" w:eastAsia="Aptos Display" w:cs="Aptos Display"/>
                <w:b w:val="0"/>
                <w:bCs w:val="0"/>
                <w:noProof w:val="0"/>
                <w:sz w:val="24"/>
                <w:szCs w:val="24"/>
                <w:lang w:val="en-US"/>
              </w:rPr>
            </w:pPr>
          </w:p>
        </w:tc>
        <w:tc>
          <w:tcPr>
            <w:tcW w:w="1500" w:type="dxa"/>
            <w:tcMar/>
          </w:tcPr>
          <w:p w:rsidR="156EB269" w:rsidP="156EB269" w:rsidRDefault="156EB269" w14:paraId="377C0F40" w14:textId="1C3C7739">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28/02/2026</w:t>
            </w:r>
          </w:p>
          <w:p w:rsidR="156EB269" w:rsidP="156EB269" w:rsidRDefault="156EB269" w14:paraId="3892CBEC" w14:textId="2111EA0E">
            <w:pPr>
              <w:pStyle w:val="Normal"/>
              <w:rPr>
                <w:rFonts w:ascii="Aptos Display" w:hAnsi="Aptos Display" w:eastAsia="Aptos Display" w:cs="Aptos Display"/>
                <w:b w:val="0"/>
                <w:bCs w:val="0"/>
                <w:noProof w:val="0"/>
                <w:sz w:val="24"/>
                <w:szCs w:val="24"/>
                <w:lang w:val="en-US"/>
              </w:rPr>
            </w:pPr>
          </w:p>
        </w:tc>
        <w:tc>
          <w:tcPr>
            <w:tcW w:w="2430" w:type="dxa"/>
            <w:tcMar/>
          </w:tcPr>
          <w:p w:rsidR="156EB269" w:rsidP="156EB269" w:rsidRDefault="156EB269" w14:paraId="7B141A6E" w14:textId="4FC63BE1">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Event Team</w:t>
            </w:r>
          </w:p>
        </w:tc>
        <w:tc>
          <w:tcPr>
            <w:tcW w:w="1500" w:type="dxa"/>
            <w:tcMar/>
          </w:tcPr>
          <w:p w:rsidR="156EB269" w:rsidP="156EB269" w:rsidRDefault="156EB269" w14:paraId="1A216FA4" w14:textId="419425FB">
            <w:pPr>
              <w:pStyle w:val="Normal"/>
              <w:rPr>
                <w:rFonts w:ascii="Aptos Display" w:hAnsi="Aptos Display" w:eastAsia="Aptos Display" w:cs="Aptos Display"/>
                <w:b w:val="0"/>
                <w:bCs w:val="0"/>
                <w:noProof w:val="0"/>
                <w:sz w:val="24"/>
                <w:szCs w:val="24"/>
                <w:lang w:val="en-US"/>
              </w:rPr>
            </w:pPr>
            <w:r w:rsidRPr="156EB269" w:rsidR="156EB269">
              <w:rPr>
                <w:rFonts w:ascii="Aptos Display" w:hAnsi="Aptos Display" w:eastAsia="Aptos Display" w:cs="Aptos Display"/>
                <w:b w:val="0"/>
                <w:bCs w:val="0"/>
                <w:noProof w:val="0"/>
                <w:sz w:val="24"/>
                <w:szCs w:val="24"/>
                <w:lang w:val="en-US"/>
              </w:rPr>
              <w:t>Completed</w:t>
            </w:r>
          </w:p>
        </w:tc>
      </w:tr>
    </w:tbl>
    <w:p w:rsidR="156EB269" w:rsidP="156EB269" w:rsidRDefault="156EB269" w14:paraId="440E0A08" w14:textId="0CC5B781">
      <w:pPr>
        <w:pStyle w:val="Normal"/>
      </w:pPr>
    </w:p>
    <w:p w:rsidR="156EB269" w:rsidP="156EB269" w:rsidRDefault="156EB269" w14:paraId="1649A098" w14:textId="0102B667">
      <w:pPr>
        <w:pStyle w:val="Normal"/>
      </w:pPr>
    </w:p>
    <w:p w:rsidR="156EB269" w:rsidP="156EB269" w:rsidRDefault="156EB269" w14:paraId="7ACD6112" w14:textId="4BB62022">
      <w:pPr>
        <w:pStyle w:val="Normal"/>
      </w:pPr>
    </w:p>
    <w:p w:rsidR="156EB269" w:rsidP="156EB269" w:rsidRDefault="156EB269" w14:paraId="747F948A" w14:textId="7AB480D3">
      <w:pPr>
        <w:pStyle w:val="Normal"/>
      </w:pPr>
    </w:p>
    <w:p w:rsidR="61895B5C" w:rsidP="156EB269" w:rsidRDefault="61895B5C" w14:paraId="78B2ACE5" w14:textId="27BBBF31">
      <w:pPr>
        <w:pStyle w:val="Normal"/>
        <w:rPr>
          <w:b w:val="1"/>
          <w:bCs w:val="1"/>
          <w:u w:val="single"/>
        </w:rPr>
      </w:pPr>
      <w:r w:rsidRPr="156EB269" w:rsidR="61895B5C">
        <w:rPr>
          <w:b w:val="1"/>
          <w:bCs w:val="1"/>
          <w:u w:val="single"/>
        </w:rPr>
        <w:t>Appendix B</w:t>
      </w:r>
    </w:p>
    <w:p w:rsidR="3D1F409C" w:rsidP="156EB269" w:rsidRDefault="3D1F409C" w14:paraId="7D7C11B3" w14:textId="1709327F">
      <w:pPr>
        <w:pStyle w:val="Normal"/>
      </w:pPr>
      <w:r w:rsidR="3D1F409C">
        <w:rPr/>
        <w:t>Budget</w:t>
      </w:r>
    </w:p>
    <w:tbl>
      <w:tblPr>
        <w:tblStyle w:val="TableGrid"/>
        <w:bidiVisual w:val="0"/>
        <w:tblW w:w="0" w:type="auto"/>
        <w:tblLook w:val="06A0" w:firstRow="1" w:lastRow="0" w:firstColumn="1" w:lastColumn="0" w:noHBand="1" w:noVBand="1"/>
      </w:tblPr>
      <w:tblGrid>
        <w:gridCol w:w="2340"/>
        <w:gridCol w:w="2340"/>
        <w:gridCol w:w="2340"/>
        <w:gridCol w:w="2340"/>
      </w:tblGrid>
      <w:tr w:rsidR="156EB269" w:rsidTr="156EB269" w14:paraId="14094A94">
        <w:trPr>
          <w:trHeight w:val="510"/>
        </w:trPr>
        <w:tc>
          <w:tcPr>
            <w:tcW w:w="2340" w:type="dxa"/>
            <w:tcMar/>
          </w:tcPr>
          <w:p w:rsidR="156EB269" w:rsidP="156EB269" w:rsidRDefault="156EB269" w14:paraId="3EA75B3C" w14:textId="1D199C28">
            <w:pPr>
              <w:pStyle w:val="Normal"/>
              <w:bidi w:val="0"/>
              <w:jc w:val="center"/>
              <w:rPr>
                <w:rFonts w:ascii="Aptos Display" w:hAnsi="Aptos Display" w:eastAsia="Aptos Display" w:cs="Aptos Display"/>
                <w:b w:val="1"/>
                <w:bCs w:val="1"/>
                <w:noProof w:val="0"/>
                <w:sz w:val="24"/>
                <w:szCs w:val="24"/>
                <w:u w:val="single"/>
                <w:lang w:val="en-US"/>
              </w:rPr>
            </w:pPr>
            <w:r w:rsidRPr="156EB269" w:rsidR="156EB269">
              <w:rPr>
                <w:rFonts w:ascii="Aptos Display" w:hAnsi="Aptos Display" w:eastAsia="Aptos Display" w:cs="Aptos Display"/>
                <w:b w:val="1"/>
                <w:bCs w:val="1"/>
                <w:noProof w:val="0"/>
                <w:sz w:val="24"/>
                <w:szCs w:val="24"/>
                <w:u w:val="single"/>
                <w:lang w:val="en-US"/>
              </w:rPr>
              <w:t>Item</w:t>
            </w:r>
          </w:p>
        </w:tc>
        <w:tc>
          <w:tcPr>
            <w:tcW w:w="2340" w:type="dxa"/>
            <w:tcMar/>
          </w:tcPr>
          <w:p w:rsidR="156EB269" w:rsidP="156EB269" w:rsidRDefault="156EB269" w14:paraId="79EAB2E7" w14:textId="202D3768">
            <w:pPr>
              <w:pStyle w:val="Normal"/>
              <w:bidi w:val="0"/>
              <w:jc w:val="center"/>
              <w:rPr>
                <w:rFonts w:ascii="Aptos Display" w:hAnsi="Aptos Display" w:eastAsia="Aptos Display" w:cs="Aptos Display"/>
                <w:b w:val="1"/>
                <w:bCs w:val="1"/>
                <w:noProof w:val="0"/>
                <w:sz w:val="24"/>
                <w:szCs w:val="24"/>
                <w:u w:val="single"/>
                <w:lang w:val="en-US"/>
              </w:rPr>
            </w:pPr>
            <w:r w:rsidRPr="156EB269" w:rsidR="156EB269">
              <w:rPr>
                <w:rFonts w:ascii="Aptos Display" w:hAnsi="Aptos Display" w:eastAsia="Aptos Display" w:cs="Aptos Display"/>
                <w:b w:val="1"/>
                <w:bCs w:val="1"/>
                <w:noProof w:val="0"/>
                <w:sz w:val="24"/>
                <w:szCs w:val="24"/>
                <w:u w:val="single"/>
                <w:lang w:val="en-US"/>
              </w:rPr>
              <w:t>Estimated</w:t>
            </w:r>
            <w:r w:rsidRPr="156EB269" w:rsidR="156EB269">
              <w:rPr>
                <w:rFonts w:ascii="Aptos Display" w:hAnsi="Aptos Display" w:eastAsia="Aptos Display" w:cs="Aptos Display"/>
                <w:b w:val="1"/>
                <w:bCs w:val="1"/>
                <w:noProof w:val="0"/>
                <w:sz w:val="24"/>
                <w:szCs w:val="24"/>
                <w:u w:val="single"/>
                <w:lang w:val="en-US"/>
              </w:rPr>
              <w:t xml:space="preserve"> cost </w:t>
            </w:r>
          </w:p>
        </w:tc>
        <w:tc>
          <w:tcPr>
            <w:tcW w:w="2340" w:type="dxa"/>
            <w:tcMar/>
          </w:tcPr>
          <w:p w:rsidR="156EB269" w:rsidP="156EB269" w:rsidRDefault="156EB269" w14:paraId="7AAC1E1F" w14:textId="79362D02">
            <w:pPr>
              <w:pStyle w:val="Normal"/>
              <w:bidi w:val="0"/>
              <w:jc w:val="center"/>
              <w:rPr>
                <w:rFonts w:ascii="Aptos Display" w:hAnsi="Aptos Display" w:eastAsia="Aptos Display" w:cs="Aptos Display"/>
                <w:b w:val="1"/>
                <w:bCs w:val="1"/>
                <w:noProof w:val="0"/>
                <w:sz w:val="24"/>
                <w:szCs w:val="24"/>
                <w:u w:val="single"/>
                <w:lang w:val="en-US"/>
              </w:rPr>
            </w:pPr>
            <w:r w:rsidRPr="156EB269" w:rsidR="156EB269">
              <w:rPr>
                <w:rFonts w:ascii="Aptos Display" w:hAnsi="Aptos Display" w:eastAsia="Aptos Display" w:cs="Aptos Display"/>
                <w:b w:val="1"/>
                <w:bCs w:val="1"/>
                <w:noProof w:val="0"/>
                <w:sz w:val="24"/>
                <w:szCs w:val="24"/>
                <w:u w:val="single"/>
                <w:lang w:val="en-US"/>
              </w:rPr>
              <w:t>Actual Cost</w:t>
            </w:r>
          </w:p>
        </w:tc>
        <w:tc>
          <w:tcPr>
            <w:tcW w:w="2340" w:type="dxa"/>
            <w:tcMar/>
          </w:tcPr>
          <w:p w:rsidR="156EB269" w:rsidP="156EB269" w:rsidRDefault="156EB269" w14:paraId="7C96E71A" w14:textId="323D2C41">
            <w:pPr>
              <w:pStyle w:val="Normal"/>
              <w:bidi w:val="0"/>
              <w:jc w:val="center"/>
              <w:rPr>
                <w:rFonts w:ascii="Aptos Display" w:hAnsi="Aptos Display" w:eastAsia="Aptos Display" w:cs="Aptos Display"/>
                <w:b w:val="1"/>
                <w:bCs w:val="1"/>
                <w:noProof w:val="0"/>
                <w:sz w:val="24"/>
                <w:szCs w:val="24"/>
                <w:u w:val="single"/>
                <w:lang w:val="en-US"/>
              </w:rPr>
            </w:pPr>
            <w:r w:rsidRPr="156EB269" w:rsidR="156EB269">
              <w:rPr>
                <w:rFonts w:ascii="Aptos Display" w:hAnsi="Aptos Display" w:eastAsia="Aptos Display" w:cs="Aptos Display"/>
                <w:b w:val="1"/>
                <w:bCs w:val="1"/>
                <w:noProof w:val="0"/>
                <w:sz w:val="24"/>
                <w:szCs w:val="24"/>
                <w:u w:val="single"/>
                <w:lang w:val="en-US"/>
              </w:rPr>
              <w:t xml:space="preserve">Notes </w:t>
            </w:r>
          </w:p>
        </w:tc>
      </w:tr>
      <w:tr w:rsidR="156EB269" w:rsidTr="156EB269" w14:paraId="564F0DAF">
        <w:trPr>
          <w:trHeight w:val="300"/>
        </w:trPr>
        <w:tc>
          <w:tcPr>
            <w:tcW w:w="2340" w:type="dxa"/>
            <w:tcMar/>
          </w:tcPr>
          <w:p w:rsidR="156EB269" w:rsidP="156EB269" w:rsidRDefault="156EB269" w14:paraId="5EF0EBEA" w14:textId="03DDD4E2">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Venue </w:t>
            </w:r>
            <w:r w:rsidRPr="156EB269" w:rsidR="156EB269">
              <w:rPr>
                <w:rFonts w:ascii="Aptos Display" w:hAnsi="Aptos Display" w:eastAsia="Aptos Display" w:cs="Aptos Display"/>
                <w:b w:val="1"/>
                <w:bCs w:val="1"/>
                <w:noProof w:val="0"/>
                <w:sz w:val="24"/>
                <w:szCs w:val="24"/>
                <w:lang w:val="en-US"/>
              </w:rPr>
              <w:t>Hire</w:t>
            </w:r>
            <w:r w:rsidRPr="156EB269" w:rsidR="156EB269">
              <w:rPr>
                <w:rFonts w:ascii="Aptos Display" w:hAnsi="Aptos Display" w:eastAsia="Aptos Display" w:cs="Aptos Display"/>
                <w:b w:val="1"/>
                <w:bCs w:val="1"/>
                <w:noProof w:val="0"/>
                <w:sz w:val="24"/>
                <w:szCs w:val="24"/>
                <w:lang w:val="en-US"/>
              </w:rPr>
              <w:t xml:space="preserve"> </w:t>
            </w:r>
          </w:p>
        </w:tc>
        <w:tc>
          <w:tcPr>
            <w:tcW w:w="2340" w:type="dxa"/>
            <w:tcMar/>
          </w:tcPr>
          <w:p w:rsidR="156EB269" w:rsidP="156EB269" w:rsidRDefault="156EB269" w14:paraId="45BDFCF5" w14:textId="0CB26D4C">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£0</w:t>
            </w:r>
          </w:p>
        </w:tc>
        <w:tc>
          <w:tcPr>
            <w:tcW w:w="2340" w:type="dxa"/>
            <w:tcMar/>
          </w:tcPr>
          <w:p w:rsidR="156EB269" w:rsidP="156EB269" w:rsidRDefault="156EB269" w14:paraId="679F1F79" w14:textId="241FC269">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£0</w:t>
            </w:r>
          </w:p>
        </w:tc>
        <w:tc>
          <w:tcPr>
            <w:tcW w:w="2340" w:type="dxa"/>
            <w:tcMar/>
          </w:tcPr>
          <w:p w:rsidR="156EB269" w:rsidP="156EB269" w:rsidRDefault="156EB269" w14:paraId="50C78DB3" w14:textId="15EB565A">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Covered by UWTSD </w:t>
            </w:r>
          </w:p>
        </w:tc>
      </w:tr>
      <w:tr w:rsidR="156EB269" w:rsidTr="156EB269" w14:paraId="6063D3E1">
        <w:trPr>
          <w:trHeight w:val="300"/>
        </w:trPr>
        <w:tc>
          <w:tcPr>
            <w:tcW w:w="2340" w:type="dxa"/>
            <w:tcMar/>
          </w:tcPr>
          <w:p w:rsidR="156EB269" w:rsidP="156EB269" w:rsidRDefault="156EB269" w14:paraId="0819925D" w14:textId="7026BDEF">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Marketing</w:t>
            </w:r>
            <w:r w:rsidRPr="156EB269" w:rsidR="156EB269">
              <w:rPr>
                <w:rFonts w:ascii="Aptos Display" w:hAnsi="Aptos Display" w:eastAsia="Aptos Display" w:cs="Aptos Display"/>
                <w:b w:val="1"/>
                <w:bCs w:val="1"/>
                <w:noProof w:val="0"/>
                <w:sz w:val="24"/>
                <w:szCs w:val="24"/>
                <w:lang w:val="en-US"/>
              </w:rPr>
              <w:t xml:space="preserve"> Materials</w:t>
            </w:r>
          </w:p>
        </w:tc>
        <w:tc>
          <w:tcPr>
            <w:tcW w:w="2340" w:type="dxa"/>
            <w:tcMar/>
          </w:tcPr>
          <w:p w:rsidR="156EB269" w:rsidP="156EB269" w:rsidRDefault="156EB269" w14:paraId="26C88A38" w14:textId="0CB26D4C">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£0</w:t>
            </w:r>
          </w:p>
        </w:tc>
        <w:tc>
          <w:tcPr>
            <w:tcW w:w="2340" w:type="dxa"/>
            <w:tcMar/>
          </w:tcPr>
          <w:p w:rsidR="156EB269" w:rsidP="156EB269" w:rsidRDefault="156EB269" w14:paraId="3CD02331" w14:textId="241FC269">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£0</w:t>
            </w:r>
          </w:p>
        </w:tc>
        <w:tc>
          <w:tcPr>
            <w:tcW w:w="2340" w:type="dxa"/>
            <w:tcMar/>
          </w:tcPr>
          <w:p w:rsidR="156EB269" w:rsidP="156EB269" w:rsidRDefault="156EB269" w14:paraId="3342C8AF" w14:textId="15EB565A">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Covered by UWTSD </w:t>
            </w:r>
          </w:p>
        </w:tc>
      </w:tr>
      <w:tr w:rsidR="156EB269" w:rsidTr="156EB269" w14:paraId="781117B4">
        <w:trPr>
          <w:trHeight w:val="300"/>
        </w:trPr>
        <w:tc>
          <w:tcPr>
            <w:tcW w:w="2340" w:type="dxa"/>
            <w:tcMar/>
          </w:tcPr>
          <w:p w:rsidR="156EB269" w:rsidP="156EB269" w:rsidRDefault="156EB269" w14:paraId="75AF4A00" w14:textId="25F3B6A6">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Mocktails Supplies </w:t>
            </w:r>
          </w:p>
        </w:tc>
        <w:tc>
          <w:tcPr>
            <w:tcW w:w="2340" w:type="dxa"/>
            <w:tcMar/>
          </w:tcPr>
          <w:p w:rsidR="156EB269" w:rsidP="156EB269" w:rsidRDefault="156EB269" w14:paraId="4A094E4F" w14:textId="63274497">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£50</w:t>
            </w:r>
          </w:p>
        </w:tc>
        <w:tc>
          <w:tcPr>
            <w:tcW w:w="2340" w:type="dxa"/>
            <w:tcMar/>
          </w:tcPr>
          <w:p w:rsidR="156EB269" w:rsidP="156EB269" w:rsidRDefault="156EB269" w14:paraId="39FEDD56" w14:textId="275B689A">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£100</w:t>
            </w:r>
          </w:p>
        </w:tc>
        <w:tc>
          <w:tcPr>
            <w:tcW w:w="2340" w:type="dxa"/>
            <w:tcMar/>
          </w:tcPr>
          <w:p w:rsidR="156EB269" w:rsidP="156EB269" w:rsidRDefault="156EB269" w14:paraId="1106FE88" w14:textId="5A2E44F7">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Paid </w:t>
            </w:r>
            <w:r w:rsidRPr="156EB269" w:rsidR="156EB269">
              <w:rPr>
                <w:rFonts w:ascii="Aptos Display" w:hAnsi="Aptos Display" w:eastAsia="Aptos Display" w:cs="Aptos Display"/>
                <w:b w:val="1"/>
                <w:bCs w:val="1"/>
                <w:noProof w:val="0"/>
                <w:sz w:val="24"/>
                <w:szCs w:val="24"/>
                <w:lang w:val="en-US"/>
              </w:rPr>
              <w:t>by</w:t>
            </w:r>
            <w:r w:rsidRPr="156EB269" w:rsidR="156EB269">
              <w:rPr>
                <w:rFonts w:ascii="Aptos Display" w:hAnsi="Aptos Display" w:eastAsia="Aptos Display" w:cs="Aptos Display"/>
                <w:b w:val="1"/>
                <w:bCs w:val="1"/>
                <w:noProof w:val="0"/>
                <w:sz w:val="24"/>
                <w:szCs w:val="24"/>
                <w:lang w:val="en-US"/>
              </w:rPr>
              <w:t xml:space="preserve"> Organizers/ UWTSD</w:t>
            </w:r>
          </w:p>
        </w:tc>
      </w:tr>
      <w:tr w:rsidR="156EB269" w:rsidTr="156EB269" w14:paraId="32461693">
        <w:trPr>
          <w:trHeight w:val="300"/>
        </w:trPr>
        <w:tc>
          <w:tcPr>
            <w:tcW w:w="2340" w:type="dxa"/>
            <w:tcMar/>
          </w:tcPr>
          <w:p w:rsidR="156EB269" w:rsidP="156EB269" w:rsidRDefault="156EB269" w14:paraId="50986A6F" w14:textId="3C6F5C3A">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Prizes </w:t>
            </w:r>
          </w:p>
        </w:tc>
        <w:tc>
          <w:tcPr>
            <w:tcW w:w="2340" w:type="dxa"/>
            <w:tcMar/>
          </w:tcPr>
          <w:p w:rsidR="156EB269" w:rsidP="156EB269" w:rsidRDefault="156EB269" w14:paraId="0FA42BED" w14:textId="23A92B4F">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£50</w:t>
            </w:r>
          </w:p>
        </w:tc>
        <w:tc>
          <w:tcPr>
            <w:tcW w:w="2340" w:type="dxa"/>
            <w:tcMar/>
          </w:tcPr>
          <w:p w:rsidR="156EB269" w:rsidP="156EB269" w:rsidRDefault="156EB269" w14:paraId="665AE129" w14:textId="21736AA9">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£0</w:t>
            </w:r>
          </w:p>
        </w:tc>
        <w:tc>
          <w:tcPr>
            <w:tcW w:w="2340" w:type="dxa"/>
            <w:tcMar/>
          </w:tcPr>
          <w:p w:rsidR="156EB269" w:rsidP="156EB269" w:rsidRDefault="156EB269" w14:paraId="181A9343" w14:textId="118B5299">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Covered by </w:t>
            </w:r>
            <w:r w:rsidRPr="156EB269" w:rsidR="156EB269">
              <w:rPr>
                <w:rFonts w:ascii="Aptos Display" w:hAnsi="Aptos Display" w:eastAsia="Aptos Display" w:cs="Aptos Display"/>
                <w:b w:val="1"/>
                <w:bCs w:val="1"/>
                <w:noProof w:val="0"/>
                <w:sz w:val="24"/>
                <w:szCs w:val="24"/>
                <w:lang w:val="en-US"/>
              </w:rPr>
              <w:t>sponsors</w:t>
            </w:r>
            <w:r w:rsidRPr="156EB269" w:rsidR="156EB269">
              <w:rPr>
                <w:rFonts w:ascii="Aptos Display" w:hAnsi="Aptos Display" w:eastAsia="Aptos Display" w:cs="Aptos Display"/>
                <w:b w:val="1"/>
                <w:bCs w:val="1"/>
                <w:noProof w:val="0"/>
                <w:sz w:val="24"/>
                <w:szCs w:val="24"/>
                <w:lang w:val="en-US"/>
              </w:rPr>
              <w:t xml:space="preserve"> </w:t>
            </w:r>
          </w:p>
        </w:tc>
      </w:tr>
      <w:tr w:rsidR="156EB269" w:rsidTr="156EB269" w14:paraId="25B5BC6C">
        <w:trPr>
          <w:trHeight w:val="300"/>
        </w:trPr>
        <w:tc>
          <w:tcPr>
            <w:tcW w:w="2340" w:type="dxa"/>
            <w:tcMar/>
          </w:tcPr>
          <w:p w:rsidR="156EB269" w:rsidP="156EB269" w:rsidRDefault="156EB269" w14:paraId="359196FA" w14:textId="4B13FC18">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Vip Area </w:t>
            </w:r>
          </w:p>
        </w:tc>
        <w:tc>
          <w:tcPr>
            <w:tcW w:w="2340" w:type="dxa"/>
            <w:tcMar/>
          </w:tcPr>
          <w:p w:rsidR="156EB269" w:rsidP="156EB269" w:rsidRDefault="156EB269" w14:paraId="1FC434F4" w14:textId="0105C295">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£800</w:t>
            </w:r>
          </w:p>
        </w:tc>
        <w:tc>
          <w:tcPr>
            <w:tcW w:w="2340" w:type="dxa"/>
            <w:tcMar/>
          </w:tcPr>
          <w:p w:rsidR="156EB269" w:rsidP="156EB269" w:rsidRDefault="156EB269" w14:paraId="6B20C989" w14:textId="6522E9E0">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£0</w:t>
            </w:r>
          </w:p>
        </w:tc>
        <w:tc>
          <w:tcPr>
            <w:tcW w:w="2340" w:type="dxa"/>
            <w:tcMar/>
          </w:tcPr>
          <w:p w:rsidR="156EB269" w:rsidP="156EB269" w:rsidRDefault="156EB269" w14:paraId="0129BA91" w14:textId="3FD1B6F5">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Covered by UWTSD</w:t>
            </w:r>
          </w:p>
        </w:tc>
      </w:tr>
      <w:tr w:rsidR="156EB269" w:rsidTr="156EB269" w14:paraId="6F288B2B">
        <w:trPr>
          <w:trHeight w:val="300"/>
        </w:trPr>
        <w:tc>
          <w:tcPr>
            <w:tcW w:w="2340" w:type="dxa"/>
            <w:tcMar/>
          </w:tcPr>
          <w:p w:rsidR="156EB269" w:rsidP="156EB269" w:rsidRDefault="156EB269" w14:paraId="6A101D71" w14:textId="4F40F969">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Mascots </w:t>
            </w:r>
          </w:p>
        </w:tc>
        <w:tc>
          <w:tcPr>
            <w:tcW w:w="2340" w:type="dxa"/>
            <w:tcMar/>
          </w:tcPr>
          <w:p w:rsidR="156EB269" w:rsidP="156EB269" w:rsidRDefault="156EB269" w14:paraId="36514256" w14:textId="70723ECE">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w:t>
            </w:r>
            <w:r w:rsidRPr="156EB269" w:rsidR="156EB269">
              <w:rPr>
                <w:rFonts w:ascii="Aptos Display" w:hAnsi="Aptos Display" w:eastAsia="Aptos Display" w:cs="Aptos Display"/>
                <w:b w:val="1"/>
                <w:bCs w:val="1"/>
                <w:noProof w:val="0"/>
                <w:sz w:val="24"/>
                <w:szCs w:val="24"/>
                <w:lang w:val="en-US"/>
              </w:rPr>
              <w:t>300</w:t>
            </w:r>
          </w:p>
        </w:tc>
        <w:tc>
          <w:tcPr>
            <w:tcW w:w="2340" w:type="dxa"/>
            <w:tcMar/>
          </w:tcPr>
          <w:p w:rsidR="156EB269" w:rsidP="156EB269" w:rsidRDefault="156EB269" w14:paraId="5777A46E" w14:textId="30A7A919">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£200</w:t>
            </w:r>
          </w:p>
        </w:tc>
        <w:tc>
          <w:tcPr>
            <w:tcW w:w="2340" w:type="dxa"/>
            <w:tcMar/>
          </w:tcPr>
          <w:p w:rsidR="156EB269" w:rsidP="156EB269" w:rsidRDefault="156EB269" w14:paraId="36E28105" w14:textId="0FB20B3B">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Covered by UWTSD &amp; </w:t>
            </w:r>
            <w:r w:rsidRPr="156EB269" w:rsidR="156EB269">
              <w:rPr>
                <w:rFonts w:ascii="Aptos Display" w:hAnsi="Aptos Display" w:eastAsia="Aptos Display" w:cs="Aptos Display"/>
                <w:b w:val="1"/>
                <w:bCs w:val="1"/>
                <w:noProof w:val="0"/>
                <w:sz w:val="24"/>
                <w:szCs w:val="24"/>
                <w:lang w:val="en-US"/>
              </w:rPr>
              <w:t>Sponsors</w:t>
            </w:r>
            <w:r w:rsidRPr="156EB269" w:rsidR="156EB269">
              <w:rPr>
                <w:rFonts w:ascii="Aptos Display" w:hAnsi="Aptos Display" w:eastAsia="Aptos Display" w:cs="Aptos Display"/>
                <w:b w:val="1"/>
                <w:bCs w:val="1"/>
                <w:noProof w:val="0"/>
                <w:sz w:val="24"/>
                <w:szCs w:val="24"/>
                <w:lang w:val="en-US"/>
              </w:rPr>
              <w:t xml:space="preserve"> </w:t>
            </w:r>
          </w:p>
        </w:tc>
      </w:tr>
      <w:tr w:rsidR="156EB269" w:rsidTr="156EB269" w14:paraId="792F1741">
        <w:trPr>
          <w:trHeight w:val="330"/>
        </w:trPr>
        <w:tc>
          <w:tcPr>
            <w:tcW w:w="2340" w:type="dxa"/>
            <w:tcMar/>
          </w:tcPr>
          <w:p w:rsidR="156EB269" w:rsidP="156EB269" w:rsidRDefault="156EB269" w14:paraId="36CF61BF" w14:textId="06A65928">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Decorations </w:t>
            </w:r>
          </w:p>
        </w:tc>
        <w:tc>
          <w:tcPr>
            <w:tcW w:w="2340" w:type="dxa"/>
            <w:tcMar/>
          </w:tcPr>
          <w:p w:rsidR="156EB269" w:rsidP="156EB269" w:rsidRDefault="156EB269" w14:paraId="0403C2E6" w14:textId="7A5F64A0">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w:t>
            </w:r>
            <w:r w:rsidRPr="156EB269" w:rsidR="156EB269">
              <w:rPr>
                <w:rFonts w:ascii="Aptos Display" w:hAnsi="Aptos Display" w:eastAsia="Aptos Display" w:cs="Aptos Display"/>
                <w:b w:val="1"/>
                <w:bCs w:val="1"/>
                <w:noProof w:val="0"/>
                <w:sz w:val="24"/>
                <w:szCs w:val="24"/>
                <w:lang w:val="en-US"/>
              </w:rPr>
              <w:t>100</w:t>
            </w:r>
          </w:p>
        </w:tc>
        <w:tc>
          <w:tcPr>
            <w:tcW w:w="2340" w:type="dxa"/>
            <w:tcMar/>
          </w:tcPr>
          <w:p w:rsidR="156EB269" w:rsidP="156EB269" w:rsidRDefault="156EB269" w14:paraId="4956D99A" w14:textId="1E714BE1">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£250</w:t>
            </w:r>
          </w:p>
        </w:tc>
        <w:tc>
          <w:tcPr>
            <w:tcW w:w="2340" w:type="dxa"/>
            <w:tcMar/>
          </w:tcPr>
          <w:p w:rsidR="156EB269" w:rsidP="156EB269" w:rsidRDefault="156EB269" w14:paraId="58A32D34" w14:textId="7B273F05">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Paid buy Organizers</w:t>
            </w:r>
          </w:p>
        </w:tc>
      </w:tr>
      <w:tr w:rsidR="156EB269" w:rsidTr="156EB269" w14:paraId="12AA477A">
        <w:trPr>
          <w:trHeight w:val="300"/>
        </w:trPr>
        <w:tc>
          <w:tcPr>
            <w:tcW w:w="2340" w:type="dxa"/>
            <w:tcMar/>
          </w:tcPr>
          <w:p w:rsidR="156EB269" w:rsidP="156EB269" w:rsidRDefault="156EB269" w14:paraId="23C0F3BB" w14:textId="7F6ECD85">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 xml:space="preserve">Total </w:t>
            </w:r>
          </w:p>
        </w:tc>
        <w:tc>
          <w:tcPr>
            <w:tcW w:w="2340" w:type="dxa"/>
            <w:tcMar/>
          </w:tcPr>
          <w:p w:rsidR="156EB269" w:rsidP="156EB269" w:rsidRDefault="156EB269" w14:paraId="10A5E501" w14:textId="38D27C1D">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£1300</w:t>
            </w:r>
          </w:p>
        </w:tc>
        <w:tc>
          <w:tcPr>
            <w:tcW w:w="2340" w:type="dxa"/>
            <w:tcMar/>
          </w:tcPr>
          <w:p w:rsidR="156EB269" w:rsidP="156EB269" w:rsidRDefault="156EB269" w14:paraId="3E1D7D7D" w14:textId="50E1917E">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w:t>
            </w:r>
            <w:r w:rsidRPr="156EB269" w:rsidR="156EB269">
              <w:rPr>
                <w:rFonts w:ascii="Aptos Display" w:hAnsi="Aptos Display" w:eastAsia="Aptos Display" w:cs="Aptos Display"/>
                <w:b w:val="1"/>
                <w:bCs w:val="1"/>
                <w:noProof w:val="0"/>
                <w:sz w:val="24"/>
                <w:szCs w:val="24"/>
                <w:lang w:val="en-US"/>
              </w:rPr>
              <w:t>550</w:t>
            </w:r>
          </w:p>
        </w:tc>
        <w:tc>
          <w:tcPr>
            <w:tcW w:w="2340" w:type="dxa"/>
            <w:tcMar/>
          </w:tcPr>
          <w:p w:rsidR="156EB269" w:rsidP="156EB269" w:rsidRDefault="156EB269" w14:paraId="122B3443" w14:textId="540776C1">
            <w:pPr>
              <w:pStyle w:val="Normal"/>
              <w:bidi w:val="0"/>
              <w:jc w:val="center"/>
              <w:rPr>
                <w:rFonts w:ascii="Aptos Display" w:hAnsi="Aptos Display" w:eastAsia="Aptos Display" w:cs="Aptos Display"/>
                <w:b w:val="1"/>
                <w:bCs w:val="1"/>
                <w:noProof w:val="0"/>
                <w:sz w:val="24"/>
                <w:szCs w:val="24"/>
                <w:lang w:val="en-US"/>
              </w:rPr>
            </w:pPr>
            <w:r w:rsidRPr="156EB269" w:rsidR="156EB269">
              <w:rPr>
                <w:rFonts w:ascii="Aptos Display" w:hAnsi="Aptos Display" w:eastAsia="Aptos Display" w:cs="Aptos Display"/>
                <w:b w:val="1"/>
                <w:bCs w:val="1"/>
                <w:noProof w:val="0"/>
                <w:sz w:val="24"/>
                <w:szCs w:val="24"/>
                <w:lang w:val="en-US"/>
              </w:rPr>
              <w:t>Under budget due to UWTSD and sponsors</w:t>
            </w:r>
          </w:p>
        </w:tc>
      </w:tr>
    </w:tbl>
    <w:p w:rsidR="156EB269" w:rsidP="156EB269" w:rsidRDefault="156EB269" w14:paraId="180534B5" w14:textId="7569F079">
      <w:pPr>
        <w:pStyle w:val="Normal"/>
      </w:pPr>
    </w:p>
    <w:p w:rsidR="23025539" w:rsidP="156EB269" w:rsidRDefault="23025539" w14:paraId="6BF45150" w14:textId="00D2305A">
      <w:pPr>
        <w:pStyle w:val="Normal"/>
        <w:rPr>
          <w:b w:val="1"/>
          <w:bCs w:val="1"/>
          <w:u w:val="single"/>
        </w:rPr>
      </w:pPr>
      <w:r w:rsidRPr="156EB269" w:rsidR="23025539">
        <w:rPr>
          <w:b w:val="1"/>
          <w:bCs w:val="1"/>
          <w:u w:val="single"/>
        </w:rPr>
        <w:t>Appendix C</w:t>
      </w:r>
    </w:p>
    <w:p w:rsidR="52CF8F0E" w:rsidP="156EB269" w:rsidRDefault="52CF8F0E" w14:paraId="082EE5C3" w14:textId="583CABFB">
      <w:pPr>
        <w:pStyle w:val="Normal"/>
        <w:suppressLineNumbers w:val="0"/>
        <w:bidi w:val="0"/>
        <w:spacing w:before="0" w:beforeAutospacing="off" w:after="160" w:afterAutospacing="off" w:line="279" w:lineRule="auto"/>
        <w:ind w:left="0" w:right="0"/>
        <w:jc w:val="left"/>
      </w:pPr>
      <w:r w:rsidR="52CF8F0E">
        <w:rPr/>
        <w:t xml:space="preserve">Risk </w:t>
      </w:r>
      <w:r w:rsidR="52CF8F0E">
        <w:rPr/>
        <w:t>Assesment</w:t>
      </w:r>
      <w:r w:rsidR="52CF8F0E">
        <w:rPr/>
        <w:t xml:space="preserve"> </w:t>
      </w:r>
    </w:p>
    <w:p w:rsidR="52CF8F0E" w:rsidP="156EB269" w:rsidRDefault="52CF8F0E" w14:paraId="76B270BB" w14:textId="5FF15494">
      <w:pPr>
        <w:pStyle w:val="Normal"/>
        <w:bidi w:val="0"/>
        <w:spacing w:before="0" w:beforeAutospacing="off" w:after="160" w:afterAutospacing="off" w:line="279" w:lineRule="auto"/>
        <w:ind w:left="0" w:right="0"/>
        <w:jc w:val="left"/>
      </w:pPr>
      <w:r w:rsidR="52CF8F0E">
        <w:drawing>
          <wp:inline wp14:editId="4B976FD5" wp14:anchorId="40A962B4">
            <wp:extent cx="1990725" cy="1320769"/>
            <wp:effectExtent l="0" t="0" r="0" b="0"/>
            <wp:docPr id="19962733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6273304" name="Picture 1996273304"/>
                    <pic:cNvPicPr/>
                  </pic:nvPicPr>
                  <pic:blipFill>
                    <a:blip xmlns:r="http://schemas.openxmlformats.org/officeDocument/2006/relationships" r:embed="rId16908094">
                      <a:extLst>
                        <a:ext uri="{28A0092B-C50C-407E-A947-70E740481C1C}">
                          <a14:useLocalDpi xmlns:a14="http://schemas.microsoft.com/office/drawing/2010/main"/>
                        </a:ext>
                      </a:extLst>
                    </a:blip>
                    <a:stretch>
                      <a:fillRect/>
                    </a:stretch>
                  </pic:blipFill>
                  <pic:spPr>
                    <a:xfrm rot="0">
                      <a:off x="0" y="0"/>
                      <a:ext cx="1990725" cy="1320769"/>
                    </a:xfrm>
                    <a:prstGeom prst="rect">
                      <a:avLst/>
                    </a:prstGeom>
                  </pic:spPr>
                </pic:pic>
              </a:graphicData>
            </a:graphic>
          </wp:inline>
        </w:drawing>
      </w:r>
    </w:p>
    <w:p w:rsidR="52CF8F0E" w:rsidP="156EB269" w:rsidRDefault="52CF8F0E" w14:paraId="7CD8B4FA" w14:textId="6571BB1F">
      <w:pPr>
        <w:pStyle w:val="Normal"/>
        <w:bidi w:val="0"/>
        <w:spacing w:before="0" w:beforeAutospacing="off" w:after="160" w:afterAutospacing="off" w:line="279" w:lineRule="auto"/>
        <w:ind w:left="0" w:right="0"/>
        <w:jc w:val="left"/>
      </w:pPr>
      <w:r w:rsidR="52CF8F0E">
        <w:drawing>
          <wp:inline wp14:editId="20043EB0" wp14:anchorId="7A1648CF">
            <wp:extent cx="1857375" cy="1285875"/>
            <wp:effectExtent l="0" t="0" r="0" b="0"/>
            <wp:docPr id="14765149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6514934" name="Picture 1476514934"/>
                    <pic:cNvPicPr/>
                  </pic:nvPicPr>
                  <pic:blipFill>
                    <a:blip xmlns:r="http://schemas.openxmlformats.org/officeDocument/2006/relationships" r:embed="rId698586207">
                      <a:extLst>
                        <a:ext uri="{28A0092B-C50C-407E-A947-70E740481C1C}">
                          <a14:useLocalDpi xmlns:a14="http://schemas.microsoft.com/office/drawing/2010/main"/>
                        </a:ext>
                      </a:extLst>
                    </a:blip>
                    <a:stretch>
                      <a:fillRect/>
                    </a:stretch>
                  </pic:blipFill>
                  <pic:spPr>
                    <a:xfrm rot="0">
                      <a:off x="0" y="0"/>
                      <a:ext cx="1857375" cy="1285875"/>
                    </a:xfrm>
                    <a:prstGeom prst="rect">
                      <a:avLst/>
                    </a:prstGeom>
                  </pic:spPr>
                </pic:pic>
              </a:graphicData>
            </a:graphic>
          </wp:inline>
        </w:drawing>
      </w:r>
    </w:p>
    <w:p w:rsidR="156EB269" w:rsidP="156EB269" w:rsidRDefault="156EB269" w14:paraId="49A91ADC" w14:textId="5CD74F67">
      <w:pPr>
        <w:pStyle w:val="Normal"/>
        <w:bidi w:val="0"/>
        <w:spacing w:before="0" w:beforeAutospacing="off" w:after="160" w:afterAutospacing="off" w:line="279" w:lineRule="auto"/>
        <w:ind w:left="0" w:right="0"/>
        <w:jc w:val="left"/>
      </w:pPr>
    </w:p>
    <w:p w:rsidR="3BC84401" w:rsidP="156EB269" w:rsidRDefault="3BC84401" w14:paraId="134BE34D" w14:textId="600EB352">
      <w:pPr>
        <w:pStyle w:val="Normal"/>
      </w:pPr>
      <w:r w:rsidRPr="156EB269" w:rsidR="3BC84401">
        <w:rPr>
          <w:b w:val="1"/>
          <w:bCs w:val="1"/>
          <w:u w:val="single"/>
        </w:rPr>
        <w:t>Appendix D</w:t>
      </w:r>
    </w:p>
    <w:p w:rsidR="3BC84401" w:rsidP="156EB269" w:rsidRDefault="3BC84401" w14:paraId="074D65AD" w14:textId="16535AC0">
      <w:pPr>
        <w:pStyle w:val="Normal"/>
        <w:rPr>
          <w:b w:val="0"/>
          <w:bCs w:val="0"/>
          <w:u w:val="none"/>
        </w:rPr>
      </w:pPr>
      <w:r w:rsidR="3BC84401">
        <w:rPr>
          <w:b w:val="0"/>
          <w:bCs w:val="0"/>
          <w:u w:val="none"/>
        </w:rPr>
        <w:t xml:space="preserve">Posters </w:t>
      </w:r>
    </w:p>
    <w:p w:rsidR="18590937" w:rsidP="156EB269" w:rsidRDefault="18590937" w14:paraId="2100E2D6" w14:textId="3F3CB1AF">
      <w:pPr>
        <w:pStyle w:val="Normal"/>
      </w:pPr>
      <w:r w:rsidR="18590937">
        <w:drawing>
          <wp:inline wp14:editId="7697E535" wp14:anchorId="0593AEB7">
            <wp:extent cx="1826150" cy="1009650"/>
            <wp:effectExtent l="0" t="0" r="0" b="0"/>
            <wp:docPr id="4801995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0318220" name="Picture 540318220"/>
                    <pic:cNvPicPr/>
                  </pic:nvPicPr>
                  <pic:blipFill>
                    <a:blip xmlns:r="http://schemas.openxmlformats.org/officeDocument/2006/relationships" r:embed="rId1473381707">
                      <a:extLst>
                        <a:ext uri="{28A0092B-C50C-407E-A947-70E740481C1C}">
                          <a14:useLocalDpi xmlns:a14="http://schemas.microsoft.com/office/drawing/2010/main"/>
                        </a:ext>
                      </a:extLst>
                    </a:blip>
                    <a:stretch>
                      <a:fillRect/>
                    </a:stretch>
                  </pic:blipFill>
                  <pic:spPr>
                    <a:xfrm rot="0">
                      <a:off x="0" y="0"/>
                      <a:ext cx="1826150" cy="1009650"/>
                    </a:xfrm>
                    <a:prstGeom prst="rect">
                      <a:avLst/>
                    </a:prstGeom>
                  </pic:spPr>
                </pic:pic>
              </a:graphicData>
            </a:graphic>
          </wp:inline>
        </w:drawing>
      </w:r>
    </w:p>
    <w:p w:rsidR="3BC84401" w:rsidP="156EB269" w:rsidRDefault="3BC84401" w14:paraId="611F373C" w14:textId="499BBF73">
      <w:pPr>
        <w:pStyle w:val="Normal"/>
      </w:pPr>
      <w:r w:rsidR="3BC84401">
        <w:drawing>
          <wp:inline wp14:editId="2CA6B5F6" wp14:anchorId="14C865EF">
            <wp:extent cx="2743200" cy="2070632"/>
            <wp:effectExtent l="0" t="0" r="0" b="0"/>
            <wp:docPr id="11822327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2232784" name="Picture 1182232784"/>
                    <pic:cNvPicPr/>
                  </pic:nvPicPr>
                  <pic:blipFill>
                    <a:blip xmlns:r="http://schemas.openxmlformats.org/officeDocument/2006/relationships" r:embed="rId1777027675">
                      <a:extLst>
                        <a:ext uri="{28A0092B-C50C-407E-A947-70E740481C1C}">
                          <a14:useLocalDpi xmlns:a14="http://schemas.microsoft.com/office/drawing/2010/main"/>
                        </a:ext>
                      </a:extLst>
                    </a:blip>
                    <a:srcRect l="0" t="36223" r="0" b="28623"/>
                    <a:stretch>
                      <a:fillRect/>
                    </a:stretch>
                  </pic:blipFill>
                  <pic:spPr>
                    <a:xfrm rot="0">
                      <a:off x="0" y="0"/>
                      <a:ext cx="2743200" cy="2070632"/>
                    </a:xfrm>
                    <a:prstGeom prst="rect">
                      <a:avLst/>
                    </a:prstGeom>
                  </pic:spPr>
                </pic:pic>
              </a:graphicData>
            </a:graphic>
          </wp:inline>
        </w:drawing>
      </w:r>
    </w:p>
    <w:p w:rsidR="697BB258" w:rsidP="156EB269" w:rsidRDefault="697BB258" w14:paraId="500482BA" w14:textId="0C0F938C">
      <w:pPr>
        <w:pStyle w:val="Normal"/>
      </w:pPr>
      <w:r w:rsidR="697BB258">
        <w:drawing>
          <wp:inline wp14:editId="2DB4AC4E" wp14:anchorId="1A76A580">
            <wp:extent cx="1182565" cy="2562225"/>
            <wp:effectExtent l="0" t="0" r="0" b="0"/>
            <wp:docPr id="7801557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5150651" name="Picture 665150651"/>
                    <pic:cNvPicPr/>
                  </pic:nvPicPr>
                  <pic:blipFill>
                    <a:blip xmlns:r="http://schemas.openxmlformats.org/officeDocument/2006/relationships" r:embed="rId1733922596">
                      <a:extLst>
                        <a:ext uri="{28A0092B-C50C-407E-A947-70E740481C1C}">
                          <a14:useLocalDpi xmlns:a14="http://schemas.microsoft.com/office/drawing/2010/main"/>
                        </a:ext>
                      </a:extLst>
                    </a:blip>
                    <a:stretch>
                      <a:fillRect/>
                    </a:stretch>
                  </pic:blipFill>
                  <pic:spPr>
                    <a:xfrm rot="0">
                      <a:off x="0" y="0"/>
                      <a:ext cx="1182565" cy="2562225"/>
                    </a:xfrm>
                    <a:prstGeom prst="rect">
                      <a:avLst/>
                    </a:prstGeom>
                  </pic:spPr>
                </pic:pic>
              </a:graphicData>
            </a:graphic>
          </wp:inline>
        </w:drawing>
      </w:r>
    </w:p>
    <w:p w:rsidR="0595BABA" w:rsidP="156EB269" w:rsidRDefault="0595BABA" w14:paraId="015161E8" w14:textId="5C001799">
      <w:pPr>
        <w:pStyle w:val="Normal"/>
        <w:spacing w:before="0" w:beforeAutospacing="off" w:after="160" w:afterAutospacing="off" w:line="279" w:lineRule="auto"/>
        <w:ind w:left="0" w:right="0"/>
        <w:jc w:val="left"/>
      </w:pPr>
      <w:r w:rsidR="0595BABA">
        <w:drawing>
          <wp:inline wp14:editId="0A9092E3" wp14:anchorId="17508D00">
            <wp:extent cx="1072661" cy="2324100"/>
            <wp:effectExtent l="0" t="0" r="0" b="0"/>
            <wp:docPr id="20605537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0960135" name="Picture 310960135"/>
                    <pic:cNvPicPr/>
                  </pic:nvPicPr>
                  <pic:blipFill>
                    <a:blip xmlns:r="http://schemas.openxmlformats.org/officeDocument/2006/relationships" r:embed="rId1211856851">
                      <a:extLst>
                        <a:ext uri="{28A0092B-C50C-407E-A947-70E740481C1C}">
                          <a14:useLocalDpi xmlns:a14="http://schemas.microsoft.com/office/drawing/2010/main"/>
                        </a:ext>
                      </a:extLst>
                    </a:blip>
                    <a:stretch>
                      <a:fillRect/>
                    </a:stretch>
                  </pic:blipFill>
                  <pic:spPr>
                    <a:xfrm rot="0">
                      <a:off x="0" y="0"/>
                      <a:ext cx="1072661" cy="2324100"/>
                    </a:xfrm>
                    <a:prstGeom prst="rect">
                      <a:avLst/>
                    </a:prstGeom>
                  </pic:spPr>
                </pic:pic>
              </a:graphicData>
            </a:graphic>
          </wp:inline>
        </w:drawing>
      </w:r>
    </w:p>
    <w:p w:rsidR="0595BABA" w:rsidP="156EB269" w:rsidRDefault="0595BABA" w14:paraId="09EB7115" w14:textId="7EA536D1">
      <w:pPr>
        <w:pStyle w:val="Normal"/>
        <w:spacing w:before="0" w:beforeAutospacing="off" w:after="160" w:afterAutospacing="off" w:line="279" w:lineRule="auto"/>
        <w:ind w:left="0" w:right="0"/>
        <w:jc w:val="left"/>
      </w:pPr>
      <w:r w:rsidR="0595BABA">
        <w:drawing>
          <wp:inline wp14:editId="6B2881AC" wp14:anchorId="493DDAA3">
            <wp:extent cx="1533525" cy="3322638"/>
            <wp:effectExtent l="0" t="0" r="0" b="0"/>
            <wp:docPr id="2182518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5692313" name="Picture 1895692313"/>
                    <pic:cNvPicPr/>
                  </pic:nvPicPr>
                  <pic:blipFill>
                    <a:blip xmlns:r="http://schemas.openxmlformats.org/officeDocument/2006/relationships" r:embed="rId257354645">
                      <a:extLst>
                        <a:ext uri="{28A0092B-C50C-407E-A947-70E740481C1C}">
                          <a14:useLocalDpi xmlns:a14="http://schemas.microsoft.com/office/drawing/2010/main"/>
                        </a:ext>
                      </a:extLst>
                    </a:blip>
                    <a:stretch>
                      <a:fillRect/>
                    </a:stretch>
                  </pic:blipFill>
                  <pic:spPr>
                    <a:xfrm rot="0">
                      <a:off x="0" y="0"/>
                      <a:ext cx="1533525" cy="3322638"/>
                    </a:xfrm>
                    <a:prstGeom prst="rect">
                      <a:avLst/>
                    </a:prstGeom>
                  </pic:spPr>
                </pic:pic>
              </a:graphicData>
            </a:graphic>
          </wp:inline>
        </w:drawing>
      </w:r>
    </w:p>
    <w:p w:rsidR="29D14C34" w:rsidP="156EB269" w:rsidRDefault="29D14C34" w14:paraId="2B263E8D" w14:textId="0A7318D8">
      <w:pPr>
        <w:pStyle w:val="Normal"/>
      </w:pPr>
      <w:r w:rsidRPr="156EB269" w:rsidR="29D14C34">
        <w:rPr>
          <w:b w:val="1"/>
          <w:bCs w:val="1"/>
          <w:u w:val="single"/>
        </w:rPr>
        <w:t>Appendix E</w:t>
      </w:r>
    </w:p>
    <w:p w:rsidR="29D14C34" w:rsidP="156EB269" w:rsidRDefault="29D14C34" w14:paraId="5DA8D723" w14:textId="5DD55481">
      <w:pPr>
        <w:pStyle w:val="Normal"/>
        <w:suppressLineNumbers w:val="0"/>
        <w:bidi w:val="0"/>
        <w:spacing w:before="0" w:beforeAutospacing="off" w:after="160" w:afterAutospacing="off" w:line="279" w:lineRule="auto"/>
        <w:ind w:left="0" w:right="0"/>
        <w:jc w:val="left"/>
      </w:pPr>
      <w:r w:rsidR="29D14C34">
        <w:rPr>
          <w:b w:val="0"/>
          <w:bCs w:val="0"/>
          <w:u w:val="none"/>
        </w:rPr>
        <w:t xml:space="preserve">Layout </w:t>
      </w:r>
    </w:p>
    <w:p w:rsidR="29D14C34" w:rsidP="156EB269" w:rsidRDefault="29D14C34" w14:paraId="13249351" w14:textId="4AC72C39">
      <w:pPr>
        <w:pStyle w:val="Normal"/>
      </w:pPr>
      <w:r w:rsidR="29D14C34">
        <w:drawing>
          <wp:inline wp14:editId="1726669B" wp14:anchorId="57EC2D87">
            <wp:extent cx="2211342" cy="1346651"/>
            <wp:effectExtent l="0" t="0" r="0" b="0"/>
            <wp:docPr id="13812206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2533127" name="Picture 1952533127"/>
                    <pic:cNvPicPr/>
                  </pic:nvPicPr>
                  <pic:blipFill>
                    <a:blip xmlns:r="http://schemas.openxmlformats.org/officeDocument/2006/relationships" r:embed="rId2109790565">
                      <a:extLst>
                        <a:ext uri="{28A0092B-C50C-407E-A947-70E740481C1C}">
                          <a14:useLocalDpi xmlns:a14="http://schemas.microsoft.com/office/drawing/2010/main"/>
                        </a:ext>
                      </a:extLst>
                    </a:blip>
                    <a:stretch>
                      <a:fillRect/>
                    </a:stretch>
                  </pic:blipFill>
                  <pic:spPr>
                    <a:xfrm rot="0">
                      <a:off x="0" y="0"/>
                      <a:ext cx="2211342" cy="1346651"/>
                    </a:xfrm>
                    <a:prstGeom prst="rect">
                      <a:avLst/>
                    </a:prstGeom>
                  </pic:spPr>
                </pic:pic>
              </a:graphicData>
            </a:graphic>
          </wp:inline>
        </w:drawing>
      </w:r>
    </w:p>
    <w:p w:rsidR="01EFC7AE" w:rsidP="156EB269" w:rsidRDefault="01EFC7AE" w14:paraId="0A98EBBC" w14:textId="0FB89084">
      <w:pPr>
        <w:pStyle w:val="Normal"/>
      </w:pPr>
      <w:r w:rsidRPr="156EB269" w:rsidR="01EFC7AE">
        <w:rPr>
          <w:b w:val="1"/>
          <w:bCs w:val="1"/>
          <w:u w:val="single"/>
        </w:rPr>
        <w:t>Appendix F</w:t>
      </w:r>
    </w:p>
    <w:p w:rsidR="01EFC7AE" w:rsidP="156EB269" w:rsidRDefault="01EFC7AE" w14:paraId="212CC46F" w14:textId="7CF289CE">
      <w:pPr>
        <w:pStyle w:val="Normal"/>
        <w:spacing w:before="0" w:beforeAutospacing="off" w:after="160" w:afterAutospacing="off" w:line="279" w:lineRule="auto"/>
        <w:ind w:left="0" w:right="0"/>
        <w:jc w:val="left"/>
        <w:rPr>
          <w:b w:val="0"/>
          <w:bCs w:val="0"/>
          <w:u w:val="none"/>
        </w:rPr>
      </w:pPr>
      <w:r w:rsidR="01EFC7AE">
        <w:rPr>
          <w:b w:val="0"/>
          <w:bCs w:val="0"/>
        </w:rPr>
        <w:t>Vendors / Exhibitors</w:t>
      </w:r>
    </w:p>
    <w:p w:rsidR="156EB269" w:rsidP="156EB269" w:rsidRDefault="156EB269" w14:paraId="04351027" w14:textId="18E3A72F">
      <w:pPr>
        <w:pStyle w:val="Normal"/>
      </w:pPr>
    </w:p>
    <w:p w:rsidR="07D68A27" w:rsidP="156EB269" w:rsidRDefault="07D68A27" w14:paraId="0AB017BA" w14:textId="4A26F0A8">
      <w:pPr>
        <w:pStyle w:val="Normal"/>
      </w:pPr>
      <w:r w:rsidR="07D68A27">
        <w:drawing>
          <wp:inline wp14:editId="0E1D485C" wp14:anchorId="5A697CF7">
            <wp:extent cx="2392546" cy="3238500"/>
            <wp:effectExtent l="0" t="0" r="0" b="0"/>
            <wp:docPr id="12453538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5353858" name="Picture 1245353858"/>
                    <pic:cNvPicPr/>
                  </pic:nvPicPr>
                  <pic:blipFill>
                    <a:blip xmlns:r="http://schemas.openxmlformats.org/officeDocument/2006/relationships" r:embed="rId2097264708">
                      <a:extLst>
                        <a:ext uri="{28A0092B-C50C-407E-A947-70E740481C1C}">
                          <a14:useLocalDpi xmlns:a14="http://schemas.microsoft.com/office/drawing/2010/main"/>
                        </a:ext>
                      </a:extLst>
                    </a:blip>
                    <a:stretch>
                      <a:fillRect/>
                    </a:stretch>
                  </pic:blipFill>
                  <pic:spPr>
                    <a:xfrm rot="0">
                      <a:off x="0" y="0"/>
                      <a:ext cx="2392546" cy="3238500"/>
                    </a:xfrm>
                    <a:prstGeom prst="rect">
                      <a:avLst/>
                    </a:prstGeom>
                  </pic:spPr>
                </pic:pic>
              </a:graphicData>
            </a:graphic>
          </wp:inline>
        </w:drawing>
      </w:r>
      <w:r w:rsidR="07D68A27">
        <w:drawing>
          <wp:inline wp14:editId="53BFA7C2" wp14:anchorId="58528811">
            <wp:extent cx="1921307" cy="2600688"/>
            <wp:effectExtent l="0" t="0" r="0" b="0"/>
            <wp:docPr id="21230017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3001725" name="Picture 2123001725"/>
                    <pic:cNvPicPr/>
                  </pic:nvPicPr>
                  <pic:blipFill>
                    <a:blip xmlns:r="http://schemas.openxmlformats.org/officeDocument/2006/relationships" r:embed="rId642624478">
                      <a:extLst>
                        <a:ext uri="{28A0092B-C50C-407E-A947-70E740481C1C}">
                          <a14:useLocalDpi xmlns:a14="http://schemas.microsoft.com/office/drawing/2010/main"/>
                        </a:ext>
                      </a:extLst>
                    </a:blip>
                    <a:stretch>
                      <a:fillRect/>
                    </a:stretch>
                  </pic:blipFill>
                  <pic:spPr>
                    <a:xfrm rot="0">
                      <a:off x="0" y="0"/>
                      <a:ext cx="1921307" cy="2600688"/>
                    </a:xfrm>
                    <a:prstGeom prst="rect">
                      <a:avLst/>
                    </a:prstGeom>
                  </pic:spPr>
                </pic:pic>
              </a:graphicData>
            </a:graphic>
          </wp:inline>
        </w:drawing>
      </w:r>
      <w:r w:rsidR="07D68A27">
        <w:drawing>
          <wp:inline wp14:editId="5B0E0057" wp14:anchorId="681BC451">
            <wp:extent cx="1757184" cy="2314898"/>
            <wp:effectExtent l="0" t="0" r="0" b="0"/>
            <wp:docPr id="1849548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9548184" name="Picture 1849548184"/>
                    <pic:cNvPicPr/>
                  </pic:nvPicPr>
                  <pic:blipFill>
                    <a:blip xmlns:r="http://schemas.openxmlformats.org/officeDocument/2006/relationships" r:embed="rId245847586">
                      <a:extLst>
                        <a:ext uri="{28A0092B-C50C-407E-A947-70E740481C1C}">
                          <a14:useLocalDpi xmlns:a14="http://schemas.microsoft.com/office/drawing/2010/main"/>
                        </a:ext>
                      </a:extLst>
                    </a:blip>
                    <a:stretch>
                      <a:fillRect/>
                    </a:stretch>
                  </pic:blipFill>
                  <pic:spPr>
                    <a:xfrm rot="0">
                      <a:off x="0" y="0"/>
                      <a:ext cx="1757184" cy="2314898"/>
                    </a:xfrm>
                    <a:prstGeom prst="rect">
                      <a:avLst/>
                    </a:prstGeom>
                  </pic:spPr>
                </pic:pic>
              </a:graphicData>
            </a:graphic>
          </wp:inline>
        </w:drawing>
      </w:r>
    </w:p>
    <w:p w:rsidR="156EB269" w:rsidP="156EB269" w:rsidRDefault="156EB269" w14:paraId="5D2D7896" w14:textId="7236562E">
      <w:pPr>
        <w:pStyle w:val="Normal"/>
      </w:pPr>
    </w:p>
    <w:p w:rsidR="156EB269" w:rsidP="156EB269" w:rsidRDefault="156EB269" w14:paraId="4AE669FF" w14:textId="47C47784">
      <w:pPr>
        <w:pStyle w:val="Normal"/>
      </w:pPr>
    </w:p>
    <w:p w:rsidR="520BB32B" w:rsidP="156EB269" w:rsidRDefault="520BB32B" w14:paraId="7B034B2E" w14:textId="492C2E78">
      <w:pPr>
        <w:pStyle w:val="Normal"/>
      </w:pPr>
      <w:r w:rsidR="520BB32B">
        <w:drawing>
          <wp:inline wp14:editId="14774324" wp14:anchorId="16542427">
            <wp:extent cx="4800600" cy="2646485"/>
            <wp:effectExtent l="0" t="0" r="0" b="0"/>
            <wp:docPr id="7641577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4157711" name="Picture 764157711"/>
                    <pic:cNvPicPr/>
                  </pic:nvPicPr>
                  <pic:blipFill>
                    <a:blip xmlns:r="http://schemas.openxmlformats.org/officeDocument/2006/relationships" r:embed="rId2002473366">
                      <a:extLst>
                        <a:ext uri="{28A0092B-C50C-407E-A947-70E740481C1C}">
                          <a14:useLocalDpi xmlns:a14="http://schemas.microsoft.com/office/drawing/2010/main"/>
                        </a:ext>
                      </a:extLst>
                    </a:blip>
                    <a:stretch>
                      <a:fillRect/>
                    </a:stretch>
                  </pic:blipFill>
                  <pic:spPr>
                    <a:xfrm rot="0">
                      <a:off x="0" y="0"/>
                      <a:ext cx="4800600" cy="2646485"/>
                    </a:xfrm>
                    <a:prstGeom prst="rect">
                      <a:avLst/>
                    </a:prstGeom>
                  </pic:spPr>
                </pic:pic>
              </a:graphicData>
            </a:graphic>
          </wp:inline>
        </w:drawing>
      </w:r>
    </w:p>
    <w:p w:rsidR="520BB32B" w:rsidP="156EB269" w:rsidRDefault="520BB32B" w14:paraId="1A719759" w14:textId="49BC12C2">
      <w:pPr>
        <w:pStyle w:val="Normal"/>
      </w:pPr>
      <w:r w:rsidR="520BB32B">
        <w:drawing>
          <wp:inline wp14:editId="404A8FF8" wp14:anchorId="7D1B901D">
            <wp:extent cx="3648584" cy="2448267"/>
            <wp:effectExtent l="0" t="0" r="0" b="0"/>
            <wp:docPr id="12868885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6888549" name="Picture 1286888549"/>
                    <pic:cNvPicPr/>
                  </pic:nvPicPr>
                  <pic:blipFill>
                    <a:blip xmlns:r="http://schemas.openxmlformats.org/officeDocument/2006/relationships" r:embed="rId2030907763">
                      <a:extLst>
                        <a:ext uri="{28A0092B-C50C-407E-A947-70E740481C1C}">
                          <a14:useLocalDpi xmlns:a14="http://schemas.microsoft.com/office/drawing/2010/main"/>
                        </a:ext>
                      </a:extLst>
                    </a:blip>
                    <a:stretch>
                      <a:fillRect/>
                    </a:stretch>
                  </pic:blipFill>
                  <pic:spPr>
                    <a:xfrm>
                      <a:off x="0" y="0"/>
                      <a:ext cx="3648584" cy="2448267"/>
                    </a:xfrm>
                    <a:prstGeom prst="rect">
                      <a:avLst/>
                    </a:prstGeom>
                  </pic:spPr>
                </pic:pic>
              </a:graphicData>
            </a:graphic>
          </wp:inline>
        </w:drawing>
      </w:r>
    </w:p>
    <w:p w:rsidR="156EB269" w:rsidP="156EB269" w:rsidRDefault="156EB269" w14:paraId="5C37221A" w14:textId="0165C714">
      <w:pPr>
        <w:pStyle w:val="Normal"/>
      </w:pPr>
    </w:p>
    <w:p w:rsidR="156EB269" w:rsidP="156EB269" w:rsidRDefault="156EB269" w14:paraId="26FCFE3E" w14:textId="538C969F">
      <w:pPr>
        <w:pStyle w:val="Normal"/>
      </w:pPr>
    </w:p>
    <w:p w:rsidR="156EB269" w:rsidP="156EB269" w:rsidRDefault="156EB269" w14:paraId="2F6FDDBB" w14:textId="2D1B93A9">
      <w:pPr>
        <w:pStyle w:val="Normal"/>
      </w:pPr>
    </w:p>
    <w:p w:rsidR="156EB269" w:rsidP="156EB269" w:rsidRDefault="156EB269" w14:paraId="3F4C8923" w14:textId="3A92642A">
      <w:pPr>
        <w:pStyle w:val="Normal"/>
      </w:pPr>
    </w:p>
    <w:p w:rsidR="156EB269" w:rsidP="156EB269" w:rsidRDefault="156EB269" w14:paraId="18F4AE66" w14:textId="40F49C31">
      <w:pPr>
        <w:pStyle w:val="Normal"/>
      </w:pPr>
    </w:p>
    <w:p w:rsidR="156EB269" w:rsidP="156EB269" w:rsidRDefault="156EB269" w14:paraId="161D4564" w14:textId="31455A62">
      <w:pPr>
        <w:pStyle w:val="Normal"/>
      </w:pPr>
    </w:p>
    <w:p w:rsidR="156EB269" w:rsidP="156EB269" w:rsidRDefault="156EB269" w14:paraId="48A392A7" w14:textId="6AC2696D">
      <w:pPr>
        <w:pStyle w:val="Normal"/>
      </w:pPr>
    </w:p>
    <w:p w:rsidR="156EB269" w:rsidP="156EB269" w:rsidRDefault="156EB269" w14:paraId="2913394E" w14:textId="491FCA48">
      <w:pPr>
        <w:pStyle w:val="Normal"/>
      </w:pPr>
    </w:p>
    <w:p w:rsidR="5791CB83" w:rsidP="156EB269" w:rsidRDefault="5791CB83" w14:paraId="7BABFDB6" w14:textId="7E3E543C">
      <w:pPr>
        <w:pStyle w:val="Normal"/>
        <w:rPr>
          <w:b w:val="1"/>
          <w:bCs w:val="1"/>
          <w:noProof w:val="0"/>
          <w:sz w:val="52"/>
          <w:szCs w:val="52"/>
          <w:u w:val="single"/>
          <w:lang w:val="en-US"/>
        </w:rPr>
      </w:pPr>
      <w:r w:rsidRPr="156EB269" w:rsidR="5791CB83">
        <w:rPr>
          <w:b w:val="1"/>
          <w:bCs w:val="1"/>
          <w:noProof w:val="0"/>
          <w:sz w:val="48"/>
          <w:szCs w:val="48"/>
          <w:u w:val="single"/>
          <w:lang w:val="en-US"/>
        </w:rPr>
        <w:t>Reference list</w:t>
      </w:r>
    </w:p>
    <w:p w:rsidR="156EB269" w:rsidP="156EB269" w:rsidRDefault="156EB269" w14:paraId="150B68F8" w14:textId="6E76690B">
      <w:pPr>
        <w:pStyle w:val="Normal"/>
        <w:rPr>
          <w:b w:val="1"/>
          <w:bCs w:val="1"/>
          <w:noProof w:val="0"/>
          <w:sz w:val="48"/>
          <w:szCs w:val="48"/>
          <w:u w:val="single"/>
          <w:lang w:val="en-US"/>
        </w:rPr>
      </w:pPr>
    </w:p>
    <w:p w:rsidR="5791CB83" w:rsidP="156EB269" w:rsidRDefault="5791CB83" w14:paraId="1112D364" w14:textId="47C514BE">
      <w:pPr>
        <w:spacing w:before="0" w:beforeAutospacing="off" w:after="240" w:afterAutospacing="off" w:line="360" w:lineRule="auto"/>
      </w:pPr>
      <w:r w:rsidRPr="156EB269" w:rsidR="5791CB83">
        <w:rPr>
          <w:rFonts w:ascii="Arial" w:hAnsi="Arial" w:eastAsia="Arial" w:cs="Arial"/>
          <w:noProof w:val="0"/>
          <w:sz w:val="24"/>
          <w:szCs w:val="24"/>
          <w:lang w:val="en-US"/>
        </w:rPr>
        <w:t xml:space="preserve">admin (2026a). </w:t>
      </w:r>
      <w:r w:rsidRPr="156EB269" w:rsidR="5791CB83">
        <w:rPr>
          <w:rFonts w:ascii="Arial" w:hAnsi="Arial" w:eastAsia="Arial" w:cs="Arial"/>
          <w:i w:val="1"/>
          <w:iCs w:val="1"/>
          <w:noProof w:val="0"/>
          <w:sz w:val="24"/>
          <w:szCs w:val="24"/>
          <w:lang w:val="en-US"/>
        </w:rPr>
        <w:t>About the Purple Guide</w:t>
      </w:r>
      <w:r w:rsidRPr="156EB269" w:rsidR="5791CB83">
        <w:rPr>
          <w:rFonts w:ascii="Arial" w:hAnsi="Arial" w:eastAsia="Arial" w:cs="Arial"/>
          <w:noProof w:val="0"/>
          <w:sz w:val="24"/>
          <w:szCs w:val="24"/>
          <w:lang w:val="en-US"/>
        </w:rPr>
        <w:t xml:space="preserve">. [online] Thepurpleguide.co.uk. Available at: </w:t>
      </w:r>
      <w:hyperlink r:id="R8a0e3eb718d54f97">
        <w:r w:rsidRPr="156EB269" w:rsidR="5791CB83">
          <w:rPr>
            <w:rStyle w:val="Hyperlink"/>
            <w:rFonts w:ascii="Arial" w:hAnsi="Arial" w:eastAsia="Arial" w:cs="Arial"/>
            <w:noProof w:val="0"/>
            <w:sz w:val="24"/>
            <w:szCs w:val="24"/>
            <w:lang w:val="en-US"/>
          </w:rPr>
          <w:t>https://www.thepurpleguide.co.uk/about-the-purple-guide</w:t>
        </w:r>
      </w:hyperlink>
      <w:r w:rsidRPr="156EB269" w:rsidR="5791CB83">
        <w:rPr>
          <w:rFonts w:ascii="Arial" w:hAnsi="Arial" w:eastAsia="Arial" w:cs="Arial"/>
          <w:noProof w:val="0"/>
          <w:sz w:val="24"/>
          <w:szCs w:val="24"/>
          <w:lang w:val="en-US"/>
        </w:rPr>
        <w:t>.</w:t>
      </w:r>
    </w:p>
    <w:p w:rsidR="5791CB83" w:rsidP="156EB269" w:rsidRDefault="5791CB83" w14:paraId="1E713DD5" w14:textId="3137DDD8">
      <w:pPr>
        <w:spacing w:before="0" w:beforeAutospacing="off" w:after="240" w:afterAutospacing="off" w:line="360" w:lineRule="auto"/>
      </w:pPr>
      <w:r w:rsidRPr="156EB269" w:rsidR="5791CB83">
        <w:rPr>
          <w:rFonts w:ascii="Arial" w:hAnsi="Arial" w:eastAsia="Arial" w:cs="Arial"/>
          <w:noProof w:val="0"/>
          <w:sz w:val="24"/>
          <w:szCs w:val="24"/>
          <w:lang w:val="en-US"/>
        </w:rPr>
        <w:t xml:space="preserve">admin (2026b). </w:t>
      </w:r>
      <w:r w:rsidRPr="156EB269" w:rsidR="5791CB83">
        <w:rPr>
          <w:rFonts w:ascii="Arial" w:hAnsi="Arial" w:eastAsia="Arial" w:cs="Arial"/>
          <w:i w:val="1"/>
          <w:iCs w:val="1"/>
          <w:noProof w:val="0"/>
          <w:sz w:val="24"/>
          <w:szCs w:val="24"/>
          <w:lang w:val="en-US"/>
        </w:rPr>
        <w:t>The Purple Guide Lite</w:t>
      </w:r>
      <w:r w:rsidRPr="156EB269" w:rsidR="5791CB83">
        <w:rPr>
          <w:rFonts w:ascii="Arial" w:hAnsi="Arial" w:eastAsia="Arial" w:cs="Arial"/>
          <w:noProof w:val="0"/>
          <w:sz w:val="24"/>
          <w:szCs w:val="24"/>
          <w:lang w:val="en-US"/>
        </w:rPr>
        <w:t xml:space="preserve">. [online] Thepurpleguide.co.uk. Available at: </w:t>
      </w:r>
      <w:hyperlink r:id="R04dfab85f5fe4c41">
        <w:r w:rsidRPr="156EB269" w:rsidR="5791CB83">
          <w:rPr>
            <w:rStyle w:val="Hyperlink"/>
            <w:rFonts w:ascii="Arial" w:hAnsi="Arial" w:eastAsia="Arial" w:cs="Arial"/>
            <w:noProof w:val="0"/>
            <w:sz w:val="24"/>
            <w:szCs w:val="24"/>
            <w:lang w:val="en-US"/>
          </w:rPr>
          <w:t>https://www.thepurpleguide.co.uk/purple-guide-lite</w:t>
        </w:r>
      </w:hyperlink>
      <w:r w:rsidRPr="156EB269" w:rsidR="5791CB83">
        <w:rPr>
          <w:rFonts w:ascii="Arial" w:hAnsi="Arial" w:eastAsia="Arial" w:cs="Arial"/>
          <w:noProof w:val="0"/>
          <w:sz w:val="24"/>
          <w:szCs w:val="24"/>
          <w:lang w:val="en-US"/>
        </w:rPr>
        <w:t>.</w:t>
      </w:r>
    </w:p>
    <w:p w:rsidR="5791CB83" w:rsidP="156EB269" w:rsidRDefault="5791CB83" w14:paraId="2BC2B8B2" w14:textId="0CB92F25">
      <w:pPr>
        <w:spacing w:before="0" w:beforeAutospacing="off" w:after="240" w:afterAutospacing="off" w:line="360" w:lineRule="auto"/>
      </w:pPr>
      <w:r w:rsidRPr="156EB269" w:rsidR="5791CB83">
        <w:rPr>
          <w:rFonts w:ascii="Arial" w:hAnsi="Arial" w:eastAsia="Arial" w:cs="Arial"/>
          <w:noProof w:val="0"/>
          <w:sz w:val="24"/>
          <w:szCs w:val="24"/>
          <w:lang w:val="en-US"/>
        </w:rPr>
        <w:t xml:space="preserve">AEO. (2017). </w:t>
      </w:r>
      <w:r w:rsidRPr="156EB269" w:rsidR="5791CB83">
        <w:rPr>
          <w:rFonts w:ascii="Arial" w:hAnsi="Arial" w:eastAsia="Arial" w:cs="Arial"/>
          <w:i w:val="1"/>
          <w:iCs w:val="1"/>
          <w:noProof w:val="0"/>
          <w:sz w:val="24"/>
          <w:szCs w:val="24"/>
          <w:lang w:val="en-US"/>
        </w:rPr>
        <w:t>AEO</w:t>
      </w:r>
      <w:r w:rsidRPr="156EB269" w:rsidR="5791CB83">
        <w:rPr>
          <w:rFonts w:ascii="Arial" w:hAnsi="Arial" w:eastAsia="Arial" w:cs="Arial"/>
          <w:noProof w:val="0"/>
          <w:sz w:val="24"/>
          <w:szCs w:val="24"/>
          <w:lang w:val="en-US"/>
        </w:rPr>
        <w:t xml:space="preserve">. [online] Available at: </w:t>
      </w:r>
      <w:hyperlink r:id="R4f3384177c594e52">
        <w:r w:rsidRPr="156EB269" w:rsidR="5791CB83">
          <w:rPr>
            <w:rStyle w:val="Hyperlink"/>
            <w:rFonts w:ascii="Arial" w:hAnsi="Arial" w:eastAsia="Arial" w:cs="Arial"/>
            <w:noProof w:val="0"/>
            <w:sz w:val="24"/>
            <w:szCs w:val="24"/>
            <w:lang w:val="en-US"/>
          </w:rPr>
          <w:t>https://www.aeo.org.uk/</w:t>
        </w:r>
      </w:hyperlink>
      <w:r w:rsidRPr="156EB269" w:rsidR="5791CB83">
        <w:rPr>
          <w:rFonts w:ascii="Arial" w:hAnsi="Arial" w:eastAsia="Arial" w:cs="Arial"/>
          <w:noProof w:val="0"/>
          <w:sz w:val="24"/>
          <w:szCs w:val="24"/>
          <w:lang w:val="en-US"/>
        </w:rPr>
        <w:t>.</w:t>
      </w:r>
    </w:p>
    <w:p w:rsidR="5791CB83" w:rsidP="156EB269" w:rsidRDefault="5791CB83" w14:paraId="7BC883B0" w14:textId="4F60AAC6">
      <w:pPr>
        <w:spacing w:before="0" w:beforeAutospacing="off" w:after="240" w:afterAutospacing="off" w:line="360" w:lineRule="auto"/>
      </w:pPr>
      <w:r w:rsidRPr="156EB269" w:rsidR="5791CB83">
        <w:rPr>
          <w:rFonts w:ascii="Arial" w:hAnsi="Arial" w:eastAsia="Arial" w:cs="Arial"/>
          <w:noProof w:val="0"/>
          <w:sz w:val="24"/>
          <w:szCs w:val="24"/>
          <w:lang w:val="en-US"/>
        </w:rPr>
        <w:t xml:space="preserve">Attitude is Everything (2025). </w:t>
      </w:r>
      <w:r w:rsidRPr="156EB269" w:rsidR="5791CB83">
        <w:rPr>
          <w:rFonts w:ascii="Arial" w:hAnsi="Arial" w:eastAsia="Arial" w:cs="Arial"/>
          <w:i w:val="1"/>
          <w:iCs w:val="1"/>
          <w:noProof w:val="0"/>
          <w:sz w:val="24"/>
          <w:szCs w:val="24"/>
          <w:lang w:val="en-US"/>
        </w:rPr>
        <w:t>Attitude is Everything - Improving access together</w:t>
      </w:r>
      <w:r w:rsidRPr="156EB269" w:rsidR="5791CB83">
        <w:rPr>
          <w:rFonts w:ascii="Arial" w:hAnsi="Arial" w:eastAsia="Arial" w:cs="Arial"/>
          <w:noProof w:val="0"/>
          <w:sz w:val="24"/>
          <w:szCs w:val="24"/>
          <w:lang w:val="en-US"/>
        </w:rPr>
        <w:t xml:space="preserve">. [online] Attitude is Everything. Available at: </w:t>
      </w:r>
      <w:hyperlink r:id="Rd6930d82fd354454">
        <w:r w:rsidRPr="156EB269" w:rsidR="5791CB83">
          <w:rPr>
            <w:rStyle w:val="Hyperlink"/>
            <w:rFonts w:ascii="Arial" w:hAnsi="Arial" w:eastAsia="Arial" w:cs="Arial"/>
            <w:noProof w:val="0"/>
            <w:sz w:val="24"/>
            <w:szCs w:val="24"/>
            <w:lang w:val="en-US"/>
          </w:rPr>
          <w:t>https://attitudeiseverything.org.uk/</w:t>
        </w:r>
      </w:hyperlink>
      <w:r w:rsidRPr="156EB269" w:rsidR="5791CB83">
        <w:rPr>
          <w:rFonts w:ascii="Arial" w:hAnsi="Arial" w:eastAsia="Arial" w:cs="Arial"/>
          <w:noProof w:val="0"/>
          <w:sz w:val="24"/>
          <w:szCs w:val="24"/>
          <w:lang w:val="en-US"/>
        </w:rPr>
        <w:t>.</w:t>
      </w:r>
    </w:p>
    <w:p w:rsidR="5791CB83" w:rsidP="156EB269" w:rsidRDefault="5791CB83" w14:paraId="592D78FE" w14:textId="0E672AE1">
      <w:pPr>
        <w:spacing w:before="0" w:beforeAutospacing="off" w:after="240" w:afterAutospacing="off" w:line="360" w:lineRule="auto"/>
      </w:pPr>
      <w:r w:rsidRPr="156EB269" w:rsidR="5791CB83">
        <w:rPr>
          <w:rFonts w:ascii="Arial" w:hAnsi="Arial" w:eastAsia="Arial" w:cs="Arial"/>
          <w:noProof w:val="0"/>
          <w:sz w:val="24"/>
          <w:szCs w:val="24"/>
          <w:lang w:val="en-US"/>
        </w:rPr>
        <w:t xml:space="preserve">Bakhshi, H. (2019). </w:t>
      </w:r>
      <w:r w:rsidRPr="156EB269" w:rsidR="5791CB83">
        <w:rPr>
          <w:rFonts w:ascii="Arial" w:hAnsi="Arial" w:eastAsia="Arial" w:cs="Arial"/>
          <w:i w:val="1"/>
          <w:iCs w:val="1"/>
          <w:noProof w:val="0"/>
          <w:sz w:val="24"/>
          <w:szCs w:val="24"/>
          <w:lang w:val="en-US"/>
        </w:rPr>
        <w:t>Catalogue de tableaux anciens École italienne et autres, tableaux modernes, aquarelles, pastels</w:t>
      </w:r>
      <w:r w:rsidRPr="156EB269" w:rsidR="5791CB83">
        <w:rPr>
          <w:rFonts w:ascii="Arial" w:hAnsi="Arial" w:eastAsia="Arial" w:cs="Arial"/>
          <w:noProof w:val="0"/>
          <w:sz w:val="24"/>
          <w:szCs w:val="24"/>
          <w:lang w:val="en-US"/>
        </w:rPr>
        <w:t>.</w:t>
      </w:r>
    </w:p>
    <w:p w:rsidR="5791CB83" w:rsidP="156EB269" w:rsidRDefault="5791CB83" w14:paraId="157A6E28" w14:textId="18F9C7D7">
      <w:pPr>
        <w:spacing w:before="0" w:beforeAutospacing="off" w:after="240" w:afterAutospacing="off" w:line="360" w:lineRule="auto"/>
      </w:pPr>
      <w:r w:rsidRPr="156EB269" w:rsidR="5791CB83">
        <w:rPr>
          <w:rFonts w:ascii="Arial" w:hAnsi="Arial" w:eastAsia="Arial" w:cs="Arial"/>
          <w:noProof w:val="0"/>
          <w:sz w:val="24"/>
          <w:szCs w:val="24"/>
          <w:lang w:val="en-US"/>
        </w:rPr>
        <w:t xml:space="preserve">Barnes, A. and Wright, K. (2023). </w:t>
      </w:r>
      <w:r w:rsidRPr="156EB269" w:rsidR="5791CB83">
        <w:rPr>
          <w:rFonts w:ascii="Arial" w:hAnsi="Arial" w:eastAsia="Arial" w:cs="Arial"/>
          <w:i w:val="1"/>
          <w:iCs w:val="1"/>
          <w:noProof w:val="0"/>
          <w:sz w:val="24"/>
          <w:szCs w:val="24"/>
          <w:lang w:val="en-US"/>
        </w:rPr>
        <w:t>Inspiring children and young people’s career journeys through work-related experiences</w:t>
      </w:r>
      <w:r w:rsidRPr="156EB269" w:rsidR="5791CB83">
        <w:rPr>
          <w:rFonts w:ascii="Arial" w:hAnsi="Arial" w:eastAsia="Arial" w:cs="Arial"/>
          <w:noProof w:val="0"/>
          <w:sz w:val="24"/>
          <w:szCs w:val="24"/>
          <w:lang w:val="en-US"/>
        </w:rPr>
        <w:t xml:space="preserve">. [online] Available at: </w:t>
      </w:r>
      <w:hyperlink r:id="Rea34b07cf86942dc">
        <w:r w:rsidRPr="156EB269" w:rsidR="5791CB83">
          <w:rPr>
            <w:rStyle w:val="Hyperlink"/>
            <w:rFonts w:ascii="Arial" w:hAnsi="Arial" w:eastAsia="Arial" w:cs="Arial"/>
            <w:noProof w:val="0"/>
            <w:sz w:val="24"/>
            <w:szCs w:val="24"/>
            <w:lang w:val="en-US"/>
          </w:rPr>
          <w:t>https://www.gov.wales/sites/default/files/publications/2023-09/inspiring-children-and-young-peoples-career-journeys-through-work-related-experiences.pdf</w:t>
        </w:r>
      </w:hyperlink>
      <w:r w:rsidRPr="156EB269" w:rsidR="5791CB83">
        <w:rPr>
          <w:rFonts w:ascii="Arial" w:hAnsi="Arial" w:eastAsia="Arial" w:cs="Arial"/>
          <w:noProof w:val="0"/>
          <w:sz w:val="24"/>
          <w:szCs w:val="24"/>
          <w:lang w:val="en-US"/>
        </w:rPr>
        <w:t>.</w:t>
      </w:r>
    </w:p>
    <w:p w:rsidR="5791CB83" w:rsidP="156EB269" w:rsidRDefault="5791CB83" w14:paraId="29128DDE" w14:textId="0DA65273">
      <w:pPr>
        <w:spacing w:before="0" w:beforeAutospacing="off" w:after="240" w:afterAutospacing="off" w:line="360" w:lineRule="auto"/>
      </w:pPr>
      <w:r w:rsidRPr="156EB269" w:rsidR="5791CB83">
        <w:rPr>
          <w:rFonts w:ascii="Arial" w:hAnsi="Arial" w:eastAsia="Arial" w:cs="Arial"/>
          <w:noProof w:val="0"/>
          <w:sz w:val="24"/>
          <w:szCs w:val="24"/>
          <w:lang w:val="en-US"/>
        </w:rPr>
        <w:t xml:space="preserve">Baylis, C. (2024). </w:t>
      </w:r>
      <w:r w:rsidRPr="156EB269" w:rsidR="5791CB83">
        <w:rPr>
          <w:rFonts w:ascii="Arial" w:hAnsi="Arial" w:eastAsia="Arial" w:cs="Arial"/>
          <w:i w:val="1"/>
          <w:iCs w:val="1"/>
          <w:noProof w:val="0"/>
          <w:sz w:val="24"/>
          <w:szCs w:val="24"/>
          <w:lang w:val="en-US"/>
        </w:rPr>
        <w:t>The Definitive Guide to the Sponsorship Proposal: 7 Steps to a Proposal that Actually Works!</w:t>
      </w:r>
      <w:r w:rsidRPr="156EB269" w:rsidR="5791CB83">
        <w:rPr>
          <w:rFonts w:ascii="Arial" w:hAnsi="Arial" w:eastAsia="Arial" w:cs="Arial"/>
          <w:noProof w:val="0"/>
          <w:sz w:val="24"/>
          <w:szCs w:val="24"/>
          <w:lang w:val="en-US"/>
        </w:rPr>
        <w:t xml:space="preserve"> [online] The Sponsorship Collective. Available at: </w:t>
      </w:r>
      <w:hyperlink r:id="Rcf26ea9df5ca46d3">
        <w:r w:rsidRPr="156EB269" w:rsidR="5791CB83">
          <w:rPr>
            <w:rStyle w:val="Hyperlink"/>
            <w:rFonts w:ascii="Arial" w:hAnsi="Arial" w:eastAsia="Arial" w:cs="Arial"/>
            <w:noProof w:val="0"/>
            <w:sz w:val="24"/>
            <w:szCs w:val="24"/>
            <w:lang w:val="en-US"/>
          </w:rPr>
          <w:t>https://sponsorshipcollective.com/blog/definitive-guide-sponsorship-proposal/</w:t>
        </w:r>
      </w:hyperlink>
      <w:r w:rsidRPr="156EB269" w:rsidR="5791CB83">
        <w:rPr>
          <w:rFonts w:ascii="Arial" w:hAnsi="Arial" w:eastAsia="Arial" w:cs="Arial"/>
          <w:noProof w:val="0"/>
          <w:sz w:val="24"/>
          <w:szCs w:val="24"/>
          <w:lang w:val="en-US"/>
        </w:rPr>
        <w:t xml:space="preserve"> [Accessed 27 Mar. 2026].</w:t>
      </w:r>
    </w:p>
    <w:p w:rsidR="5791CB83" w:rsidP="156EB269" w:rsidRDefault="5791CB83" w14:paraId="67AEF9EF" w14:textId="6BDD22CC">
      <w:pPr>
        <w:spacing w:before="0" w:beforeAutospacing="off" w:after="240" w:afterAutospacing="off" w:line="360" w:lineRule="auto"/>
      </w:pPr>
      <w:r w:rsidRPr="156EB269" w:rsidR="5791CB83">
        <w:rPr>
          <w:rFonts w:ascii="Arial" w:hAnsi="Arial" w:eastAsia="Arial" w:cs="Arial"/>
          <w:noProof w:val="0"/>
          <w:sz w:val="24"/>
          <w:szCs w:val="24"/>
          <w:lang w:val="en-US"/>
        </w:rPr>
        <w:t xml:space="preserve">Benson, M. (2026). </w:t>
      </w:r>
      <w:r w:rsidRPr="156EB269" w:rsidR="5791CB83">
        <w:rPr>
          <w:rFonts w:ascii="Arial" w:hAnsi="Arial" w:eastAsia="Arial" w:cs="Arial"/>
          <w:i w:val="1"/>
          <w:iCs w:val="1"/>
          <w:noProof w:val="0"/>
          <w:sz w:val="24"/>
          <w:szCs w:val="24"/>
          <w:lang w:val="en-US"/>
        </w:rPr>
        <w:t>Leveraging LinkedIn for your event marketing – Event Marketing Partners</w:t>
      </w:r>
      <w:r w:rsidRPr="156EB269" w:rsidR="5791CB83">
        <w:rPr>
          <w:rFonts w:ascii="Arial" w:hAnsi="Arial" w:eastAsia="Arial" w:cs="Arial"/>
          <w:noProof w:val="0"/>
          <w:sz w:val="24"/>
          <w:szCs w:val="24"/>
          <w:lang w:val="en-US"/>
        </w:rPr>
        <w:t xml:space="preserve">. [online] Eventmarketingpartners.com. Available at: </w:t>
      </w:r>
      <w:hyperlink r:id="R555012a1e1ba409a">
        <w:r w:rsidRPr="156EB269" w:rsidR="5791CB83">
          <w:rPr>
            <w:rStyle w:val="Hyperlink"/>
            <w:rFonts w:ascii="Arial" w:hAnsi="Arial" w:eastAsia="Arial" w:cs="Arial"/>
            <w:noProof w:val="0"/>
            <w:sz w:val="24"/>
            <w:szCs w:val="24"/>
            <w:lang w:val="en-US"/>
          </w:rPr>
          <w:t>https://eventmarketingpartners.com/leveraging-linkedin-for-your-event-marketing/</w:t>
        </w:r>
      </w:hyperlink>
      <w:r w:rsidRPr="156EB269" w:rsidR="5791CB83">
        <w:rPr>
          <w:rFonts w:ascii="Arial" w:hAnsi="Arial" w:eastAsia="Arial" w:cs="Arial"/>
          <w:noProof w:val="0"/>
          <w:sz w:val="24"/>
          <w:szCs w:val="24"/>
          <w:lang w:val="en-US"/>
        </w:rPr>
        <w:t xml:space="preserve"> [Accessed 27 Mar. 2026].</w:t>
      </w:r>
    </w:p>
    <w:p w:rsidR="5791CB83" w:rsidP="156EB269" w:rsidRDefault="5791CB83" w14:paraId="316C9A03" w14:textId="099EC7AA">
      <w:pPr>
        <w:spacing w:before="0" w:beforeAutospacing="off" w:after="240" w:afterAutospacing="off" w:line="360" w:lineRule="auto"/>
      </w:pPr>
      <w:r w:rsidRPr="156EB269" w:rsidR="5791CB83">
        <w:rPr>
          <w:rFonts w:ascii="Arial" w:hAnsi="Arial" w:eastAsia="Arial" w:cs="Arial"/>
          <w:noProof w:val="0"/>
          <w:sz w:val="24"/>
          <w:szCs w:val="24"/>
          <w:lang w:val="en-US"/>
        </w:rPr>
        <w:t xml:space="preserve">British Safety Council. (2025). </w:t>
      </w:r>
      <w:r w:rsidRPr="156EB269" w:rsidR="5791CB83">
        <w:rPr>
          <w:rFonts w:ascii="Arial" w:hAnsi="Arial" w:eastAsia="Arial" w:cs="Arial"/>
          <w:i w:val="1"/>
          <w:iCs w:val="1"/>
          <w:noProof w:val="0"/>
          <w:sz w:val="24"/>
          <w:szCs w:val="24"/>
          <w:lang w:val="en-US"/>
        </w:rPr>
        <w:t>Risk Assessment and Management: A Complete Guide | British Safety Council</w:t>
      </w:r>
      <w:r w:rsidRPr="156EB269" w:rsidR="5791CB83">
        <w:rPr>
          <w:rFonts w:ascii="Arial" w:hAnsi="Arial" w:eastAsia="Arial" w:cs="Arial"/>
          <w:noProof w:val="0"/>
          <w:sz w:val="24"/>
          <w:szCs w:val="24"/>
          <w:lang w:val="en-US"/>
        </w:rPr>
        <w:t xml:space="preserve">. [online] Available at: </w:t>
      </w:r>
      <w:hyperlink r:id="R85b839b3376a420a">
        <w:r w:rsidRPr="156EB269" w:rsidR="5791CB83">
          <w:rPr>
            <w:rStyle w:val="Hyperlink"/>
            <w:rFonts w:ascii="Arial" w:hAnsi="Arial" w:eastAsia="Arial" w:cs="Arial"/>
            <w:noProof w:val="0"/>
            <w:sz w:val="24"/>
            <w:szCs w:val="24"/>
            <w:lang w:val="en-US"/>
          </w:rPr>
          <w:t>https://www.britsafe.org/training-and-learning/informational-resources/risk-assessments-what-they-are-why-theyre-important-and-how-to-complete-them</w:t>
        </w:r>
      </w:hyperlink>
      <w:r w:rsidRPr="156EB269" w:rsidR="5791CB83">
        <w:rPr>
          <w:rFonts w:ascii="Arial" w:hAnsi="Arial" w:eastAsia="Arial" w:cs="Arial"/>
          <w:noProof w:val="0"/>
          <w:sz w:val="24"/>
          <w:szCs w:val="24"/>
          <w:lang w:val="en-US"/>
        </w:rPr>
        <w:t>.</w:t>
      </w:r>
    </w:p>
    <w:p w:rsidR="5791CB83" w:rsidP="156EB269" w:rsidRDefault="5791CB83" w14:paraId="46ACAEC9" w14:textId="5B4A6B12">
      <w:pPr>
        <w:spacing w:before="0" w:beforeAutospacing="off" w:after="240" w:afterAutospacing="off" w:line="360" w:lineRule="auto"/>
      </w:pPr>
      <w:r w:rsidRPr="156EB269" w:rsidR="5791CB83">
        <w:rPr>
          <w:rFonts w:ascii="Arial" w:hAnsi="Arial" w:eastAsia="Arial" w:cs="Arial"/>
          <w:noProof w:val="0"/>
          <w:sz w:val="24"/>
          <w:szCs w:val="24"/>
          <w:lang w:val="en-US"/>
        </w:rPr>
        <w:t xml:space="preserve">Careers Wales (2026). </w:t>
      </w:r>
      <w:r w:rsidRPr="156EB269" w:rsidR="5791CB83">
        <w:rPr>
          <w:rFonts w:ascii="Arial" w:hAnsi="Arial" w:eastAsia="Arial" w:cs="Arial"/>
          <w:i w:val="1"/>
          <w:iCs w:val="1"/>
          <w:noProof w:val="0"/>
          <w:sz w:val="24"/>
          <w:szCs w:val="24"/>
          <w:lang w:val="en-US"/>
        </w:rPr>
        <w:t>Careers Wales | Careers Wales</w:t>
      </w:r>
      <w:r w:rsidRPr="156EB269" w:rsidR="5791CB83">
        <w:rPr>
          <w:rFonts w:ascii="Arial" w:hAnsi="Arial" w:eastAsia="Arial" w:cs="Arial"/>
          <w:noProof w:val="0"/>
          <w:sz w:val="24"/>
          <w:szCs w:val="24"/>
          <w:lang w:val="en-US"/>
        </w:rPr>
        <w:t xml:space="preserve">. [online] careerswales.gov.wales. Available at: </w:t>
      </w:r>
      <w:hyperlink r:id="R9804bdbd9fe14bad">
        <w:r w:rsidRPr="156EB269" w:rsidR="5791CB83">
          <w:rPr>
            <w:rStyle w:val="Hyperlink"/>
            <w:rFonts w:ascii="Arial" w:hAnsi="Arial" w:eastAsia="Arial" w:cs="Arial"/>
            <w:noProof w:val="0"/>
            <w:sz w:val="24"/>
            <w:szCs w:val="24"/>
            <w:lang w:val="en-US"/>
          </w:rPr>
          <w:t>https://careerswales.gov.wales/</w:t>
        </w:r>
      </w:hyperlink>
      <w:r w:rsidRPr="156EB269" w:rsidR="5791CB83">
        <w:rPr>
          <w:rFonts w:ascii="Arial" w:hAnsi="Arial" w:eastAsia="Arial" w:cs="Arial"/>
          <w:noProof w:val="0"/>
          <w:sz w:val="24"/>
          <w:szCs w:val="24"/>
          <w:lang w:val="en-US"/>
        </w:rPr>
        <w:t>.</w:t>
      </w:r>
    </w:p>
    <w:p w:rsidR="5791CB83" w:rsidP="156EB269" w:rsidRDefault="5791CB83" w14:paraId="4C0FDBE3" w14:textId="4497028B">
      <w:pPr>
        <w:spacing w:before="0" w:beforeAutospacing="off" w:after="240" w:afterAutospacing="off" w:line="360" w:lineRule="auto"/>
      </w:pPr>
      <w:r w:rsidRPr="156EB269" w:rsidR="5791CB83">
        <w:rPr>
          <w:rFonts w:ascii="Arial" w:hAnsi="Arial" w:eastAsia="Arial" w:cs="Arial"/>
          <w:noProof w:val="0"/>
          <w:sz w:val="24"/>
          <w:szCs w:val="24"/>
          <w:lang w:val="en-US"/>
        </w:rPr>
        <w:t xml:space="preserve">Crown Institute London (2026). </w:t>
      </w:r>
      <w:r w:rsidRPr="156EB269" w:rsidR="5791CB83">
        <w:rPr>
          <w:rFonts w:ascii="Arial" w:hAnsi="Arial" w:eastAsia="Arial" w:cs="Arial"/>
          <w:i w:val="1"/>
          <w:iCs w:val="1"/>
          <w:noProof w:val="0"/>
          <w:sz w:val="24"/>
          <w:szCs w:val="24"/>
          <w:lang w:val="en-US"/>
        </w:rPr>
        <w:t>Introduction to Budgeting for Events Training Course for Managers</w:t>
      </w:r>
      <w:r w:rsidRPr="156EB269" w:rsidR="5791CB83">
        <w:rPr>
          <w:rFonts w:ascii="Arial" w:hAnsi="Arial" w:eastAsia="Arial" w:cs="Arial"/>
          <w:noProof w:val="0"/>
          <w:sz w:val="24"/>
          <w:szCs w:val="24"/>
          <w:lang w:val="en-US"/>
        </w:rPr>
        <w:t xml:space="preserve">. [online] Clinstitute.co.uk. Available at: </w:t>
      </w:r>
      <w:hyperlink r:id="Rbd98a2da02c74386">
        <w:r w:rsidRPr="156EB269" w:rsidR="5791CB83">
          <w:rPr>
            <w:rStyle w:val="Hyperlink"/>
            <w:rFonts w:ascii="Arial" w:hAnsi="Arial" w:eastAsia="Arial" w:cs="Arial"/>
            <w:noProof w:val="0"/>
            <w:sz w:val="24"/>
            <w:szCs w:val="24"/>
            <w:lang w:val="en-US"/>
          </w:rPr>
          <w:t>https://clinstitute.co.uk/management/event-management/introduction-to-budgeting-for-events-training-course-for-managers</w:t>
        </w:r>
      </w:hyperlink>
      <w:r w:rsidRPr="156EB269" w:rsidR="5791CB83">
        <w:rPr>
          <w:rFonts w:ascii="Arial" w:hAnsi="Arial" w:eastAsia="Arial" w:cs="Arial"/>
          <w:noProof w:val="0"/>
          <w:sz w:val="24"/>
          <w:szCs w:val="24"/>
          <w:lang w:val="en-US"/>
        </w:rPr>
        <w:t xml:space="preserve"> [Accessed 27 Mar. 2026].</w:t>
      </w:r>
    </w:p>
    <w:p w:rsidR="5791CB83" w:rsidP="156EB269" w:rsidRDefault="5791CB83" w14:paraId="1F9020CF" w14:textId="16B5EFE3">
      <w:pPr>
        <w:spacing w:before="0" w:beforeAutospacing="off" w:after="240" w:afterAutospacing="off" w:line="360" w:lineRule="auto"/>
      </w:pPr>
      <w:r w:rsidRPr="156EB269" w:rsidR="5791CB83">
        <w:rPr>
          <w:rFonts w:ascii="Arial" w:hAnsi="Arial" w:eastAsia="Arial" w:cs="Arial"/>
          <w:noProof w:val="0"/>
          <w:sz w:val="24"/>
          <w:szCs w:val="24"/>
          <w:lang w:val="en-US"/>
        </w:rPr>
        <w:t xml:space="preserve">Design Council (2026). </w:t>
      </w:r>
      <w:r w:rsidRPr="156EB269" w:rsidR="5791CB83">
        <w:rPr>
          <w:rFonts w:ascii="Arial" w:hAnsi="Arial" w:eastAsia="Arial" w:cs="Arial"/>
          <w:i w:val="1"/>
          <w:iCs w:val="1"/>
          <w:noProof w:val="0"/>
          <w:sz w:val="24"/>
          <w:szCs w:val="24"/>
          <w:lang w:val="en-US"/>
        </w:rPr>
        <w:t>Design Economy - Design Council</w:t>
      </w:r>
      <w:r w:rsidRPr="156EB269" w:rsidR="5791CB83">
        <w:rPr>
          <w:rFonts w:ascii="Arial" w:hAnsi="Arial" w:eastAsia="Arial" w:cs="Arial"/>
          <w:noProof w:val="0"/>
          <w:sz w:val="24"/>
          <w:szCs w:val="24"/>
          <w:lang w:val="en-US"/>
        </w:rPr>
        <w:t xml:space="preserve">. [online] </w:t>
      </w:r>
      <w:hyperlink r:id="R83c9e203a7ad4c9f">
        <w:r w:rsidRPr="156EB269" w:rsidR="5791CB83">
          <w:rPr>
            <w:rStyle w:val="Hyperlink"/>
            <w:rFonts w:ascii="Arial" w:hAnsi="Arial" w:eastAsia="Arial" w:cs="Arial"/>
            <w:noProof w:val="0"/>
            <w:sz w:val="24"/>
            <w:szCs w:val="24"/>
            <w:lang w:val="en-US"/>
          </w:rPr>
          <w:t>www.designcouncil.org.uk</w:t>
        </w:r>
      </w:hyperlink>
      <w:r w:rsidRPr="156EB269" w:rsidR="5791CB83">
        <w:rPr>
          <w:rFonts w:ascii="Arial" w:hAnsi="Arial" w:eastAsia="Arial" w:cs="Arial"/>
          <w:noProof w:val="0"/>
          <w:sz w:val="24"/>
          <w:szCs w:val="24"/>
          <w:lang w:val="en-US"/>
        </w:rPr>
        <w:t xml:space="preserve">. Available at: </w:t>
      </w:r>
      <w:hyperlink r:id="R6aa351a6205445cf">
        <w:r w:rsidRPr="156EB269" w:rsidR="5791CB83">
          <w:rPr>
            <w:rStyle w:val="Hyperlink"/>
            <w:rFonts w:ascii="Arial" w:hAnsi="Arial" w:eastAsia="Arial" w:cs="Arial"/>
            <w:noProof w:val="0"/>
            <w:sz w:val="24"/>
            <w:szCs w:val="24"/>
            <w:lang w:val="en-US"/>
          </w:rPr>
          <w:t>https://www.designcouncil.org.uk/our-work/design-economy/</w:t>
        </w:r>
      </w:hyperlink>
      <w:r w:rsidRPr="156EB269" w:rsidR="5791CB83">
        <w:rPr>
          <w:rFonts w:ascii="Arial" w:hAnsi="Arial" w:eastAsia="Arial" w:cs="Arial"/>
          <w:noProof w:val="0"/>
          <w:sz w:val="24"/>
          <w:szCs w:val="24"/>
          <w:lang w:val="en-US"/>
        </w:rPr>
        <w:t>.</w:t>
      </w:r>
    </w:p>
    <w:p w:rsidR="5791CB83" w:rsidP="156EB269" w:rsidRDefault="5791CB83" w14:paraId="01879F54" w14:textId="2CDDADEB">
      <w:pPr>
        <w:spacing w:before="0" w:beforeAutospacing="off" w:after="240" w:afterAutospacing="off" w:line="360" w:lineRule="auto"/>
      </w:pPr>
      <w:r w:rsidRPr="156EB269" w:rsidR="5791CB83">
        <w:rPr>
          <w:rFonts w:ascii="Arial" w:hAnsi="Arial" w:eastAsia="Arial" w:cs="Arial"/>
          <w:noProof w:val="0"/>
          <w:sz w:val="24"/>
          <w:szCs w:val="24"/>
          <w:lang w:val="en-US"/>
        </w:rPr>
        <w:t xml:space="preserve">Disability Rights UK (2022). </w:t>
      </w:r>
      <w:r w:rsidRPr="156EB269" w:rsidR="5791CB83">
        <w:rPr>
          <w:rFonts w:ascii="Arial" w:hAnsi="Arial" w:eastAsia="Arial" w:cs="Arial"/>
          <w:i w:val="1"/>
          <w:iCs w:val="1"/>
          <w:noProof w:val="0"/>
          <w:sz w:val="24"/>
          <w:szCs w:val="24"/>
          <w:lang w:val="en-US"/>
        </w:rPr>
        <w:t>Disability Rights UK</w:t>
      </w:r>
      <w:r w:rsidRPr="156EB269" w:rsidR="5791CB83">
        <w:rPr>
          <w:rFonts w:ascii="Arial" w:hAnsi="Arial" w:eastAsia="Arial" w:cs="Arial"/>
          <w:noProof w:val="0"/>
          <w:sz w:val="24"/>
          <w:szCs w:val="24"/>
          <w:lang w:val="en-US"/>
        </w:rPr>
        <w:t xml:space="preserve">. [online] </w:t>
      </w:r>
      <w:hyperlink r:id="R2f5bd969bbed4c0a">
        <w:r w:rsidRPr="156EB269" w:rsidR="5791CB83">
          <w:rPr>
            <w:rStyle w:val="Hyperlink"/>
            <w:rFonts w:ascii="Arial" w:hAnsi="Arial" w:eastAsia="Arial" w:cs="Arial"/>
            <w:noProof w:val="0"/>
            <w:sz w:val="24"/>
            <w:szCs w:val="24"/>
            <w:lang w:val="en-US"/>
          </w:rPr>
          <w:t>www.disabilityrightsuk.org</w:t>
        </w:r>
      </w:hyperlink>
      <w:r w:rsidRPr="156EB269" w:rsidR="5791CB83">
        <w:rPr>
          <w:rFonts w:ascii="Arial" w:hAnsi="Arial" w:eastAsia="Arial" w:cs="Arial"/>
          <w:noProof w:val="0"/>
          <w:sz w:val="24"/>
          <w:szCs w:val="24"/>
          <w:lang w:val="en-US"/>
        </w:rPr>
        <w:t xml:space="preserve">. Available at: </w:t>
      </w:r>
      <w:hyperlink r:id="Ra82c401367c248f9">
        <w:r w:rsidRPr="156EB269" w:rsidR="5791CB83">
          <w:rPr>
            <w:rStyle w:val="Hyperlink"/>
            <w:rFonts w:ascii="Arial" w:hAnsi="Arial" w:eastAsia="Arial" w:cs="Arial"/>
            <w:noProof w:val="0"/>
            <w:sz w:val="24"/>
            <w:szCs w:val="24"/>
            <w:lang w:val="en-US"/>
          </w:rPr>
          <w:t>https://www.disabilityrightsuk.org/</w:t>
        </w:r>
      </w:hyperlink>
      <w:r w:rsidRPr="156EB269" w:rsidR="5791CB83">
        <w:rPr>
          <w:rFonts w:ascii="Arial" w:hAnsi="Arial" w:eastAsia="Arial" w:cs="Arial"/>
          <w:noProof w:val="0"/>
          <w:sz w:val="24"/>
          <w:szCs w:val="24"/>
          <w:lang w:val="en-US"/>
        </w:rPr>
        <w:t>.</w:t>
      </w:r>
    </w:p>
    <w:p w:rsidR="5791CB83" w:rsidP="156EB269" w:rsidRDefault="5791CB83" w14:paraId="1AA84136" w14:textId="45B9D38E">
      <w:pPr>
        <w:spacing w:before="0" w:beforeAutospacing="off" w:after="240" w:afterAutospacing="off" w:line="360" w:lineRule="auto"/>
      </w:pPr>
      <w:r w:rsidRPr="156EB269" w:rsidR="5791CB83">
        <w:rPr>
          <w:rFonts w:ascii="Arial" w:hAnsi="Arial" w:eastAsia="Arial" w:cs="Arial"/>
          <w:noProof w:val="0"/>
          <w:sz w:val="24"/>
          <w:szCs w:val="24"/>
          <w:lang w:val="en-US"/>
        </w:rPr>
        <w:t xml:space="preserve">Eventbrite (2026). </w:t>
      </w:r>
      <w:r w:rsidRPr="156EB269" w:rsidR="5791CB83">
        <w:rPr>
          <w:rFonts w:ascii="Arial" w:hAnsi="Arial" w:eastAsia="Arial" w:cs="Arial"/>
          <w:i w:val="1"/>
          <w:iCs w:val="1"/>
          <w:noProof w:val="0"/>
          <w:sz w:val="24"/>
          <w:szCs w:val="24"/>
          <w:lang w:val="en-US"/>
        </w:rPr>
        <w:t>Event Trends, Best Practices, and More - Eventbrite UK Blog</w:t>
      </w:r>
      <w:r w:rsidRPr="156EB269" w:rsidR="5791CB83">
        <w:rPr>
          <w:rFonts w:ascii="Arial" w:hAnsi="Arial" w:eastAsia="Arial" w:cs="Arial"/>
          <w:noProof w:val="0"/>
          <w:sz w:val="24"/>
          <w:szCs w:val="24"/>
          <w:lang w:val="en-US"/>
        </w:rPr>
        <w:t xml:space="preserve">. [online] Eventbrite UK. Available at: </w:t>
      </w:r>
      <w:hyperlink r:id="Rc65c548965b24f1e">
        <w:r w:rsidRPr="156EB269" w:rsidR="5791CB83">
          <w:rPr>
            <w:rStyle w:val="Hyperlink"/>
            <w:rFonts w:ascii="Arial" w:hAnsi="Arial" w:eastAsia="Arial" w:cs="Arial"/>
            <w:noProof w:val="0"/>
            <w:sz w:val="24"/>
            <w:szCs w:val="24"/>
            <w:lang w:val="en-US"/>
          </w:rPr>
          <w:t>https://www.eventbrite.co.uk/blog/</w:t>
        </w:r>
      </w:hyperlink>
      <w:r w:rsidRPr="156EB269" w:rsidR="5791CB83">
        <w:rPr>
          <w:rFonts w:ascii="Arial" w:hAnsi="Arial" w:eastAsia="Arial" w:cs="Arial"/>
          <w:noProof w:val="0"/>
          <w:sz w:val="24"/>
          <w:szCs w:val="24"/>
          <w:lang w:val="en-US"/>
        </w:rPr>
        <w:t>.</w:t>
      </w:r>
    </w:p>
    <w:p w:rsidR="5791CB83" w:rsidP="156EB269" w:rsidRDefault="5791CB83" w14:paraId="1A45E207" w14:textId="72F8D62D">
      <w:pPr>
        <w:spacing w:before="0" w:beforeAutospacing="off" w:after="240" w:afterAutospacing="off" w:line="360" w:lineRule="auto"/>
      </w:pPr>
      <w:r w:rsidRPr="156EB269" w:rsidR="5791CB83">
        <w:rPr>
          <w:rFonts w:ascii="Arial" w:hAnsi="Arial" w:eastAsia="Arial" w:cs="Arial"/>
          <w:noProof w:val="0"/>
          <w:sz w:val="24"/>
          <w:szCs w:val="24"/>
          <w:lang w:val="en-US"/>
        </w:rPr>
        <w:t xml:space="preserve">Events Industry Council (2026). </w:t>
      </w:r>
      <w:r w:rsidRPr="156EB269" w:rsidR="5791CB83">
        <w:rPr>
          <w:rFonts w:ascii="Arial" w:hAnsi="Arial" w:eastAsia="Arial" w:cs="Arial"/>
          <w:i w:val="1"/>
          <w:iCs w:val="1"/>
          <w:noProof w:val="0"/>
          <w:sz w:val="24"/>
          <w:szCs w:val="24"/>
          <w:lang w:val="en-US"/>
        </w:rPr>
        <w:t>EIC Insights &gt; Sustainability &gt; Sustainability Events Standards</w:t>
      </w:r>
      <w:r w:rsidRPr="156EB269" w:rsidR="5791CB83">
        <w:rPr>
          <w:rFonts w:ascii="Arial" w:hAnsi="Arial" w:eastAsia="Arial" w:cs="Arial"/>
          <w:noProof w:val="0"/>
          <w:sz w:val="24"/>
          <w:szCs w:val="24"/>
          <w:lang w:val="en-US"/>
        </w:rPr>
        <w:t xml:space="preserve">. [online] insights.eventscouncil.org. Available at: </w:t>
      </w:r>
      <w:hyperlink r:id="Rd863b9186b9045d4">
        <w:r w:rsidRPr="156EB269" w:rsidR="5791CB83">
          <w:rPr>
            <w:rStyle w:val="Hyperlink"/>
            <w:rFonts w:ascii="Arial" w:hAnsi="Arial" w:eastAsia="Arial" w:cs="Arial"/>
            <w:noProof w:val="0"/>
            <w:sz w:val="24"/>
            <w:szCs w:val="24"/>
            <w:lang w:val="en-US"/>
          </w:rPr>
          <w:t>https://insights.eventscouncil.org/Sustainability/Sustainability-Events-Standards</w:t>
        </w:r>
      </w:hyperlink>
      <w:r w:rsidRPr="156EB269" w:rsidR="5791CB83">
        <w:rPr>
          <w:rFonts w:ascii="Arial" w:hAnsi="Arial" w:eastAsia="Arial" w:cs="Arial"/>
          <w:noProof w:val="0"/>
          <w:sz w:val="24"/>
          <w:szCs w:val="24"/>
          <w:lang w:val="en-US"/>
        </w:rPr>
        <w:t>.</w:t>
      </w:r>
    </w:p>
    <w:p w:rsidR="5791CB83" w:rsidP="156EB269" w:rsidRDefault="5791CB83" w14:paraId="218A3EE9" w14:textId="70DF1183">
      <w:pPr>
        <w:spacing w:before="0" w:beforeAutospacing="off" w:after="240" w:afterAutospacing="off" w:line="360" w:lineRule="auto"/>
      </w:pPr>
      <w:r w:rsidRPr="156EB269" w:rsidR="5791CB83">
        <w:rPr>
          <w:rFonts w:ascii="Arial" w:hAnsi="Arial" w:eastAsia="Arial" w:cs="Arial"/>
          <w:noProof w:val="0"/>
          <w:sz w:val="24"/>
          <w:szCs w:val="24"/>
          <w:lang w:val="en-US"/>
        </w:rPr>
        <w:t xml:space="preserve">EventWell (2026). </w:t>
      </w:r>
      <w:r w:rsidRPr="156EB269" w:rsidR="5791CB83">
        <w:rPr>
          <w:rFonts w:ascii="Arial" w:hAnsi="Arial" w:eastAsia="Arial" w:cs="Arial"/>
          <w:i w:val="1"/>
          <w:iCs w:val="1"/>
          <w:noProof w:val="0"/>
          <w:sz w:val="24"/>
          <w:szCs w:val="24"/>
          <w:lang w:val="en-US"/>
        </w:rPr>
        <w:t>Neuroinclusion, Built Into Event Design.</w:t>
      </w:r>
      <w:r w:rsidRPr="156EB269" w:rsidR="5791CB83">
        <w:rPr>
          <w:rFonts w:ascii="Arial" w:hAnsi="Arial" w:eastAsia="Arial" w:cs="Arial"/>
          <w:noProof w:val="0"/>
          <w:sz w:val="24"/>
          <w:szCs w:val="24"/>
          <w:lang w:val="en-US"/>
        </w:rPr>
        <w:t xml:space="preserve"> [online] EventWell. Available at: </w:t>
      </w:r>
      <w:hyperlink r:id="Rf55a0da24aba4cd3">
        <w:r w:rsidRPr="156EB269" w:rsidR="5791CB83">
          <w:rPr>
            <w:rStyle w:val="Hyperlink"/>
            <w:rFonts w:ascii="Arial" w:hAnsi="Arial" w:eastAsia="Arial" w:cs="Arial"/>
            <w:noProof w:val="0"/>
            <w:sz w:val="24"/>
            <w:szCs w:val="24"/>
            <w:lang w:val="en-US"/>
          </w:rPr>
          <w:t>https://eventwell.org/</w:t>
        </w:r>
      </w:hyperlink>
      <w:r w:rsidRPr="156EB269" w:rsidR="5791CB83">
        <w:rPr>
          <w:rFonts w:ascii="Arial" w:hAnsi="Arial" w:eastAsia="Arial" w:cs="Arial"/>
          <w:noProof w:val="0"/>
          <w:sz w:val="24"/>
          <w:szCs w:val="24"/>
          <w:lang w:val="en-US"/>
        </w:rPr>
        <w:t>.</w:t>
      </w:r>
    </w:p>
    <w:p w:rsidR="5791CB83" w:rsidP="156EB269" w:rsidRDefault="5791CB83" w14:paraId="307BE592" w14:textId="5F1D9BEE">
      <w:pPr>
        <w:spacing w:before="0" w:beforeAutospacing="off" w:after="240" w:afterAutospacing="off" w:line="360" w:lineRule="auto"/>
      </w:pPr>
      <w:r w:rsidRPr="156EB269" w:rsidR="5791CB83">
        <w:rPr>
          <w:rFonts w:ascii="Arial" w:hAnsi="Arial" w:eastAsia="Arial" w:cs="Arial"/>
          <w:noProof w:val="0"/>
          <w:sz w:val="24"/>
          <w:szCs w:val="24"/>
          <w:lang w:val="en-US"/>
        </w:rPr>
        <w:t xml:space="preserve">Flamingo Marketing Strategies (2022). </w:t>
      </w:r>
      <w:r w:rsidRPr="156EB269" w:rsidR="5791CB83">
        <w:rPr>
          <w:rFonts w:ascii="Arial" w:hAnsi="Arial" w:eastAsia="Arial" w:cs="Arial"/>
          <w:i w:val="1"/>
          <w:iCs w:val="1"/>
          <w:noProof w:val="0"/>
          <w:sz w:val="24"/>
          <w:szCs w:val="24"/>
          <w:lang w:val="en-US"/>
        </w:rPr>
        <w:t>13 Social Media Marketing Benefits For Your Business</w:t>
      </w:r>
      <w:r w:rsidRPr="156EB269" w:rsidR="5791CB83">
        <w:rPr>
          <w:rFonts w:ascii="Arial" w:hAnsi="Arial" w:eastAsia="Arial" w:cs="Arial"/>
          <w:noProof w:val="0"/>
          <w:sz w:val="24"/>
          <w:szCs w:val="24"/>
          <w:lang w:val="en-US"/>
        </w:rPr>
        <w:t xml:space="preserve">. [online] Top 13 Benefits of Social Media Marketing For Your Business. Available at: </w:t>
      </w:r>
      <w:hyperlink r:id="Ra40f074907374982">
        <w:r w:rsidRPr="156EB269" w:rsidR="5791CB83">
          <w:rPr>
            <w:rStyle w:val="Hyperlink"/>
            <w:rFonts w:ascii="Arial" w:hAnsi="Arial" w:eastAsia="Arial" w:cs="Arial"/>
            <w:noProof w:val="0"/>
            <w:sz w:val="24"/>
            <w:szCs w:val="24"/>
            <w:lang w:val="en-US"/>
          </w:rPr>
          <w:t>https://flamingostrategies.co.uk/help-zone/blog/top-13-benefits-of-social-media-marketing-for-your-business/</w:t>
        </w:r>
      </w:hyperlink>
      <w:r w:rsidRPr="156EB269" w:rsidR="5791CB83">
        <w:rPr>
          <w:rFonts w:ascii="Arial" w:hAnsi="Arial" w:eastAsia="Arial" w:cs="Arial"/>
          <w:noProof w:val="0"/>
          <w:sz w:val="24"/>
          <w:szCs w:val="24"/>
          <w:lang w:val="en-US"/>
        </w:rPr>
        <w:t>.</w:t>
      </w:r>
    </w:p>
    <w:p w:rsidR="5791CB83" w:rsidP="156EB269" w:rsidRDefault="5791CB83" w14:paraId="2CA45041" w14:textId="77ED4FCC">
      <w:pPr>
        <w:spacing w:before="0" w:beforeAutospacing="off" w:after="240" w:afterAutospacing="off" w:line="360" w:lineRule="auto"/>
      </w:pPr>
      <w:r w:rsidRPr="156EB269" w:rsidR="5791CB83">
        <w:rPr>
          <w:rFonts w:ascii="Arial" w:hAnsi="Arial" w:eastAsia="Arial" w:cs="Arial"/>
          <w:noProof w:val="0"/>
          <w:sz w:val="24"/>
          <w:szCs w:val="24"/>
          <w:lang w:val="en-US"/>
        </w:rPr>
        <w:t xml:space="preserve">Gurnov, A. (2019). </w:t>
      </w:r>
      <w:r w:rsidRPr="156EB269" w:rsidR="5791CB83">
        <w:rPr>
          <w:rFonts w:ascii="Arial" w:hAnsi="Arial" w:eastAsia="Arial" w:cs="Arial"/>
          <w:i w:val="1"/>
          <w:iCs w:val="1"/>
          <w:noProof w:val="0"/>
          <w:sz w:val="24"/>
          <w:szCs w:val="24"/>
          <w:lang w:val="en-US"/>
        </w:rPr>
        <w:t>What Is SMART in Project Management?</w:t>
      </w:r>
      <w:r w:rsidRPr="156EB269" w:rsidR="5791CB83">
        <w:rPr>
          <w:rFonts w:ascii="Arial" w:hAnsi="Arial" w:eastAsia="Arial" w:cs="Arial"/>
          <w:noProof w:val="0"/>
          <w:sz w:val="24"/>
          <w:szCs w:val="24"/>
          <w:lang w:val="en-US"/>
        </w:rPr>
        <w:t xml:space="preserve"> [online] Project Management Guide. Available at: </w:t>
      </w:r>
      <w:hyperlink r:id="Rd6187a7c8eba4380">
        <w:r w:rsidRPr="156EB269" w:rsidR="5791CB83">
          <w:rPr>
            <w:rStyle w:val="Hyperlink"/>
            <w:rFonts w:ascii="Arial" w:hAnsi="Arial" w:eastAsia="Arial" w:cs="Arial"/>
            <w:noProof w:val="0"/>
            <w:sz w:val="24"/>
            <w:szCs w:val="24"/>
            <w:lang w:val="en-US"/>
          </w:rPr>
          <w:t>https://www.wrike.com/project-management-guide/faq/what-is-smart-in-project-management/</w:t>
        </w:r>
      </w:hyperlink>
      <w:r w:rsidRPr="156EB269" w:rsidR="5791CB83">
        <w:rPr>
          <w:rFonts w:ascii="Arial" w:hAnsi="Arial" w:eastAsia="Arial" w:cs="Arial"/>
          <w:noProof w:val="0"/>
          <w:sz w:val="24"/>
          <w:szCs w:val="24"/>
          <w:lang w:val="en-US"/>
        </w:rPr>
        <w:t>.</w:t>
      </w:r>
    </w:p>
    <w:p w:rsidR="5791CB83" w:rsidP="156EB269" w:rsidRDefault="5791CB83" w14:paraId="4A771030" w14:textId="72097A9F">
      <w:pPr>
        <w:spacing w:before="0" w:beforeAutospacing="off" w:after="240" w:afterAutospacing="off" w:line="360" w:lineRule="auto"/>
      </w:pPr>
      <w:r w:rsidRPr="156EB269" w:rsidR="5791CB83">
        <w:rPr>
          <w:rFonts w:ascii="Arial" w:hAnsi="Arial" w:eastAsia="Arial" w:cs="Arial"/>
          <w:noProof w:val="0"/>
          <w:sz w:val="24"/>
          <w:szCs w:val="24"/>
          <w:lang w:val="en-US"/>
        </w:rPr>
        <w:t xml:space="preserve">Hays, K. (2025). </w:t>
      </w:r>
      <w:r w:rsidRPr="156EB269" w:rsidR="5791CB83">
        <w:rPr>
          <w:rFonts w:ascii="Arial" w:hAnsi="Arial" w:eastAsia="Arial" w:cs="Arial"/>
          <w:i w:val="1"/>
          <w:iCs w:val="1"/>
          <w:noProof w:val="0"/>
          <w:sz w:val="24"/>
          <w:szCs w:val="24"/>
          <w:lang w:val="en-US"/>
        </w:rPr>
        <w:t>Why Social Media Marketing Is Effective: A Complete Guide for Businesses</w:t>
      </w:r>
      <w:r w:rsidRPr="156EB269" w:rsidR="5791CB83">
        <w:rPr>
          <w:rFonts w:ascii="Arial" w:hAnsi="Arial" w:eastAsia="Arial" w:cs="Arial"/>
          <w:noProof w:val="0"/>
          <w:sz w:val="24"/>
          <w:szCs w:val="24"/>
          <w:lang w:val="en-US"/>
        </w:rPr>
        <w:t xml:space="preserve">. [online] TLH Marketing. Available at: </w:t>
      </w:r>
      <w:hyperlink r:id="R6a535b0349f34c0d">
        <w:r w:rsidRPr="156EB269" w:rsidR="5791CB83">
          <w:rPr>
            <w:rStyle w:val="Hyperlink"/>
            <w:rFonts w:ascii="Arial" w:hAnsi="Arial" w:eastAsia="Arial" w:cs="Arial"/>
            <w:noProof w:val="0"/>
            <w:sz w:val="24"/>
            <w:szCs w:val="24"/>
            <w:lang w:val="en-US"/>
          </w:rPr>
          <w:t>https://tlhmarketing.co.uk/why-social-media-marketing-is-effective</w:t>
        </w:r>
      </w:hyperlink>
      <w:r w:rsidRPr="156EB269" w:rsidR="5791CB83">
        <w:rPr>
          <w:rFonts w:ascii="Arial" w:hAnsi="Arial" w:eastAsia="Arial" w:cs="Arial"/>
          <w:noProof w:val="0"/>
          <w:sz w:val="24"/>
          <w:szCs w:val="24"/>
          <w:lang w:val="en-US"/>
        </w:rPr>
        <w:t>.</w:t>
      </w:r>
    </w:p>
    <w:p w:rsidR="5791CB83" w:rsidP="156EB269" w:rsidRDefault="5791CB83" w14:paraId="4B9D43F2" w14:textId="0C15CC95">
      <w:pPr>
        <w:spacing w:before="0" w:beforeAutospacing="off" w:after="240" w:afterAutospacing="off" w:line="360" w:lineRule="auto"/>
      </w:pPr>
      <w:r w:rsidRPr="156EB269" w:rsidR="5791CB83">
        <w:rPr>
          <w:rFonts w:ascii="Arial" w:hAnsi="Arial" w:eastAsia="Arial" w:cs="Arial"/>
          <w:noProof w:val="0"/>
          <w:sz w:val="24"/>
          <w:szCs w:val="24"/>
          <w:lang w:val="en-US"/>
        </w:rPr>
        <w:t xml:space="preserve">Health and Safety Executive (2022). </w:t>
      </w:r>
      <w:r w:rsidRPr="156EB269" w:rsidR="5791CB83">
        <w:rPr>
          <w:rFonts w:ascii="Arial" w:hAnsi="Arial" w:eastAsia="Arial" w:cs="Arial"/>
          <w:i w:val="1"/>
          <w:iCs w:val="1"/>
          <w:noProof w:val="0"/>
          <w:sz w:val="24"/>
          <w:szCs w:val="24"/>
          <w:lang w:val="en-US"/>
        </w:rPr>
        <w:t>Managing Risks and Risk Assessment at Work</w:t>
      </w:r>
      <w:r w:rsidRPr="156EB269" w:rsidR="5791CB83">
        <w:rPr>
          <w:rFonts w:ascii="Arial" w:hAnsi="Arial" w:eastAsia="Arial" w:cs="Arial"/>
          <w:noProof w:val="0"/>
          <w:sz w:val="24"/>
          <w:szCs w:val="24"/>
          <w:lang w:val="en-US"/>
        </w:rPr>
        <w:t xml:space="preserve">. [online] Health and Safety Executive. Available at: </w:t>
      </w:r>
      <w:hyperlink r:id="Re28dd92cfa404a32">
        <w:r w:rsidRPr="156EB269" w:rsidR="5791CB83">
          <w:rPr>
            <w:rStyle w:val="Hyperlink"/>
            <w:rFonts w:ascii="Arial" w:hAnsi="Arial" w:eastAsia="Arial" w:cs="Arial"/>
            <w:noProof w:val="0"/>
            <w:sz w:val="24"/>
            <w:szCs w:val="24"/>
            <w:lang w:val="en-US"/>
          </w:rPr>
          <w:t>https://www.hse.gov.uk/simple-health-safety/risk/index.htm</w:t>
        </w:r>
      </w:hyperlink>
      <w:r w:rsidRPr="156EB269" w:rsidR="5791CB83">
        <w:rPr>
          <w:rFonts w:ascii="Arial" w:hAnsi="Arial" w:eastAsia="Arial" w:cs="Arial"/>
          <w:noProof w:val="0"/>
          <w:sz w:val="24"/>
          <w:szCs w:val="24"/>
          <w:lang w:val="en-US"/>
        </w:rPr>
        <w:t>.</w:t>
      </w:r>
    </w:p>
    <w:p w:rsidR="5791CB83" w:rsidP="156EB269" w:rsidRDefault="5791CB83" w14:paraId="54D6A682" w14:textId="065ED821">
      <w:pPr>
        <w:spacing w:before="0" w:beforeAutospacing="off" w:after="240" w:afterAutospacing="off" w:line="360" w:lineRule="auto"/>
      </w:pPr>
      <w:r w:rsidRPr="156EB269" w:rsidR="5791CB83">
        <w:rPr>
          <w:rFonts w:ascii="Arial" w:hAnsi="Arial" w:eastAsia="Arial" w:cs="Arial"/>
          <w:noProof w:val="0"/>
          <w:sz w:val="24"/>
          <w:szCs w:val="24"/>
          <w:lang w:val="en-US"/>
        </w:rPr>
        <w:t xml:space="preserve">Institute Event Management (2026). </w:t>
      </w:r>
      <w:r w:rsidRPr="156EB269" w:rsidR="5791CB83">
        <w:rPr>
          <w:rFonts w:ascii="Arial" w:hAnsi="Arial" w:eastAsia="Arial" w:cs="Arial"/>
          <w:i w:val="1"/>
          <w:iCs w:val="1"/>
          <w:noProof w:val="0"/>
          <w:sz w:val="24"/>
          <w:szCs w:val="24"/>
          <w:lang w:val="en-US"/>
        </w:rPr>
        <w:t>Event Financing and Accounting • Event Management (EVM) Institute</w:t>
      </w:r>
      <w:r w:rsidRPr="156EB269" w:rsidR="5791CB83">
        <w:rPr>
          <w:rFonts w:ascii="Arial" w:hAnsi="Arial" w:eastAsia="Arial" w:cs="Arial"/>
          <w:noProof w:val="0"/>
          <w:sz w:val="24"/>
          <w:szCs w:val="24"/>
          <w:lang w:val="en-US"/>
        </w:rPr>
        <w:t xml:space="preserve">. [online] Event Management (EVM) Institute. Available at: </w:t>
      </w:r>
      <w:hyperlink r:id="R0429b0f3da6047c5">
        <w:r w:rsidRPr="156EB269" w:rsidR="5791CB83">
          <w:rPr>
            <w:rStyle w:val="Hyperlink"/>
            <w:rFonts w:ascii="Arial" w:hAnsi="Arial" w:eastAsia="Arial" w:cs="Arial"/>
            <w:noProof w:val="0"/>
            <w:sz w:val="24"/>
            <w:szCs w:val="24"/>
            <w:lang w:val="en-US"/>
          </w:rPr>
          <w:t>https://evm.institute/event-financing-and-accounting/</w:t>
        </w:r>
      </w:hyperlink>
      <w:r w:rsidRPr="156EB269" w:rsidR="5791CB83">
        <w:rPr>
          <w:rFonts w:ascii="Arial" w:hAnsi="Arial" w:eastAsia="Arial" w:cs="Arial"/>
          <w:noProof w:val="0"/>
          <w:sz w:val="24"/>
          <w:szCs w:val="24"/>
          <w:lang w:val="en-US"/>
        </w:rPr>
        <w:t xml:space="preserve"> [Accessed 27 Mar. 2026].</w:t>
      </w:r>
    </w:p>
    <w:p w:rsidR="5791CB83" w:rsidP="156EB269" w:rsidRDefault="5791CB83" w14:paraId="0ABECA6E" w14:textId="3ED798F0">
      <w:pPr>
        <w:spacing w:before="0" w:beforeAutospacing="off" w:after="240" w:afterAutospacing="off" w:line="360" w:lineRule="auto"/>
      </w:pPr>
      <w:r w:rsidRPr="156EB269" w:rsidR="5791CB83">
        <w:rPr>
          <w:rFonts w:ascii="Arial" w:hAnsi="Arial" w:eastAsia="Arial" w:cs="Arial"/>
          <w:noProof w:val="0"/>
          <w:sz w:val="24"/>
          <w:szCs w:val="24"/>
          <w:lang w:val="en-US"/>
        </w:rPr>
        <w:t xml:space="preserve">Jones, S. and Phillips, A. (2021). </w:t>
      </w:r>
      <w:r w:rsidRPr="156EB269" w:rsidR="5791CB83">
        <w:rPr>
          <w:rFonts w:ascii="Arial" w:hAnsi="Arial" w:eastAsia="Arial" w:cs="Arial"/>
          <w:i w:val="1"/>
          <w:iCs w:val="1"/>
          <w:noProof w:val="0"/>
          <w:sz w:val="24"/>
          <w:szCs w:val="24"/>
          <w:lang w:val="en-US"/>
        </w:rPr>
        <w:t>Cylchlythyr | Circular This circular provides Reaching Wider Programme guidance and invites Reaching Wider Partnerships’ strategies and implementation plans and Reaching Wider statements of intention from regulated institutions. Reaching Wider Programme guidance</w:t>
      </w:r>
      <w:r w:rsidRPr="156EB269" w:rsidR="5791CB83">
        <w:rPr>
          <w:rFonts w:ascii="Arial" w:hAnsi="Arial" w:eastAsia="Arial" w:cs="Arial"/>
          <w:noProof w:val="0"/>
          <w:sz w:val="24"/>
          <w:szCs w:val="24"/>
          <w:lang w:val="en-US"/>
        </w:rPr>
        <w:t xml:space="preserve">. [online] Available at: </w:t>
      </w:r>
      <w:hyperlink r:id="R26fd44c6d8604f7e">
        <w:r w:rsidRPr="156EB269" w:rsidR="5791CB83">
          <w:rPr>
            <w:rStyle w:val="Hyperlink"/>
            <w:rFonts w:ascii="Arial" w:hAnsi="Arial" w:eastAsia="Arial" w:cs="Arial"/>
            <w:noProof w:val="0"/>
            <w:sz w:val="24"/>
            <w:szCs w:val="24"/>
            <w:lang w:val="en-US"/>
          </w:rPr>
          <w:t>https://www.medr.cymru/wp-content/uploads/2024/07/W21-38HE-Reaching-Wider-Programme-guidance-English.pdf</w:t>
        </w:r>
      </w:hyperlink>
      <w:r w:rsidRPr="156EB269" w:rsidR="5791CB83">
        <w:rPr>
          <w:rFonts w:ascii="Arial" w:hAnsi="Arial" w:eastAsia="Arial" w:cs="Arial"/>
          <w:noProof w:val="0"/>
          <w:sz w:val="24"/>
          <w:szCs w:val="24"/>
          <w:lang w:val="en-US"/>
        </w:rPr>
        <w:t>.</w:t>
      </w:r>
    </w:p>
    <w:p w:rsidR="5791CB83" w:rsidP="156EB269" w:rsidRDefault="5791CB83" w14:paraId="2BCF7650" w14:textId="2ECA2427">
      <w:pPr>
        <w:spacing w:before="0" w:beforeAutospacing="off" w:after="240" w:afterAutospacing="off" w:line="360" w:lineRule="auto"/>
      </w:pPr>
      <w:r w:rsidRPr="156EB269" w:rsidR="5791CB83">
        <w:rPr>
          <w:rFonts w:ascii="Arial" w:hAnsi="Arial" w:eastAsia="Arial" w:cs="Arial"/>
          <w:noProof w:val="0"/>
          <w:sz w:val="24"/>
          <w:szCs w:val="24"/>
          <w:lang w:val="en-US"/>
        </w:rPr>
        <w:t xml:space="preserve">Medr (2024). </w:t>
      </w:r>
      <w:r w:rsidRPr="156EB269" w:rsidR="5791CB83">
        <w:rPr>
          <w:rFonts w:ascii="Arial" w:hAnsi="Arial" w:eastAsia="Arial" w:cs="Arial"/>
          <w:i w:val="1"/>
          <w:iCs w:val="1"/>
          <w:noProof w:val="0"/>
          <w:sz w:val="24"/>
          <w:szCs w:val="24"/>
          <w:lang w:val="en-US"/>
        </w:rPr>
        <w:t>Medr - the Commission for Tertiary Education and Research</w:t>
      </w:r>
      <w:r w:rsidRPr="156EB269" w:rsidR="5791CB83">
        <w:rPr>
          <w:rFonts w:ascii="Arial" w:hAnsi="Arial" w:eastAsia="Arial" w:cs="Arial"/>
          <w:noProof w:val="0"/>
          <w:sz w:val="24"/>
          <w:szCs w:val="24"/>
          <w:lang w:val="en-US"/>
        </w:rPr>
        <w:t xml:space="preserve">. [online] Medr. Available at: </w:t>
      </w:r>
      <w:hyperlink r:id="R2bce868983b446c0">
        <w:r w:rsidRPr="156EB269" w:rsidR="5791CB83">
          <w:rPr>
            <w:rStyle w:val="Hyperlink"/>
            <w:rFonts w:ascii="Arial" w:hAnsi="Arial" w:eastAsia="Arial" w:cs="Arial"/>
            <w:noProof w:val="0"/>
            <w:sz w:val="24"/>
            <w:szCs w:val="24"/>
            <w:lang w:val="en-US"/>
          </w:rPr>
          <w:t>https://www.medr.cymru/en/</w:t>
        </w:r>
      </w:hyperlink>
      <w:r w:rsidRPr="156EB269" w:rsidR="5791CB83">
        <w:rPr>
          <w:rFonts w:ascii="Arial" w:hAnsi="Arial" w:eastAsia="Arial" w:cs="Arial"/>
          <w:noProof w:val="0"/>
          <w:sz w:val="24"/>
          <w:szCs w:val="24"/>
          <w:lang w:val="en-US"/>
        </w:rPr>
        <w:t>.</w:t>
      </w:r>
    </w:p>
    <w:p w:rsidR="5791CB83" w:rsidP="156EB269" w:rsidRDefault="5791CB83" w14:paraId="79DB143F" w14:textId="3C4D71AE">
      <w:pPr>
        <w:spacing w:before="0" w:beforeAutospacing="off" w:after="240" w:afterAutospacing="off" w:line="360" w:lineRule="auto"/>
      </w:pPr>
      <w:r w:rsidRPr="156EB269" w:rsidR="5791CB83">
        <w:rPr>
          <w:rFonts w:ascii="Arial" w:hAnsi="Arial" w:eastAsia="Arial" w:cs="Arial"/>
          <w:noProof w:val="0"/>
          <w:sz w:val="24"/>
          <w:szCs w:val="24"/>
          <w:lang w:val="en-US"/>
        </w:rPr>
        <w:t xml:space="preserve">National Youth Agency. (2025). </w:t>
      </w:r>
      <w:r w:rsidRPr="156EB269" w:rsidR="5791CB83">
        <w:rPr>
          <w:rFonts w:ascii="Arial" w:hAnsi="Arial" w:eastAsia="Arial" w:cs="Arial"/>
          <w:i w:val="1"/>
          <w:iCs w:val="1"/>
          <w:noProof w:val="0"/>
          <w:sz w:val="24"/>
          <w:szCs w:val="24"/>
          <w:lang w:val="en-US"/>
        </w:rPr>
        <w:t>Youth Council UK - National Youth Agency</w:t>
      </w:r>
      <w:r w:rsidRPr="156EB269" w:rsidR="5791CB83">
        <w:rPr>
          <w:rFonts w:ascii="Arial" w:hAnsi="Arial" w:eastAsia="Arial" w:cs="Arial"/>
          <w:noProof w:val="0"/>
          <w:sz w:val="24"/>
          <w:szCs w:val="24"/>
          <w:lang w:val="en-US"/>
        </w:rPr>
        <w:t xml:space="preserve">. [online] Available at: </w:t>
      </w:r>
      <w:hyperlink r:id="R716fab99f8d644bf">
        <w:r w:rsidRPr="156EB269" w:rsidR="5791CB83">
          <w:rPr>
            <w:rStyle w:val="Hyperlink"/>
            <w:rFonts w:ascii="Arial" w:hAnsi="Arial" w:eastAsia="Arial" w:cs="Arial"/>
            <w:noProof w:val="0"/>
            <w:sz w:val="24"/>
            <w:szCs w:val="24"/>
            <w:lang w:val="en-US"/>
          </w:rPr>
          <w:t>https://nya.org.uk/youth-council-uk/</w:t>
        </w:r>
      </w:hyperlink>
      <w:r w:rsidRPr="156EB269" w:rsidR="5791CB83">
        <w:rPr>
          <w:rFonts w:ascii="Arial" w:hAnsi="Arial" w:eastAsia="Arial" w:cs="Arial"/>
          <w:noProof w:val="0"/>
          <w:sz w:val="24"/>
          <w:szCs w:val="24"/>
          <w:lang w:val="en-US"/>
        </w:rPr>
        <w:t>.</w:t>
      </w:r>
    </w:p>
    <w:p w:rsidR="5791CB83" w:rsidP="156EB269" w:rsidRDefault="5791CB83" w14:paraId="00FB0194" w14:textId="22F0F416">
      <w:pPr>
        <w:spacing w:before="0" w:beforeAutospacing="off" w:after="240" w:afterAutospacing="off" w:line="360" w:lineRule="auto"/>
      </w:pPr>
      <w:r w:rsidRPr="156EB269" w:rsidR="5791CB83">
        <w:rPr>
          <w:rFonts w:ascii="Arial" w:hAnsi="Arial" w:eastAsia="Arial" w:cs="Arial"/>
          <w:noProof w:val="0"/>
          <w:sz w:val="24"/>
          <w:szCs w:val="24"/>
          <w:lang w:val="en-US"/>
        </w:rPr>
        <w:t xml:space="preserve">Nesta (2018). </w:t>
      </w:r>
      <w:r w:rsidRPr="156EB269" w:rsidR="5791CB83">
        <w:rPr>
          <w:rFonts w:ascii="Arial" w:hAnsi="Arial" w:eastAsia="Arial" w:cs="Arial"/>
          <w:i w:val="1"/>
          <w:iCs w:val="1"/>
          <w:noProof w:val="0"/>
          <w:sz w:val="24"/>
          <w:szCs w:val="24"/>
          <w:lang w:val="en-US"/>
        </w:rPr>
        <w:t>Homepage</w:t>
      </w:r>
      <w:r w:rsidRPr="156EB269" w:rsidR="5791CB83">
        <w:rPr>
          <w:rFonts w:ascii="Arial" w:hAnsi="Arial" w:eastAsia="Arial" w:cs="Arial"/>
          <w:noProof w:val="0"/>
          <w:sz w:val="24"/>
          <w:szCs w:val="24"/>
          <w:lang w:val="en-US"/>
        </w:rPr>
        <w:t xml:space="preserve">. [online] nesta. Available at: </w:t>
      </w:r>
      <w:hyperlink r:id="Ra81f904a4e494375">
        <w:r w:rsidRPr="156EB269" w:rsidR="5791CB83">
          <w:rPr>
            <w:rStyle w:val="Hyperlink"/>
            <w:rFonts w:ascii="Arial" w:hAnsi="Arial" w:eastAsia="Arial" w:cs="Arial"/>
            <w:noProof w:val="0"/>
            <w:sz w:val="24"/>
            <w:szCs w:val="24"/>
            <w:lang w:val="en-US"/>
          </w:rPr>
          <w:t>https://www.nesta.org.uk/</w:t>
        </w:r>
      </w:hyperlink>
      <w:r w:rsidRPr="156EB269" w:rsidR="5791CB83">
        <w:rPr>
          <w:rFonts w:ascii="Arial" w:hAnsi="Arial" w:eastAsia="Arial" w:cs="Arial"/>
          <w:noProof w:val="0"/>
          <w:sz w:val="24"/>
          <w:szCs w:val="24"/>
          <w:lang w:val="en-US"/>
        </w:rPr>
        <w:t>.</w:t>
      </w:r>
    </w:p>
    <w:p w:rsidR="5791CB83" w:rsidP="156EB269" w:rsidRDefault="5791CB83" w14:paraId="26EA3C5D" w14:textId="020DA1B7">
      <w:pPr>
        <w:spacing w:before="0" w:beforeAutospacing="off" w:after="240" w:afterAutospacing="off" w:line="360" w:lineRule="auto"/>
      </w:pPr>
      <w:r w:rsidRPr="156EB269" w:rsidR="5791CB83">
        <w:rPr>
          <w:rFonts w:ascii="Arial" w:hAnsi="Arial" w:eastAsia="Arial" w:cs="Arial"/>
          <w:noProof w:val="0"/>
          <w:sz w:val="24"/>
          <w:szCs w:val="24"/>
          <w:lang w:val="en-US"/>
        </w:rPr>
        <w:t xml:space="preserve">New Image Production (2023). </w:t>
      </w:r>
      <w:r w:rsidRPr="156EB269" w:rsidR="5791CB83">
        <w:rPr>
          <w:rFonts w:ascii="Arial" w:hAnsi="Arial" w:eastAsia="Arial" w:cs="Arial"/>
          <w:i w:val="1"/>
          <w:iCs w:val="1"/>
          <w:noProof w:val="0"/>
          <w:sz w:val="24"/>
          <w:szCs w:val="24"/>
          <w:lang w:val="en-US"/>
        </w:rPr>
        <w:t>\r\n \n The Complete Event Planning Checklist for Beginners in 2023: A Step-by-Step Handbook\n \r\n</w:t>
      </w:r>
      <w:r w:rsidRPr="156EB269" w:rsidR="5791CB83">
        <w:rPr>
          <w:rFonts w:ascii="Arial" w:hAnsi="Arial" w:eastAsia="Arial" w:cs="Arial"/>
          <w:noProof w:val="0"/>
          <w:sz w:val="24"/>
          <w:szCs w:val="24"/>
          <w:lang w:val="en-US"/>
        </w:rPr>
        <w:t xml:space="preserve">. [online] Newimageeventproductions.com. Available at: </w:t>
      </w:r>
      <w:hyperlink r:id="R842501851f034a8c">
        <w:r w:rsidRPr="156EB269" w:rsidR="5791CB83">
          <w:rPr>
            <w:rStyle w:val="Hyperlink"/>
            <w:rFonts w:ascii="Arial" w:hAnsi="Arial" w:eastAsia="Arial" w:cs="Arial"/>
            <w:noProof w:val="0"/>
            <w:sz w:val="24"/>
            <w:szCs w:val="24"/>
            <w:lang w:val="en-US"/>
          </w:rPr>
          <w:t>https://www.newimageeventproductions.com/blog/event-planning-and-strategy/event-planning-checklist-for-beginners</w:t>
        </w:r>
      </w:hyperlink>
      <w:r w:rsidRPr="156EB269" w:rsidR="5791CB83">
        <w:rPr>
          <w:rFonts w:ascii="Arial" w:hAnsi="Arial" w:eastAsia="Arial" w:cs="Arial"/>
          <w:noProof w:val="0"/>
          <w:sz w:val="24"/>
          <w:szCs w:val="24"/>
          <w:lang w:val="en-US"/>
        </w:rPr>
        <w:t xml:space="preserve"> [Accessed 27 Mar. 2026].</w:t>
      </w:r>
    </w:p>
    <w:p w:rsidR="5791CB83" w:rsidP="156EB269" w:rsidRDefault="5791CB83" w14:paraId="084B227F" w14:textId="103946A6">
      <w:pPr>
        <w:spacing w:before="0" w:beforeAutospacing="off" w:after="240" w:afterAutospacing="off" w:line="360" w:lineRule="auto"/>
      </w:pPr>
      <w:r w:rsidRPr="156EB269" w:rsidR="5791CB83">
        <w:rPr>
          <w:rFonts w:ascii="Arial" w:hAnsi="Arial" w:eastAsia="Arial" w:cs="Arial"/>
          <w:noProof w:val="0"/>
          <w:sz w:val="24"/>
          <w:szCs w:val="24"/>
          <w:lang w:val="en-US"/>
        </w:rPr>
        <w:t xml:space="preserve">NVCO (2024). </w:t>
      </w:r>
      <w:r w:rsidRPr="156EB269" w:rsidR="5791CB83">
        <w:rPr>
          <w:rFonts w:ascii="Arial" w:hAnsi="Arial" w:eastAsia="Arial" w:cs="Arial"/>
          <w:i w:val="1"/>
          <w:iCs w:val="1"/>
          <w:noProof w:val="0"/>
          <w:sz w:val="24"/>
          <w:szCs w:val="24"/>
          <w:lang w:val="en-US"/>
        </w:rPr>
        <w:t>NCVO</w:t>
      </w:r>
      <w:r w:rsidRPr="156EB269" w:rsidR="5791CB83">
        <w:rPr>
          <w:rFonts w:ascii="Arial" w:hAnsi="Arial" w:eastAsia="Arial" w:cs="Arial"/>
          <w:noProof w:val="0"/>
          <w:sz w:val="24"/>
          <w:szCs w:val="24"/>
          <w:lang w:val="en-US"/>
        </w:rPr>
        <w:t xml:space="preserve">. [online] NCVO. Available at: </w:t>
      </w:r>
      <w:hyperlink r:id="R99243d97870f4eba">
        <w:r w:rsidRPr="156EB269" w:rsidR="5791CB83">
          <w:rPr>
            <w:rStyle w:val="Hyperlink"/>
            <w:rFonts w:ascii="Arial" w:hAnsi="Arial" w:eastAsia="Arial" w:cs="Arial"/>
            <w:noProof w:val="0"/>
            <w:sz w:val="24"/>
            <w:szCs w:val="24"/>
            <w:lang w:val="en-US"/>
          </w:rPr>
          <w:t>https://www.ncvo.org.uk/#/</w:t>
        </w:r>
      </w:hyperlink>
      <w:r w:rsidRPr="156EB269" w:rsidR="5791CB83">
        <w:rPr>
          <w:rFonts w:ascii="Arial" w:hAnsi="Arial" w:eastAsia="Arial" w:cs="Arial"/>
          <w:noProof w:val="0"/>
          <w:sz w:val="24"/>
          <w:szCs w:val="24"/>
          <w:lang w:val="en-US"/>
        </w:rPr>
        <w:t>.</w:t>
      </w:r>
    </w:p>
    <w:p w:rsidR="5791CB83" w:rsidP="156EB269" w:rsidRDefault="5791CB83" w14:paraId="243A24CC" w14:textId="1E0C1236">
      <w:pPr>
        <w:spacing w:before="0" w:beforeAutospacing="off" w:after="240" w:afterAutospacing="off" w:line="360" w:lineRule="auto"/>
      </w:pPr>
      <w:r w:rsidRPr="156EB269" w:rsidR="5791CB83">
        <w:rPr>
          <w:rFonts w:ascii="Arial" w:hAnsi="Arial" w:eastAsia="Arial" w:cs="Arial"/>
          <w:noProof w:val="0"/>
          <w:sz w:val="24"/>
          <w:szCs w:val="24"/>
          <w:lang w:val="en-US"/>
        </w:rPr>
        <w:t xml:space="preserve">One Nine Design (2026). </w:t>
      </w:r>
      <w:r w:rsidRPr="156EB269" w:rsidR="5791CB83">
        <w:rPr>
          <w:rFonts w:ascii="Arial" w:hAnsi="Arial" w:eastAsia="Arial" w:cs="Arial"/>
          <w:i w:val="1"/>
          <w:iCs w:val="1"/>
          <w:noProof w:val="0"/>
          <w:sz w:val="24"/>
          <w:szCs w:val="24"/>
          <w:lang w:val="en-US"/>
        </w:rPr>
        <w:t>How to ask for corporate sponsors (and get a yes!)</w:t>
      </w:r>
      <w:r w:rsidRPr="156EB269" w:rsidR="5791CB83">
        <w:rPr>
          <w:rFonts w:ascii="Arial" w:hAnsi="Arial" w:eastAsia="Arial" w:cs="Arial"/>
          <w:noProof w:val="0"/>
          <w:sz w:val="24"/>
          <w:szCs w:val="24"/>
          <w:lang w:val="en-US"/>
        </w:rPr>
        <w:t xml:space="preserve">. [online] One Nine Design | Nonprofit Template Shop. Available at: </w:t>
      </w:r>
      <w:hyperlink r:id="R82e2335dedde4da8">
        <w:r w:rsidRPr="156EB269" w:rsidR="5791CB83">
          <w:rPr>
            <w:rStyle w:val="Hyperlink"/>
            <w:rFonts w:ascii="Arial" w:hAnsi="Arial" w:eastAsia="Arial" w:cs="Arial"/>
            <w:noProof w:val="0"/>
            <w:sz w:val="24"/>
            <w:szCs w:val="24"/>
            <w:lang w:val="en-US"/>
          </w:rPr>
          <w:t>https://www.oneninedesign.net/blog/sponsorship</w:t>
        </w:r>
      </w:hyperlink>
      <w:r w:rsidRPr="156EB269" w:rsidR="5791CB83">
        <w:rPr>
          <w:rFonts w:ascii="Arial" w:hAnsi="Arial" w:eastAsia="Arial" w:cs="Arial"/>
          <w:noProof w:val="0"/>
          <w:sz w:val="24"/>
          <w:szCs w:val="24"/>
          <w:lang w:val="en-US"/>
        </w:rPr>
        <w:t>.</w:t>
      </w:r>
    </w:p>
    <w:p w:rsidR="5791CB83" w:rsidP="156EB269" w:rsidRDefault="5791CB83" w14:paraId="24C4D657" w14:textId="58B5CCC7">
      <w:pPr>
        <w:spacing w:before="0" w:beforeAutospacing="off" w:after="240" w:afterAutospacing="off" w:line="360" w:lineRule="auto"/>
      </w:pPr>
      <w:r w:rsidRPr="156EB269" w:rsidR="5791CB83">
        <w:rPr>
          <w:rFonts w:ascii="Arial" w:hAnsi="Arial" w:eastAsia="Arial" w:cs="Arial"/>
          <w:noProof w:val="0"/>
          <w:sz w:val="24"/>
          <w:szCs w:val="24"/>
          <w:lang w:val="en-US"/>
        </w:rPr>
        <w:t xml:space="preserve">outh Voice, Participation: Charters, Reports, Research (2026). </w:t>
      </w:r>
      <w:r w:rsidRPr="156EB269" w:rsidR="5791CB83">
        <w:rPr>
          <w:rFonts w:ascii="Arial" w:hAnsi="Arial" w:eastAsia="Arial" w:cs="Arial"/>
          <w:i w:val="1"/>
          <w:iCs w:val="1"/>
          <w:noProof w:val="0"/>
          <w:sz w:val="24"/>
          <w:szCs w:val="24"/>
          <w:lang w:val="en-US"/>
        </w:rPr>
        <w:t>Youth Voice, Participation: Charters, Reports, Research</w:t>
      </w:r>
      <w:r w:rsidRPr="156EB269" w:rsidR="5791CB83">
        <w:rPr>
          <w:rFonts w:ascii="Arial" w:hAnsi="Arial" w:eastAsia="Arial" w:cs="Arial"/>
          <w:noProof w:val="0"/>
          <w:sz w:val="24"/>
          <w:szCs w:val="24"/>
          <w:lang w:val="en-US"/>
        </w:rPr>
        <w:t xml:space="preserve">. [online] Young Voices Heard. Available at: </w:t>
      </w:r>
      <w:hyperlink r:id="Rfdebd030a871495c">
        <w:r w:rsidRPr="156EB269" w:rsidR="5791CB83">
          <w:rPr>
            <w:rStyle w:val="Hyperlink"/>
            <w:rFonts w:ascii="Arial" w:hAnsi="Arial" w:eastAsia="Arial" w:cs="Arial"/>
            <w:noProof w:val="0"/>
            <w:sz w:val="24"/>
            <w:szCs w:val="24"/>
            <w:lang w:val="en-US"/>
          </w:rPr>
          <w:t>https://youngvoicesheard.org.uk/resources/youth-participation-charters-reports-research/</w:t>
        </w:r>
      </w:hyperlink>
      <w:r w:rsidRPr="156EB269" w:rsidR="5791CB83">
        <w:rPr>
          <w:rFonts w:ascii="Arial" w:hAnsi="Arial" w:eastAsia="Arial" w:cs="Arial"/>
          <w:noProof w:val="0"/>
          <w:sz w:val="24"/>
          <w:szCs w:val="24"/>
          <w:lang w:val="en-US"/>
        </w:rPr>
        <w:t>.</w:t>
      </w:r>
    </w:p>
    <w:p w:rsidR="5791CB83" w:rsidP="156EB269" w:rsidRDefault="5791CB83" w14:paraId="0AC88D1F" w14:textId="7D546B36">
      <w:pPr>
        <w:spacing w:before="0" w:beforeAutospacing="off" w:after="240" w:afterAutospacing="off" w:line="360" w:lineRule="auto"/>
      </w:pPr>
      <w:r w:rsidRPr="156EB269" w:rsidR="5791CB83">
        <w:rPr>
          <w:rFonts w:ascii="Arial" w:hAnsi="Arial" w:eastAsia="Arial" w:cs="Arial"/>
          <w:noProof w:val="0"/>
          <w:sz w:val="24"/>
          <w:szCs w:val="24"/>
          <w:lang w:val="en-US"/>
        </w:rPr>
        <w:t xml:space="preserve">Presly, M. (2025). </w:t>
      </w:r>
      <w:r w:rsidRPr="156EB269" w:rsidR="5791CB83">
        <w:rPr>
          <w:rFonts w:ascii="Arial" w:hAnsi="Arial" w:eastAsia="Arial" w:cs="Arial"/>
          <w:i w:val="1"/>
          <w:iCs w:val="1"/>
          <w:noProof w:val="0"/>
          <w:sz w:val="24"/>
          <w:szCs w:val="24"/>
          <w:lang w:val="en-US"/>
        </w:rPr>
        <w:t>How TikTok is Changing the Event Space - Marble</w:t>
      </w:r>
      <w:r w:rsidRPr="156EB269" w:rsidR="5791CB83">
        <w:rPr>
          <w:rFonts w:ascii="Arial" w:hAnsi="Arial" w:eastAsia="Arial" w:cs="Arial"/>
          <w:noProof w:val="0"/>
          <w:sz w:val="24"/>
          <w:szCs w:val="24"/>
          <w:lang w:val="en-US"/>
        </w:rPr>
        <w:t xml:space="preserve">. [online] Marble. Available at: </w:t>
      </w:r>
      <w:hyperlink r:id="Ra1b1f5d5b4ba4843">
        <w:r w:rsidRPr="156EB269" w:rsidR="5791CB83">
          <w:rPr>
            <w:rStyle w:val="Hyperlink"/>
            <w:rFonts w:ascii="Arial" w:hAnsi="Arial" w:eastAsia="Arial" w:cs="Arial"/>
            <w:noProof w:val="0"/>
            <w:sz w:val="24"/>
            <w:szCs w:val="24"/>
            <w:lang w:val="en-US"/>
          </w:rPr>
          <w:t>https://marbleldn.com/2025/10/16/how-tiktok-is-changing-the-event-space</w:t>
        </w:r>
      </w:hyperlink>
      <w:r w:rsidRPr="156EB269" w:rsidR="5791CB83">
        <w:rPr>
          <w:rFonts w:ascii="Arial" w:hAnsi="Arial" w:eastAsia="Arial" w:cs="Arial"/>
          <w:noProof w:val="0"/>
          <w:sz w:val="24"/>
          <w:szCs w:val="24"/>
          <w:lang w:val="en-US"/>
        </w:rPr>
        <w:t>.</w:t>
      </w:r>
    </w:p>
    <w:p w:rsidR="5791CB83" w:rsidP="156EB269" w:rsidRDefault="5791CB83" w14:paraId="7EFAFE82" w14:textId="11A145AF">
      <w:pPr>
        <w:spacing w:before="0" w:beforeAutospacing="off" w:after="240" w:afterAutospacing="off" w:line="360" w:lineRule="auto"/>
      </w:pPr>
      <w:r w:rsidRPr="156EB269" w:rsidR="5791CB83">
        <w:rPr>
          <w:rFonts w:ascii="Arial" w:hAnsi="Arial" w:eastAsia="Arial" w:cs="Arial"/>
          <w:noProof w:val="0"/>
          <w:sz w:val="24"/>
          <w:szCs w:val="24"/>
          <w:lang w:val="en-US"/>
        </w:rPr>
        <w:t xml:space="preserve">Professional Recognition for Event Managers (2026). </w:t>
      </w:r>
      <w:r w:rsidRPr="156EB269" w:rsidR="5791CB83">
        <w:rPr>
          <w:rFonts w:ascii="Arial" w:hAnsi="Arial" w:eastAsia="Arial" w:cs="Arial"/>
          <w:i w:val="1"/>
          <w:iCs w:val="1"/>
          <w:noProof w:val="0"/>
          <w:sz w:val="24"/>
          <w:szCs w:val="24"/>
          <w:lang w:val="en-US"/>
        </w:rPr>
        <w:t>Event Managers | Institute of Events Management</w:t>
      </w:r>
      <w:r w:rsidRPr="156EB269" w:rsidR="5791CB83">
        <w:rPr>
          <w:rFonts w:ascii="Arial" w:hAnsi="Arial" w:eastAsia="Arial" w:cs="Arial"/>
          <w:noProof w:val="0"/>
          <w:sz w:val="24"/>
          <w:szCs w:val="24"/>
          <w:lang w:val="en-US"/>
        </w:rPr>
        <w:t xml:space="preserve">. [online] event-managers.institute. Available at: </w:t>
      </w:r>
      <w:hyperlink r:id="R5253543646754fe8">
        <w:r w:rsidRPr="156EB269" w:rsidR="5791CB83">
          <w:rPr>
            <w:rStyle w:val="Hyperlink"/>
            <w:rFonts w:ascii="Arial" w:hAnsi="Arial" w:eastAsia="Arial" w:cs="Arial"/>
            <w:noProof w:val="0"/>
            <w:sz w:val="24"/>
            <w:szCs w:val="24"/>
            <w:lang w:val="en-US"/>
          </w:rPr>
          <w:t>https://event-managers.institute/</w:t>
        </w:r>
      </w:hyperlink>
      <w:r w:rsidRPr="156EB269" w:rsidR="5791CB83">
        <w:rPr>
          <w:rFonts w:ascii="Arial" w:hAnsi="Arial" w:eastAsia="Arial" w:cs="Arial"/>
          <w:noProof w:val="0"/>
          <w:sz w:val="24"/>
          <w:szCs w:val="24"/>
          <w:lang w:val="en-US"/>
        </w:rPr>
        <w:t>.</w:t>
      </w:r>
    </w:p>
    <w:p w:rsidR="5791CB83" w:rsidP="156EB269" w:rsidRDefault="5791CB83" w14:paraId="56EE6995" w14:textId="74273AE0">
      <w:pPr>
        <w:spacing w:before="0" w:beforeAutospacing="off" w:after="240" w:afterAutospacing="off" w:line="360" w:lineRule="auto"/>
      </w:pPr>
      <w:r w:rsidRPr="156EB269" w:rsidR="5791CB83">
        <w:rPr>
          <w:rFonts w:ascii="Arial" w:hAnsi="Arial" w:eastAsia="Arial" w:cs="Arial"/>
          <w:noProof w:val="0"/>
          <w:sz w:val="24"/>
          <w:szCs w:val="24"/>
          <w:lang w:val="en-US"/>
        </w:rPr>
        <w:t xml:space="preserve">Savanta - Make Better Decisions (2026). </w:t>
      </w:r>
      <w:r w:rsidRPr="156EB269" w:rsidR="5791CB83">
        <w:rPr>
          <w:rFonts w:ascii="Arial" w:hAnsi="Arial" w:eastAsia="Arial" w:cs="Arial"/>
          <w:i w:val="1"/>
          <w:iCs w:val="1"/>
          <w:noProof w:val="0"/>
          <w:sz w:val="24"/>
          <w:szCs w:val="24"/>
          <w:lang w:val="en-US"/>
        </w:rPr>
        <w:t>B2B &amp; B2C Market Research Company | Savanta | UK | USA | London | NY</w:t>
      </w:r>
      <w:r w:rsidRPr="156EB269" w:rsidR="5791CB83">
        <w:rPr>
          <w:rFonts w:ascii="Arial" w:hAnsi="Arial" w:eastAsia="Arial" w:cs="Arial"/>
          <w:noProof w:val="0"/>
          <w:sz w:val="24"/>
          <w:szCs w:val="24"/>
          <w:lang w:val="en-US"/>
        </w:rPr>
        <w:t xml:space="preserve">. [online] Savanta: Make Better Decisions. Available at: </w:t>
      </w:r>
      <w:hyperlink r:id="Rd4372fa615ea45d0">
        <w:r w:rsidRPr="156EB269" w:rsidR="5791CB83">
          <w:rPr>
            <w:rStyle w:val="Hyperlink"/>
            <w:rFonts w:ascii="Arial" w:hAnsi="Arial" w:eastAsia="Arial" w:cs="Arial"/>
            <w:noProof w:val="0"/>
            <w:sz w:val="24"/>
            <w:szCs w:val="24"/>
            <w:lang w:val="en-US"/>
          </w:rPr>
          <w:t>https://savanta.com/</w:t>
        </w:r>
      </w:hyperlink>
      <w:r w:rsidRPr="156EB269" w:rsidR="5791CB83">
        <w:rPr>
          <w:rFonts w:ascii="Arial" w:hAnsi="Arial" w:eastAsia="Arial" w:cs="Arial"/>
          <w:noProof w:val="0"/>
          <w:sz w:val="24"/>
          <w:szCs w:val="24"/>
          <w:lang w:val="en-US"/>
        </w:rPr>
        <w:t>.</w:t>
      </w:r>
    </w:p>
    <w:p w:rsidR="5791CB83" w:rsidP="156EB269" w:rsidRDefault="5791CB83" w14:paraId="5EBAEF78" w14:textId="7A1E834F">
      <w:pPr>
        <w:spacing w:before="0" w:beforeAutospacing="off" w:after="240" w:afterAutospacing="off" w:line="360" w:lineRule="auto"/>
      </w:pPr>
      <w:r w:rsidRPr="156EB269" w:rsidR="5791CB83">
        <w:rPr>
          <w:rFonts w:ascii="Arial" w:hAnsi="Arial" w:eastAsia="Arial" w:cs="Arial"/>
          <w:noProof w:val="0"/>
          <w:sz w:val="24"/>
          <w:szCs w:val="24"/>
          <w:lang w:val="en-US"/>
        </w:rPr>
        <w:t xml:space="preserve">Stafford, M. (2026). </w:t>
      </w:r>
      <w:r w:rsidRPr="156EB269" w:rsidR="5791CB83">
        <w:rPr>
          <w:rFonts w:ascii="Arial" w:hAnsi="Arial" w:eastAsia="Arial" w:cs="Arial"/>
          <w:i w:val="1"/>
          <w:iCs w:val="1"/>
          <w:noProof w:val="0"/>
          <w:sz w:val="24"/>
          <w:szCs w:val="24"/>
          <w:lang w:val="en-US"/>
        </w:rPr>
        <w:t>The Welfare Handbook</w:t>
      </w:r>
      <w:r w:rsidRPr="156EB269" w:rsidR="5791CB83">
        <w:rPr>
          <w:rFonts w:ascii="Arial" w:hAnsi="Arial" w:eastAsia="Arial" w:cs="Arial"/>
          <w:noProof w:val="0"/>
          <w:sz w:val="24"/>
          <w:szCs w:val="24"/>
          <w:lang w:val="en-US"/>
        </w:rPr>
        <w:t xml:space="preserve">. [online] Thepurpleguide.co.uk. Available at: </w:t>
      </w:r>
      <w:hyperlink r:id="R39ce3e6759eb44e3">
        <w:r w:rsidRPr="156EB269" w:rsidR="5791CB83">
          <w:rPr>
            <w:rStyle w:val="Hyperlink"/>
            <w:rFonts w:ascii="Arial" w:hAnsi="Arial" w:eastAsia="Arial" w:cs="Arial"/>
            <w:noProof w:val="0"/>
            <w:sz w:val="24"/>
            <w:szCs w:val="24"/>
            <w:lang w:val="en-US"/>
          </w:rPr>
          <w:t>https://www.thepurpleguide.co.uk/other-guidance/the-welfare-handbook/introduction</w:t>
        </w:r>
      </w:hyperlink>
      <w:r w:rsidRPr="156EB269" w:rsidR="5791CB83">
        <w:rPr>
          <w:rFonts w:ascii="Arial" w:hAnsi="Arial" w:eastAsia="Arial" w:cs="Arial"/>
          <w:noProof w:val="0"/>
          <w:sz w:val="24"/>
          <w:szCs w:val="24"/>
          <w:lang w:val="en-US"/>
        </w:rPr>
        <w:t>.</w:t>
      </w:r>
    </w:p>
    <w:p w:rsidR="5791CB83" w:rsidP="156EB269" w:rsidRDefault="5791CB83" w14:paraId="232593B1" w14:textId="69385177">
      <w:pPr>
        <w:spacing w:before="0" w:beforeAutospacing="off" w:after="240" w:afterAutospacing="off" w:line="360" w:lineRule="auto"/>
      </w:pPr>
      <w:r w:rsidRPr="156EB269" w:rsidR="5791CB83">
        <w:rPr>
          <w:rFonts w:ascii="Arial" w:hAnsi="Arial" w:eastAsia="Arial" w:cs="Arial"/>
          <w:noProof w:val="0"/>
          <w:sz w:val="24"/>
          <w:szCs w:val="24"/>
          <w:lang w:val="en-US"/>
        </w:rPr>
        <w:t xml:space="preserve">Tassia O'Callaghan (2025). </w:t>
      </w:r>
      <w:r w:rsidRPr="156EB269" w:rsidR="5791CB83">
        <w:rPr>
          <w:rFonts w:ascii="Arial" w:hAnsi="Arial" w:eastAsia="Arial" w:cs="Arial"/>
          <w:i w:val="1"/>
          <w:iCs w:val="1"/>
          <w:noProof w:val="0"/>
          <w:sz w:val="24"/>
          <w:szCs w:val="24"/>
          <w:lang w:val="en-US"/>
        </w:rPr>
        <w:t>How to Write a Sponsorship Email (With Templates and Real Examples)</w:t>
      </w:r>
      <w:r w:rsidRPr="156EB269" w:rsidR="5791CB83">
        <w:rPr>
          <w:rFonts w:ascii="Arial" w:hAnsi="Arial" w:eastAsia="Arial" w:cs="Arial"/>
          <w:noProof w:val="0"/>
          <w:sz w:val="24"/>
          <w:szCs w:val="24"/>
          <w:lang w:val="en-US"/>
        </w:rPr>
        <w:t xml:space="preserve">. [online] Fyxer.com. Available at: </w:t>
      </w:r>
      <w:hyperlink r:id="R8e8228dbd3694426">
        <w:r w:rsidRPr="156EB269" w:rsidR="5791CB83">
          <w:rPr>
            <w:rStyle w:val="Hyperlink"/>
            <w:rFonts w:ascii="Arial" w:hAnsi="Arial" w:eastAsia="Arial" w:cs="Arial"/>
            <w:noProof w:val="0"/>
            <w:sz w:val="24"/>
            <w:szCs w:val="24"/>
            <w:lang w:val="en-US"/>
          </w:rPr>
          <w:t>https://www.fyxer.com/blog/how-to-write-a-sponsorship-email</w:t>
        </w:r>
      </w:hyperlink>
      <w:r w:rsidRPr="156EB269" w:rsidR="5791CB83">
        <w:rPr>
          <w:rFonts w:ascii="Arial" w:hAnsi="Arial" w:eastAsia="Arial" w:cs="Arial"/>
          <w:noProof w:val="0"/>
          <w:sz w:val="24"/>
          <w:szCs w:val="24"/>
          <w:lang w:val="en-US"/>
        </w:rPr>
        <w:t xml:space="preserve"> [Accessed 27 Mar. 2026].</w:t>
      </w:r>
    </w:p>
    <w:p w:rsidR="5791CB83" w:rsidP="156EB269" w:rsidRDefault="5791CB83" w14:paraId="5D09C0C0" w14:textId="7A400ECF">
      <w:pPr>
        <w:spacing w:before="0" w:beforeAutospacing="off" w:after="240" w:afterAutospacing="off" w:line="360" w:lineRule="auto"/>
      </w:pPr>
      <w:r w:rsidRPr="156EB269" w:rsidR="5791CB83">
        <w:rPr>
          <w:rFonts w:ascii="Arial" w:hAnsi="Arial" w:eastAsia="Arial" w:cs="Arial"/>
          <w:noProof w:val="0"/>
          <w:sz w:val="24"/>
          <w:szCs w:val="24"/>
          <w:lang w:val="en-US"/>
        </w:rPr>
        <w:t xml:space="preserve">Team, L.C. (2025). </w:t>
      </w:r>
      <w:r w:rsidRPr="156EB269" w:rsidR="5791CB83">
        <w:rPr>
          <w:rFonts w:ascii="Arial" w:hAnsi="Arial" w:eastAsia="Arial" w:cs="Arial"/>
          <w:i w:val="1"/>
          <w:iCs w:val="1"/>
          <w:noProof w:val="0"/>
          <w:sz w:val="24"/>
          <w:szCs w:val="24"/>
          <w:lang w:val="en-US"/>
        </w:rPr>
        <w:t>How Many Sponsors Do You Really Need for Your Next Event?</w:t>
      </w:r>
      <w:r w:rsidRPr="156EB269" w:rsidR="5791CB83">
        <w:rPr>
          <w:rFonts w:ascii="Arial" w:hAnsi="Arial" w:eastAsia="Arial" w:cs="Arial"/>
          <w:noProof w:val="0"/>
          <w:sz w:val="24"/>
          <w:szCs w:val="24"/>
          <w:lang w:val="en-US"/>
        </w:rPr>
        <w:t xml:space="preserve"> [online] Loopyah. Available at: </w:t>
      </w:r>
      <w:hyperlink r:id="R4af00a5dcb8c452c">
        <w:r w:rsidRPr="156EB269" w:rsidR="5791CB83">
          <w:rPr>
            <w:rStyle w:val="Hyperlink"/>
            <w:rFonts w:ascii="Arial" w:hAnsi="Arial" w:eastAsia="Arial" w:cs="Arial"/>
            <w:noProof w:val="0"/>
            <w:sz w:val="24"/>
            <w:szCs w:val="24"/>
            <w:lang w:val="en-US"/>
          </w:rPr>
          <w:t>https://loopyah.com/blog/selling/event-sponsorship-goals</w:t>
        </w:r>
      </w:hyperlink>
      <w:r w:rsidRPr="156EB269" w:rsidR="5791CB83">
        <w:rPr>
          <w:rFonts w:ascii="Arial" w:hAnsi="Arial" w:eastAsia="Arial" w:cs="Arial"/>
          <w:noProof w:val="0"/>
          <w:sz w:val="24"/>
          <w:szCs w:val="24"/>
          <w:lang w:val="en-US"/>
        </w:rPr>
        <w:t>.</w:t>
      </w:r>
    </w:p>
    <w:p w:rsidR="5791CB83" w:rsidP="156EB269" w:rsidRDefault="5791CB83" w14:paraId="672F7E45" w14:textId="1F3C2E23">
      <w:pPr>
        <w:spacing w:before="0" w:beforeAutospacing="off" w:after="240" w:afterAutospacing="off" w:line="360" w:lineRule="auto"/>
      </w:pPr>
      <w:r w:rsidRPr="156EB269" w:rsidR="5791CB83">
        <w:rPr>
          <w:rFonts w:ascii="Arial" w:hAnsi="Arial" w:eastAsia="Arial" w:cs="Arial"/>
          <w:noProof w:val="0"/>
          <w:sz w:val="24"/>
          <w:szCs w:val="24"/>
          <w:lang w:val="en-US"/>
        </w:rPr>
        <w:t xml:space="preserve">Technical Standards for Places of Entertainment (2022). </w:t>
      </w:r>
      <w:r w:rsidRPr="156EB269" w:rsidR="5791CB83">
        <w:rPr>
          <w:rFonts w:ascii="Arial" w:hAnsi="Arial" w:eastAsia="Arial" w:cs="Arial"/>
          <w:i w:val="1"/>
          <w:iCs w:val="1"/>
          <w:noProof w:val="0"/>
          <w:sz w:val="24"/>
          <w:szCs w:val="24"/>
          <w:lang w:val="en-US"/>
        </w:rPr>
        <w:t>Technical Standards for Places of Entertainment - Association of British Theatre Technicians</w:t>
      </w:r>
      <w:r w:rsidRPr="156EB269" w:rsidR="5791CB83">
        <w:rPr>
          <w:rFonts w:ascii="Arial" w:hAnsi="Arial" w:eastAsia="Arial" w:cs="Arial"/>
          <w:noProof w:val="0"/>
          <w:sz w:val="24"/>
          <w:szCs w:val="24"/>
          <w:lang w:val="en-US"/>
        </w:rPr>
        <w:t xml:space="preserve">. [online] Association of British Theatre Technicians. Available at: </w:t>
      </w:r>
      <w:hyperlink r:id="Rea61f310f03d4e5d">
        <w:r w:rsidRPr="156EB269" w:rsidR="5791CB83">
          <w:rPr>
            <w:rStyle w:val="Hyperlink"/>
            <w:rFonts w:ascii="Arial" w:hAnsi="Arial" w:eastAsia="Arial" w:cs="Arial"/>
            <w:noProof w:val="0"/>
            <w:sz w:val="24"/>
            <w:szCs w:val="24"/>
            <w:lang w:val="en-US"/>
          </w:rPr>
          <w:t>https://www.abtt.org.uk/resources/technical-standards-for-places-of-entertainment/</w:t>
        </w:r>
      </w:hyperlink>
      <w:r w:rsidRPr="156EB269" w:rsidR="5791CB83">
        <w:rPr>
          <w:rFonts w:ascii="Arial" w:hAnsi="Arial" w:eastAsia="Arial" w:cs="Arial"/>
          <w:noProof w:val="0"/>
          <w:sz w:val="24"/>
          <w:szCs w:val="24"/>
          <w:lang w:val="en-US"/>
        </w:rPr>
        <w:t>.</w:t>
      </w:r>
    </w:p>
    <w:p w:rsidR="5791CB83" w:rsidP="156EB269" w:rsidRDefault="5791CB83" w14:paraId="5C2DF414" w14:textId="569E70FC">
      <w:pPr>
        <w:spacing w:before="0" w:beforeAutospacing="off" w:after="240" w:afterAutospacing="off" w:line="360" w:lineRule="auto"/>
      </w:pPr>
      <w:r w:rsidRPr="156EB269" w:rsidR="5791CB83">
        <w:rPr>
          <w:rFonts w:ascii="Arial" w:hAnsi="Arial" w:eastAsia="Arial" w:cs="Arial"/>
          <w:noProof w:val="0"/>
          <w:sz w:val="24"/>
          <w:szCs w:val="24"/>
          <w:lang w:val="en-US"/>
        </w:rPr>
        <w:t xml:space="preserve">The (2026). </w:t>
      </w:r>
      <w:r w:rsidRPr="156EB269" w:rsidR="5791CB83">
        <w:rPr>
          <w:rFonts w:ascii="Arial" w:hAnsi="Arial" w:eastAsia="Arial" w:cs="Arial"/>
          <w:i w:val="1"/>
          <w:iCs w:val="1"/>
          <w:noProof w:val="0"/>
          <w:sz w:val="24"/>
          <w:szCs w:val="24"/>
          <w:lang w:val="en-US"/>
        </w:rPr>
        <w:t>The Event Management Course</w:t>
      </w:r>
      <w:r w:rsidRPr="156EB269" w:rsidR="5791CB83">
        <w:rPr>
          <w:rFonts w:ascii="Arial" w:hAnsi="Arial" w:eastAsia="Arial" w:cs="Arial"/>
          <w:noProof w:val="0"/>
          <w:sz w:val="24"/>
          <w:szCs w:val="24"/>
          <w:lang w:val="en-US"/>
        </w:rPr>
        <w:t xml:space="preserve">. [online] The Institute for Event Management. Available at: </w:t>
      </w:r>
      <w:hyperlink r:id="Re9c5f74a6c154a03">
        <w:r w:rsidRPr="156EB269" w:rsidR="5791CB83">
          <w:rPr>
            <w:rStyle w:val="Hyperlink"/>
            <w:rFonts w:ascii="Arial" w:hAnsi="Arial" w:eastAsia="Arial" w:cs="Arial"/>
            <w:noProof w:val="0"/>
            <w:sz w:val="24"/>
            <w:szCs w:val="24"/>
            <w:lang w:val="en-US"/>
          </w:rPr>
          <w:t>https://www.theinstituteforeventmanagement.com/uk/en/course</w:t>
        </w:r>
      </w:hyperlink>
      <w:r w:rsidRPr="156EB269" w:rsidR="5791CB83">
        <w:rPr>
          <w:rFonts w:ascii="Arial" w:hAnsi="Arial" w:eastAsia="Arial" w:cs="Arial"/>
          <w:noProof w:val="0"/>
          <w:sz w:val="24"/>
          <w:szCs w:val="24"/>
          <w:lang w:val="en-US"/>
        </w:rPr>
        <w:t xml:space="preserve"> [Accessed 27 Mar. 2026].</w:t>
      </w:r>
    </w:p>
    <w:p w:rsidR="5791CB83" w:rsidP="156EB269" w:rsidRDefault="5791CB83" w14:paraId="74216E91" w14:textId="2822278C">
      <w:pPr>
        <w:spacing w:before="0" w:beforeAutospacing="off" w:after="240" w:afterAutospacing="off" w:line="360" w:lineRule="auto"/>
      </w:pPr>
      <w:r w:rsidRPr="156EB269" w:rsidR="5791CB83">
        <w:rPr>
          <w:rFonts w:ascii="Arial" w:hAnsi="Arial" w:eastAsia="Arial" w:cs="Arial"/>
          <w:noProof w:val="0"/>
          <w:sz w:val="24"/>
          <w:szCs w:val="24"/>
          <w:lang w:val="en-US"/>
        </w:rPr>
        <w:t xml:space="preserve">The Careers &amp; Enterprise Company (2019). </w:t>
      </w:r>
      <w:r w:rsidRPr="156EB269" w:rsidR="5791CB83">
        <w:rPr>
          <w:rFonts w:ascii="Arial" w:hAnsi="Arial" w:eastAsia="Arial" w:cs="Arial"/>
          <w:i w:val="1"/>
          <w:iCs w:val="1"/>
          <w:noProof w:val="0"/>
          <w:sz w:val="24"/>
          <w:szCs w:val="24"/>
          <w:lang w:val="en-US"/>
        </w:rPr>
        <w:t>The Careers &amp; Enterprise Company</w:t>
      </w:r>
      <w:r w:rsidRPr="156EB269" w:rsidR="5791CB83">
        <w:rPr>
          <w:rFonts w:ascii="Arial" w:hAnsi="Arial" w:eastAsia="Arial" w:cs="Arial"/>
          <w:noProof w:val="0"/>
          <w:sz w:val="24"/>
          <w:szCs w:val="24"/>
          <w:lang w:val="en-US"/>
        </w:rPr>
        <w:t xml:space="preserve">. [online] Careersandenterprise.co.uk. Available at: </w:t>
      </w:r>
      <w:hyperlink r:id="R1ca1c5dd20194075">
        <w:r w:rsidRPr="156EB269" w:rsidR="5791CB83">
          <w:rPr>
            <w:rStyle w:val="Hyperlink"/>
            <w:rFonts w:ascii="Arial" w:hAnsi="Arial" w:eastAsia="Arial" w:cs="Arial"/>
            <w:noProof w:val="0"/>
            <w:sz w:val="24"/>
            <w:szCs w:val="24"/>
            <w:lang w:val="en-US"/>
          </w:rPr>
          <w:t>https://www.careersandenterprise.co.uk/</w:t>
        </w:r>
      </w:hyperlink>
      <w:r w:rsidRPr="156EB269" w:rsidR="5791CB83">
        <w:rPr>
          <w:rFonts w:ascii="Arial" w:hAnsi="Arial" w:eastAsia="Arial" w:cs="Arial"/>
          <w:noProof w:val="0"/>
          <w:sz w:val="24"/>
          <w:szCs w:val="24"/>
          <w:lang w:val="en-US"/>
        </w:rPr>
        <w:t>.</w:t>
      </w:r>
    </w:p>
    <w:p w:rsidR="5791CB83" w:rsidP="156EB269" w:rsidRDefault="5791CB83" w14:paraId="1924562E" w14:textId="2C9AEDF3">
      <w:pPr>
        <w:spacing w:before="0" w:beforeAutospacing="off" w:after="240" w:afterAutospacing="off" w:line="360" w:lineRule="auto"/>
      </w:pPr>
      <w:r w:rsidRPr="156EB269" w:rsidR="5791CB83">
        <w:rPr>
          <w:rFonts w:ascii="Arial" w:hAnsi="Arial" w:eastAsia="Arial" w:cs="Arial"/>
          <w:noProof w:val="0"/>
          <w:sz w:val="24"/>
          <w:szCs w:val="24"/>
          <w:lang w:val="en-US"/>
        </w:rPr>
        <w:t xml:space="preserve">The Chartered Institute of Marketing (2023). </w:t>
      </w:r>
      <w:r w:rsidRPr="156EB269" w:rsidR="5791CB83">
        <w:rPr>
          <w:rFonts w:ascii="Arial" w:hAnsi="Arial" w:eastAsia="Arial" w:cs="Arial"/>
          <w:i w:val="1"/>
          <w:iCs w:val="1"/>
          <w:noProof w:val="0"/>
          <w:sz w:val="24"/>
          <w:szCs w:val="24"/>
          <w:lang w:val="en-US"/>
        </w:rPr>
        <w:t>Report: CMO75 – Insight and opportunity in 2023 | CIM</w:t>
      </w:r>
      <w:r w:rsidRPr="156EB269" w:rsidR="5791CB83">
        <w:rPr>
          <w:rFonts w:ascii="Arial" w:hAnsi="Arial" w:eastAsia="Arial" w:cs="Arial"/>
          <w:noProof w:val="0"/>
          <w:sz w:val="24"/>
          <w:szCs w:val="24"/>
          <w:lang w:val="en-US"/>
        </w:rPr>
        <w:t xml:space="preserve">. [online] Cim.co.uk. Available at: </w:t>
      </w:r>
      <w:hyperlink r:id="R52a3a573beed467c">
        <w:r w:rsidRPr="156EB269" w:rsidR="5791CB83">
          <w:rPr>
            <w:rStyle w:val="Hyperlink"/>
            <w:rFonts w:ascii="Arial" w:hAnsi="Arial" w:eastAsia="Arial" w:cs="Arial"/>
            <w:noProof w:val="0"/>
            <w:sz w:val="24"/>
            <w:szCs w:val="24"/>
            <w:lang w:val="en-US"/>
          </w:rPr>
          <w:t>https://www.cim.co.uk/content-insights/articles/report-cmo75-insight-and-opportunity-in-2023/</w:t>
        </w:r>
      </w:hyperlink>
      <w:r w:rsidRPr="156EB269" w:rsidR="5791CB83">
        <w:rPr>
          <w:rFonts w:ascii="Arial" w:hAnsi="Arial" w:eastAsia="Arial" w:cs="Arial"/>
          <w:noProof w:val="0"/>
          <w:sz w:val="24"/>
          <w:szCs w:val="24"/>
          <w:lang w:val="en-US"/>
        </w:rPr>
        <w:t>.</w:t>
      </w:r>
    </w:p>
    <w:p w:rsidR="5791CB83" w:rsidP="156EB269" w:rsidRDefault="5791CB83" w14:paraId="04A52F89" w14:textId="2D8EAA59">
      <w:pPr>
        <w:spacing w:before="0" w:beforeAutospacing="off" w:after="240" w:afterAutospacing="off" w:line="360" w:lineRule="auto"/>
      </w:pPr>
      <w:r w:rsidRPr="156EB269" w:rsidR="5791CB83">
        <w:rPr>
          <w:rFonts w:ascii="Arial" w:hAnsi="Arial" w:eastAsia="Arial" w:cs="Arial"/>
          <w:noProof w:val="0"/>
          <w:sz w:val="24"/>
          <w:szCs w:val="24"/>
          <w:lang w:val="en-US"/>
        </w:rPr>
        <w:t xml:space="preserve">The Event Planner Expo. (2023). </w:t>
      </w:r>
      <w:r w:rsidRPr="156EB269" w:rsidR="5791CB83">
        <w:rPr>
          <w:rFonts w:ascii="Arial" w:hAnsi="Arial" w:eastAsia="Arial" w:cs="Arial"/>
          <w:i w:val="1"/>
          <w:iCs w:val="1"/>
          <w:noProof w:val="0"/>
          <w:sz w:val="24"/>
          <w:szCs w:val="24"/>
          <w:lang w:val="en-US"/>
        </w:rPr>
        <w:t>8 Incredible Event-Boosting Benefits of Using Instagram - The Event Planner Expo</w:t>
      </w:r>
      <w:r w:rsidRPr="156EB269" w:rsidR="5791CB83">
        <w:rPr>
          <w:rFonts w:ascii="Arial" w:hAnsi="Arial" w:eastAsia="Arial" w:cs="Arial"/>
          <w:noProof w:val="0"/>
          <w:sz w:val="24"/>
          <w:szCs w:val="24"/>
          <w:lang w:val="en-US"/>
        </w:rPr>
        <w:t xml:space="preserve">. [online] Available at: </w:t>
      </w:r>
      <w:hyperlink r:id="R55f99a3096c94a52">
        <w:r w:rsidRPr="156EB269" w:rsidR="5791CB83">
          <w:rPr>
            <w:rStyle w:val="Hyperlink"/>
            <w:rFonts w:ascii="Arial" w:hAnsi="Arial" w:eastAsia="Arial" w:cs="Arial"/>
            <w:noProof w:val="0"/>
            <w:sz w:val="24"/>
            <w:szCs w:val="24"/>
            <w:lang w:val="en-US"/>
          </w:rPr>
          <w:t>https://www.theeventplannerexpo.com/business-growth/8-incredible-event-boosting-benefits-of-using-instagram/</w:t>
        </w:r>
      </w:hyperlink>
      <w:r w:rsidRPr="156EB269" w:rsidR="5791CB83">
        <w:rPr>
          <w:rFonts w:ascii="Arial" w:hAnsi="Arial" w:eastAsia="Arial" w:cs="Arial"/>
          <w:noProof w:val="0"/>
          <w:sz w:val="24"/>
          <w:szCs w:val="24"/>
          <w:lang w:val="en-US"/>
        </w:rPr>
        <w:t xml:space="preserve"> [Accessed 27 Mar. 2026].</w:t>
      </w:r>
    </w:p>
    <w:p w:rsidR="5791CB83" w:rsidP="156EB269" w:rsidRDefault="5791CB83" w14:paraId="31E9505C" w14:textId="338C08B9">
      <w:pPr>
        <w:spacing w:before="0" w:beforeAutospacing="off" w:after="240" w:afterAutospacing="off" w:line="360" w:lineRule="auto"/>
      </w:pPr>
      <w:r w:rsidRPr="156EB269" w:rsidR="5791CB83">
        <w:rPr>
          <w:rFonts w:ascii="Arial" w:hAnsi="Arial" w:eastAsia="Arial" w:cs="Arial"/>
          <w:noProof w:val="0"/>
          <w:sz w:val="24"/>
          <w:szCs w:val="24"/>
          <w:lang w:val="en-US"/>
        </w:rPr>
        <w:t xml:space="preserve">Think Young (2021). </w:t>
      </w:r>
      <w:r w:rsidRPr="156EB269" w:rsidR="5791CB83">
        <w:rPr>
          <w:rFonts w:ascii="Arial" w:hAnsi="Arial" w:eastAsia="Arial" w:cs="Arial"/>
          <w:i w:val="1"/>
          <w:iCs w:val="1"/>
          <w:noProof w:val="0"/>
          <w:sz w:val="24"/>
          <w:szCs w:val="24"/>
          <w:lang w:val="en-US"/>
        </w:rPr>
        <w:t>ThinkYoung</w:t>
      </w:r>
      <w:r w:rsidRPr="156EB269" w:rsidR="5791CB83">
        <w:rPr>
          <w:rFonts w:ascii="Arial" w:hAnsi="Arial" w:eastAsia="Arial" w:cs="Arial"/>
          <w:noProof w:val="0"/>
          <w:sz w:val="24"/>
          <w:szCs w:val="24"/>
          <w:lang w:val="en-US"/>
        </w:rPr>
        <w:t xml:space="preserve">. [online] 0. ThinkYoung 2021. Available at: </w:t>
      </w:r>
      <w:hyperlink r:id="R83f0a59647c94968">
        <w:r w:rsidRPr="156EB269" w:rsidR="5791CB83">
          <w:rPr>
            <w:rStyle w:val="Hyperlink"/>
            <w:rFonts w:ascii="Arial" w:hAnsi="Arial" w:eastAsia="Arial" w:cs="Arial"/>
            <w:noProof w:val="0"/>
            <w:sz w:val="24"/>
            <w:szCs w:val="24"/>
            <w:lang w:val="en-US"/>
          </w:rPr>
          <w:t>https://www.thinkyoung.eu/</w:t>
        </w:r>
      </w:hyperlink>
      <w:r w:rsidRPr="156EB269" w:rsidR="5791CB83">
        <w:rPr>
          <w:rFonts w:ascii="Arial" w:hAnsi="Arial" w:eastAsia="Arial" w:cs="Arial"/>
          <w:noProof w:val="0"/>
          <w:sz w:val="24"/>
          <w:szCs w:val="24"/>
          <w:lang w:val="en-US"/>
        </w:rPr>
        <w:t xml:space="preserve"> [Accessed 27 Mar. 2026].</w:t>
      </w:r>
    </w:p>
    <w:p w:rsidR="5791CB83" w:rsidP="156EB269" w:rsidRDefault="5791CB83" w14:paraId="59FEF344" w14:textId="67354505">
      <w:pPr>
        <w:spacing w:before="0" w:beforeAutospacing="off" w:after="240" w:afterAutospacing="off" w:line="360" w:lineRule="auto"/>
      </w:pPr>
      <w:r w:rsidRPr="156EB269" w:rsidR="5791CB83">
        <w:rPr>
          <w:rFonts w:ascii="Arial" w:hAnsi="Arial" w:eastAsia="Arial" w:cs="Arial"/>
          <w:noProof w:val="0"/>
          <w:sz w:val="24"/>
          <w:szCs w:val="24"/>
          <w:lang w:val="en-US"/>
        </w:rPr>
        <w:t xml:space="preserve">UCAS (2026). </w:t>
      </w:r>
      <w:r w:rsidRPr="156EB269" w:rsidR="5791CB83">
        <w:rPr>
          <w:rFonts w:ascii="Arial" w:hAnsi="Arial" w:eastAsia="Arial" w:cs="Arial"/>
          <w:i w:val="1"/>
          <w:iCs w:val="1"/>
          <w:noProof w:val="0"/>
          <w:sz w:val="24"/>
          <w:szCs w:val="24"/>
          <w:lang w:val="en-US"/>
        </w:rPr>
        <w:t>UCAS</w:t>
      </w:r>
      <w:r w:rsidRPr="156EB269" w:rsidR="5791CB83">
        <w:rPr>
          <w:rFonts w:ascii="Arial" w:hAnsi="Arial" w:eastAsia="Arial" w:cs="Arial"/>
          <w:noProof w:val="0"/>
          <w:sz w:val="24"/>
          <w:szCs w:val="24"/>
          <w:lang w:val="en-US"/>
        </w:rPr>
        <w:t xml:space="preserve">. [online] Ucas.com. Available at: </w:t>
      </w:r>
      <w:hyperlink r:id="Rd624fb6e05404ee0">
        <w:r w:rsidRPr="156EB269" w:rsidR="5791CB83">
          <w:rPr>
            <w:rStyle w:val="Hyperlink"/>
            <w:rFonts w:ascii="Arial" w:hAnsi="Arial" w:eastAsia="Arial" w:cs="Arial"/>
            <w:noProof w:val="0"/>
            <w:sz w:val="24"/>
            <w:szCs w:val="24"/>
            <w:lang w:val="en-US"/>
          </w:rPr>
          <w:t>https://www.ucas.com/advisers/help-and-training/guides-resources-and-training/tools-and-resources-help-you/progression-pathways</w:t>
        </w:r>
      </w:hyperlink>
      <w:r w:rsidRPr="156EB269" w:rsidR="5791CB83">
        <w:rPr>
          <w:rFonts w:ascii="Arial" w:hAnsi="Arial" w:eastAsia="Arial" w:cs="Arial"/>
          <w:noProof w:val="0"/>
          <w:sz w:val="24"/>
          <w:szCs w:val="24"/>
          <w:lang w:val="en-US"/>
        </w:rPr>
        <w:t>.</w:t>
      </w:r>
    </w:p>
    <w:p w:rsidR="5791CB83" w:rsidP="156EB269" w:rsidRDefault="5791CB83" w14:paraId="60E8C37A" w14:textId="582B0F6F">
      <w:pPr>
        <w:spacing w:before="0" w:beforeAutospacing="off" w:after="240" w:afterAutospacing="off" w:line="360" w:lineRule="auto"/>
      </w:pPr>
      <w:r w:rsidRPr="156EB269" w:rsidR="5791CB83">
        <w:rPr>
          <w:rFonts w:ascii="Arial" w:hAnsi="Arial" w:eastAsia="Arial" w:cs="Arial"/>
          <w:noProof w:val="0"/>
          <w:sz w:val="24"/>
          <w:szCs w:val="24"/>
          <w:lang w:val="en-US"/>
        </w:rPr>
        <w:t xml:space="preserve">visitbritain (2023). </w:t>
      </w:r>
      <w:r w:rsidRPr="156EB269" w:rsidR="5791CB83">
        <w:rPr>
          <w:rFonts w:ascii="Arial" w:hAnsi="Arial" w:eastAsia="Arial" w:cs="Arial"/>
          <w:i w:val="1"/>
          <w:iCs w:val="1"/>
          <w:noProof w:val="0"/>
          <w:sz w:val="24"/>
          <w:szCs w:val="24"/>
          <w:lang w:val="en-US"/>
        </w:rPr>
        <w:t>Home</w:t>
      </w:r>
      <w:r w:rsidRPr="156EB269" w:rsidR="5791CB83">
        <w:rPr>
          <w:rFonts w:ascii="Arial" w:hAnsi="Arial" w:eastAsia="Arial" w:cs="Arial"/>
          <w:noProof w:val="0"/>
          <w:sz w:val="24"/>
          <w:szCs w:val="24"/>
          <w:lang w:val="en-US"/>
        </w:rPr>
        <w:t xml:space="preserve">. [online] VisitBritain. Available at: </w:t>
      </w:r>
      <w:hyperlink r:id="Rd6e4f3122bd04f0c">
        <w:r w:rsidRPr="156EB269" w:rsidR="5791CB83">
          <w:rPr>
            <w:rStyle w:val="Hyperlink"/>
            <w:rFonts w:ascii="Arial" w:hAnsi="Arial" w:eastAsia="Arial" w:cs="Arial"/>
            <w:noProof w:val="0"/>
            <w:sz w:val="24"/>
            <w:szCs w:val="24"/>
            <w:lang w:val="en-US"/>
          </w:rPr>
          <w:t>https://www.visitbritain.org/</w:t>
        </w:r>
      </w:hyperlink>
      <w:r w:rsidRPr="156EB269" w:rsidR="5791CB83">
        <w:rPr>
          <w:rFonts w:ascii="Arial" w:hAnsi="Arial" w:eastAsia="Arial" w:cs="Arial"/>
          <w:noProof w:val="0"/>
          <w:sz w:val="24"/>
          <w:szCs w:val="24"/>
          <w:lang w:val="en-US"/>
        </w:rPr>
        <w:t>.</w:t>
      </w:r>
    </w:p>
    <w:p w:rsidR="5791CB83" w:rsidP="156EB269" w:rsidRDefault="5791CB83" w14:paraId="786669DA" w14:textId="0CD4E6B9">
      <w:pPr>
        <w:spacing w:before="0" w:beforeAutospacing="off" w:after="240" w:afterAutospacing="off" w:line="360" w:lineRule="auto"/>
      </w:pPr>
      <w:r w:rsidRPr="156EB269" w:rsidR="5791CB83">
        <w:rPr>
          <w:rFonts w:ascii="Arial" w:hAnsi="Arial" w:eastAsia="Arial" w:cs="Arial"/>
          <w:noProof w:val="0"/>
          <w:sz w:val="24"/>
          <w:szCs w:val="24"/>
          <w:lang w:val="en-US"/>
        </w:rPr>
        <w:t xml:space="preserve">weareops (2025). </w:t>
      </w:r>
      <w:r w:rsidRPr="156EB269" w:rsidR="5791CB83">
        <w:rPr>
          <w:rFonts w:ascii="Arial" w:hAnsi="Arial" w:eastAsia="Arial" w:cs="Arial"/>
          <w:i w:val="1"/>
          <w:iCs w:val="1"/>
          <w:noProof w:val="0"/>
          <w:sz w:val="24"/>
          <w:szCs w:val="24"/>
          <w:lang w:val="en-US"/>
        </w:rPr>
        <w:t>Event Health and Safety: What Are the 7 Key Areas? - We Are Ops</w:t>
      </w:r>
      <w:r w:rsidRPr="156EB269" w:rsidR="5791CB83">
        <w:rPr>
          <w:rFonts w:ascii="Arial" w:hAnsi="Arial" w:eastAsia="Arial" w:cs="Arial"/>
          <w:noProof w:val="0"/>
          <w:sz w:val="24"/>
          <w:szCs w:val="24"/>
          <w:lang w:val="en-US"/>
        </w:rPr>
        <w:t xml:space="preserve">. [online] We Are Ops. Available at: </w:t>
      </w:r>
      <w:hyperlink r:id="R48f58a60dfd14fb8">
        <w:r w:rsidRPr="156EB269" w:rsidR="5791CB83">
          <w:rPr>
            <w:rStyle w:val="Hyperlink"/>
            <w:rFonts w:ascii="Arial" w:hAnsi="Arial" w:eastAsia="Arial" w:cs="Arial"/>
            <w:noProof w:val="0"/>
            <w:sz w:val="24"/>
            <w:szCs w:val="24"/>
            <w:lang w:val="en-US"/>
          </w:rPr>
          <w:t>https://weareops.co.uk/blog/event-health-and-safety-what-are-the-7-key-areas</w:t>
        </w:r>
      </w:hyperlink>
      <w:r w:rsidRPr="156EB269" w:rsidR="5791CB83">
        <w:rPr>
          <w:rFonts w:ascii="Arial" w:hAnsi="Arial" w:eastAsia="Arial" w:cs="Arial"/>
          <w:noProof w:val="0"/>
          <w:sz w:val="24"/>
          <w:szCs w:val="24"/>
          <w:lang w:val="en-US"/>
        </w:rPr>
        <w:t>.</w:t>
      </w:r>
    </w:p>
    <w:p w:rsidR="5791CB83" w:rsidP="156EB269" w:rsidRDefault="5791CB83" w14:paraId="0795C72A" w14:textId="57AABAD7">
      <w:pPr>
        <w:spacing w:before="0" w:beforeAutospacing="off" w:after="240" w:afterAutospacing="off" w:line="360" w:lineRule="auto"/>
      </w:pPr>
      <w:r w:rsidRPr="156EB269" w:rsidR="5791CB83">
        <w:rPr>
          <w:rFonts w:ascii="Arial" w:hAnsi="Arial" w:eastAsia="Arial" w:cs="Arial"/>
          <w:noProof w:val="0"/>
          <w:sz w:val="24"/>
          <w:szCs w:val="24"/>
          <w:lang w:val="en-US"/>
        </w:rPr>
        <w:t xml:space="preserve">Work The World (2026). </w:t>
      </w:r>
      <w:r w:rsidRPr="156EB269" w:rsidR="5791CB83">
        <w:rPr>
          <w:rFonts w:ascii="Arial" w:hAnsi="Arial" w:eastAsia="Arial" w:cs="Arial"/>
          <w:i w:val="1"/>
          <w:iCs w:val="1"/>
          <w:noProof w:val="0"/>
          <w:sz w:val="24"/>
          <w:szCs w:val="24"/>
          <w:lang w:val="en-US"/>
        </w:rPr>
        <w:t>Finding a Sponsor for Your Electives Abroad | Work the World</w:t>
      </w:r>
      <w:r w:rsidRPr="156EB269" w:rsidR="5791CB83">
        <w:rPr>
          <w:rFonts w:ascii="Arial" w:hAnsi="Arial" w:eastAsia="Arial" w:cs="Arial"/>
          <w:noProof w:val="0"/>
          <w:sz w:val="24"/>
          <w:szCs w:val="24"/>
          <w:lang w:val="en-US"/>
        </w:rPr>
        <w:t xml:space="preserve">. [online] Worktheworld.co.uk. Available at: </w:t>
      </w:r>
      <w:hyperlink r:id="Rf04e63b326334af1">
        <w:r w:rsidRPr="156EB269" w:rsidR="5791CB83">
          <w:rPr>
            <w:rStyle w:val="Hyperlink"/>
            <w:rFonts w:ascii="Arial" w:hAnsi="Arial" w:eastAsia="Arial" w:cs="Arial"/>
            <w:noProof w:val="0"/>
            <w:sz w:val="24"/>
            <w:szCs w:val="24"/>
            <w:lang w:val="en-US"/>
          </w:rPr>
          <w:t>https://www.worktheworld.co.uk/finding-sponsor</w:t>
        </w:r>
      </w:hyperlink>
      <w:r w:rsidRPr="156EB269" w:rsidR="5791CB83">
        <w:rPr>
          <w:rFonts w:ascii="Arial" w:hAnsi="Arial" w:eastAsia="Arial" w:cs="Arial"/>
          <w:noProof w:val="0"/>
          <w:sz w:val="24"/>
          <w:szCs w:val="24"/>
          <w:lang w:val="en-US"/>
        </w:rPr>
        <w:t xml:space="preserve"> [Accessed 27 Mar. 2026].</w:t>
      </w:r>
    </w:p>
    <w:p w:rsidR="5791CB83" w:rsidP="156EB269" w:rsidRDefault="5791CB83" w14:paraId="490CF538" w14:textId="03155249">
      <w:pPr>
        <w:spacing w:before="0" w:beforeAutospacing="off" w:after="240" w:afterAutospacing="off" w:line="360" w:lineRule="auto"/>
      </w:pPr>
      <w:r w:rsidRPr="156EB269" w:rsidR="5791CB83">
        <w:rPr>
          <w:rFonts w:ascii="Arial" w:hAnsi="Arial" w:eastAsia="Arial" w:cs="Arial"/>
          <w:noProof w:val="0"/>
          <w:sz w:val="24"/>
          <w:szCs w:val="24"/>
          <w:lang w:val="en-US"/>
        </w:rPr>
        <w:t xml:space="preserve">Youth Future Foundation (2026). </w:t>
      </w:r>
      <w:r w:rsidRPr="156EB269" w:rsidR="5791CB83">
        <w:rPr>
          <w:rFonts w:ascii="Arial" w:hAnsi="Arial" w:eastAsia="Arial" w:cs="Arial"/>
          <w:i w:val="1"/>
          <w:iCs w:val="1"/>
          <w:noProof w:val="0"/>
          <w:sz w:val="24"/>
          <w:szCs w:val="24"/>
          <w:lang w:val="en-US"/>
        </w:rPr>
        <w:t>Youth Futures Foundation</w:t>
      </w:r>
      <w:r w:rsidRPr="156EB269" w:rsidR="5791CB83">
        <w:rPr>
          <w:rFonts w:ascii="Arial" w:hAnsi="Arial" w:eastAsia="Arial" w:cs="Arial"/>
          <w:noProof w:val="0"/>
          <w:sz w:val="24"/>
          <w:szCs w:val="24"/>
          <w:lang w:val="en-US"/>
        </w:rPr>
        <w:t xml:space="preserve">. [online] Youth Futures Foundation. Available at: </w:t>
      </w:r>
      <w:hyperlink r:id="Rd9e8cd9faf3541bb">
        <w:r w:rsidRPr="156EB269" w:rsidR="5791CB83">
          <w:rPr>
            <w:rStyle w:val="Hyperlink"/>
            <w:rFonts w:ascii="Arial" w:hAnsi="Arial" w:eastAsia="Arial" w:cs="Arial"/>
            <w:noProof w:val="0"/>
            <w:sz w:val="24"/>
            <w:szCs w:val="24"/>
            <w:lang w:val="en-US"/>
          </w:rPr>
          <w:t>https://youthfuturesfoundation.org/</w:t>
        </w:r>
      </w:hyperlink>
      <w:r w:rsidRPr="156EB269" w:rsidR="5791CB83">
        <w:rPr>
          <w:rFonts w:ascii="Arial" w:hAnsi="Arial" w:eastAsia="Arial" w:cs="Arial"/>
          <w:noProof w:val="0"/>
          <w:sz w:val="24"/>
          <w:szCs w:val="24"/>
          <w:lang w:val="en-US"/>
        </w:rPr>
        <w:t>.</w:t>
      </w:r>
    </w:p>
    <w:p w:rsidR="156EB269" w:rsidP="156EB269" w:rsidRDefault="156EB269" w14:paraId="05146BA5" w14:textId="4D7F4738">
      <w:pPr>
        <w:pStyle w:val="Normal"/>
      </w:pPr>
    </w:p>
    <w:p w:rsidR="156EB269" w:rsidP="156EB269" w:rsidRDefault="156EB269" w14:paraId="738DCDB4" w14:textId="313E3D61">
      <w:pPr>
        <w:pStyle w:val="Normal"/>
      </w:pPr>
    </w:p>
    <w:p w:rsidR="156EB269" w:rsidP="156EB269" w:rsidRDefault="156EB269" w14:paraId="6B47BFBE" w14:textId="6864A87B">
      <w:pPr>
        <w:pStyle w:val="Normal"/>
      </w:pPr>
    </w:p>
    <w:p w:rsidR="156EB269" w:rsidP="156EB269" w:rsidRDefault="156EB269" w14:paraId="11AD8196" w14:textId="18D90BCA">
      <w:pPr>
        <w:pStyle w:val="Normal"/>
      </w:pPr>
    </w:p>
    <w:p w:rsidR="156EB269" w:rsidP="156EB269" w:rsidRDefault="156EB269" w14:paraId="301599DF" w14:textId="63A0D732">
      <w:pPr>
        <w:pStyle w:val="Normal"/>
      </w:pPr>
    </w:p>
    <w:p w:rsidR="156EB269" w:rsidP="156EB269" w:rsidRDefault="156EB269" w14:paraId="2A59CA8F" w14:textId="3F145A6D">
      <w:pPr>
        <w:pStyle w:val="Normal"/>
      </w:pPr>
    </w:p>
    <w:p w:rsidR="156EB269" w:rsidP="156EB269" w:rsidRDefault="156EB269" w14:paraId="1A85F14D" w14:textId="4B6ABC90">
      <w:pPr>
        <w:pStyle w:val="Normal"/>
      </w:pPr>
    </w:p>
    <w:p w:rsidR="156EB269" w:rsidP="156EB269" w:rsidRDefault="156EB269" w14:paraId="6F983C67" w14:textId="640D625C">
      <w:pPr>
        <w:pStyle w:val="Normal"/>
      </w:pPr>
    </w:p>
    <w:p w:rsidR="156EB269" w:rsidP="156EB269" w:rsidRDefault="156EB269" w14:paraId="4FBC1FB6" w14:textId="1ADF22F9">
      <w:pPr>
        <w:pStyle w:val="Normal"/>
      </w:pPr>
    </w:p>
    <w:p xmlns:wp14="http://schemas.microsoft.com/office/word/2010/wordml" w:rsidP="52098D57" wp14:paraId="5833AE8C" wp14:noSpellErr="1" wp14:textId="1FB053D1">
      <w:pPr>
        <w:pStyle w:val="Normal"/>
      </w:pPr>
    </w:p>
    <w:p xmlns:wp14="http://schemas.microsoft.com/office/word/2010/wordml" w:rsidP="52098D57" wp14:paraId="2C078E63" wp14:textId="1F51A4A5">
      <w:pPr>
        <w:pStyle w:val="Normal"/>
      </w:pPr>
    </w:p>
    <w:sectPr>
      <w:pgSz w:w="12240" w:h="15840" w:orient="portrait"/>
      <w:pgMar w:top="1440" w:right="1440" w:bottom="1440" w:left="1440" w:header="720" w:footer="720" w:gutter="0"/>
      <w:cols w:space="720"/>
      <w:docGrid w:linePitch="360"/>
      <w:headerReference w:type="default" r:id="R7d37cb231ade41f0"/>
      <w:footerReference w:type="default" r:id="R648a309e20a245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56EB269" w:rsidTr="156EB269" w14:paraId="1E8F3560">
      <w:trPr>
        <w:trHeight w:val="300"/>
      </w:trPr>
      <w:tc>
        <w:tcPr>
          <w:tcW w:w="3120" w:type="dxa"/>
          <w:tcMar/>
        </w:tcPr>
        <w:p w:rsidR="156EB269" w:rsidP="156EB269" w:rsidRDefault="156EB269" w14:paraId="60F65349" w14:textId="531225D2">
          <w:pPr>
            <w:pStyle w:val="Header"/>
            <w:bidi w:val="0"/>
            <w:ind w:left="-115"/>
            <w:jc w:val="left"/>
          </w:pPr>
        </w:p>
      </w:tc>
      <w:tc>
        <w:tcPr>
          <w:tcW w:w="3120" w:type="dxa"/>
          <w:tcMar/>
        </w:tcPr>
        <w:p w:rsidR="156EB269" w:rsidP="156EB269" w:rsidRDefault="156EB269" w14:paraId="754368A1" w14:textId="3AB2D86F">
          <w:pPr>
            <w:pStyle w:val="Header"/>
            <w:bidi w:val="0"/>
            <w:jc w:val="center"/>
          </w:pPr>
        </w:p>
      </w:tc>
      <w:tc>
        <w:tcPr>
          <w:tcW w:w="3120" w:type="dxa"/>
          <w:tcMar/>
        </w:tcPr>
        <w:p w:rsidR="156EB269" w:rsidP="156EB269" w:rsidRDefault="156EB269" w14:paraId="2B90CDE9" w14:textId="3C8DB4F5">
          <w:pPr>
            <w:pStyle w:val="Header"/>
            <w:bidi w:val="0"/>
            <w:ind w:right="-115"/>
            <w:jc w:val="right"/>
          </w:pPr>
        </w:p>
      </w:tc>
    </w:tr>
  </w:tbl>
  <w:p w:rsidR="156EB269" w:rsidP="156EB269" w:rsidRDefault="156EB269" w14:paraId="57ADD9F3" w14:textId="1558F7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56EB269" w:rsidTr="156EB269" w14:paraId="720BED91">
      <w:trPr>
        <w:trHeight w:val="300"/>
      </w:trPr>
      <w:tc>
        <w:tcPr>
          <w:tcW w:w="3120" w:type="dxa"/>
          <w:tcMar/>
        </w:tcPr>
        <w:p w:rsidR="156EB269" w:rsidP="156EB269" w:rsidRDefault="156EB269" w14:paraId="18139931" w14:textId="217F6009">
          <w:pPr>
            <w:pStyle w:val="Header"/>
            <w:bidi w:val="0"/>
            <w:ind w:left="-115"/>
            <w:jc w:val="left"/>
          </w:pPr>
        </w:p>
      </w:tc>
      <w:tc>
        <w:tcPr>
          <w:tcW w:w="3120" w:type="dxa"/>
          <w:tcMar/>
        </w:tcPr>
        <w:p w:rsidR="156EB269" w:rsidP="156EB269" w:rsidRDefault="156EB269" w14:paraId="54544B77" w14:textId="6F448B96">
          <w:pPr>
            <w:pStyle w:val="Header"/>
            <w:bidi w:val="0"/>
            <w:jc w:val="center"/>
          </w:pPr>
        </w:p>
      </w:tc>
      <w:tc>
        <w:tcPr>
          <w:tcW w:w="3120" w:type="dxa"/>
          <w:tcMar/>
        </w:tcPr>
        <w:p w:rsidR="156EB269" w:rsidP="156EB269" w:rsidRDefault="156EB269" w14:paraId="752616AB" w14:textId="25D6C95D">
          <w:pPr>
            <w:pStyle w:val="Header"/>
            <w:bidi w:val="0"/>
            <w:ind w:right="-115"/>
            <w:jc w:val="right"/>
          </w:pPr>
        </w:p>
      </w:tc>
    </w:tr>
  </w:tbl>
  <w:p w:rsidR="156EB269" w:rsidP="156EB269" w:rsidRDefault="156EB269" w14:paraId="7D6493DB" w14:textId="4B444B06">
    <w:pPr>
      <w:pStyle w:val="Header"/>
      <w:bidi w:val="0"/>
    </w:pPr>
  </w:p>
</w:hdr>
</file>

<file path=word/intelligence2.xml><?xml version="1.0" encoding="utf-8"?>
<int2:intelligence xmlns:int2="http://schemas.microsoft.com/office/intelligence/2020/intelligence">
  <int2:observations>
    <int2:textHash int2:hashCode="xRrdM35tYov13a" int2:id="q3zi7I5K">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a58b0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b947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BC8958"/>
    <w:rsid w:val="00077414"/>
    <w:rsid w:val="005E2321"/>
    <w:rsid w:val="00987683"/>
    <w:rsid w:val="00A650DB"/>
    <w:rsid w:val="00BB0544"/>
    <w:rsid w:val="00BEB17F"/>
    <w:rsid w:val="00C02D0B"/>
    <w:rsid w:val="00CCC850"/>
    <w:rsid w:val="00E0344D"/>
    <w:rsid w:val="0126A6C4"/>
    <w:rsid w:val="01277307"/>
    <w:rsid w:val="0144293A"/>
    <w:rsid w:val="0170FC5D"/>
    <w:rsid w:val="0182DFF5"/>
    <w:rsid w:val="01EFC7AE"/>
    <w:rsid w:val="01F00CAB"/>
    <w:rsid w:val="02148CE0"/>
    <w:rsid w:val="021EC688"/>
    <w:rsid w:val="0271D33A"/>
    <w:rsid w:val="0286BC37"/>
    <w:rsid w:val="02EDB466"/>
    <w:rsid w:val="02FC048D"/>
    <w:rsid w:val="0493D983"/>
    <w:rsid w:val="04D9D9A4"/>
    <w:rsid w:val="0500ABA3"/>
    <w:rsid w:val="0513CDDA"/>
    <w:rsid w:val="0595BABA"/>
    <w:rsid w:val="05D0783B"/>
    <w:rsid w:val="063555C4"/>
    <w:rsid w:val="063CFF36"/>
    <w:rsid w:val="0656B093"/>
    <w:rsid w:val="0674FF52"/>
    <w:rsid w:val="06A1F4E2"/>
    <w:rsid w:val="07184C5A"/>
    <w:rsid w:val="07184C5A"/>
    <w:rsid w:val="07295136"/>
    <w:rsid w:val="07C83538"/>
    <w:rsid w:val="07D68A27"/>
    <w:rsid w:val="07E05D42"/>
    <w:rsid w:val="082A87B4"/>
    <w:rsid w:val="08F542D8"/>
    <w:rsid w:val="09280C44"/>
    <w:rsid w:val="093CE090"/>
    <w:rsid w:val="0A81AECF"/>
    <w:rsid w:val="0B511555"/>
    <w:rsid w:val="0B5D4AB8"/>
    <w:rsid w:val="0BF3DEF9"/>
    <w:rsid w:val="0CB93D35"/>
    <w:rsid w:val="0CE39D76"/>
    <w:rsid w:val="0D92792C"/>
    <w:rsid w:val="0DA3F99A"/>
    <w:rsid w:val="0DB43862"/>
    <w:rsid w:val="0DBF2727"/>
    <w:rsid w:val="0E3ECB50"/>
    <w:rsid w:val="0ED54C86"/>
    <w:rsid w:val="0EEB7FA9"/>
    <w:rsid w:val="1006B662"/>
    <w:rsid w:val="10A4DFC5"/>
    <w:rsid w:val="10A642C0"/>
    <w:rsid w:val="10C730A3"/>
    <w:rsid w:val="1173243C"/>
    <w:rsid w:val="119E1859"/>
    <w:rsid w:val="11D8472C"/>
    <w:rsid w:val="1235C1D7"/>
    <w:rsid w:val="12AEA347"/>
    <w:rsid w:val="12E113B5"/>
    <w:rsid w:val="133597BA"/>
    <w:rsid w:val="13398855"/>
    <w:rsid w:val="1342184D"/>
    <w:rsid w:val="1369FBD3"/>
    <w:rsid w:val="137438A5"/>
    <w:rsid w:val="13AD67B7"/>
    <w:rsid w:val="13B588FF"/>
    <w:rsid w:val="13C026D4"/>
    <w:rsid w:val="141DC3CF"/>
    <w:rsid w:val="14539139"/>
    <w:rsid w:val="149BA215"/>
    <w:rsid w:val="14A65D1C"/>
    <w:rsid w:val="150687D5"/>
    <w:rsid w:val="1541C96E"/>
    <w:rsid w:val="154BFD6D"/>
    <w:rsid w:val="156EB269"/>
    <w:rsid w:val="157B0493"/>
    <w:rsid w:val="15A0A467"/>
    <w:rsid w:val="15D8375A"/>
    <w:rsid w:val="16AD7A12"/>
    <w:rsid w:val="16E88401"/>
    <w:rsid w:val="176E9163"/>
    <w:rsid w:val="1786E48D"/>
    <w:rsid w:val="17D779D4"/>
    <w:rsid w:val="17F338AB"/>
    <w:rsid w:val="18172328"/>
    <w:rsid w:val="18590937"/>
    <w:rsid w:val="18EBFF5E"/>
    <w:rsid w:val="18F49DCD"/>
    <w:rsid w:val="197BDD8C"/>
    <w:rsid w:val="19999174"/>
    <w:rsid w:val="19DB75C0"/>
    <w:rsid w:val="19DEB054"/>
    <w:rsid w:val="1A1BAE7D"/>
    <w:rsid w:val="1A3BE6EF"/>
    <w:rsid w:val="1A588234"/>
    <w:rsid w:val="1A588234"/>
    <w:rsid w:val="1AA5FF31"/>
    <w:rsid w:val="1AC776A7"/>
    <w:rsid w:val="1AE351D1"/>
    <w:rsid w:val="1AFBA842"/>
    <w:rsid w:val="1B0FC286"/>
    <w:rsid w:val="1B857F59"/>
    <w:rsid w:val="1BBDF601"/>
    <w:rsid w:val="1C952B40"/>
    <w:rsid w:val="1CC2C7A6"/>
    <w:rsid w:val="1CC2C7A6"/>
    <w:rsid w:val="1D3B83B4"/>
    <w:rsid w:val="1DDBB3C3"/>
    <w:rsid w:val="1E4DA7BD"/>
    <w:rsid w:val="1EFF5881"/>
    <w:rsid w:val="1F6772F1"/>
    <w:rsid w:val="1F90F0C3"/>
    <w:rsid w:val="2067817C"/>
    <w:rsid w:val="2094CDB2"/>
    <w:rsid w:val="217C75AE"/>
    <w:rsid w:val="224B521B"/>
    <w:rsid w:val="2256186E"/>
    <w:rsid w:val="228D95BA"/>
    <w:rsid w:val="23025539"/>
    <w:rsid w:val="231C85B5"/>
    <w:rsid w:val="2341B677"/>
    <w:rsid w:val="23D4F95C"/>
    <w:rsid w:val="23F35CD4"/>
    <w:rsid w:val="251C76BF"/>
    <w:rsid w:val="2561D6D5"/>
    <w:rsid w:val="259C847D"/>
    <w:rsid w:val="25EF2B55"/>
    <w:rsid w:val="25F97309"/>
    <w:rsid w:val="277653A0"/>
    <w:rsid w:val="27BCCFBC"/>
    <w:rsid w:val="28A8BB88"/>
    <w:rsid w:val="29063313"/>
    <w:rsid w:val="2921D729"/>
    <w:rsid w:val="2923A301"/>
    <w:rsid w:val="2943B7E4"/>
    <w:rsid w:val="29D14C34"/>
    <w:rsid w:val="2A2880D7"/>
    <w:rsid w:val="2A2DAEE8"/>
    <w:rsid w:val="2A90E0DA"/>
    <w:rsid w:val="2A90E0DA"/>
    <w:rsid w:val="2AF97F40"/>
    <w:rsid w:val="2B0BA015"/>
    <w:rsid w:val="2B2277F1"/>
    <w:rsid w:val="2B37A5FC"/>
    <w:rsid w:val="2B37A5FC"/>
    <w:rsid w:val="2B96FD33"/>
    <w:rsid w:val="2C01D417"/>
    <w:rsid w:val="2C36C1F9"/>
    <w:rsid w:val="2C641D4B"/>
    <w:rsid w:val="2C8E48B8"/>
    <w:rsid w:val="2CC1461D"/>
    <w:rsid w:val="2CF58E34"/>
    <w:rsid w:val="2DA83BA1"/>
    <w:rsid w:val="2DB382D8"/>
    <w:rsid w:val="2E024C38"/>
    <w:rsid w:val="2E1C77E1"/>
    <w:rsid w:val="2E834599"/>
    <w:rsid w:val="2F23491A"/>
    <w:rsid w:val="2F23491A"/>
    <w:rsid w:val="2F7545BC"/>
    <w:rsid w:val="2F828247"/>
    <w:rsid w:val="2FD33B64"/>
    <w:rsid w:val="2FF06A62"/>
    <w:rsid w:val="2FFCA93A"/>
    <w:rsid w:val="301A7173"/>
    <w:rsid w:val="308DEDBC"/>
    <w:rsid w:val="30B75048"/>
    <w:rsid w:val="31735A1D"/>
    <w:rsid w:val="31A34576"/>
    <w:rsid w:val="32252675"/>
    <w:rsid w:val="3236703F"/>
    <w:rsid w:val="3246620D"/>
    <w:rsid w:val="32736663"/>
    <w:rsid w:val="32824408"/>
    <w:rsid w:val="328F72C0"/>
    <w:rsid w:val="32A54B88"/>
    <w:rsid w:val="32C7A56E"/>
    <w:rsid w:val="32E2EFC4"/>
    <w:rsid w:val="3368F718"/>
    <w:rsid w:val="342A74B2"/>
    <w:rsid w:val="3458CB0D"/>
    <w:rsid w:val="3464817E"/>
    <w:rsid w:val="34AC50B9"/>
    <w:rsid w:val="34F091F0"/>
    <w:rsid w:val="355CDDE1"/>
    <w:rsid w:val="35C018EA"/>
    <w:rsid w:val="35FA6044"/>
    <w:rsid w:val="365198E7"/>
    <w:rsid w:val="36737265"/>
    <w:rsid w:val="3677CC8E"/>
    <w:rsid w:val="368D6385"/>
    <w:rsid w:val="37515956"/>
    <w:rsid w:val="37FEC80E"/>
    <w:rsid w:val="384F462D"/>
    <w:rsid w:val="386F7F4C"/>
    <w:rsid w:val="3A2934CF"/>
    <w:rsid w:val="3AB268A7"/>
    <w:rsid w:val="3B49BD0A"/>
    <w:rsid w:val="3B921A4D"/>
    <w:rsid w:val="3BC84401"/>
    <w:rsid w:val="3C3CFD8B"/>
    <w:rsid w:val="3C48466C"/>
    <w:rsid w:val="3C48466C"/>
    <w:rsid w:val="3C78544C"/>
    <w:rsid w:val="3CDE8662"/>
    <w:rsid w:val="3D1F409C"/>
    <w:rsid w:val="3D612162"/>
    <w:rsid w:val="3E33DFC8"/>
    <w:rsid w:val="3E5D20FB"/>
    <w:rsid w:val="3EA90C1A"/>
    <w:rsid w:val="3EADB395"/>
    <w:rsid w:val="3EC11DC7"/>
    <w:rsid w:val="3F10C4C1"/>
    <w:rsid w:val="3F197862"/>
    <w:rsid w:val="3F197862"/>
    <w:rsid w:val="3F3737C7"/>
    <w:rsid w:val="3F5BC9C9"/>
    <w:rsid w:val="3F72D8B5"/>
    <w:rsid w:val="3F8C1F34"/>
    <w:rsid w:val="3FF001C7"/>
    <w:rsid w:val="407E5CF3"/>
    <w:rsid w:val="4090C8D9"/>
    <w:rsid w:val="41124BB1"/>
    <w:rsid w:val="414DB704"/>
    <w:rsid w:val="4164B1BA"/>
    <w:rsid w:val="417890DB"/>
    <w:rsid w:val="41FD690E"/>
    <w:rsid w:val="4259B772"/>
    <w:rsid w:val="429E0131"/>
    <w:rsid w:val="42FC16CB"/>
    <w:rsid w:val="430C144D"/>
    <w:rsid w:val="4387917F"/>
    <w:rsid w:val="43A97946"/>
    <w:rsid w:val="4443BB38"/>
    <w:rsid w:val="44794CFC"/>
    <w:rsid w:val="44B7283C"/>
    <w:rsid w:val="44F3A5B8"/>
    <w:rsid w:val="4560BF43"/>
    <w:rsid w:val="45F595B0"/>
    <w:rsid w:val="462DF574"/>
    <w:rsid w:val="4661F75D"/>
    <w:rsid w:val="46C86C77"/>
    <w:rsid w:val="474C9566"/>
    <w:rsid w:val="4765E2F5"/>
    <w:rsid w:val="47E0FCE3"/>
    <w:rsid w:val="47FFBB7A"/>
    <w:rsid w:val="47FFBB7A"/>
    <w:rsid w:val="483ED985"/>
    <w:rsid w:val="48A272D1"/>
    <w:rsid w:val="48C7D08E"/>
    <w:rsid w:val="48FBB9D2"/>
    <w:rsid w:val="4910F9CB"/>
    <w:rsid w:val="4995B9EE"/>
    <w:rsid w:val="49BA37D0"/>
    <w:rsid w:val="49E9A98B"/>
    <w:rsid w:val="4A0368AD"/>
    <w:rsid w:val="4A10CE79"/>
    <w:rsid w:val="4AA229CE"/>
    <w:rsid w:val="4B0C1C68"/>
    <w:rsid w:val="4B1F0345"/>
    <w:rsid w:val="4C4D53C3"/>
    <w:rsid w:val="4CAEA878"/>
    <w:rsid w:val="4CAEA878"/>
    <w:rsid w:val="4D3D4D39"/>
    <w:rsid w:val="4D5FAD1E"/>
    <w:rsid w:val="4D924DC3"/>
    <w:rsid w:val="4E063455"/>
    <w:rsid w:val="4E14DA30"/>
    <w:rsid w:val="4E14DA30"/>
    <w:rsid w:val="4E85A479"/>
    <w:rsid w:val="4EADD3EC"/>
    <w:rsid w:val="4FAB16C3"/>
    <w:rsid w:val="4FE7256A"/>
    <w:rsid w:val="501C4415"/>
    <w:rsid w:val="5122F613"/>
    <w:rsid w:val="514004E9"/>
    <w:rsid w:val="5172262A"/>
    <w:rsid w:val="52098D57"/>
    <w:rsid w:val="520BB32B"/>
    <w:rsid w:val="5256A139"/>
    <w:rsid w:val="526EAB9E"/>
    <w:rsid w:val="527171AC"/>
    <w:rsid w:val="52CF8F0E"/>
    <w:rsid w:val="52FAFD41"/>
    <w:rsid w:val="5362F2F0"/>
    <w:rsid w:val="53CE7C8C"/>
    <w:rsid w:val="53D5279D"/>
    <w:rsid w:val="5451E939"/>
    <w:rsid w:val="545CA32E"/>
    <w:rsid w:val="54842320"/>
    <w:rsid w:val="5489AC5A"/>
    <w:rsid w:val="54D11C99"/>
    <w:rsid w:val="54F48A81"/>
    <w:rsid w:val="55348BC3"/>
    <w:rsid w:val="55395DAA"/>
    <w:rsid w:val="55537205"/>
    <w:rsid w:val="562CA21E"/>
    <w:rsid w:val="5650A2C6"/>
    <w:rsid w:val="567D1D50"/>
    <w:rsid w:val="56A64F4D"/>
    <w:rsid w:val="56AFA7B9"/>
    <w:rsid w:val="56C2841D"/>
    <w:rsid w:val="56D721D7"/>
    <w:rsid w:val="56FB649B"/>
    <w:rsid w:val="575E544F"/>
    <w:rsid w:val="5791CB83"/>
    <w:rsid w:val="590ECEF8"/>
    <w:rsid w:val="5946904D"/>
    <w:rsid w:val="59A4C0A5"/>
    <w:rsid w:val="5A03991F"/>
    <w:rsid w:val="5A0689C7"/>
    <w:rsid w:val="5A172D41"/>
    <w:rsid w:val="5BA3FE07"/>
    <w:rsid w:val="5BDFA098"/>
    <w:rsid w:val="5C3E631F"/>
    <w:rsid w:val="5C7AE172"/>
    <w:rsid w:val="5C84FF27"/>
    <w:rsid w:val="5CD01682"/>
    <w:rsid w:val="5D9867A6"/>
    <w:rsid w:val="5DBD1BEE"/>
    <w:rsid w:val="5DDFB65B"/>
    <w:rsid w:val="5DDFF5C4"/>
    <w:rsid w:val="5E059CE3"/>
    <w:rsid w:val="5E4806BC"/>
    <w:rsid w:val="5E5FC8E3"/>
    <w:rsid w:val="5E730094"/>
    <w:rsid w:val="5E7B1A26"/>
    <w:rsid w:val="5F161657"/>
    <w:rsid w:val="5F94E97F"/>
    <w:rsid w:val="5F98BB6F"/>
    <w:rsid w:val="5FC2FCFE"/>
    <w:rsid w:val="5FF8B5EB"/>
    <w:rsid w:val="6086D4D7"/>
    <w:rsid w:val="60A015BB"/>
    <w:rsid w:val="60D33ADF"/>
    <w:rsid w:val="60DFF7E6"/>
    <w:rsid w:val="6173DE14"/>
    <w:rsid w:val="61895B5C"/>
    <w:rsid w:val="61AB9FF5"/>
    <w:rsid w:val="61BFBF3D"/>
    <w:rsid w:val="62EFF63B"/>
    <w:rsid w:val="632385E8"/>
    <w:rsid w:val="63703681"/>
    <w:rsid w:val="64165549"/>
    <w:rsid w:val="64C3FFEE"/>
    <w:rsid w:val="64C6B425"/>
    <w:rsid w:val="64D34DCF"/>
    <w:rsid w:val="64E5B1D4"/>
    <w:rsid w:val="652E6DF0"/>
    <w:rsid w:val="65A6336D"/>
    <w:rsid w:val="65A6336D"/>
    <w:rsid w:val="65AE8DDC"/>
    <w:rsid w:val="666B7B34"/>
    <w:rsid w:val="669EF9B2"/>
    <w:rsid w:val="66B89A67"/>
    <w:rsid w:val="67415260"/>
    <w:rsid w:val="675855C3"/>
    <w:rsid w:val="6768CDA8"/>
    <w:rsid w:val="67910BFF"/>
    <w:rsid w:val="67A4D9A9"/>
    <w:rsid w:val="67C33B18"/>
    <w:rsid w:val="6888793C"/>
    <w:rsid w:val="68BC8958"/>
    <w:rsid w:val="6925677C"/>
    <w:rsid w:val="69586404"/>
    <w:rsid w:val="697BB258"/>
    <w:rsid w:val="69DAD7AF"/>
    <w:rsid w:val="6A31BE78"/>
    <w:rsid w:val="6A626A5A"/>
    <w:rsid w:val="6A6D27CD"/>
    <w:rsid w:val="6AAC83FE"/>
    <w:rsid w:val="6ADA8C18"/>
    <w:rsid w:val="6AE3E233"/>
    <w:rsid w:val="6B72BC0E"/>
    <w:rsid w:val="6B72BC0E"/>
    <w:rsid w:val="6BA9F8D1"/>
    <w:rsid w:val="6BDBD0B3"/>
    <w:rsid w:val="6C965859"/>
    <w:rsid w:val="6CD1AC82"/>
    <w:rsid w:val="6CE044DC"/>
    <w:rsid w:val="6D54E225"/>
    <w:rsid w:val="6D8A062B"/>
    <w:rsid w:val="6DD352A8"/>
    <w:rsid w:val="6DD352A8"/>
    <w:rsid w:val="6DEBCC24"/>
    <w:rsid w:val="6DEBCC24"/>
    <w:rsid w:val="6E34B901"/>
    <w:rsid w:val="6F781DB3"/>
    <w:rsid w:val="6FA5D1E8"/>
    <w:rsid w:val="70E5B395"/>
    <w:rsid w:val="71EE5963"/>
    <w:rsid w:val="72404701"/>
    <w:rsid w:val="72E336E7"/>
    <w:rsid w:val="732098BB"/>
    <w:rsid w:val="732098BB"/>
    <w:rsid w:val="7347AC00"/>
    <w:rsid w:val="7347AC00"/>
    <w:rsid w:val="738EF490"/>
    <w:rsid w:val="745A5344"/>
    <w:rsid w:val="7499C120"/>
    <w:rsid w:val="74B1103E"/>
    <w:rsid w:val="74EDBF90"/>
    <w:rsid w:val="753E5EF8"/>
    <w:rsid w:val="75926FE6"/>
    <w:rsid w:val="75DC87A5"/>
    <w:rsid w:val="765AAB3E"/>
    <w:rsid w:val="765AAB3E"/>
    <w:rsid w:val="765CAFD8"/>
    <w:rsid w:val="7686BE23"/>
    <w:rsid w:val="768EA8C7"/>
    <w:rsid w:val="7700F601"/>
    <w:rsid w:val="7707B00D"/>
    <w:rsid w:val="77D4EEF9"/>
    <w:rsid w:val="786BB19E"/>
    <w:rsid w:val="788D38C2"/>
    <w:rsid w:val="78916164"/>
    <w:rsid w:val="7977482D"/>
    <w:rsid w:val="7982689B"/>
    <w:rsid w:val="79904E66"/>
    <w:rsid w:val="79C6C1E2"/>
    <w:rsid w:val="7A9C0236"/>
    <w:rsid w:val="7ACED0E0"/>
    <w:rsid w:val="7ACEE77D"/>
    <w:rsid w:val="7AE083C8"/>
    <w:rsid w:val="7AE083C8"/>
    <w:rsid w:val="7B236829"/>
    <w:rsid w:val="7B3E347D"/>
    <w:rsid w:val="7BE0AB71"/>
    <w:rsid w:val="7C087301"/>
    <w:rsid w:val="7C107126"/>
    <w:rsid w:val="7C24E400"/>
    <w:rsid w:val="7C34B05B"/>
    <w:rsid w:val="7C389EB2"/>
    <w:rsid w:val="7C3AF613"/>
    <w:rsid w:val="7C7B3E64"/>
    <w:rsid w:val="7C8827ED"/>
    <w:rsid w:val="7C8B3BEA"/>
    <w:rsid w:val="7D59E883"/>
    <w:rsid w:val="7D9ACC8D"/>
    <w:rsid w:val="7DDE6136"/>
    <w:rsid w:val="7E9FADE9"/>
    <w:rsid w:val="7F06D024"/>
    <w:rsid w:val="7F449470"/>
    <w:rsid w:val="7FC4B8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C8958"/>
  <w15:chartTrackingRefBased/>
  <w15:docId w15:val="{A9B83FC8-3841-4041-84DF-6B8E614408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2098D57"/>
    <w:pPr>
      <w:spacing/>
      <w:ind w:left="720"/>
      <w:contextualSpacing/>
    </w:pPr>
  </w:style>
  <w:style w:type="paragraph" w:styleId="NoSpacing">
    <w:uiPriority w:val="1"/>
    <w:name w:val="No Spacing"/>
    <w:qFormat/>
    <w:rsid w:val="52098D57"/>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156EB26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56EB269"/>
    <w:rPr>
      <w:color w:val="467886"/>
      <w:u w:val="single"/>
    </w:rPr>
  </w:style>
  <w:style w:type="paragraph" w:styleId="Header">
    <w:uiPriority w:val="99"/>
    <w:name w:val="header"/>
    <w:basedOn w:val="Normal"/>
    <w:unhideWhenUsed/>
    <w:rsid w:val="156EB269"/>
    <w:pPr>
      <w:tabs>
        <w:tab w:val="center" w:leader="none" w:pos="4680"/>
        <w:tab w:val="right" w:leader="none" w:pos="9360"/>
      </w:tabs>
      <w:spacing w:after="0" w:line="240" w:lineRule="auto"/>
    </w:pPr>
  </w:style>
  <w:style w:type="paragraph" w:styleId="Footer">
    <w:uiPriority w:val="99"/>
    <w:name w:val="footer"/>
    <w:basedOn w:val="Normal"/>
    <w:unhideWhenUsed/>
    <w:rsid w:val="156EB269"/>
    <w:pPr>
      <w:tabs>
        <w:tab w:val="center" w:leader="none" w:pos="4680"/>
        <w:tab w:val="right" w:leader="none" w:pos="9360"/>
      </w:tabs>
      <w:spacing w:after="0" w:line="240" w:lineRule="auto"/>
    </w:pPr>
  </w:style>
  <w:style w:type="paragraph" w:styleId="TOC1">
    <w:uiPriority w:val="39"/>
    <w:name w:val="toc 1"/>
    <w:basedOn w:val="Normal"/>
    <w:next w:val="Normal"/>
    <w:unhideWhenUsed/>
    <w:rsid w:val="156EB269"/>
    <w:pPr>
      <w:spacing w:after="100"/>
    </w:pPr>
  </w:style>
  <w:style w:type="character" w:styleId="Heading1Char" w:customStyle="true">
    <w:uiPriority w:val="9"/>
    <w:name w:val="Heading 1 Char"/>
    <w:basedOn w:val="DefaultParagraphFont"/>
    <w:link w:val="Heading1"/>
    <w:rsid w:val="156EB269"/>
    <w:rPr>
      <w:rFonts w:ascii="Aptos Display" w:hAnsi="Aptos Display" w:eastAsia="" w:cs="" w:asciiTheme="majorAscii" w:hAnsiTheme="majorAscii" w:eastAsiaTheme="majorEastAsia" w:cstheme="majorBidi"/>
      <w:color w:val="0F4761" w:themeColor="accent1" w:themeTint="FF"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09790565" /><Relationship Type="http://schemas.openxmlformats.org/officeDocument/2006/relationships/numbering" Target="numbering.xml" Id="R40ca71cee46d429c" /><Relationship Type="http://schemas.openxmlformats.org/officeDocument/2006/relationships/image" Target="/media/image2.png" Id="rId16908094" /><Relationship Type="http://schemas.openxmlformats.org/officeDocument/2006/relationships/image" Target="/media/image3.png" Id="rId698586207" /><Relationship Type="http://schemas.openxmlformats.org/officeDocument/2006/relationships/image" Target="/media/image4.png" Id="rId1473381707" /><Relationship Type="http://schemas.openxmlformats.org/officeDocument/2006/relationships/image" Target="/media/image.jpg" Id="rId1777027675" /><Relationship Type="http://schemas.openxmlformats.org/officeDocument/2006/relationships/image" Target="/media/image2.jpg" Id="rId1733922596" /><Relationship Type="http://schemas.openxmlformats.org/officeDocument/2006/relationships/image" Target="/media/image3.jpg" Id="rId1211856851" /><Relationship Type="http://schemas.openxmlformats.org/officeDocument/2006/relationships/image" Target="/media/image4.jpg" Id="rId257354645" /><Relationship Type="http://schemas.openxmlformats.org/officeDocument/2006/relationships/image" Target="/media/image5.png" Id="rId2097264708" /><Relationship Type="http://schemas.openxmlformats.org/officeDocument/2006/relationships/image" Target="/media/image6.png" Id="rId642624478" /><Relationship Type="http://schemas.openxmlformats.org/officeDocument/2006/relationships/image" Target="/media/image7.png" Id="rId245847586" /><Relationship Type="http://schemas.openxmlformats.org/officeDocument/2006/relationships/image" Target="/media/image8.png" Id="rId2002473366" /><Relationship Type="http://schemas.openxmlformats.org/officeDocument/2006/relationships/image" Target="/media/image9.png" Id="rId2030907763" /><Relationship Type="http://schemas.openxmlformats.org/officeDocument/2006/relationships/hyperlink" Target="https://www.thepurpleguide.co.uk/about-the-purple-guide" TargetMode="External" Id="R8a0e3eb718d54f97" /><Relationship Type="http://schemas.openxmlformats.org/officeDocument/2006/relationships/hyperlink" Target="https://www.thepurpleguide.co.uk/purple-guide-lite" TargetMode="External" Id="R04dfab85f5fe4c41" /><Relationship Type="http://schemas.openxmlformats.org/officeDocument/2006/relationships/hyperlink" Target="https://www.aeo.org.uk/" TargetMode="External" Id="R4f3384177c594e52" /><Relationship Type="http://schemas.openxmlformats.org/officeDocument/2006/relationships/hyperlink" Target="https://attitudeiseverything.org.uk/" TargetMode="External" Id="Rd6930d82fd354454" /><Relationship Type="http://schemas.openxmlformats.org/officeDocument/2006/relationships/hyperlink" Target="https://www.gov.wales/sites/default/files/publications/2023-09/inspiring-children-and-young-peoples-career-journeys-through-work-related-experiences.pdf" TargetMode="External" Id="Rea34b07cf86942dc" /><Relationship Type="http://schemas.openxmlformats.org/officeDocument/2006/relationships/hyperlink" Target="https://sponsorshipcollective.com/blog/definitive-guide-sponsorship-proposal/" TargetMode="External" Id="Rcf26ea9df5ca46d3" /><Relationship Type="http://schemas.openxmlformats.org/officeDocument/2006/relationships/hyperlink" Target="https://eventmarketingpartners.com/leveraging-linkedin-for-your-event-marketing/" TargetMode="External" Id="R555012a1e1ba409a" /><Relationship Type="http://schemas.openxmlformats.org/officeDocument/2006/relationships/hyperlink" Target="https://www.britsafe.org/training-and-learning/informational-resources/risk-assessments-what-they-are-why-theyre-important-and-how-to-complete-them" TargetMode="External" Id="R85b839b3376a420a" /><Relationship Type="http://schemas.openxmlformats.org/officeDocument/2006/relationships/hyperlink" Target="https://careerswales.gov.wales/" TargetMode="External" Id="R9804bdbd9fe14bad" /><Relationship Type="http://schemas.openxmlformats.org/officeDocument/2006/relationships/hyperlink" Target="https://clinstitute.co.uk/management/event-management/introduction-to-budgeting-for-events-training-course-for-managers" TargetMode="External" Id="Rbd98a2da02c74386" /><Relationship Type="http://schemas.openxmlformats.org/officeDocument/2006/relationships/hyperlink" Target="https://www.designcouncil.org.uk" TargetMode="External" Id="R83c9e203a7ad4c9f" /><Relationship Type="http://schemas.openxmlformats.org/officeDocument/2006/relationships/hyperlink" Target="https://www.designcouncil.org.uk/our-work/design-economy/" TargetMode="External" Id="R6aa351a6205445cf" /><Relationship Type="http://schemas.openxmlformats.org/officeDocument/2006/relationships/hyperlink" Target="https://www.disabilityrightsuk.org" TargetMode="External" Id="R2f5bd969bbed4c0a" /><Relationship Type="http://schemas.openxmlformats.org/officeDocument/2006/relationships/hyperlink" Target="https://www.disabilityrightsuk.org/" TargetMode="External" Id="Ra82c401367c248f9" /><Relationship Type="http://schemas.openxmlformats.org/officeDocument/2006/relationships/hyperlink" Target="https://www.eventbrite.co.uk/blog/" TargetMode="External" Id="Rc65c548965b24f1e" /><Relationship Type="http://schemas.openxmlformats.org/officeDocument/2006/relationships/hyperlink" Target="https://insights.eventscouncil.org/Sustainability/Sustainability-Events-Standards" TargetMode="External" Id="Rd863b9186b9045d4" /><Relationship Type="http://schemas.openxmlformats.org/officeDocument/2006/relationships/hyperlink" Target="https://eventwell.org/" TargetMode="External" Id="Rf55a0da24aba4cd3" /><Relationship Type="http://schemas.openxmlformats.org/officeDocument/2006/relationships/hyperlink" Target="https://flamingostrategies.co.uk/help-zone/blog/top-13-benefits-of-social-media-marketing-for-your-business/" TargetMode="External" Id="Ra40f074907374982" /><Relationship Type="http://schemas.openxmlformats.org/officeDocument/2006/relationships/hyperlink" Target="https://www.wrike.com/project-management-guide/faq/what-is-smart-in-project-management/" TargetMode="External" Id="Rd6187a7c8eba4380" /><Relationship Type="http://schemas.openxmlformats.org/officeDocument/2006/relationships/hyperlink" Target="https://tlhmarketing.co.uk/why-social-media-marketing-is-effective" TargetMode="External" Id="R6a535b0349f34c0d" /><Relationship Type="http://schemas.openxmlformats.org/officeDocument/2006/relationships/hyperlink" Target="https://www.hse.gov.uk/simple-health-safety/risk/index.htm" TargetMode="External" Id="Re28dd92cfa404a32" /><Relationship Type="http://schemas.openxmlformats.org/officeDocument/2006/relationships/hyperlink" Target="https://evm.institute/event-financing-and-accounting/" TargetMode="External" Id="R0429b0f3da6047c5" /><Relationship Type="http://schemas.openxmlformats.org/officeDocument/2006/relationships/hyperlink" Target="https://www.medr.cymru/wp-content/uploads/2024/07/W21-38HE-Reaching-Wider-Programme-guidance-English.pdf" TargetMode="External" Id="R26fd44c6d8604f7e" /><Relationship Type="http://schemas.openxmlformats.org/officeDocument/2006/relationships/hyperlink" Target="https://www.medr.cymru/en/" TargetMode="External" Id="R2bce868983b446c0" /><Relationship Type="http://schemas.openxmlformats.org/officeDocument/2006/relationships/hyperlink" Target="https://nya.org.uk/youth-council-uk/" TargetMode="External" Id="R716fab99f8d644bf" /><Relationship Type="http://schemas.openxmlformats.org/officeDocument/2006/relationships/hyperlink" Target="https://www.nesta.org.uk/" TargetMode="External" Id="Ra81f904a4e494375" /><Relationship Type="http://schemas.openxmlformats.org/officeDocument/2006/relationships/hyperlink" Target="https://www.newimageeventproductions.com/blog/event-planning-and-strategy/event-planning-checklist-for-beginners" TargetMode="External" Id="R842501851f034a8c" /><Relationship Type="http://schemas.openxmlformats.org/officeDocument/2006/relationships/hyperlink" Target="https://www.ncvo.org.uk/#/" TargetMode="External" Id="R99243d97870f4eba" /><Relationship Type="http://schemas.openxmlformats.org/officeDocument/2006/relationships/hyperlink" Target="https://www.oneninedesign.net/blog/sponsorship" TargetMode="External" Id="R82e2335dedde4da8" /><Relationship Type="http://schemas.openxmlformats.org/officeDocument/2006/relationships/hyperlink" Target="https://youngvoicesheard.org.uk/resources/youth-participation-charters-reports-research/" TargetMode="External" Id="Rfdebd030a871495c" /><Relationship Type="http://schemas.openxmlformats.org/officeDocument/2006/relationships/hyperlink" Target="https://marbleldn.com/2025/10/16/how-tiktok-is-changing-the-event-space" TargetMode="External" Id="Ra1b1f5d5b4ba4843" /><Relationship Type="http://schemas.openxmlformats.org/officeDocument/2006/relationships/hyperlink" Target="https://event-managers.institute/" TargetMode="External" Id="R5253543646754fe8" /><Relationship Type="http://schemas.openxmlformats.org/officeDocument/2006/relationships/hyperlink" Target="https://savanta.com/" TargetMode="External" Id="Rd4372fa615ea45d0" /><Relationship Type="http://schemas.openxmlformats.org/officeDocument/2006/relationships/hyperlink" Target="https://www.thepurpleguide.co.uk/other-guidance/the-welfare-handbook/introduction" TargetMode="External" Id="R39ce3e6759eb44e3" /><Relationship Type="http://schemas.openxmlformats.org/officeDocument/2006/relationships/hyperlink" Target="https://www.fyxer.com/blog/how-to-write-a-sponsorship-email" TargetMode="External" Id="R8e8228dbd3694426" /><Relationship Type="http://schemas.openxmlformats.org/officeDocument/2006/relationships/hyperlink" Target="https://loopyah.com/blog/selling/event-sponsorship-goals" TargetMode="External" Id="R4af00a5dcb8c452c" /><Relationship Type="http://schemas.openxmlformats.org/officeDocument/2006/relationships/hyperlink" Target="https://www.abtt.org.uk/resources/technical-standards-for-places-of-entertainment/" TargetMode="External" Id="Rea61f310f03d4e5d" /><Relationship Type="http://schemas.openxmlformats.org/officeDocument/2006/relationships/hyperlink" Target="https://www.theinstituteforeventmanagement.com/uk/en/course" TargetMode="External" Id="Re9c5f74a6c154a03" /><Relationship Type="http://schemas.openxmlformats.org/officeDocument/2006/relationships/hyperlink" Target="https://www.careersandenterprise.co.uk/" TargetMode="External" Id="R1ca1c5dd20194075" /><Relationship Type="http://schemas.openxmlformats.org/officeDocument/2006/relationships/hyperlink" Target="https://www.cim.co.uk/content-insights/articles/report-cmo75-insight-and-opportunity-in-2023/" TargetMode="External" Id="R52a3a573beed467c" /><Relationship Type="http://schemas.openxmlformats.org/officeDocument/2006/relationships/hyperlink" Target="https://www.theeventplannerexpo.com/business-growth/8-incredible-event-boosting-benefits-of-using-instagram/" TargetMode="External" Id="R55f99a3096c94a52" /><Relationship Type="http://schemas.openxmlformats.org/officeDocument/2006/relationships/hyperlink" Target="https://www.thinkyoung.eu/" TargetMode="External" Id="R83f0a59647c94968" /><Relationship Type="http://schemas.openxmlformats.org/officeDocument/2006/relationships/hyperlink" Target="https://www.ucas.com/advisers/help-and-training/guides-resources-and-training/tools-and-resources-help-you/progression-pathways" TargetMode="External" Id="Rd624fb6e05404ee0" /><Relationship Type="http://schemas.openxmlformats.org/officeDocument/2006/relationships/hyperlink" Target="https://www.visitbritain.org/" TargetMode="External" Id="Rd6e4f3122bd04f0c" /><Relationship Type="http://schemas.openxmlformats.org/officeDocument/2006/relationships/hyperlink" Target="https://weareops.co.uk/blog/event-health-and-safety-what-are-the-7-key-areas" TargetMode="External" Id="R48f58a60dfd14fb8" /><Relationship Type="http://schemas.openxmlformats.org/officeDocument/2006/relationships/hyperlink" Target="https://www.worktheworld.co.uk/finding-sponsor" TargetMode="External" Id="Rf04e63b326334af1" /><Relationship Type="http://schemas.openxmlformats.org/officeDocument/2006/relationships/hyperlink" Target="https://youthfuturesfoundation.org/" TargetMode="External" Id="Rd9e8cd9faf3541bb" /><Relationship Type="http://schemas.openxmlformats.org/officeDocument/2006/relationships/header" Target="header.xml" Id="R7d37cb231ade41f0" /><Relationship Type="http://schemas.openxmlformats.org/officeDocument/2006/relationships/footer" Target="footer.xml" Id="R648a309e20a245d4" /><Relationship Type="http://schemas.microsoft.com/office/2020/10/relationships/intelligence" Target="intelligence2.xml" Id="Rdf4c6447237c4e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2026-03-18T11:36:48.4928636Z</dcterms:created>
  <dcterms:modified xsi:type="dcterms:W3CDTF">2026-03-29T21:34:17.2842376Z</dcterms:modified>
  <dc:creator>Simon Canby (2304206)</dc:creator>
  <lastModifiedBy>Simon Canby (2304206)</lastModifiedBy>
</coreProperties>
</file>