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38547" w14:textId="77777777" w:rsidR="00150A25" w:rsidRDefault="00150A25" w:rsidP="000729A6">
      <w:pPr>
        <w:shd w:val="clear" w:color="auto" w:fill="FFFFFF"/>
        <w:spacing w:after="300" w:line="240" w:lineRule="auto"/>
        <w:jc w:val="both"/>
        <w:rPr>
          <w:rFonts w:ascii="Arial" w:eastAsia="Times New Roman" w:hAnsi="Arial" w:cs="Arial"/>
          <w:color w:val="434341"/>
          <w:sz w:val="24"/>
          <w:szCs w:val="24"/>
          <w:lang w:eastAsia="en-GB"/>
        </w:rPr>
      </w:pPr>
      <w:r>
        <w:rPr>
          <w:rFonts w:ascii="Arial" w:eastAsia="Times New Roman" w:hAnsi="Arial" w:cs="Arial"/>
          <w:b/>
          <w:color w:val="434341"/>
          <w:sz w:val="24"/>
          <w:szCs w:val="24"/>
          <w:lang w:eastAsia="en-GB"/>
        </w:rPr>
        <w:t>Book Review</w:t>
      </w:r>
      <w:r>
        <w:rPr>
          <w:rFonts w:ascii="Arial" w:eastAsia="Times New Roman" w:hAnsi="Arial" w:cs="Arial"/>
          <w:color w:val="434341"/>
          <w:sz w:val="24"/>
          <w:szCs w:val="24"/>
          <w:lang w:eastAsia="en-GB"/>
        </w:rPr>
        <w:t xml:space="preserve"> - </w:t>
      </w:r>
      <w:r w:rsidRPr="000729A6">
        <w:rPr>
          <w:rFonts w:ascii="Arial" w:eastAsia="Times New Roman" w:hAnsi="Arial" w:cs="Arial"/>
          <w:i/>
          <w:iCs/>
          <w:color w:val="434341"/>
          <w:sz w:val="24"/>
          <w:szCs w:val="24"/>
          <w:lang w:eastAsia="en-GB"/>
        </w:rPr>
        <w:t>The</w:t>
      </w:r>
      <w:r>
        <w:rPr>
          <w:rFonts w:ascii="Arial" w:eastAsia="Times New Roman" w:hAnsi="Arial" w:cs="Arial"/>
          <w:color w:val="434341"/>
          <w:sz w:val="24"/>
          <w:szCs w:val="24"/>
          <w:lang w:eastAsia="en-GB"/>
        </w:rPr>
        <w:t xml:space="preserve"> </w:t>
      </w:r>
      <w:r>
        <w:rPr>
          <w:rFonts w:ascii="Arial" w:eastAsia="Times New Roman" w:hAnsi="Arial" w:cs="Arial"/>
          <w:i/>
          <w:color w:val="434341"/>
          <w:sz w:val="24"/>
          <w:szCs w:val="24"/>
          <w:lang w:eastAsia="en-GB"/>
        </w:rPr>
        <w:t xml:space="preserve">Triune Creator: A Study in Systematic Theology, </w:t>
      </w:r>
      <w:r>
        <w:rPr>
          <w:rFonts w:ascii="Arial" w:eastAsia="Times New Roman" w:hAnsi="Arial" w:cs="Arial"/>
          <w:color w:val="434341"/>
          <w:sz w:val="24"/>
          <w:szCs w:val="24"/>
          <w:lang w:eastAsia="en-GB"/>
        </w:rPr>
        <w:t>Colin E. Gunton, Edinburgh University Press (1998), 246 pp - ISBN - 0 7486 0792 7</w:t>
      </w:r>
    </w:p>
    <w:p w14:paraId="17ACDBAC" w14:textId="142BB544" w:rsidR="00150A25" w:rsidRDefault="00150A25" w:rsidP="000729A6">
      <w:pPr>
        <w:shd w:val="clear" w:color="auto" w:fill="FFFFFF"/>
        <w:spacing w:after="300" w:line="240" w:lineRule="auto"/>
        <w:jc w:val="both"/>
        <w:rPr>
          <w:rFonts w:ascii="Arial" w:eastAsia="Times New Roman" w:hAnsi="Arial" w:cs="Arial"/>
          <w:color w:val="434341"/>
          <w:sz w:val="20"/>
          <w:szCs w:val="20"/>
          <w:lang w:eastAsia="en-GB"/>
        </w:rPr>
      </w:pPr>
      <w:r>
        <w:rPr>
          <w:rFonts w:ascii="Arial" w:eastAsia="Times New Roman" w:hAnsi="Arial" w:cs="Arial"/>
          <w:color w:val="434341"/>
          <w:sz w:val="20"/>
          <w:szCs w:val="20"/>
          <w:lang w:eastAsia="en-GB"/>
        </w:rPr>
        <w:t>Colin Ewart Gunton (19</w:t>
      </w:r>
      <w:r>
        <w:rPr>
          <w:rFonts w:ascii="Arial" w:eastAsia="Times New Roman" w:hAnsi="Arial" w:cs="Arial"/>
          <w:color w:val="434341"/>
          <w:sz w:val="20"/>
          <w:szCs w:val="20"/>
          <w:vertAlign w:val="superscript"/>
          <w:lang w:eastAsia="en-GB"/>
        </w:rPr>
        <w:t>th</w:t>
      </w:r>
      <w:r>
        <w:rPr>
          <w:rFonts w:ascii="Arial" w:eastAsia="Times New Roman" w:hAnsi="Arial" w:cs="Arial"/>
          <w:color w:val="434341"/>
          <w:sz w:val="20"/>
          <w:szCs w:val="20"/>
          <w:lang w:eastAsia="en-GB"/>
        </w:rPr>
        <w:t xml:space="preserve"> January 1941 - 6</w:t>
      </w:r>
      <w:r>
        <w:rPr>
          <w:rFonts w:ascii="Arial" w:eastAsia="Times New Roman" w:hAnsi="Arial" w:cs="Arial"/>
          <w:color w:val="434341"/>
          <w:sz w:val="20"/>
          <w:szCs w:val="20"/>
          <w:vertAlign w:val="superscript"/>
          <w:lang w:eastAsia="en-GB"/>
        </w:rPr>
        <w:t>th</w:t>
      </w:r>
      <w:r>
        <w:rPr>
          <w:rFonts w:ascii="Arial" w:eastAsia="Times New Roman" w:hAnsi="Arial" w:cs="Arial"/>
          <w:color w:val="434341"/>
          <w:sz w:val="20"/>
          <w:szCs w:val="20"/>
          <w:lang w:eastAsia="en-GB"/>
        </w:rPr>
        <w:t xml:space="preserve"> May 2003) was the Professor of Christian Doctrine at King</w:t>
      </w:r>
      <w:r w:rsidR="00B05213">
        <w:rPr>
          <w:rFonts w:ascii="Arial" w:eastAsia="Times New Roman" w:hAnsi="Arial" w:cs="Arial"/>
          <w:color w:val="434341"/>
          <w:sz w:val="20"/>
          <w:szCs w:val="20"/>
          <w:lang w:eastAsia="en-GB"/>
        </w:rPr>
        <w:t>’</w:t>
      </w:r>
      <w:r>
        <w:rPr>
          <w:rFonts w:ascii="Arial" w:eastAsia="Times New Roman" w:hAnsi="Arial" w:cs="Arial"/>
          <w:color w:val="434341"/>
          <w:sz w:val="20"/>
          <w:szCs w:val="20"/>
          <w:lang w:eastAsia="en-GB"/>
        </w:rPr>
        <w:t>s College London from 1984, with specific research interests in the fields of Creation and the Trinity, and who</w:t>
      </w:r>
      <w:r w:rsidR="00B05213">
        <w:rPr>
          <w:rFonts w:ascii="Arial" w:eastAsia="Times New Roman" w:hAnsi="Arial" w:cs="Arial"/>
          <w:color w:val="434341"/>
          <w:sz w:val="20"/>
          <w:szCs w:val="20"/>
          <w:lang w:eastAsia="en-GB"/>
        </w:rPr>
        <w:t>,</w:t>
      </w:r>
      <w:r>
        <w:rPr>
          <w:rFonts w:ascii="Arial" w:eastAsia="Times New Roman" w:hAnsi="Arial" w:cs="Arial"/>
          <w:color w:val="434341"/>
          <w:sz w:val="20"/>
          <w:szCs w:val="20"/>
          <w:lang w:eastAsia="en-GB"/>
        </w:rPr>
        <w:t xml:space="preserve"> with his colleague Christopher Schwoebel</w:t>
      </w:r>
      <w:r w:rsidR="000729A6">
        <w:rPr>
          <w:rStyle w:val="FootnoteReference"/>
          <w:rFonts w:ascii="Arial" w:eastAsia="Times New Roman" w:hAnsi="Arial" w:cs="Arial"/>
          <w:color w:val="434341"/>
          <w:sz w:val="20"/>
          <w:szCs w:val="20"/>
          <w:lang w:eastAsia="en-GB"/>
        </w:rPr>
        <w:footnoteReference w:id="1"/>
      </w:r>
      <w:r w:rsidR="000079AA">
        <w:rPr>
          <w:rFonts w:ascii="Arial" w:eastAsia="Times New Roman" w:hAnsi="Arial" w:cs="Arial"/>
          <w:color w:val="434341"/>
          <w:sz w:val="20"/>
          <w:szCs w:val="20"/>
          <w:lang w:eastAsia="en-GB"/>
        </w:rPr>
        <w:t xml:space="preserve"> </w:t>
      </w:r>
      <w:r>
        <w:rPr>
          <w:rFonts w:ascii="Arial" w:eastAsia="Times New Roman" w:hAnsi="Arial" w:cs="Arial"/>
          <w:color w:val="434341"/>
          <w:sz w:val="20"/>
          <w:szCs w:val="20"/>
          <w:lang w:eastAsia="en-GB"/>
        </w:rPr>
        <w:t>co-founded the Research Institute for Systematic Theology (RIST) in 1988. A minister in the United Reform Church for over thirty years, he also co-founded the International Journal of Systematic Theology with John Bainbridge Webster</w:t>
      </w:r>
      <w:r w:rsidR="000079AA">
        <w:rPr>
          <w:rStyle w:val="FootnoteReference"/>
          <w:rFonts w:ascii="Arial" w:eastAsia="Times New Roman" w:hAnsi="Arial" w:cs="Arial"/>
          <w:color w:val="434341"/>
          <w:sz w:val="20"/>
          <w:szCs w:val="20"/>
          <w:lang w:eastAsia="en-GB"/>
        </w:rPr>
        <w:footnoteReference w:id="2"/>
      </w:r>
      <w:r>
        <w:rPr>
          <w:rFonts w:ascii="Arial" w:eastAsia="Times New Roman" w:hAnsi="Arial" w:cs="Arial"/>
          <w:color w:val="434341"/>
          <w:sz w:val="20"/>
          <w:szCs w:val="20"/>
          <w:lang w:eastAsia="en-GB"/>
        </w:rPr>
        <w:t xml:space="preserve"> and Ralph del Colle</w:t>
      </w:r>
      <w:r w:rsidR="00B145D1">
        <w:rPr>
          <w:rStyle w:val="FootnoteReference"/>
          <w:rFonts w:ascii="Arial" w:eastAsia="Times New Roman" w:hAnsi="Arial" w:cs="Arial"/>
          <w:color w:val="434341"/>
          <w:sz w:val="20"/>
          <w:szCs w:val="20"/>
          <w:lang w:eastAsia="en-GB"/>
        </w:rPr>
        <w:footnoteReference w:id="3"/>
      </w:r>
      <w:r>
        <w:rPr>
          <w:rFonts w:ascii="Arial" w:eastAsia="Times New Roman" w:hAnsi="Arial" w:cs="Arial"/>
          <w:color w:val="434341"/>
          <w:sz w:val="20"/>
          <w:szCs w:val="20"/>
          <w:lang w:eastAsia="en-GB"/>
        </w:rPr>
        <w:t xml:space="preserve"> in 1999 and delivered the Bampton Lectures at the University of Oxford in 1992 which led to the publication of what many consider to be his most profound work </w:t>
      </w:r>
      <w:r>
        <w:rPr>
          <w:rFonts w:ascii="Arial" w:eastAsia="Times New Roman" w:hAnsi="Arial" w:cs="Arial"/>
          <w:i/>
          <w:color w:val="434341"/>
          <w:sz w:val="20"/>
          <w:szCs w:val="20"/>
          <w:lang w:eastAsia="en-GB"/>
        </w:rPr>
        <w:t>The One, The Three and The Many</w:t>
      </w:r>
      <w:r>
        <w:rPr>
          <w:rFonts w:ascii="Arial" w:eastAsia="Times New Roman" w:hAnsi="Arial" w:cs="Arial"/>
          <w:color w:val="434341"/>
          <w:sz w:val="20"/>
          <w:szCs w:val="20"/>
          <w:lang w:eastAsia="en-GB"/>
        </w:rPr>
        <w:t xml:space="preserve">: </w:t>
      </w:r>
      <w:r>
        <w:rPr>
          <w:rFonts w:ascii="Arial" w:eastAsia="Times New Roman" w:hAnsi="Arial" w:cs="Arial"/>
          <w:i/>
          <w:color w:val="434341"/>
          <w:sz w:val="20"/>
          <w:szCs w:val="20"/>
          <w:lang w:eastAsia="en-GB"/>
        </w:rPr>
        <w:t>God, Creation and the Culture of Modernity</w:t>
      </w:r>
      <w:r>
        <w:rPr>
          <w:rFonts w:ascii="Arial" w:eastAsia="Times New Roman" w:hAnsi="Arial" w:cs="Arial"/>
          <w:color w:val="434341"/>
          <w:sz w:val="20"/>
          <w:szCs w:val="20"/>
          <w:lang w:eastAsia="en-GB"/>
        </w:rPr>
        <w:t xml:space="preserve"> (1993) as well as the Warfield Lecture series at Princeton Theological Seminary, also in 1993. </w:t>
      </w:r>
    </w:p>
    <w:p w14:paraId="5D741805" w14:textId="67B6D537" w:rsidR="00150A25" w:rsidRDefault="00150A25" w:rsidP="000729A6">
      <w:pPr>
        <w:shd w:val="clear" w:color="auto" w:fill="FFFFFF"/>
        <w:spacing w:after="300" w:line="240" w:lineRule="auto"/>
        <w:jc w:val="both"/>
        <w:rPr>
          <w:rFonts w:ascii="Arial" w:hAnsi="Arial" w:cs="Arial"/>
          <w:color w:val="202122"/>
          <w:sz w:val="20"/>
          <w:szCs w:val="20"/>
        </w:rPr>
      </w:pPr>
      <w:r>
        <w:rPr>
          <w:rFonts w:ascii="Arial" w:eastAsia="Times New Roman" w:hAnsi="Arial" w:cs="Arial"/>
          <w:color w:val="434341"/>
          <w:sz w:val="20"/>
          <w:szCs w:val="20"/>
          <w:lang w:eastAsia="en-GB"/>
        </w:rPr>
        <w:t xml:space="preserve">Prodigiously productive, Gunton, besides authoring the text currently under review and the afore mentioned compilation from his well-received Bampton Lectures, has also delivered up other meritorious titles such as </w:t>
      </w:r>
      <w:r>
        <w:rPr>
          <w:rFonts w:ascii="Arial" w:hAnsi="Arial" w:cs="Arial"/>
          <w:i/>
          <w:iCs/>
          <w:color w:val="202122"/>
          <w:sz w:val="20"/>
          <w:szCs w:val="20"/>
        </w:rPr>
        <w:t>Enlightenment and Alienation: An Essay Towards a Trinitarian Theology</w:t>
      </w:r>
      <w:r>
        <w:rPr>
          <w:rFonts w:ascii="Arial" w:hAnsi="Arial" w:cs="Arial"/>
          <w:color w:val="202122"/>
          <w:sz w:val="20"/>
          <w:szCs w:val="20"/>
        </w:rPr>
        <w:t xml:space="preserve"> (1985) and </w:t>
      </w:r>
      <w:r>
        <w:rPr>
          <w:rFonts w:ascii="Arial" w:hAnsi="Arial" w:cs="Arial"/>
          <w:i/>
          <w:iCs/>
          <w:color w:val="202122"/>
          <w:sz w:val="20"/>
          <w:szCs w:val="20"/>
        </w:rPr>
        <w:t>The Promise of Trinitarian Theology</w:t>
      </w:r>
      <w:r>
        <w:rPr>
          <w:rFonts w:ascii="Arial" w:hAnsi="Arial" w:cs="Arial"/>
          <w:color w:val="202122"/>
          <w:sz w:val="20"/>
          <w:szCs w:val="20"/>
        </w:rPr>
        <w:t xml:space="preserve"> (1991), along with editing </w:t>
      </w:r>
      <w:r>
        <w:rPr>
          <w:rFonts w:ascii="Arial" w:hAnsi="Arial" w:cs="Arial"/>
          <w:i/>
          <w:iCs/>
          <w:color w:val="202122"/>
          <w:sz w:val="20"/>
          <w:szCs w:val="20"/>
        </w:rPr>
        <w:t>Time, Trinity and Church: A Response to the theology of Robert Jenson</w:t>
      </w:r>
      <w:r>
        <w:rPr>
          <w:rFonts w:ascii="Arial" w:hAnsi="Arial" w:cs="Arial"/>
          <w:color w:val="202122"/>
          <w:sz w:val="20"/>
          <w:szCs w:val="20"/>
        </w:rPr>
        <w:t> (2000), which was a critique of that particular Lutheran Ecumenical theologian</w:t>
      </w:r>
      <w:r w:rsidR="00B05213">
        <w:rPr>
          <w:rFonts w:ascii="Arial" w:hAnsi="Arial" w:cs="Arial"/>
          <w:color w:val="202122"/>
          <w:sz w:val="20"/>
          <w:szCs w:val="20"/>
        </w:rPr>
        <w:t>’</w:t>
      </w:r>
      <w:r>
        <w:rPr>
          <w:rFonts w:ascii="Arial" w:hAnsi="Arial" w:cs="Arial"/>
          <w:color w:val="202122"/>
          <w:sz w:val="20"/>
          <w:szCs w:val="20"/>
        </w:rPr>
        <w:t xml:space="preserve">s milestone work </w:t>
      </w:r>
      <w:r>
        <w:rPr>
          <w:rFonts w:ascii="Arial" w:hAnsi="Arial" w:cs="Arial"/>
          <w:i/>
          <w:color w:val="202122"/>
          <w:sz w:val="20"/>
          <w:szCs w:val="20"/>
        </w:rPr>
        <w:t>Systematic Theology Volume 1</w:t>
      </w:r>
      <w:r>
        <w:rPr>
          <w:rFonts w:ascii="Arial" w:hAnsi="Arial" w:cs="Arial"/>
          <w:color w:val="202122"/>
          <w:sz w:val="20"/>
          <w:szCs w:val="20"/>
        </w:rPr>
        <w:t xml:space="preserve"> (1997).Topics and themes which are very much predicated upon Gunton</w:t>
      </w:r>
      <w:r w:rsidR="00B05213">
        <w:rPr>
          <w:rFonts w:ascii="Arial" w:hAnsi="Arial" w:cs="Arial"/>
          <w:color w:val="202122"/>
          <w:sz w:val="20"/>
          <w:szCs w:val="20"/>
        </w:rPr>
        <w:t>’</w:t>
      </w:r>
      <w:r>
        <w:rPr>
          <w:rFonts w:ascii="Arial" w:hAnsi="Arial" w:cs="Arial"/>
          <w:color w:val="202122"/>
          <w:sz w:val="20"/>
          <w:szCs w:val="20"/>
        </w:rPr>
        <w:t>s specific areas of scholarly expertise and research, and as such, provide a biographical and academic context for the book which is the subject of this review</w:t>
      </w:r>
      <w:r w:rsidR="00AA6F25">
        <w:rPr>
          <w:rStyle w:val="FootnoteReference"/>
          <w:rFonts w:ascii="Arial" w:hAnsi="Arial" w:cs="Arial"/>
          <w:color w:val="202122"/>
          <w:sz w:val="20"/>
          <w:szCs w:val="20"/>
        </w:rPr>
        <w:footnoteReference w:id="4"/>
      </w:r>
      <w:r>
        <w:rPr>
          <w:rFonts w:ascii="Arial" w:hAnsi="Arial" w:cs="Arial"/>
          <w:color w:val="202122"/>
          <w:sz w:val="20"/>
          <w:szCs w:val="20"/>
        </w:rPr>
        <w:t>.</w:t>
      </w:r>
    </w:p>
    <w:p w14:paraId="49CA5D0B" w14:textId="6C1E82EF" w:rsidR="00150A25" w:rsidRDefault="00150A25" w:rsidP="000729A6">
      <w:pPr>
        <w:shd w:val="clear" w:color="auto" w:fill="FFFFFF"/>
        <w:spacing w:after="300" w:line="240" w:lineRule="auto"/>
        <w:jc w:val="both"/>
        <w:rPr>
          <w:rFonts w:ascii="Arial" w:hAnsi="Arial" w:cs="Arial"/>
          <w:color w:val="202122"/>
          <w:sz w:val="20"/>
          <w:szCs w:val="20"/>
        </w:rPr>
      </w:pPr>
      <w:r>
        <w:rPr>
          <w:rFonts w:ascii="Arial" w:hAnsi="Arial" w:cs="Arial"/>
          <w:color w:val="202122"/>
          <w:sz w:val="20"/>
          <w:szCs w:val="20"/>
        </w:rPr>
        <w:t>Given the above and the clear focus of Gunton</w:t>
      </w:r>
      <w:r w:rsidR="00B05213">
        <w:rPr>
          <w:rFonts w:ascii="Arial" w:hAnsi="Arial" w:cs="Arial"/>
          <w:color w:val="202122"/>
          <w:sz w:val="20"/>
          <w:szCs w:val="20"/>
        </w:rPr>
        <w:t>’</w:t>
      </w:r>
      <w:r>
        <w:rPr>
          <w:rFonts w:ascii="Arial" w:hAnsi="Arial" w:cs="Arial"/>
          <w:color w:val="202122"/>
          <w:sz w:val="20"/>
          <w:szCs w:val="20"/>
        </w:rPr>
        <w:t xml:space="preserve">s not inconsiderable literary output, it is not surprising that many learned journals and commentators have lauded </w:t>
      </w:r>
      <w:r>
        <w:rPr>
          <w:rFonts w:ascii="Arial" w:hAnsi="Arial" w:cs="Arial"/>
          <w:i/>
          <w:color w:val="202122"/>
          <w:sz w:val="20"/>
          <w:szCs w:val="20"/>
        </w:rPr>
        <w:t>The Triune Creator</w:t>
      </w:r>
      <w:r>
        <w:rPr>
          <w:rFonts w:ascii="Arial" w:hAnsi="Arial" w:cs="Arial"/>
          <w:color w:val="202122"/>
          <w:sz w:val="20"/>
          <w:szCs w:val="20"/>
        </w:rPr>
        <w:t xml:space="preserve"> with fulsome praise</w:t>
      </w:r>
      <w:r w:rsidR="006F1A34">
        <w:rPr>
          <w:rStyle w:val="FootnoteReference"/>
          <w:rFonts w:ascii="Arial" w:hAnsi="Arial" w:cs="Arial"/>
          <w:color w:val="202122"/>
          <w:sz w:val="20"/>
          <w:szCs w:val="20"/>
        </w:rPr>
        <w:footnoteReference w:id="5"/>
      </w:r>
      <w:r>
        <w:rPr>
          <w:rFonts w:ascii="Arial" w:hAnsi="Arial" w:cs="Arial"/>
          <w:color w:val="202122"/>
          <w:sz w:val="20"/>
          <w:szCs w:val="20"/>
        </w:rPr>
        <w:t xml:space="preserve">. And it is certainly true that despite the vast scope of the enterprise that he has undertaken and the complexity of the thesis he manfully grapples with, namely a theological history of the Christian doctrine of Creation from a fundamentally Trinitarian perspective, he largely succeeds in his Sisyphus-style endeavours.  </w:t>
      </w:r>
    </w:p>
    <w:p w14:paraId="7360580B" w14:textId="2AE770AF" w:rsidR="00150A25" w:rsidRDefault="00150A25" w:rsidP="000729A6">
      <w:pPr>
        <w:shd w:val="clear" w:color="auto" w:fill="FFFFFF"/>
        <w:spacing w:after="300" w:line="240" w:lineRule="auto"/>
        <w:jc w:val="both"/>
        <w:rPr>
          <w:rFonts w:ascii="Arial" w:hAnsi="Arial" w:cs="Arial"/>
          <w:color w:val="0F1111"/>
          <w:sz w:val="20"/>
          <w:szCs w:val="20"/>
          <w:shd w:val="clear" w:color="auto" w:fill="FFFFFF"/>
        </w:rPr>
      </w:pPr>
      <w:r>
        <w:rPr>
          <w:rFonts w:ascii="Arial" w:hAnsi="Arial" w:cs="Arial"/>
          <w:color w:val="0F1111"/>
          <w:sz w:val="20"/>
          <w:szCs w:val="20"/>
          <w:shd w:val="clear" w:color="auto" w:fill="FFFFFF"/>
        </w:rPr>
        <w:t xml:space="preserve">For in </w:t>
      </w:r>
      <w:r>
        <w:rPr>
          <w:rFonts w:ascii="Arial" w:hAnsi="Arial" w:cs="Arial"/>
          <w:i/>
          <w:color w:val="0F1111"/>
          <w:sz w:val="20"/>
          <w:szCs w:val="20"/>
          <w:shd w:val="clear" w:color="auto" w:fill="FFFFFF"/>
        </w:rPr>
        <w:t>The Triune Creator</w:t>
      </w:r>
      <w:r>
        <w:rPr>
          <w:rFonts w:ascii="Arial" w:hAnsi="Arial" w:cs="Arial"/>
          <w:color w:val="0F1111"/>
          <w:sz w:val="20"/>
          <w:szCs w:val="20"/>
          <w:shd w:val="clear" w:color="auto" w:fill="FFFFFF"/>
        </w:rPr>
        <w:t xml:space="preserve"> he sets out to explore the various ramifications of the multiple strains of the doctrine for our modern data driven scientific age. Beginning by examining the origins of the doctrine of creation in the Biblical scriptures such as Genesis 1:2 `The Spirit of God as moving over the face of the waters…`and 1:27 `male and female he created them</w:t>
      </w:r>
      <w:r w:rsidR="00B05213">
        <w:rPr>
          <w:rFonts w:ascii="Arial" w:hAnsi="Arial" w:cs="Arial"/>
          <w:color w:val="0F1111"/>
          <w:sz w:val="20"/>
          <w:szCs w:val="20"/>
          <w:shd w:val="clear" w:color="auto" w:fill="FFFFFF"/>
        </w:rPr>
        <w:t>’</w:t>
      </w:r>
      <w:r w:rsidR="00B05213">
        <w:rPr>
          <w:rFonts w:ascii="Arial" w:hAnsi="Arial" w:cs="Arial"/>
          <w:color w:val="0F1111"/>
          <w:sz w:val="20"/>
          <w:szCs w:val="20"/>
          <w:shd w:val="clear" w:color="auto" w:fill="FFFFFF"/>
        </w:rPr>
        <w:t xml:space="preserve"> </w:t>
      </w:r>
      <w:r>
        <w:rPr>
          <w:rFonts w:ascii="Arial" w:hAnsi="Arial" w:cs="Arial"/>
          <w:color w:val="0F1111"/>
          <w:sz w:val="20"/>
          <w:szCs w:val="20"/>
          <w:shd w:val="clear" w:color="auto" w:fill="FFFFFF"/>
        </w:rPr>
        <w:t xml:space="preserve">and then placing it within the influential spheres of Greek cosmology so as to differentiate between the two major Greek and Hebrew cultural ontologies </w:t>
      </w:r>
      <w:r>
        <w:rPr>
          <w:rFonts w:ascii="Arial" w:hAnsi="Arial" w:cs="Arial"/>
          <w:color w:val="0F1111"/>
          <w:sz w:val="20"/>
          <w:szCs w:val="20"/>
          <w:shd w:val="clear" w:color="auto" w:fill="FFFFFF"/>
        </w:rPr>
        <w:lastRenderedPageBreak/>
        <w:t>at work on the themes at that time, as per Thales of Miletus</w:t>
      </w:r>
      <w:r w:rsidR="00E92D44">
        <w:rPr>
          <w:rStyle w:val="FootnoteReference"/>
          <w:rFonts w:ascii="Arial" w:hAnsi="Arial" w:cs="Arial"/>
          <w:color w:val="0F1111"/>
          <w:sz w:val="20"/>
          <w:szCs w:val="20"/>
          <w:shd w:val="clear" w:color="auto" w:fill="FFFFFF"/>
        </w:rPr>
        <w:footnoteReference w:id="6"/>
      </w:r>
      <w:r>
        <w:rPr>
          <w:rFonts w:ascii="Arial" w:hAnsi="Arial" w:cs="Arial"/>
          <w:b/>
          <w:color w:val="0F1111"/>
          <w:sz w:val="20"/>
          <w:szCs w:val="20"/>
          <w:shd w:val="clear" w:color="auto" w:fill="FFFFFF"/>
        </w:rPr>
        <w:t>,</w:t>
      </w:r>
      <w:r>
        <w:rPr>
          <w:rFonts w:ascii="Arial" w:hAnsi="Arial" w:cs="Arial"/>
          <w:color w:val="0F1111"/>
          <w:sz w:val="20"/>
          <w:szCs w:val="20"/>
          <w:shd w:val="clear" w:color="auto" w:fill="FFFFFF"/>
        </w:rPr>
        <w:t xml:space="preserve"> Heraclitus</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 xml:space="preserve">s Homeric cosmic struggle between a panoply of Gods as evidenced in the </w:t>
      </w:r>
      <w:r>
        <w:rPr>
          <w:rFonts w:ascii="Arial" w:hAnsi="Arial" w:cs="Arial"/>
          <w:i/>
          <w:color w:val="0F1111"/>
          <w:sz w:val="20"/>
          <w:szCs w:val="20"/>
          <w:shd w:val="clear" w:color="auto" w:fill="FFFFFF"/>
        </w:rPr>
        <w:t>Iliad</w:t>
      </w:r>
      <w:r>
        <w:rPr>
          <w:rFonts w:ascii="Arial" w:hAnsi="Arial" w:cs="Arial"/>
          <w:color w:val="0F1111"/>
          <w:sz w:val="20"/>
          <w:szCs w:val="20"/>
          <w:shd w:val="clear" w:color="auto" w:fill="FFFFFF"/>
        </w:rPr>
        <w:t>, Parmenides</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 xml:space="preserve">s </w:t>
      </w:r>
      <w:r>
        <w:rPr>
          <w:rFonts w:ascii="Arial" w:hAnsi="Arial" w:cs="Arial"/>
          <w:i/>
          <w:color w:val="0F1111"/>
          <w:sz w:val="20"/>
          <w:szCs w:val="20"/>
          <w:shd w:val="clear" w:color="auto" w:fill="FFFFFF"/>
        </w:rPr>
        <w:t>undifferentiated continuum</w:t>
      </w:r>
      <w:r>
        <w:rPr>
          <w:rFonts w:ascii="Arial" w:hAnsi="Arial" w:cs="Arial"/>
          <w:color w:val="0F1111"/>
          <w:sz w:val="20"/>
          <w:szCs w:val="20"/>
          <w:shd w:val="clear" w:color="auto" w:fill="FFFFFF"/>
        </w:rPr>
        <w:t>, Plato</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 xml:space="preserve">s </w:t>
      </w:r>
      <w:r>
        <w:rPr>
          <w:rFonts w:ascii="Arial" w:hAnsi="Arial" w:cs="Arial"/>
          <w:i/>
          <w:color w:val="0F1111"/>
          <w:sz w:val="20"/>
          <w:szCs w:val="20"/>
          <w:shd w:val="clear" w:color="auto" w:fill="FFFFFF"/>
        </w:rPr>
        <w:t>Timaeus</w:t>
      </w:r>
      <w:r w:rsidR="00195E87">
        <w:rPr>
          <w:rStyle w:val="FootnoteReference"/>
          <w:rFonts w:ascii="Arial" w:hAnsi="Arial" w:cs="Arial"/>
          <w:i/>
          <w:color w:val="0F1111"/>
          <w:sz w:val="20"/>
          <w:szCs w:val="20"/>
          <w:shd w:val="clear" w:color="auto" w:fill="FFFFFF"/>
        </w:rPr>
        <w:footnoteReference w:id="7"/>
      </w:r>
      <w:r>
        <w:rPr>
          <w:rFonts w:ascii="Arial" w:hAnsi="Arial" w:cs="Arial"/>
          <w:b/>
          <w:color w:val="0F1111"/>
          <w:sz w:val="20"/>
          <w:szCs w:val="20"/>
          <w:shd w:val="clear" w:color="auto" w:fill="FFFFFF"/>
        </w:rPr>
        <w:t>,</w:t>
      </w:r>
      <w:r>
        <w:rPr>
          <w:rFonts w:ascii="Arial" w:hAnsi="Arial" w:cs="Arial"/>
          <w:color w:val="0F1111"/>
          <w:sz w:val="20"/>
          <w:szCs w:val="20"/>
          <w:shd w:val="clear" w:color="auto" w:fill="FFFFFF"/>
        </w:rPr>
        <w:t xml:space="preserve"> Aristotle</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s pantheism</w:t>
      </w:r>
      <w:r w:rsidR="00066FAB">
        <w:rPr>
          <w:rStyle w:val="FootnoteReference"/>
          <w:rFonts w:ascii="Arial" w:hAnsi="Arial" w:cs="Arial"/>
          <w:color w:val="0F1111"/>
          <w:sz w:val="20"/>
          <w:szCs w:val="20"/>
          <w:shd w:val="clear" w:color="auto" w:fill="FFFFFF"/>
        </w:rPr>
        <w:footnoteReference w:id="8"/>
      </w:r>
      <w:r w:rsidR="00066FAB">
        <w:rPr>
          <w:rFonts w:ascii="Arial" w:hAnsi="Arial" w:cs="Arial"/>
          <w:color w:val="0F1111"/>
          <w:sz w:val="20"/>
          <w:szCs w:val="20"/>
          <w:shd w:val="clear" w:color="auto" w:fill="FFFFFF"/>
        </w:rPr>
        <w:t xml:space="preserve"> </w:t>
      </w:r>
      <w:r>
        <w:rPr>
          <w:rFonts w:ascii="Arial" w:hAnsi="Arial" w:cs="Arial"/>
          <w:color w:val="0F1111"/>
          <w:sz w:val="20"/>
          <w:szCs w:val="20"/>
          <w:shd w:val="clear" w:color="auto" w:fill="FFFFFF"/>
        </w:rPr>
        <w:t xml:space="preserve">and the Neo-Platonist Plotinus who propounded the notion of </w:t>
      </w:r>
      <w:r>
        <w:rPr>
          <w:rFonts w:ascii="Arial" w:hAnsi="Arial" w:cs="Arial"/>
          <w:i/>
          <w:color w:val="0F1111"/>
          <w:sz w:val="20"/>
          <w:szCs w:val="20"/>
          <w:shd w:val="clear" w:color="auto" w:fill="FFFFFF"/>
        </w:rPr>
        <w:t>emanation</w:t>
      </w:r>
      <w:r>
        <w:rPr>
          <w:rFonts w:ascii="Arial" w:hAnsi="Arial" w:cs="Arial"/>
          <w:color w:val="0F1111"/>
          <w:sz w:val="20"/>
          <w:szCs w:val="20"/>
          <w:shd w:val="clear" w:color="auto" w:fill="FFFFFF"/>
        </w:rPr>
        <w:t>. Gunton then articulates how Patristic theologians, with a comprehension of Philo</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s deep-seated belief in in the inspirational potential of the scriptures</w:t>
      </w:r>
      <w:r w:rsidR="00CD4747">
        <w:rPr>
          <w:rStyle w:val="FootnoteReference"/>
          <w:rFonts w:ascii="Arial" w:hAnsi="Arial" w:cs="Arial"/>
          <w:color w:val="0F1111"/>
          <w:sz w:val="20"/>
          <w:szCs w:val="20"/>
          <w:shd w:val="clear" w:color="auto" w:fill="FFFFFF"/>
        </w:rPr>
        <w:footnoteReference w:id="9"/>
      </w:r>
      <w:r>
        <w:rPr>
          <w:rFonts w:ascii="Arial" w:hAnsi="Arial" w:cs="Arial"/>
          <w:color w:val="0F1111"/>
          <w:sz w:val="20"/>
          <w:szCs w:val="20"/>
          <w:shd w:val="clear" w:color="auto" w:fill="FFFFFF"/>
        </w:rPr>
        <w:t xml:space="preserve">, such as </w:t>
      </w:r>
      <w:r>
        <w:rPr>
          <w:rFonts w:ascii="Arial" w:eastAsia="Times New Roman" w:hAnsi="Arial" w:cs="Arial"/>
          <w:color w:val="111111"/>
          <w:sz w:val="20"/>
          <w:szCs w:val="20"/>
          <w:lang w:eastAsia="en-GB"/>
        </w:rPr>
        <w:t>Theophilus of Antioch and</w:t>
      </w:r>
      <w:r>
        <w:rPr>
          <w:rFonts w:ascii="Georgia" w:eastAsia="Times New Roman" w:hAnsi="Georgia" w:cs="Times New Roman"/>
          <w:color w:val="111111"/>
          <w:sz w:val="27"/>
          <w:szCs w:val="27"/>
          <w:lang w:eastAsia="en-GB"/>
        </w:rPr>
        <w:t xml:space="preserve"> </w:t>
      </w:r>
      <w:r>
        <w:rPr>
          <w:rFonts w:ascii="Arial" w:eastAsia="Times New Roman" w:hAnsi="Arial" w:cs="Arial"/>
          <w:color w:val="111111"/>
          <w:sz w:val="20"/>
          <w:szCs w:val="20"/>
          <w:lang w:eastAsia="en-GB"/>
        </w:rPr>
        <w:t xml:space="preserve">Tertullian who began to wrestle with Greek dualism and others </w:t>
      </w:r>
      <w:r>
        <w:rPr>
          <w:rFonts w:ascii="Arial" w:hAnsi="Arial" w:cs="Arial"/>
          <w:color w:val="0F1111"/>
          <w:sz w:val="20"/>
          <w:szCs w:val="20"/>
          <w:shd w:val="clear" w:color="auto" w:fill="FFFFFF"/>
        </w:rPr>
        <w:t>like Justin Martyr and his epistemology, Irenaeus</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s trinitarian mediation, Origen</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s redemption, Athanasius</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 xml:space="preserve">s being and willing, Basil of </w:t>
      </w:r>
      <w:proofErr w:type="spellStart"/>
      <w:r>
        <w:rPr>
          <w:rFonts w:ascii="Arial" w:hAnsi="Arial" w:cs="Arial"/>
          <w:color w:val="0F1111"/>
          <w:sz w:val="20"/>
          <w:szCs w:val="20"/>
          <w:shd w:val="clear" w:color="auto" w:fill="FFFFFF"/>
        </w:rPr>
        <w:t>Caeserea</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s</w:t>
      </w:r>
      <w:proofErr w:type="spellEnd"/>
      <w:r>
        <w:rPr>
          <w:rFonts w:ascii="Arial" w:hAnsi="Arial" w:cs="Arial"/>
          <w:color w:val="0F1111"/>
          <w:sz w:val="20"/>
          <w:szCs w:val="20"/>
          <w:shd w:val="clear" w:color="auto" w:fill="FFFFFF"/>
        </w:rPr>
        <w:t xml:space="preserve"> homogeneity of creation and Augustine of Hippo</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 xml:space="preserve">s hypothesis of creation out of nothing interacted with both the scriptures and Greek thinkers in order to develop their own hermeneutic and specific positions. </w:t>
      </w:r>
    </w:p>
    <w:p w14:paraId="521E9129" w14:textId="4D0135B9" w:rsidR="00150A25" w:rsidRDefault="00150A25" w:rsidP="000729A6">
      <w:pPr>
        <w:shd w:val="clear" w:color="auto" w:fill="FFFFFF"/>
        <w:spacing w:after="300" w:line="240" w:lineRule="auto"/>
        <w:jc w:val="both"/>
        <w:rPr>
          <w:rFonts w:ascii="Arial" w:hAnsi="Arial" w:cs="Arial"/>
          <w:color w:val="0F1111"/>
          <w:sz w:val="20"/>
          <w:szCs w:val="20"/>
          <w:shd w:val="clear" w:color="auto" w:fill="FFFFFF"/>
        </w:rPr>
      </w:pPr>
      <w:r>
        <w:rPr>
          <w:rFonts w:ascii="Arial" w:hAnsi="Arial" w:cs="Arial"/>
          <w:color w:val="0F1111"/>
          <w:sz w:val="20"/>
          <w:szCs w:val="20"/>
          <w:shd w:val="clear" w:color="auto" w:fill="FFFFFF"/>
        </w:rPr>
        <w:t xml:space="preserve">Gunton in further chapters proceeds to outline the interpretations of medieval theologians like Thomas Aquinas and his neo-platonic interlocutions with the rise of science and Augustinian concepts, John Duns Scotus and William of Ockham and the initial diminution and response to the significance of creation, coinciding roughly around the time of The Reformation, before entering the realms of early modern theologians such as Luther who wrote the </w:t>
      </w:r>
      <w:r>
        <w:rPr>
          <w:rFonts w:ascii="Arial" w:hAnsi="Arial" w:cs="Arial"/>
          <w:i/>
          <w:color w:val="0F1111"/>
          <w:sz w:val="20"/>
          <w:szCs w:val="20"/>
          <w:shd w:val="clear" w:color="auto" w:fill="FFFFFF"/>
        </w:rPr>
        <w:t xml:space="preserve">Greater </w:t>
      </w:r>
      <w:proofErr w:type="spellStart"/>
      <w:r>
        <w:rPr>
          <w:rFonts w:ascii="Arial" w:hAnsi="Arial" w:cs="Arial"/>
          <w:i/>
          <w:color w:val="0F1111"/>
          <w:sz w:val="20"/>
          <w:szCs w:val="20"/>
          <w:shd w:val="clear" w:color="auto" w:fill="FFFFFF"/>
        </w:rPr>
        <w:t>Catchism</w:t>
      </w:r>
      <w:proofErr w:type="spellEnd"/>
      <w:r>
        <w:rPr>
          <w:rFonts w:ascii="Arial" w:hAnsi="Arial" w:cs="Arial"/>
          <w:color w:val="0F1111"/>
          <w:sz w:val="20"/>
          <w:szCs w:val="20"/>
          <w:shd w:val="clear" w:color="auto" w:fill="FFFFFF"/>
        </w:rPr>
        <w:t xml:space="preserve"> and locates creation with God the Father in the Creed and Calvin and Schleiermacher and the re-emergence of creation as a key tenet of theological consideration, although in the latter</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s case with the sense of creation being subject to timeless providence and Kant and Newton</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s fixation with materialist mechanism and Hegel</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 xml:space="preserve">s modernism and secularization of the spirit. </w:t>
      </w:r>
      <w:proofErr w:type="spellStart"/>
      <w:r>
        <w:rPr>
          <w:rFonts w:ascii="Arial" w:hAnsi="Arial" w:cs="Arial"/>
          <w:color w:val="0F1111"/>
          <w:sz w:val="20"/>
          <w:szCs w:val="20"/>
          <w:shd w:val="clear" w:color="auto" w:fill="FFFFFF"/>
        </w:rPr>
        <w:t>Guntoncarefully</w:t>
      </w:r>
      <w:proofErr w:type="spellEnd"/>
      <w:r>
        <w:rPr>
          <w:rFonts w:ascii="Arial" w:hAnsi="Arial" w:cs="Arial"/>
          <w:color w:val="0F1111"/>
          <w:sz w:val="20"/>
          <w:szCs w:val="20"/>
          <w:shd w:val="clear" w:color="auto" w:fill="FFFFFF"/>
        </w:rPr>
        <w:t xml:space="preserve">  incorporating the speculations of Descartes, the scepticism of Hume and the circuitous thoughts of Locke and the American instigator of the Great Awakening, Jonathan Edwards, who Jenson, an orthodox Trinitarian, insists in his </w:t>
      </w:r>
      <w:r>
        <w:rPr>
          <w:rFonts w:ascii="Arial" w:hAnsi="Arial" w:cs="Arial"/>
          <w:i/>
          <w:color w:val="0F1111"/>
          <w:sz w:val="20"/>
          <w:szCs w:val="20"/>
          <w:shd w:val="clear" w:color="auto" w:fill="FFFFFF"/>
        </w:rPr>
        <w:t>Essays in Theology of Culture</w:t>
      </w:r>
      <w:r>
        <w:rPr>
          <w:rFonts w:ascii="Arial" w:hAnsi="Arial" w:cs="Arial"/>
          <w:color w:val="0F1111"/>
          <w:sz w:val="20"/>
          <w:szCs w:val="20"/>
          <w:shd w:val="clear" w:color="auto" w:fill="FFFFFF"/>
        </w:rPr>
        <w:t xml:space="preserve"> (1995) was a </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closer reader of Newton than all his contemporaries</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 xml:space="preserve">, before exploring the contributions of modern thinkers like Karl Barth (1886-1968) who he respects for prioritizing revelation and putting creation at the very epicentre of redemption and Wolfhart </w:t>
      </w:r>
      <w:proofErr w:type="spellStart"/>
      <w:r>
        <w:rPr>
          <w:rFonts w:ascii="Arial" w:hAnsi="Arial" w:cs="Arial"/>
          <w:color w:val="0F1111"/>
          <w:sz w:val="20"/>
          <w:szCs w:val="20"/>
          <w:shd w:val="clear" w:color="auto" w:fill="FFFFFF"/>
        </w:rPr>
        <w:t>Pannenberg</w:t>
      </w:r>
      <w:proofErr w:type="spellEnd"/>
      <w:r>
        <w:rPr>
          <w:rFonts w:ascii="Arial" w:hAnsi="Arial" w:cs="Arial"/>
          <w:color w:val="0F1111"/>
          <w:sz w:val="20"/>
          <w:szCs w:val="20"/>
          <w:shd w:val="clear" w:color="auto" w:fill="FFFFFF"/>
        </w:rPr>
        <w:t xml:space="preserve"> (1928-2014) who saw a role for history within the  revelatory space and linked creation and redemption through the medium of a conscious and deliberate Christology. Although the explicit inference one draws from Gunton</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 xml:space="preserve">s analysis is that he believes both, and especially </w:t>
      </w:r>
      <w:proofErr w:type="spellStart"/>
      <w:r>
        <w:rPr>
          <w:rFonts w:ascii="Arial" w:hAnsi="Arial" w:cs="Arial"/>
          <w:color w:val="0F1111"/>
          <w:sz w:val="20"/>
          <w:szCs w:val="20"/>
          <w:shd w:val="clear" w:color="auto" w:fill="FFFFFF"/>
        </w:rPr>
        <w:t>Pannenberg</w:t>
      </w:r>
      <w:proofErr w:type="spellEnd"/>
      <w:r>
        <w:rPr>
          <w:rFonts w:ascii="Arial" w:hAnsi="Arial" w:cs="Arial"/>
          <w:color w:val="0F1111"/>
          <w:sz w:val="20"/>
          <w:szCs w:val="20"/>
          <w:shd w:val="clear" w:color="auto" w:fill="FFFFFF"/>
        </w:rPr>
        <w:t xml:space="preserve">, over-use the notion of </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 xml:space="preserve">the </w:t>
      </w:r>
      <w:proofErr w:type="gramStart"/>
      <w:r>
        <w:rPr>
          <w:rFonts w:ascii="Arial" w:hAnsi="Arial" w:cs="Arial"/>
          <w:color w:val="0F1111"/>
          <w:sz w:val="20"/>
          <w:szCs w:val="20"/>
          <w:shd w:val="clear" w:color="auto" w:fill="FFFFFF"/>
        </w:rPr>
        <w:t>Son</w:t>
      </w:r>
      <w:proofErr w:type="gramEnd"/>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 xml:space="preserve"> and by default diminishes the acts of </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The Father</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 However, as in all such matters, Gunton</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 xml:space="preserve">s views are carefully nuanced and caveated to reflect the subtly of the debate.  </w:t>
      </w:r>
    </w:p>
    <w:p w14:paraId="79B3B2C6" w14:textId="4276E67B" w:rsidR="00150A25" w:rsidRDefault="00150A25" w:rsidP="000729A6">
      <w:pPr>
        <w:shd w:val="clear" w:color="auto" w:fill="FFFFFF"/>
        <w:spacing w:after="300" w:line="240" w:lineRule="auto"/>
        <w:jc w:val="both"/>
        <w:rPr>
          <w:rFonts w:ascii="Arial" w:hAnsi="Arial" w:cs="Arial"/>
          <w:color w:val="0F1111"/>
          <w:sz w:val="20"/>
          <w:szCs w:val="20"/>
          <w:shd w:val="clear" w:color="auto" w:fill="FFFFFF"/>
        </w:rPr>
      </w:pPr>
      <w:r>
        <w:rPr>
          <w:rFonts w:ascii="Arial" w:hAnsi="Arial" w:cs="Arial"/>
          <w:color w:val="0F1111"/>
          <w:sz w:val="20"/>
          <w:szCs w:val="20"/>
          <w:shd w:val="clear" w:color="auto" w:fill="FFFFFF"/>
        </w:rPr>
        <w:t>Gunton</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s core point being that from the very conception of the doctrine of creation and the subsequent stages of its development fundamental errors were incorporated by various interpreters of the faith that have led to a plethora of confused outcomes and theological and philosophical dead-ends such as the separation of theology from scientific progress and natural science in particular:</w:t>
      </w:r>
    </w:p>
    <w:p w14:paraId="7DDE50CF" w14:textId="32EE60D7" w:rsidR="00150A25" w:rsidRDefault="00B05213" w:rsidP="000729A6">
      <w:pPr>
        <w:shd w:val="clear" w:color="auto" w:fill="FFFFFF"/>
        <w:spacing w:after="300" w:line="240" w:lineRule="auto"/>
        <w:jc w:val="both"/>
        <w:rPr>
          <w:rFonts w:ascii="Arial" w:hAnsi="Arial" w:cs="Arial"/>
          <w:b/>
          <w:color w:val="0F1111"/>
          <w:sz w:val="20"/>
          <w:szCs w:val="20"/>
          <w:shd w:val="clear" w:color="auto" w:fill="FFFFFF"/>
        </w:rPr>
      </w:pPr>
      <w:r>
        <w:rPr>
          <w:rFonts w:ascii="Arial" w:hAnsi="Arial" w:cs="Arial"/>
          <w:color w:val="0F1111"/>
          <w:sz w:val="20"/>
          <w:szCs w:val="20"/>
          <w:shd w:val="clear" w:color="auto" w:fill="FFFFFF"/>
        </w:rPr>
        <w:t>‘</w:t>
      </w:r>
      <w:r w:rsidR="00150A25">
        <w:rPr>
          <w:rFonts w:ascii="Arial" w:hAnsi="Arial" w:cs="Arial"/>
          <w:color w:val="0F1111"/>
          <w:sz w:val="20"/>
          <w:szCs w:val="20"/>
          <w:shd w:val="clear" w:color="auto" w:fill="FFFFFF"/>
        </w:rPr>
        <w:t>We enter a minefield when we approach a discussion of the place of the bible in the doctrine of creation. For the most part more heat than ligh</w:t>
      </w:r>
      <w:r w:rsidR="007646C4">
        <w:rPr>
          <w:rFonts w:ascii="Arial" w:hAnsi="Arial" w:cs="Arial"/>
          <w:color w:val="0F1111"/>
          <w:sz w:val="20"/>
          <w:szCs w:val="20"/>
          <w:shd w:val="clear" w:color="auto" w:fill="FFFFFF"/>
        </w:rPr>
        <w:t>t</w:t>
      </w:r>
      <w:r>
        <w:rPr>
          <w:rFonts w:ascii="Arial" w:hAnsi="Arial" w:cs="Arial"/>
          <w:color w:val="0F1111"/>
          <w:sz w:val="20"/>
          <w:szCs w:val="20"/>
          <w:shd w:val="clear" w:color="auto" w:fill="FFFFFF"/>
        </w:rPr>
        <w:t>’</w:t>
      </w:r>
      <w:r w:rsidR="00150A25">
        <w:rPr>
          <w:rFonts w:ascii="Arial" w:hAnsi="Arial" w:cs="Arial"/>
          <w:color w:val="0F1111"/>
          <w:sz w:val="20"/>
          <w:szCs w:val="20"/>
          <w:shd w:val="clear" w:color="auto" w:fill="FFFFFF"/>
        </w:rPr>
        <w:t xml:space="preserve"> (Gunton 1998)</w:t>
      </w:r>
      <w:r w:rsidR="00824F56">
        <w:rPr>
          <w:rStyle w:val="FootnoteReference"/>
          <w:rFonts w:ascii="Arial" w:hAnsi="Arial" w:cs="Arial"/>
          <w:color w:val="0F1111"/>
          <w:sz w:val="20"/>
          <w:szCs w:val="20"/>
          <w:shd w:val="clear" w:color="auto" w:fill="FFFFFF"/>
        </w:rPr>
        <w:footnoteReference w:id="10"/>
      </w:r>
    </w:p>
    <w:p w14:paraId="54CF1134" w14:textId="7961D1B6" w:rsidR="00150A25" w:rsidRDefault="00150A25" w:rsidP="000729A6">
      <w:pPr>
        <w:shd w:val="clear" w:color="auto" w:fill="FFFFFF"/>
        <w:spacing w:after="300" w:line="240" w:lineRule="auto"/>
        <w:jc w:val="both"/>
        <w:rPr>
          <w:rFonts w:ascii="Arial" w:hAnsi="Arial" w:cs="Arial"/>
          <w:color w:val="0F1111"/>
          <w:sz w:val="20"/>
          <w:szCs w:val="20"/>
          <w:shd w:val="clear" w:color="auto" w:fill="FFFFFF"/>
        </w:rPr>
      </w:pPr>
      <w:proofErr w:type="gramStart"/>
      <w:r>
        <w:rPr>
          <w:rFonts w:ascii="Arial" w:hAnsi="Arial" w:cs="Arial"/>
          <w:color w:val="0F1111"/>
          <w:sz w:val="20"/>
          <w:szCs w:val="20"/>
          <w:shd w:val="clear" w:color="auto" w:fill="FFFFFF"/>
        </w:rPr>
        <w:t>As a consequence</w:t>
      </w:r>
      <w:proofErr w:type="gramEnd"/>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 xml:space="preserve"> Gunton sets out to be both systematic and historic, utilizing a myriad of citations and references, and an extensive bibliography to justify his points. Hence from the outset he maps out his course, namely that God as a creator is not acting in the manner of a disinterested entity but instead a deliberate </w:t>
      </w:r>
      <w:r>
        <w:rPr>
          <w:rFonts w:ascii="Arial" w:hAnsi="Arial" w:cs="Arial"/>
          <w:i/>
          <w:color w:val="0F1111"/>
          <w:sz w:val="20"/>
          <w:szCs w:val="20"/>
          <w:shd w:val="clear" w:color="auto" w:fill="FFFFFF"/>
        </w:rPr>
        <w:t>willing</w:t>
      </w:r>
      <w:r>
        <w:rPr>
          <w:rFonts w:ascii="Arial" w:hAnsi="Arial" w:cs="Arial"/>
          <w:color w:val="0F1111"/>
          <w:sz w:val="20"/>
          <w:szCs w:val="20"/>
          <w:shd w:val="clear" w:color="auto" w:fill="FFFFFF"/>
        </w:rPr>
        <w:t xml:space="preserve"> to facilitate </w:t>
      </w:r>
      <w:r>
        <w:rPr>
          <w:rFonts w:ascii="Arial" w:hAnsi="Arial" w:cs="Arial"/>
          <w:i/>
          <w:color w:val="0F1111"/>
          <w:sz w:val="20"/>
          <w:szCs w:val="20"/>
          <w:shd w:val="clear" w:color="auto" w:fill="FFFFFF"/>
        </w:rPr>
        <w:t>revelation.</w:t>
      </w:r>
      <w:r>
        <w:rPr>
          <w:rFonts w:ascii="Arial" w:hAnsi="Arial" w:cs="Arial"/>
          <w:color w:val="0F1111"/>
          <w:sz w:val="20"/>
          <w:szCs w:val="20"/>
          <w:shd w:val="clear" w:color="auto" w:fill="FFFFFF"/>
        </w:rPr>
        <w:t xml:space="preserve"> God does not utilize pre-existing matter, but is the creator, or in fact the originator of all substance. A thread he illustrates by reference to Mary Midgley</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 xml:space="preserve">s encounters with Darwinism in her book </w:t>
      </w:r>
      <w:r>
        <w:rPr>
          <w:rFonts w:ascii="Arial" w:hAnsi="Arial" w:cs="Arial"/>
          <w:i/>
          <w:color w:val="0F1111"/>
          <w:sz w:val="20"/>
          <w:szCs w:val="20"/>
          <w:shd w:val="clear" w:color="auto" w:fill="FFFFFF"/>
        </w:rPr>
        <w:t>Evolution as a Religion. Strange Hopes and Stranger Fears</w:t>
      </w:r>
      <w:r>
        <w:rPr>
          <w:rFonts w:ascii="Arial" w:hAnsi="Arial" w:cs="Arial"/>
          <w:color w:val="0F1111"/>
          <w:sz w:val="20"/>
          <w:szCs w:val="20"/>
          <w:shd w:val="clear" w:color="auto" w:fill="FFFFFF"/>
        </w:rPr>
        <w:t xml:space="preserve"> (1985). The act of creation was he postulates a Trinitarian act, as emphasised by </w:t>
      </w:r>
      <w:proofErr w:type="spellStart"/>
      <w:r>
        <w:rPr>
          <w:rFonts w:ascii="Arial" w:hAnsi="Arial" w:cs="Arial"/>
          <w:color w:val="0F1111"/>
          <w:sz w:val="20"/>
          <w:szCs w:val="20"/>
          <w:shd w:val="clear" w:color="auto" w:fill="FFFFFF"/>
        </w:rPr>
        <w:t>Ireneaus</w:t>
      </w:r>
      <w:proofErr w:type="spellEnd"/>
      <w:r>
        <w:rPr>
          <w:rFonts w:ascii="Arial" w:hAnsi="Arial" w:cs="Arial"/>
          <w:color w:val="0F1111"/>
          <w:sz w:val="20"/>
          <w:szCs w:val="20"/>
          <w:shd w:val="clear" w:color="auto" w:fill="FFFFFF"/>
        </w:rPr>
        <w:t xml:space="preserve">, someone he cites often and favourably, with his argument of </w:t>
      </w:r>
      <w:proofErr w:type="spellStart"/>
      <w:r>
        <w:rPr>
          <w:rFonts w:ascii="Arial" w:eastAsia="Times New Roman" w:hAnsi="Arial" w:cs="Arial"/>
          <w:i/>
          <w:iCs/>
          <w:color w:val="111111"/>
          <w:sz w:val="20"/>
          <w:szCs w:val="20"/>
          <w:lang w:eastAsia="en-GB"/>
        </w:rPr>
        <w:t>Creatio</w:t>
      </w:r>
      <w:proofErr w:type="spellEnd"/>
      <w:r>
        <w:rPr>
          <w:rFonts w:ascii="Arial" w:eastAsia="Times New Roman" w:hAnsi="Arial" w:cs="Arial"/>
          <w:i/>
          <w:iCs/>
          <w:color w:val="111111"/>
          <w:sz w:val="20"/>
          <w:szCs w:val="20"/>
          <w:lang w:eastAsia="en-GB"/>
        </w:rPr>
        <w:t xml:space="preserve"> ex nihilo</w:t>
      </w:r>
      <w:r>
        <w:rPr>
          <w:rFonts w:ascii="Arial" w:eastAsia="Times New Roman" w:hAnsi="Arial" w:cs="Arial"/>
          <w:color w:val="111111"/>
          <w:sz w:val="20"/>
          <w:szCs w:val="20"/>
          <w:lang w:eastAsia="en-GB"/>
        </w:rPr>
        <w:t xml:space="preserve"> (creation out of nothing). For Gunton the </w:t>
      </w:r>
      <w:r>
        <w:rPr>
          <w:rFonts w:ascii="Arial" w:hAnsi="Arial" w:cs="Arial"/>
          <w:color w:val="0F1111"/>
          <w:sz w:val="20"/>
          <w:szCs w:val="20"/>
          <w:shd w:val="clear" w:color="auto" w:fill="FFFFFF"/>
        </w:rPr>
        <w:t>Trinitarian God, of whom he speaks, as on-going involvement in the world of his creation. Both creation and redemption imbue mankind with a special-place in creation and are therefore intricately linked and hence there is an ethical and eschatological purpose and logic to the act of creation.</w:t>
      </w:r>
    </w:p>
    <w:p w14:paraId="26D3E969" w14:textId="77777777" w:rsidR="00150A25" w:rsidRDefault="00150A25" w:rsidP="000729A6">
      <w:pPr>
        <w:shd w:val="clear" w:color="auto" w:fill="FFFFFF"/>
        <w:spacing w:after="300" w:line="240" w:lineRule="auto"/>
        <w:jc w:val="both"/>
        <w:rPr>
          <w:rFonts w:ascii="Arial" w:hAnsi="Arial" w:cs="Arial"/>
          <w:color w:val="0F1111"/>
          <w:sz w:val="20"/>
          <w:szCs w:val="20"/>
          <w:shd w:val="clear" w:color="auto" w:fill="FFFFFF"/>
        </w:rPr>
      </w:pPr>
      <w:r>
        <w:rPr>
          <w:rFonts w:ascii="Arial" w:hAnsi="Arial" w:cs="Arial"/>
          <w:color w:val="0F1111"/>
          <w:sz w:val="20"/>
          <w:szCs w:val="20"/>
          <w:shd w:val="clear" w:color="auto" w:fill="FFFFFF"/>
        </w:rPr>
        <w:lastRenderedPageBreak/>
        <w:t>Having set out his stall, Gunton continues by explaining how the presuppositions above are by necessity aligned and made possible through the concept of a triune God, rather than by reference to pantheism, deism, mechanism, rationalism or indeed sterile individualism. The clear steer from Gunton seems to be that the freedom and goodness emanating from God became the launch-pad of the relative independence of the material world for which he was and is responsible, although he is differentiated from it. The author is thus offering his readership a conceptual understanding of the benefits derived from the triune status of God and is, perhaps in the spirit of his then active ministry, suggesting a possible remedy for many of the maladies facing the world today. After all, as per his obituary written by Stephen R. Holmes on the 3</w:t>
      </w:r>
      <w:r>
        <w:rPr>
          <w:rFonts w:ascii="Arial" w:hAnsi="Arial" w:cs="Arial"/>
          <w:color w:val="0F1111"/>
          <w:sz w:val="20"/>
          <w:szCs w:val="20"/>
          <w:shd w:val="clear" w:color="auto" w:fill="FFFFFF"/>
          <w:vertAlign w:val="superscript"/>
        </w:rPr>
        <w:t>rd</w:t>
      </w:r>
      <w:r>
        <w:rPr>
          <w:rFonts w:ascii="Arial" w:hAnsi="Arial" w:cs="Arial"/>
          <w:color w:val="0F1111"/>
          <w:sz w:val="20"/>
          <w:szCs w:val="20"/>
          <w:shd w:val="clear" w:color="auto" w:fill="FFFFFF"/>
        </w:rPr>
        <w:t xml:space="preserve"> June 2003 titled </w:t>
      </w:r>
      <w:r>
        <w:rPr>
          <w:rFonts w:ascii="Arial" w:hAnsi="Arial" w:cs="Arial"/>
          <w:i/>
          <w:color w:val="0F1111"/>
          <w:sz w:val="20"/>
          <w:szCs w:val="20"/>
          <w:shd w:val="clear" w:color="auto" w:fill="FFFFFF"/>
        </w:rPr>
        <w:t>Classical theologian who sought to expose the intellectual incoherence and ethical confusion of modern society</w:t>
      </w:r>
      <w:r>
        <w:rPr>
          <w:rFonts w:ascii="Arial" w:hAnsi="Arial" w:cs="Arial"/>
          <w:color w:val="0F1111"/>
          <w:sz w:val="20"/>
          <w:szCs w:val="20"/>
          <w:shd w:val="clear" w:color="auto" w:fill="FFFFFF"/>
        </w:rPr>
        <w:t xml:space="preserve">: </w:t>
      </w:r>
    </w:p>
    <w:p w14:paraId="2AAE1BBD" w14:textId="67835F2C" w:rsidR="00150A25" w:rsidRDefault="00B05213" w:rsidP="000729A6">
      <w:pPr>
        <w:shd w:val="clear" w:color="auto" w:fill="FFFFFF"/>
        <w:spacing w:after="300" w:line="240" w:lineRule="auto"/>
        <w:jc w:val="both"/>
        <w:rPr>
          <w:rFonts w:ascii="Arial" w:hAnsi="Arial" w:cs="Arial"/>
          <w:color w:val="121212"/>
          <w:sz w:val="20"/>
          <w:szCs w:val="20"/>
        </w:rPr>
      </w:pPr>
      <w:r>
        <w:rPr>
          <w:rFonts w:ascii="Arial" w:hAnsi="Arial" w:cs="Arial"/>
          <w:color w:val="0F1111"/>
          <w:sz w:val="20"/>
          <w:szCs w:val="20"/>
          <w:shd w:val="clear" w:color="auto" w:fill="FFFFFF"/>
        </w:rPr>
        <w:t>‘</w:t>
      </w:r>
      <w:proofErr w:type="gramStart"/>
      <w:r w:rsidR="00150A25">
        <w:rPr>
          <w:rFonts w:ascii="Arial" w:hAnsi="Arial" w:cs="Arial"/>
          <w:color w:val="121212"/>
          <w:sz w:val="20"/>
          <w:szCs w:val="20"/>
        </w:rPr>
        <w:t>the</w:t>
      </w:r>
      <w:proofErr w:type="gramEnd"/>
      <w:r w:rsidR="00150A25">
        <w:rPr>
          <w:rFonts w:ascii="Arial" w:hAnsi="Arial" w:cs="Arial"/>
          <w:color w:val="121212"/>
          <w:sz w:val="20"/>
          <w:szCs w:val="20"/>
        </w:rPr>
        <w:t xml:space="preserve"> doctrine of the Trinity became more and more central to his theological work, as the key resource to expose the intellectual incoherence and ethical confusion of modern western society</w:t>
      </w:r>
      <w:r>
        <w:rPr>
          <w:rFonts w:ascii="Arial" w:hAnsi="Arial" w:cs="Arial"/>
          <w:color w:val="121212"/>
          <w:sz w:val="20"/>
          <w:szCs w:val="20"/>
        </w:rPr>
        <w:t>’</w:t>
      </w:r>
      <w:r w:rsidR="00150A25">
        <w:rPr>
          <w:rFonts w:ascii="Arial" w:hAnsi="Arial" w:cs="Arial"/>
          <w:color w:val="121212"/>
          <w:sz w:val="20"/>
          <w:szCs w:val="20"/>
        </w:rPr>
        <w:t>.</w:t>
      </w:r>
    </w:p>
    <w:p w14:paraId="746AFD25" w14:textId="77777777" w:rsidR="00150A25" w:rsidRDefault="00150A25" w:rsidP="000729A6">
      <w:pPr>
        <w:shd w:val="clear" w:color="auto" w:fill="FFFFFF"/>
        <w:spacing w:after="300" w:line="240" w:lineRule="auto"/>
        <w:jc w:val="both"/>
        <w:rPr>
          <w:rFonts w:ascii="Arial" w:hAnsi="Arial" w:cs="Arial"/>
          <w:color w:val="0F1111"/>
          <w:sz w:val="20"/>
          <w:szCs w:val="20"/>
          <w:shd w:val="clear" w:color="auto" w:fill="FFFFFF"/>
        </w:rPr>
      </w:pPr>
      <w:r>
        <w:rPr>
          <w:rFonts w:ascii="Arial" w:hAnsi="Arial" w:cs="Arial"/>
          <w:color w:val="0F1111"/>
          <w:sz w:val="20"/>
          <w:szCs w:val="20"/>
          <w:shd w:val="clear" w:color="auto" w:fill="FFFFFF"/>
        </w:rPr>
        <w:t xml:space="preserve">For Gunton creation is an on-going project that necessitates the full engagement of the Father, Son and Holy Ghost in pursuit of the object, the salvation-schema of creation itself: </w:t>
      </w:r>
    </w:p>
    <w:p w14:paraId="477E6C54" w14:textId="7A75DB5C" w:rsidR="00150A25" w:rsidRDefault="00B05213" w:rsidP="000729A6">
      <w:pPr>
        <w:shd w:val="clear" w:color="auto" w:fill="FFFFFF"/>
        <w:spacing w:after="300" w:line="240" w:lineRule="auto"/>
        <w:jc w:val="both"/>
        <w:rPr>
          <w:rFonts w:ascii="Arial" w:eastAsia="Times New Roman" w:hAnsi="Arial" w:cs="Arial"/>
          <w:color w:val="111111"/>
          <w:sz w:val="20"/>
          <w:szCs w:val="20"/>
          <w:lang w:eastAsia="en-GB"/>
        </w:rPr>
      </w:pPr>
      <w:r>
        <w:rPr>
          <w:rFonts w:ascii="Arial" w:eastAsia="Times New Roman" w:hAnsi="Arial" w:cs="Arial"/>
          <w:color w:val="111111"/>
          <w:sz w:val="20"/>
          <w:szCs w:val="20"/>
          <w:lang w:eastAsia="en-GB"/>
        </w:rPr>
        <w:t>‘</w:t>
      </w:r>
      <w:r w:rsidR="00150A25">
        <w:rPr>
          <w:rFonts w:ascii="Arial" w:eastAsia="Times New Roman" w:hAnsi="Arial" w:cs="Arial"/>
          <w:color w:val="111111"/>
          <w:sz w:val="20"/>
          <w:szCs w:val="20"/>
          <w:lang w:eastAsia="en-GB"/>
        </w:rPr>
        <w:t>With His two hands, he not only upholds the order of creation so that it does not return to nothing (general providence), but also saves and restores its order, and enables it to be back on its ‘directedness</w:t>
      </w:r>
      <w:r>
        <w:rPr>
          <w:rFonts w:ascii="Arial" w:eastAsia="Times New Roman" w:hAnsi="Arial" w:cs="Arial"/>
          <w:color w:val="111111"/>
          <w:sz w:val="20"/>
          <w:szCs w:val="20"/>
          <w:lang w:eastAsia="en-GB"/>
        </w:rPr>
        <w:t>’</w:t>
      </w:r>
      <w:r w:rsidR="00150A25">
        <w:rPr>
          <w:rFonts w:ascii="Arial" w:eastAsia="Times New Roman" w:hAnsi="Arial" w:cs="Arial"/>
          <w:color w:val="111111"/>
          <w:sz w:val="20"/>
          <w:szCs w:val="20"/>
          <w:lang w:eastAsia="en-GB"/>
        </w:rPr>
        <w:t xml:space="preserve"> towards perfection (Gunton 1998)</w:t>
      </w:r>
      <w:r w:rsidR="00EF7513">
        <w:rPr>
          <w:rStyle w:val="FootnoteReference"/>
          <w:rFonts w:ascii="Arial" w:eastAsia="Times New Roman" w:hAnsi="Arial" w:cs="Arial"/>
          <w:color w:val="111111"/>
          <w:sz w:val="20"/>
          <w:szCs w:val="20"/>
          <w:lang w:eastAsia="en-GB"/>
        </w:rPr>
        <w:footnoteReference w:id="11"/>
      </w:r>
      <w:r w:rsidR="00150A25">
        <w:rPr>
          <w:rFonts w:ascii="Arial" w:eastAsia="Times New Roman" w:hAnsi="Arial" w:cs="Arial"/>
          <w:color w:val="111111"/>
          <w:sz w:val="20"/>
          <w:szCs w:val="20"/>
          <w:lang w:eastAsia="en-GB"/>
        </w:rPr>
        <w:t>.</w:t>
      </w:r>
    </w:p>
    <w:p w14:paraId="580E9DF8" w14:textId="77777777" w:rsidR="00150A25" w:rsidRDefault="00150A25" w:rsidP="000729A6">
      <w:pPr>
        <w:shd w:val="clear" w:color="auto" w:fill="FFFFFF"/>
        <w:spacing w:after="300" w:line="240" w:lineRule="auto"/>
        <w:jc w:val="both"/>
        <w:rPr>
          <w:rFonts w:ascii="Arial" w:eastAsia="Times New Roman" w:hAnsi="Arial" w:cs="Arial"/>
          <w:color w:val="111111"/>
          <w:sz w:val="20"/>
          <w:szCs w:val="20"/>
          <w:lang w:eastAsia="en-GB"/>
        </w:rPr>
      </w:pPr>
      <w:r>
        <w:rPr>
          <w:rFonts w:ascii="Arial" w:eastAsia="Times New Roman" w:hAnsi="Arial" w:cs="Arial"/>
          <w:color w:val="111111"/>
          <w:sz w:val="20"/>
          <w:szCs w:val="20"/>
          <w:lang w:eastAsia="en-GB"/>
        </w:rPr>
        <w:t xml:space="preserve">With the author continuing: </w:t>
      </w:r>
    </w:p>
    <w:p w14:paraId="43CF0990" w14:textId="7D665300" w:rsidR="00150A25" w:rsidRDefault="00B05213" w:rsidP="000729A6">
      <w:pPr>
        <w:shd w:val="clear" w:color="auto" w:fill="FFFFFF"/>
        <w:spacing w:after="300" w:line="240" w:lineRule="auto"/>
        <w:jc w:val="both"/>
        <w:rPr>
          <w:rFonts w:ascii="Arial" w:eastAsia="Times New Roman" w:hAnsi="Arial" w:cs="Arial"/>
          <w:color w:val="111111"/>
          <w:sz w:val="20"/>
          <w:szCs w:val="20"/>
          <w:lang w:eastAsia="en-GB"/>
        </w:rPr>
      </w:pPr>
      <w:r>
        <w:rPr>
          <w:rFonts w:ascii="Arial" w:eastAsia="Times New Roman" w:hAnsi="Arial" w:cs="Arial"/>
          <w:color w:val="111111"/>
          <w:sz w:val="20"/>
          <w:szCs w:val="20"/>
          <w:lang w:eastAsia="en-GB"/>
        </w:rPr>
        <w:t>‘</w:t>
      </w:r>
      <w:r w:rsidR="00150A25">
        <w:rPr>
          <w:rFonts w:ascii="Arial" w:eastAsia="Times New Roman" w:hAnsi="Arial" w:cs="Arial"/>
          <w:color w:val="111111"/>
          <w:sz w:val="20"/>
          <w:szCs w:val="20"/>
          <w:lang w:eastAsia="en-GB"/>
        </w:rPr>
        <w:t>Thus, in his triune scheme of things, if the Son provides a structure for redemption, the Spirit enables the world to be what it can be within this given structure</w:t>
      </w:r>
      <w:r>
        <w:rPr>
          <w:rFonts w:ascii="Arial" w:eastAsia="Times New Roman" w:hAnsi="Arial" w:cs="Arial"/>
          <w:color w:val="111111"/>
          <w:sz w:val="20"/>
          <w:szCs w:val="20"/>
          <w:lang w:eastAsia="en-GB"/>
        </w:rPr>
        <w:t>’</w:t>
      </w:r>
      <w:r w:rsidR="00150A25">
        <w:rPr>
          <w:rFonts w:ascii="Arial" w:eastAsia="Times New Roman" w:hAnsi="Arial" w:cs="Arial"/>
          <w:color w:val="111111"/>
          <w:sz w:val="20"/>
          <w:szCs w:val="20"/>
          <w:lang w:eastAsia="en-GB"/>
        </w:rPr>
        <w:t xml:space="preserve"> (Gunton, 1998)</w:t>
      </w:r>
      <w:r w:rsidR="00EF7513">
        <w:rPr>
          <w:rStyle w:val="FootnoteReference"/>
          <w:rFonts w:ascii="Arial" w:eastAsia="Times New Roman" w:hAnsi="Arial" w:cs="Arial"/>
          <w:color w:val="111111"/>
          <w:sz w:val="20"/>
          <w:szCs w:val="20"/>
          <w:lang w:eastAsia="en-GB"/>
        </w:rPr>
        <w:footnoteReference w:id="12"/>
      </w:r>
      <w:r w:rsidR="00150A25">
        <w:rPr>
          <w:rFonts w:ascii="Arial" w:eastAsia="Times New Roman" w:hAnsi="Arial" w:cs="Arial"/>
          <w:color w:val="111111"/>
          <w:sz w:val="20"/>
          <w:szCs w:val="20"/>
          <w:lang w:eastAsia="en-GB"/>
        </w:rPr>
        <w:t>.</w:t>
      </w:r>
    </w:p>
    <w:p w14:paraId="78AEA450" w14:textId="3D2E9ECF" w:rsidR="00150A25" w:rsidRDefault="00150A25" w:rsidP="000729A6">
      <w:pPr>
        <w:shd w:val="clear" w:color="auto" w:fill="FFFFFF"/>
        <w:spacing w:after="300" w:line="240" w:lineRule="auto"/>
        <w:jc w:val="both"/>
        <w:rPr>
          <w:rFonts w:ascii="Arial" w:eastAsia="Times New Roman" w:hAnsi="Arial" w:cs="Arial"/>
          <w:color w:val="111111"/>
          <w:sz w:val="20"/>
          <w:szCs w:val="20"/>
          <w:lang w:eastAsia="en-GB"/>
        </w:rPr>
      </w:pPr>
      <w:r>
        <w:rPr>
          <w:rFonts w:ascii="Arial" w:hAnsi="Arial" w:cs="Arial"/>
          <w:color w:val="0F1111"/>
          <w:sz w:val="20"/>
          <w:szCs w:val="20"/>
          <w:shd w:val="clear" w:color="auto" w:fill="FFFFFF"/>
        </w:rPr>
        <w:t xml:space="preserve">Thus Gunton places the incarnation at the </w:t>
      </w:r>
      <w:proofErr w:type="spellStart"/>
      <w:proofErr w:type="gramStart"/>
      <w:r>
        <w:rPr>
          <w:rFonts w:ascii="Arial" w:hAnsi="Arial" w:cs="Arial"/>
          <w:color w:val="0F1111"/>
          <w:sz w:val="20"/>
          <w:szCs w:val="20"/>
          <w:shd w:val="clear" w:color="auto" w:fill="FFFFFF"/>
        </w:rPr>
        <w:t>very</w:t>
      </w:r>
      <w:r w:rsidR="00B05213">
        <w:rPr>
          <w:rFonts w:ascii="Arial" w:eastAsia="Times New Roman" w:hAnsi="Arial" w:cs="Arial"/>
          <w:color w:val="111111"/>
          <w:sz w:val="27"/>
          <w:szCs w:val="27"/>
          <w:lang w:eastAsia="en-GB"/>
        </w:rPr>
        <w:t>‘</w:t>
      </w:r>
      <w:proofErr w:type="gramEnd"/>
      <w:r>
        <w:rPr>
          <w:rFonts w:ascii="Arial" w:eastAsia="Times New Roman" w:hAnsi="Arial" w:cs="Arial"/>
          <w:color w:val="111111"/>
          <w:sz w:val="20"/>
          <w:szCs w:val="20"/>
          <w:lang w:eastAsia="en-GB"/>
        </w:rPr>
        <w:t>beginning</w:t>
      </w:r>
      <w:proofErr w:type="spellEnd"/>
      <w:r>
        <w:rPr>
          <w:rFonts w:ascii="Arial" w:eastAsia="Times New Roman" w:hAnsi="Arial" w:cs="Arial"/>
          <w:color w:val="111111"/>
          <w:sz w:val="20"/>
          <w:szCs w:val="20"/>
          <w:lang w:eastAsia="en-GB"/>
        </w:rPr>
        <w:t xml:space="preserve"> of an eschatological act of renewal, in which the true </w:t>
      </w:r>
      <w:r>
        <w:rPr>
          <w:rFonts w:ascii="Arial" w:eastAsia="Times New Roman" w:hAnsi="Arial" w:cs="Arial"/>
          <w:i/>
          <w:iCs/>
          <w:color w:val="111111"/>
          <w:sz w:val="20"/>
          <w:szCs w:val="20"/>
          <w:lang w:eastAsia="en-GB"/>
        </w:rPr>
        <w:t>telos</w:t>
      </w:r>
      <w:r>
        <w:rPr>
          <w:rFonts w:ascii="Arial" w:eastAsia="Times New Roman" w:hAnsi="Arial" w:cs="Arial"/>
          <w:color w:val="111111"/>
          <w:sz w:val="20"/>
          <w:szCs w:val="20"/>
          <w:lang w:eastAsia="en-GB"/>
        </w:rPr>
        <w:t>, direction, of the creation is restored from within</w:t>
      </w:r>
      <w:r w:rsidR="00B05213">
        <w:rPr>
          <w:rFonts w:ascii="Arial" w:eastAsia="Times New Roman" w:hAnsi="Arial" w:cs="Arial"/>
          <w:color w:val="111111"/>
          <w:sz w:val="20"/>
          <w:szCs w:val="20"/>
          <w:lang w:eastAsia="en-GB"/>
        </w:rPr>
        <w:t>’</w:t>
      </w:r>
      <w:r>
        <w:rPr>
          <w:rFonts w:ascii="Arial" w:eastAsia="Times New Roman" w:hAnsi="Arial" w:cs="Arial"/>
          <w:color w:val="111111"/>
          <w:sz w:val="20"/>
          <w:szCs w:val="20"/>
          <w:lang w:eastAsia="en-GB"/>
        </w:rPr>
        <w:t xml:space="preserve"> (Gunton 1998)</w:t>
      </w:r>
      <w:r w:rsidR="00EF7513">
        <w:rPr>
          <w:rStyle w:val="FootnoteReference"/>
          <w:rFonts w:ascii="Arial" w:eastAsia="Times New Roman" w:hAnsi="Arial" w:cs="Arial"/>
          <w:color w:val="111111"/>
          <w:sz w:val="20"/>
          <w:szCs w:val="20"/>
          <w:lang w:eastAsia="en-GB"/>
        </w:rPr>
        <w:footnoteReference w:id="13"/>
      </w:r>
      <w:r w:rsidR="00EF7513">
        <w:rPr>
          <w:rFonts w:ascii="Arial" w:eastAsia="Times New Roman" w:hAnsi="Arial" w:cs="Arial"/>
          <w:color w:val="111111"/>
          <w:sz w:val="20"/>
          <w:szCs w:val="20"/>
          <w:lang w:eastAsia="en-GB"/>
        </w:rPr>
        <w:t xml:space="preserve"> </w:t>
      </w:r>
      <w:r>
        <w:rPr>
          <w:rFonts w:ascii="Arial" w:eastAsia="Times New Roman" w:hAnsi="Arial" w:cs="Arial"/>
          <w:color w:val="111111"/>
          <w:sz w:val="20"/>
          <w:szCs w:val="20"/>
          <w:lang w:eastAsia="en-GB"/>
        </w:rPr>
        <w:t xml:space="preserve">and as a direct consequence resurrection becomes a </w:t>
      </w:r>
      <w:r>
        <w:rPr>
          <w:rFonts w:ascii="Arial" w:eastAsia="Times New Roman" w:hAnsi="Arial" w:cs="Arial"/>
          <w:i/>
          <w:color w:val="111111"/>
          <w:sz w:val="20"/>
          <w:szCs w:val="20"/>
          <w:lang w:eastAsia="en-GB"/>
        </w:rPr>
        <w:t>de facto</w:t>
      </w:r>
      <w:r>
        <w:rPr>
          <w:rFonts w:ascii="Arial" w:eastAsia="Times New Roman" w:hAnsi="Arial" w:cs="Arial"/>
          <w:color w:val="111111"/>
          <w:sz w:val="20"/>
          <w:szCs w:val="20"/>
          <w:lang w:eastAsia="en-GB"/>
        </w:rPr>
        <w:t xml:space="preserve"> eschatological act  - “it is the creation of the form of being which belongs to the end time” (Gunton 1998)</w:t>
      </w:r>
      <w:r w:rsidR="00EF7513">
        <w:rPr>
          <w:rStyle w:val="FootnoteReference"/>
          <w:rFonts w:ascii="Arial" w:eastAsia="Times New Roman" w:hAnsi="Arial" w:cs="Arial"/>
          <w:color w:val="111111"/>
          <w:sz w:val="20"/>
          <w:szCs w:val="20"/>
          <w:lang w:eastAsia="en-GB"/>
        </w:rPr>
        <w:footnoteReference w:id="14"/>
      </w:r>
      <w:r>
        <w:rPr>
          <w:rFonts w:ascii="Arial" w:eastAsia="Times New Roman" w:hAnsi="Arial" w:cs="Arial"/>
          <w:color w:val="111111"/>
          <w:sz w:val="20"/>
          <w:szCs w:val="20"/>
          <w:lang w:eastAsia="en-GB"/>
        </w:rPr>
        <w:t>.  All of which indicates that for Gunton, the very image of God and the telos of the physical world provides a base line for rightful ethics and a pathway to the comprehension of the triune nature of God.</w:t>
      </w:r>
    </w:p>
    <w:p w14:paraId="5EE28A72" w14:textId="408F4065" w:rsidR="00150A25" w:rsidRDefault="00150A25" w:rsidP="000729A6">
      <w:pPr>
        <w:shd w:val="clear" w:color="auto" w:fill="FFFFFF"/>
        <w:spacing w:after="300" w:line="240" w:lineRule="auto"/>
        <w:jc w:val="both"/>
        <w:rPr>
          <w:rFonts w:ascii="Arial" w:eastAsia="Times New Roman" w:hAnsi="Arial" w:cs="Arial"/>
          <w:color w:val="111111"/>
          <w:sz w:val="20"/>
          <w:szCs w:val="20"/>
          <w:lang w:eastAsia="en-GB"/>
        </w:rPr>
      </w:pPr>
      <w:r>
        <w:rPr>
          <w:rFonts w:ascii="Arial" w:eastAsia="Times New Roman" w:hAnsi="Arial" w:cs="Arial"/>
          <w:color w:val="111111"/>
          <w:sz w:val="20"/>
          <w:szCs w:val="20"/>
          <w:lang w:eastAsia="en-GB"/>
        </w:rPr>
        <w:t xml:space="preserve">However erudite and well-articulated the hypothesis, and it is very well argued indeed, especially </w:t>
      </w:r>
      <w:proofErr w:type="gramStart"/>
      <w:r>
        <w:rPr>
          <w:rFonts w:ascii="Arial" w:eastAsia="Times New Roman" w:hAnsi="Arial" w:cs="Arial"/>
          <w:color w:val="111111"/>
          <w:sz w:val="20"/>
          <w:szCs w:val="20"/>
          <w:lang w:eastAsia="en-GB"/>
        </w:rPr>
        <w:t>in regard to</w:t>
      </w:r>
      <w:proofErr w:type="gramEnd"/>
      <w:r>
        <w:rPr>
          <w:rFonts w:ascii="Arial" w:eastAsia="Times New Roman" w:hAnsi="Arial" w:cs="Arial"/>
          <w:color w:val="111111"/>
          <w:sz w:val="20"/>
          <w:szCs w:val="20"/>
          <w:lang w:eastAsia="en-GB"/>
        </w:rPr>
        <w:t xml:space="preserve"> providing an intellectual response to the relationship between God and the material world, Gunton</w:t>
      </w:r>
      <w:r w:rsidR="00B05213">
        <w:rPr>
          <w:rFonts w:ascii="Arial" w:eastAsia="Times New Roman" w:hAnsi="Arial" w:cs="Arial"/>
          <w:color w:val="111111"/>
          <w:sz w:val="20"/>
          <w:szCs w:val="20"/>
          <w:lang w:eastAsia="en-GB"/>
        </w:rPr>
        <w:t>’</w:t>
      </w:r>
      <w:r>
        <w:rPr>
          <w:rFonts w:ascii="Arial" w:eastAsia="Times New Roman" w:hAnsi="Arial" w:cs="Arial"/>
          <w:color w:val="111111"/>
          <w:sz w:val="20"/>
          <w:szCs w:val="20"/>
          <w:lang w:eastAsia="en-GB"/>
        </w:rPr>
        <w:t>s writing is often somewhat overly dependent upon theological and philosophical jargon, as well as dense and detailed historicism. Necessary as this to fill-out the scope of his scholarly ambitions, it therefore by default somewhat restricts itself to an already committed theological audience, and one that is academically inclined at that. Not that that would put off his many adherents, as chronicled by Holmes in his obituary:</w:t>
      </w:r>
    </w:p>
    <w:p w14:paraId="33E61B25" w14:textId="4BB27E81" w:rsidR="00150A25" w:rsidRDefault="00B05213" w:rsidP="000729A6">
      <w:pPr>
        <w:pStyle w:val="dcr-1kas69x"/>
        <w:shd w:val="clear" w:color="auto" w:fill="FFFFFF"/>
        <w:spacing w:before="0" w:beforeAutospacing="0" w:after="210" w:afterAutospacing="0"/>
        <w:jc w:val="both"/>
        <w:textAlignment w:val="baseline"/>
        <w:rPr>
          <w:rFonts w:ascii="Arial" w:hAnsi="Arial" w:cs="Arial"/>
          <w:color w:val="121212"/>
          <w:sz w:val="20"/>
          <w:szCs w:val="20"/>
        </w:rPr>
      </w:pPr>
      <w:r>
        <w:rPr>
          <w:rFonts w:ascii="Arial" w:hAnsi="Arial" w:cs="Arial"/>
          <w:color w:val="121212"/>
          <w:sz w:val="20"/>
          <w:szCs w:val="20"/>
        </w:rPr>
        <w:t>‘</w:t>
      </w:r>
      <w:r w:rsidR="00150A25">
        <w:rPr>
          <w:rFonts w:ascii="Arial" w:hAnsi="Arial" w:cs="Arial"/>
          <w:color w:val="121212"/>
          <w:sz w:val="20"/>
          <w:szCs w:val="20"/>
        </w:rPr>
        <w:t xml:space="preserve">Notwithstanding his remarkable literary output, his chief professional legacy might be those students and colleagues he inspired to see the possibilities of theology; universities, seminaries and churches in many countries have teachers and ministers who owe their careers to Gunton's mentoring. He would not be pleased with the comparison, but, arguably, not since John Henry Newman has an English theologian generated such a school of </w:t>
      </w:r>
      <w:proofErr w:type="gramStart"/>
      <w:r w:rsidR="00150A25">
        <w:rPr>
          <w:rFonts w:ascii="Arial" w:hAnsi="Arial" w:cs="Arial"/>
          <w:color w:val="121212"/>
          <w:sz w:val="20"/>
          <w:szCs w:val="20"/>
        </w:rPr>
        <w:t>followers</w:t>
      </w:r>
      <w:r>
        <w:rPr>
          <w:rFonts w:ascii="Arial" w:hAnsi="Arial" w:cs="Arial"/>
          <w:color w:val="121212"/>
          <w:sz w:val="20"/>
          <w:szCs w:val="20"/>
        </w:rPr>
        <w:t>’</w:t>
      </w:r>
      <w:proofErr w:type="gramEnd"/>
      <w:r w:rsidR="00150A25">
        <w:rPr>
          <w:rFonts w:ascii="Arial" w:hAnsi="Arial" w:cs="Arial"/>
          <w:color w:val="121212"/>
          <w:sz w:val="20"/>
          <w:szCs w:val="20"/>
        </w:rPr>
        <w:t>.</w:t>
      </w:r>
    </w:p>
    <w:p w14:paraId="1DAC2B37" w14:textId="19ABF83A" w:rsidR="00150A25" w:rsidRDefault="00150A25" w:rsidP="000729A6">
      <w:pPr>
        <w:shd w:val="clear" w:color="auto" w:fill="FFFFFF"/>
        <w:spacing w:after="300" w:line="240" w:lineRule="auto"/>
        <w:jc w:val="both"/>
        <w:rPr>
          <w:rFonts w:ascii="Arial" w:eastAsia="Times New Roman" w:hAnsi="Arial" w:cs="Arial"/>
          <w:color w:val="111111"/>
          <w:sz w:val="20"/>
          <w:szCs w:val="20"/>
          <w:lang w:eastAsia="en-GB"/>
        </w:rPr>
      </w:pPr>
      <w:r>
        <w:rPr>
          <w:rFonts w:ascii="Arial" w:eastAsia="Times New Roman" w:hAnsi="Arial" w:cs="Arial"/>
          <w:color w:val="111111"/>
          <w:sz w:val="20"/>
          <w:szCs w:val="20"/>
          <w:lang w:eastAsia="en-GB"/>
        </w:rPr>
        <w:t>Yet, so, extensive a debate as he opens up in this particular textual offering inevitably leads to a range of threads being un-pursued to the extent that some audience members would prefer. Gunton</w:t>
      </w:r>
      <w:r w:rsidR="00B05213">
        <w:rPr>
          <w:rFonts w:ascii="Arial" w:eastAsia="Times New Roman" w:hAnsi="Arial" w:cs="Arial"/>
          <w:color w:val="111111"/>
          <w:sz w:val="20"/>
          <w:szCs w:val="20"/>
          <w:lang w:eastAsia="en-GB"/>
        </w:rPr>
        <w:t>’</w:t>
      </w:r>
      <w:r>
        <w:rPr>
          <w:rFonts w:ascii="Arial" w:eastAsia="Times New Roman" w:hAnsi="Arial" w:cs="Arial"/>
          <w:color w:val="111111"/>
          <w:sz w:val="20"/>
          <w:szCs w:val="20"/>
          <w:lang w:eastAsia="en-GB"/>
        </w:rPr>
        <w:t xml:space="preserve">s reputation encompasses high expectations and it is therefore unsurprising that some theological factions desiring more dialogue about how evil entered the created world for example, the place of the feminine and the Holy Spirit in the origin and sustainability of creation and the very live and current </w:t>
      </w:r>
      <w:r>
        <w:rPr>
          <w:rFonts w:ascii="Arial" w:eastAsia="Times New Roman" w:hAnsi="Arial" w:cs="Arial"/>
          <w:color w:val="111111"/>
          <w:sz w:val="20"/>
          <w:szCs w:val="20"/>
          <w:lang w:eastAsia="en-GB"/>
        </w:rPr>
        <w:lastRenderedPageBreak/>
        <w:t xml:space="preserve">issues relating to natural theology, have come to the conclusion that Gunton`s </w:t>
      </w:r>
      <w:r>
        <w:rPr>
          <w:rFonts w:ascii="Arial" w:eastAsia="Times New Roman" w:hAnsi="Arial" w:cs="Arial"/>
          <w:i/>
          <w:color w:val="111111"/>
          <w:sz w:val="20"/>
          <w:szCs w:val="20"/>
          <w:lang w:eastAsia="en-GB"/>
        </w:rPr>
        <w:t>Triune Creator</w:t>
      </w:r>
      <w:r>
        <w:rPr>
          <w:rFonts w:ascii="Arial" w:eastAsia="Times New Roman" w:hAnsi="Arial" w:cs="Arial"/>
          <w:color w:val="111111"/>
          <w:sz w:val="20"/>
          <w:szCs w:val="20"/>
          <w:lang w:eastAsia="en-GB"/>
        </w:rPr>
        <w:t xml:space="preserve"> is in and of itself an on-going project but one that will require other minds to follow up given his passing.</w:t>
      </w:r>
    </w:p>
    <w:p w14:paraId="7102AF79" w14:textId="755E88FB" w:rsidR="00150A25" w:rsidRDefault="00150A25" w:rsidP="000729A6">
      <w:pPr>
        <w:shd w:val="clear" w:color="auto" w:fill="FFFFFF"/>
        <w:spacing w:after="300" w:line="240" w:lineRule="auto"/>
        <w:jc w:val="both"/>
        <w:rPr>
          <w:rFonts w:ascii="Arial" w:eastAsia="Times New Roman" w:hAnsi="Arial" w:cs="Arial"/>
          <w:color w:val="111111"/>
          <w:sz w:val="20"/>
          <w:szCs w:val="20"/>
          <w:lang w:eastAsia="en-GB"/>
        </w:rPr>
      </w:pPr>
      <w:r>
        <w:rPr>
          <w:rFonts w:ascii="Arial" w:eastAsia="Times New Roman" w:hAnsi="Arial" w:cs="Arial"/>
          <w:color w:val="111111"/>
          <w:sz w:val="20"/>
          <w:szCs w:val="20"/>
          <w:lang w:eastAsia="en-GB"/>
        </w:rPr>
        <w:t xml:space="preserve">This particular reviewer could not agree more and despite the vicissitudes of having to fight my way through a whole new lexicon of theological expressions, I welcome the interjections of other voices such as Bradley G. Green`s </w:t>
      </w:r>
      <w:r>
        <w:rPr>
          <w:rFonts w:ascii="Arial" w:eastAsia="Times New Roman" w:hAnsi="Arial" w:cs="Arial"/>
          <w:i/>
          <w:color w:val="111111"/>
          <w:sz w:val="20"/>
          <w:szCs w:val="20"/>
          <w:lang w:eastAsia="en-GB"/>
        </w:rPr>
        <w:t>Colin Gunton and the Failure of Augustine: The Theology of Colin Gunton in Light of Augustine</w:t>
      </w:r>
      <w:r>
        <w:rPr>
          <w:rFonts w:ascii="Arial" w:eastAsia="Times New Roman" w:hAnsi="Arial" w:cs="Arial"/>
          <w:color w:val="111111"/>
          <w:sz w:val="20"/>
          <w:szCs w:val="20"/>
          <w:lang w:eastAsia="en-GB"/>
        </w:rPr>
        <w:t>, Cambridge, England: James Clark (2012), and am happy to openly acknowledge an increasing appetite for such discussion, that Gunton</w:t>
      </w:r>
      <w:r w:rsidR="00B05213">
        <w:rPr>
          <w:rFonts w:ascii="Arial" w:eastAsia="Times New Roman" w:hAnsi="Arial" w:cs="Arial"/>
          <w:color w:val="111111"/>
          <w:sz w:val="20"/>
          <w:szCs w:val="20"/>
          <w:lang w:eastAsia="en-GB"/>
        </w:rPr>
        <w:t>’</w:t>
      </w:r>
      <w:r>
        <w:rPr>
          <w:rFonts w:ascii="Arial" w:eastAsia="Times New Roman" w:hAnsi="Arial" w:cs="Arial"/>
          <w:color w:val="111111"/>
          <w:sz w:val="20"/>
          <w:szCs w:val="20"/>
          <w:lang w:eastAsia="en-GB"/>
        </w:rPr>
        <w:t xml:space="preserve">s </w:t>
      </w:r>
      <w:r>
        <w:rPr>
          <w:rFonts w:ascii="Arial" w:eastAsia="Times New Roman" w:hAnsi="Arial" w:cs="Arial"/>
          <w:i/>
          <w:color w:val="111111"/>
          <w:sz w:val="20"/>
          <w:szCs w:val="20"/>
          <w:lang w:eastAsia="en-GB"/>
        </w:rPr>
        <w:t xml:space="preserve">Triune Creator </w:t>
      </w:r>
      <w:r>
        <w:rPr>
          <w:rFonts w:ascii="Arial" w:eastAsia="Times New Roman" w:hAnsi="Arial" w:cs="Arial"/>
          <w:color w:val="111111"/>
          <w:sz w:val="20"/>
          <w:szCs w:val="20"/>
          <w:lang w:eastAsia="en-GB"/>
        </w:rPr>
        <w:t xml:space="preserve">has merely whetted in this most recent of his student disciples. </w:t>
      </w:r>
    </w:p>
    <w:p w14:paraId="0F12B4A3" w14:textId="77777777" w:rsidR="00150A25" w:rsidRDefault="00150A25" w:rsidP="000729A6">
      <w:pPr>
        <w:shd w:val="clear" w:color="auto" w:fill="FFFFFF"/>
        <w:spacing w:after="300" w:line="240" w:lineRule="auto"/>
        <w:jc w:val="both"/>
        <w:rPr>
          <w:rFonts w:ascii="Arial" w:eastAsia="Times New Roman" w:hAnsi="Arial" w:cs="Arial"/>
          <w:color w:val="111111"/>
          <w:sz w:val="20"/>
          <w:szCs w:val="20"/>
          <w:lang w:eastAsia="en-GB"/>
        </w:rPr>
      </w:pPr>
    </w:p>
    <w:p w14:paraId="41C74936" w14:textId="677C6469" w:rsidR="00150A25" w:rsidRPr="00A62E62" w:rsidRDefault="00150A25" w:rsidP="00A62E62">
      <w:pPr>
        <w:shd w:val="clear" w:color="auto" w:fill="FFFFFF"/>
        <w:spacing w:after="300" w:line="240" w:lineRule="auto"/>
        <w:jc w:val="both"/>
        <w:rPr>
          <w:rFonts w:ascii="Arial" w:eastAsia="Times New Roman" w:hAnsi="Arial" w:cs="Arial"/>
          <w:color w:val="111111"/>
          <w:sz w:val="20"/>
          <w:szCs w:val="20"/>
          <w:lang w:eastAsia="en-GB"/>
        </w:rPr>
      </w:pPr>
      <w:r>
        <w:rPr>
          <w:rFonts w:ascii="Arial" w:eastAsia="Times New Roman" w:hAnsi="Arial" w:cs="Arial"/>
          <w:b/>
          <w:color w:val="111111"/>
          <w:sz w:val="24"/>
          <w:szCs w:val="24"/>
          <w:lang w:eastAsia="en-GB"/>
        </w:rPr>
        <w:t>Word Count</w:t>
      </w:r>
      <w:r>
        <w:rPr>
          <w:rFonts w:ascii="Arial" w:eastAsia="Times New Roman" w:hAnsi="Arial" w:cs="Arial"/>
          <w:color w:val="111111"/>
          <w:sz w:val="24"/>
          <w:szCs w:val="24"/>
          <w:lang w:eastAsia="en-GB"/>
        </w:rPr>
        <w:t xml:space="preserve"> </w:t>
      </w:r>
      <w:r>
        <w:rPr>
          <w:rFonts w:ascii="Arial" w:eastAsia="Times New Roman" w:hAnsi="Arial" w:cs="Arial"/>
          <w:color w:val="111111"/>
          <w:sz w:val="20"/>
          <w:szCs w:val="20"/>
          <w:lang w:eastAsia="en-GB"/>
        </w:rPr>
        <w:t>- 1901 (excluding references)</w:t>
      </w:r>
    </w:p>
    <w:p w14:paraId="155086CB" w14:textId="77777777" w:rsidR="00150A25" w:rsidRDefault="00150A25" w:rsidP="000729A6">
      <w:pPr>
        <w:ind w:left="1080"/>
        <w:jc w:val="both"/>
        <w:rPr>
          <w:rFonts w:ascii="Arial" w:hAnsi="Arial" w:cs="Arial"/>
          <w:color w:val="0F1111"/>
          <w:sz w:val="20"/>
          <w:szCs w:val="20"/>
          <w:shd w:val="clear" w:color="auto" w:fill="FFFFFF"/>
        </w:rPr>
      </w:pPr>
    </w:p>
    <w:p w14:paraId="4D4FDBFB" w14:textId="77777777" w:rsidR="00150A25" w:rsidRDefault="00150A25" w:rsidP="000729A6">
      <w:pPr>
        <w:jc w:val="both"/>
        <w:rPr>
          <w:rFonts w:ascii="Arial" w:hAnsi="Arial" w:cs="Arial"/>
          <w:b/>
          <w:color w:val="0F1111"/>
          <w:sz w:val="24"/>
          <w:szCs w:val="24"/>
          <w:shd w:val="clear" w:color="auto" w:fill="FFFFFF"/>
        </w:rPr>
      </w:pPr>
      <w:r>
        <w:rPr>
          <w:rFonts w:ascii="Arial" w:hAnsi="Arial" w:cs="Arial"/>
          <w:b/>
          <w:color w:val="0F1111"/>
          <w:sz w:val="24"/>
          <w:szCs w:val="24"/>
          <w:shd w:val="clear" w:color="auto" w:fill="FFFFFF"/>
        </w:rPr>
        <w:t>Contextual Reading:</w:t>
      </w:r>
    </w:p>
    <w:p w14:paraId="0BB71BE8" w14:textId="77777777" w:rsidR="00150A25" w:rsidRDefault="00150A25" w:rsidP="000729A6">
      <w:pPr>
        <w:jc w:val="both"/>
        <w:rPr>
          <w:rFonts w:ascii="Arial" w:hAnsi="Arial" w:cs="Arial"/>
          <w:color w:val="0F1111"/>
          <w:sz w:val="20"/>
          <w:szCs w:val="20"/>
          <w:shd w:val="clear" w:color="auto" w:fill="FFFFFF"/>
        </w:rPr>
      </w:pPr>
    </w:p>
    <w:p w14:paraId="0AB64018" w14:textId="46BA0310" w:rsidR="00150A25" w:rsidRDefault="00150A25" w:rsidP="000729A6">
      <w:pPr>
        <w:jc w:val="both"/>
        <w:rPr>
          <w:rFonts w:ascii="Arial" w:hAnsi="Arial" w:cs="Arial"/>
          <w:color w:val="0F1111"/>
          <w:sz w:val="20"/>
          <w:szCs w:val="20"/>
          <w:shd w:val="clear" w:color="auto" w:fill="FFFFFF"/>
        </w:rPr>
      </w:pPr>
      <w:r>
        <w:rPr>
          <w:rFonts w:ascii="Arial" w:hAnsi="Arial" w:cs="Arial"/>
          <w:color w:val="0F1111"/>
          <w:sz w:val="20"/>
          <w:szCs w:val="20"/>
          <w:shd w:val="clear" w:color="auto" w:fill="FFFFFF"/>
        </w:rPr>
        <w:t xml:space="preserve">Gunton, C.E. (Editor) </w:t>
      </w:r>
      <w:r>
        <w:rPr>
          <w:rFonts w:ascii="Arial" w:hAnsi="Arial" w:cs="Arial"/>
          <w:i/>
          <w:color w:val="0F1111"/>
          <w:sz w:val="20"/>
          <w:szCs w:val="20"/>
          <w:shd w:val="clear" w:color="auto" w:fill="FFFFFF"/>
        </w:rPr>
        <w:t>The Doctrine of Creation: Essays in Dogmatics, History and Philosophy</w:t>
      </w:r>
      <w:r>
        <w:rPr>
          <w:rFonts w:ascii="Arial" w:hAnsi="Arial" w:cs="Arial"/>
          <w:color w:val="0F1111"/>
          <w:sz w:val="20"/>
          <w:szCs w:val="20"/>
          <w:shd w:val="clear" w:color="auto" w:fill="FFFFFF"/>
        </w:rPr>
        <w:t>, Research Institute of Systematic Theology (RIST). King</w:t>
      </w:r>
      <w:r w:rsidR="00B05213">
        <w:rPr>
          <w:rFonts w:ascii="Arial" w:hAnsi="Arial" w:cs="Arial"/>
          <w:color w:val="0F1111"/>
          <w:sz w:val="20"/>
          <w:szCs w:val="20"/>
          <w:shd w:val="clear" w:color="auto" w:fill="FFFFFF"/>
        </w:rPr>
        <w:t>’</w:t>
      </w:r>
      <w:r>
        <w:rPr>
          <w:rFonts w:ascii="Arial" w:hAnsi="Arial" w:cs="Arial"/>
          <w:color w:val="0F1111"/>
          <w:sz w:val="20"/>
          <w:szCs w:val="20"/>
          <w:shd w:val="clear" w:color="auto" w:fill="FFFFFF"/>
        </w:rPr>
        <w:t>s College, T&amp;T Clark, London, (2</w:t>
      </w:r>
      <w:r>
        <w:rPr>
          <w:rFonts w:ascii="Arial" w:hAnsi="Arial" w:cs="Arial"/>
          <w:color w:val="0F1111"/>
          <w:sz w:val="20"/>
          <w:szCs w:val="20"/>
          <w:shd w:val="clear" w:color="auto" w:fill="FFFFFF"/>
          <w:vertAlign w:val="superscript"/>
        </w:rPr>
        <w:t>nd</w:t>
      </w:r>
      <w:r>
        <w:rPr>
          <w:rFonts w:ascii="Arial" w:hAnsi="Arial" w:cs="Arial"/>
          <w:color w:val="0F1111"/>
          <w:sz w:val="20"/>
          <w:szCs w:val="20"/>
          <w:shd w:val="clear" w:color="auto" w:fill="FFFFFF"/>
        </w:rPr>
        <w:t xml:space="preserve"> edition 2004)</w:t>
      </w:r>
    </w:p>
    <w:p w14:paraId="0CC57DA9" w14:textId="77777777" w:rsidR="00150A25" w:rsidRDefault="00150A25" w:rsidP="000729A6">
      <w:pPr>
        <w:jc w:val="both"/>
        <w:rPr>
          <w:rFonts w:ascii="Arial" w:hAnsi="Arial" w:cs="Arial"/>
          <w:color w:val="0F1111"/>
          <w:sz w:val="20"/>
          <w:szCs w:val="20"/>
          <w:shd w:val="clear" w:color="auto" w:fill="FFFFFF"/>
        </w:rPr>
      </w:pPr>
      <w:r>
        <w:rPr>
          <w:rFonts w:ascii="Arial" w:hAnsi="Arial" w:cs="Arial"/>
          <w:color w:val="0F1111"/>
          <w:sz w:val="20"/>
          <w:szCs w:val="20"/>
          <w:shd w:val="clear" w:color="auto" w:fill="FFFFFF"/>
        </w:rPr>
        <w:t xml:space="preserve">Gunton, C.E. (Editor) </w:t>
      </w:r>
      <w:r>
        <w:rPr>
          <w:rFonts w:ascii="Arial" w:hAnsi="Arial" w:cs="Arial"/>
          <w:i/>
          <w:color w:val="0F1111"/>
          <w:sz w:val="20"/>
          <w:szCs w:val="20"/>
          <w:shd w:val="clear" w:color="auto" w:fill="FFFFFF"/>
        </w:rPr>
        <w:t>Christian Doctrine</w:t>
      </w:r>
      <w:r>
        <w:rPr>
          <w:rFonts w:ascii="Arial" w:hAnsi="Arial" w:cs="Arial"/>
          <w:color w:val="0F1111"/>
          <w:sz w:val="20"/>
          <w:szCs w:val="20"/>
          <w:shd w:val="clear" w:color="auto" w:fill="FFFFFF"/>
        </w:rPr>
        <w:t>, Cambridge University Press (1997)</w:t>
      </w:r>
    </w:p>
    <w:p w14:paraId="0F7284EE" w14:textId="77777777" w:rsidR="00150A25" w:rsidRDefault="00150A25" w:rsidP="000729A6">
      <w:pPr>
        <w:jc w:val="both"/>
        <w:rPr>
          <w:rFonts w:ascii="Arial" w:hAnsi="Arial" w:cs="Arial"/>
          <w:color w:val="0F1111"/>
          <w:sz w:val="20"/>
          <w:szCs w:val="20"/>
          <w:shd w:val="clear" w:color="auto" w:fill="FFFFFF"/>
        </w:rPr>
      </w:pPr>
      <w:r>
        <w:rPr>
          <w:rFonts w:ascii="Arial" w:hAnsi="Arial" w:cs="Arial"/>
          <w:color w:val="0F1111"/>
          <w:sz w:val="20"/>
          <w:szCs w:val="20"/>
          <w:shd w:val="clear" w:color="auto" w:fill="FFFFFF"/>
        </w:rPr>
        <w:t>Webster, J</w:t>
      </w:r>
      <w:r>
        <w:rPr>
          <w:rFonts w:ascii="Arial" w:hAnsi="Arial" w:cs="Arial"/>
          <w:i/>
          <w:color w:val="0F1111"/>
          <w:sz w:val="20"/>
          <w:szCs w:val="20"/>
          <w:shd w:val="clear" w:color="auto" w:fill="FFFFFF"/>
        </w:rPr>
        <w:t>. The Culture of Theology</w:t>
      </w:r>
      <w:r>
        <w:rPr>
          <w:rFonts w:ascii="Arial" w:hAnsi="Arial" w:cs="Arial"/>
          <w:color w:val="0F1111"/>
          <w:sz w:val="20"/>
          <w:szCs w:val="20"/>
          <w:shd w:val="clear" w:color="auto" w:fill="FFFFFF"/>
        </w:rPr>
        <w:t>, Edited by Davidson, I.J. &amp; McCray, A. Baker Academic Books, Grand Rapids, Michigan (2019)</w:t>
      </w:r>
    </w:p>
    <w:p w14:paraId="37624B58" w14:textId="69145CA5" w:rsidR="00150A25" w:rsidRDefault="00150A25" w:rsidP="000729A6">
      <w:pPr>
        <w:jc w:val="both"/>
        <w:rPr>
          <w:rFonts w:ascii="Arial" w:hAnsi="Arial" w:cs="Arial"/>
          <w:color w:val="0F1111"/>
          <w:sz w:val="20"/>
          <w:szCs w:val="20"/>
          <w:shd w:val="clear" w:color="auto" w:fill="FFFFFF"/>
        </w:rPr>
      </w:pPr>
      <w:r>
        <w:rPr>
          <w:rFonts w:ascii="Arial" w:hAnsi="Arial" w:cs="Arial"/>
          <w:color w:val="0F1111"/>
          <w:sz w:val="20"/>
          <w:szCs w:val="20"/>
          <w:shd w:val="clear" w:color="auto" w:fill="FFFFFF"/>
        </w:rPr>
        <w:t xml:space="preserve">Danielou, J. </w:t>
      </w:r>
      <w:proofErr w:type="spellStart"/>
      <w:r>
        <w:rPr>
          <w:rFonts w:ascii="Arial" w:hAnsi="Arial" w:cs="Arial"/>
          <w:color w:val="0F1111"/>
          <w:sz w:val="20"/>
          <w:szCs w:val="20"/>
          <w:shd w:val="clear" w:color="auto" w:fill="FFFFFF"/>
        </w:rPr>
        <w:t>Couratin</w:t>
      </w:r>
      <w:proofErr w:type="spellEnd"/>
      <w:r>
        <w:rPr>
          <w:rFonts w:ascii="Arial" w:hAnsi="Arial" w:cs="Arial"/>
          <w:color w:val="0F1111"/>
          <w:sz w:val="20"/>
          <w:szCs w:val="20"/>
          <w:shd w:val="clear" w:color="auto" w:fill="FFFFFF"/>
        </w:rPr>
        <w:t xml:space="preserve">, A.H. and Kent, J. </w:t>
      </w:r>
      <w:r>
        <w:rPr>
          <w:rFonts w:ascii="Arial" w:hAnsi="Arial" w:cs="Arial"/>
          <w:i/>
          <w:color w:val="0F1111"/>
          <w:sz w:val="20"/>
          <w:szCs w:val="20"/>
          <w:shd w:val="clear" w:color="auto" w:fill="FFFFFF"/>
        </w:rPr>
        <w:t>The Pelican Guide to Modern Theology Volume 2: A Historical Theology</w:t>
      </w:r>
      <w:r>
        <w:rPr>
          <w:rFonts w:ascii="Arial" w:hAnsi="Arial" w:cs="Arial"/>
          <w:color w:val="0F1111"/>
          <w:sz w:val="20"/>
          <w:szCs w:val="20"/>
          <w:shd w:val="clear" w:color="auto" w:fill="FFFFFF"/>
        </w:rPr>
        <w:t>, Harmondsworth, England (1971)</w:t>
      </w:r>
    </w:p>
    <w:p w14:paraId="50F1413D" w14:textId="7CF5C393" w:rsidR="00150A25" w:rsidRDefault="00150A25" w:rsidP="000729A6">
      <w:pPr>
        <w:jc w:val="both"/>
        <w:rPr>
          <w:rFonts w:ascii="Arial" w:hAnsi="Arial" w:cs="Arial"/>
          <w:color w:val="0F1111"/>
          <w:sz w:val="20"/>
          <w:szCs w:val="20"/>
          <w:shd w:val="clear" w:color="auto" w:fill="FFFFFF"/>
        </w:rPr>
      </w:pPr>
      <w:r>
        <w:rPr>
          <w:rFonts w:ascii="Arial" w:hAnsi="Arial" w:cs="Arial"/>
          <w:color w:val="0F1111"/>
          <w:sz w:val="20"/>
          <w:szCs w:val="20"/>
          <w:shd w:val="clear" w:color="auto" w:fill="FFFFFF"/>
        </w:rPr>
        <w:t xml:space="preserve">McGrath, A.E. </w:t>
      </w:r>
      <w:r>
        <w:rPr>
          <w:rFonts w:ascii="Arial" w:hAnsi="Arial" w:cs="Arial"/>
          <w:i/>
          <w:color w:val="0F1111"/>
          <w:sz w:val="20"/>
          <w:szCs w:val="20"/>
          <w:shd w:val="clear" w:color="auto" w:fill="FFFFFF"/>
        </w:rPr>
        <w:t>Theology:</w:t>
      </w:r>
      <w:r w:rsidR="00B05213">
        <w:rPr>
          <w:rFonts w:ascii="Arial" w:hAnsi="Arial" w:cs="Arial"/>
          <w:i/>
          <w:color w:val="0F1111"/>
          <w:sz w:val="20"/>
          <w:szCs w:val="20"/>
          <w:shd w:val="clear" w:color="auto" w:fill="FFFFFF"/>
        </w:rPr>
        <w:t xml:space="preserve"> </w:t>
      </w:r>
      <w:r>
        <w:rPr>
          <w:rFonts w:ascii="Arial" w:hAnsi="Arial" w:cs="Arial"/>
          <w:i/>
          <w:color w:val="0F1111"/>
          <w:sz w:val="20"/>
          <w:szCs w:val="20"/>
          <w:shd w:val="clear" w:color="auto" w:fill="FFFFFF"/>
        </w:rPr>
        <w:t>The Basics</w:t>
      </w:r>
      <w:r>
        <w:rPr>
          <w:rFonts w:ascii="Arial" w:hAnsi="Arial" w:cs="Arial"/>
          <w:color w:val="0F1111"/>
          <w:sz w:val="20"/>
          <w:szCs w:val="20"/>
          <w:shd w:val="clear" w:color="auto" w:fill="FFFFFF"/>
        </w:rPr>
        <w:t>, Blackwells Books, Oxford (reprint - 2008)</w:t>
      </w:r>
    </w:p>
    <w:p w14:paraId="5260ABEF" w14:textId="77777777" w:rsidR="00150A25" w:rsidRDefault="00150A25" w:rsidP="000729A6">
      <w:pPr>
        <w:jc w:val="both"/>
        <w:rPr>
          <w:rFonts w:ascii="Arial" w:hAnsi="Arial" w:cs="Arial"/>
          <w:color w:val="0F1111"/>
          <w:sz w:val="20"/>
          <w:szCs w:val="20"/>
          <w:shd w:val="clear" w:color="auto" w:fill="FFFFFF"/>
        </w:rPr>
      </w:pPr>
      <w:r>
        <w:rPr>
          <w:rFonts w:ascii="Arial" w:hAnsi="Arial" w:cs="Arial"/>
          <w:color w:val="0F1111"/>
          <w:sz w:val="20"/>
          <w:szCs w:val="20"/>
          <w:shd w:val="clear" w:color="auto" w:fill="FFFFFF"/>
        </w:rPr>
        <w:t xml:space="preserve">Glyndwr Harris, J. </w:t>
      </w:r>
      <w:r>
        <w:rPr>
          <w:rFonts w:ascii="Arial" w:hAnsi="Arial" w:cs="Arial"/>
          <w:i/>
          <w:color w:val="0F1111"/>
          <w:sz w:val="20"/>
          <w:szCs w:val="20"/>
          <w:shd w:val="clear" w:color="auto" w:fill="FFFFFF"/>
        </w:rPr>
        <w:t>Christian Theology: The Spiritual Tradition</w:t>
      </w:r>
      <w:r>
        <w:rPr>
          <w:rFonts w:ascii="Arial" w:hAnsi="Arial" w:cs="Arial"/>
          <w:color w:val="0F1111"/>
          <w:sz w:val="20"/>
          <w:szCs w:val="20"/>
          <w:shd w:val="clear" w:color="auto" w:fill="FFFFFF"/>
        </w:rPr>
        <w:t xml:space="preserve">, Sussex Academic Press, England (2001)       </w:t>
      </w:r>
    </w:p>
    <w:p w14:paraId="4F424EEC" w14:textId="4A790460" w:rsidR="00810301" w:rsidRPr="00150A25" w:rsidRDefault="00810301" w:rsidP="000729A6">
      <w:pPr>
        <w:jc w:val="both"/>
      </w:pPr>
    </w:p>
    <w:sectPr w:rsidR="00810301" w:rsidRPr="00150A25" w:rsidSect="005230E8">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3A844" w14:textId="77777777" w:rsidR="002700AB" w:rsidRDefault="002700AB" w:rsidP="000729A6">
      <w:pPr>
        <w:spacing w:after="0" w:line="240" w:lineRule="auto"/>
      </w:pPr>
      <w:r>
        <w:separator/>
      </w:r>
    </w:p>
  </w:endnote>
  <w:endnote w:type="continuationSeparator" w:id="0">
    <w:p w14:paraId="72982D10" w14:textId="77777777" w:rsidR="002700AB" w:rsidRDefault="002700AB" w:rsidP="00072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2E192" w14:textId="77777777" w:rsidR="002700AB" w:rsidRDefault="002700AB" w:rsidP="000729A6">
      <w:pPr>
        <w:spacing w:after="0" w:line="240" w:lineRule="auto"/>
      </w:pPr>
      <w:r>
        <w:separator/>
      </w:r>
    </w:p>
  </w:footnote>
  <w:footnote w:type="continuationSeparator" w:id="0">
    <w:p w14:paraId="1AB80BF1" w14:textId="77777777" w:rsidR="002700AB" w:rsidRDefault="002700AB" w:rsidP="000729A6">
      <w:pPr>
        <w:spacing w:after="0" w:line="240" w:lineRule="auto"/>
      </w:pPr>
      <w:r>
        <w:continuationSeparator/>
      </w:r>
    </w:p>
  </w:footnote>
  <w:footnote w:id="1">
    <w:p w14:paraId="40FEC910" w14:textId="2852BC52" w:rsidR="000729A6" w:rsidRDefault="000729A6" w:rsidP="000729A6">
      <w:pPr>
        <w:pStyle w:val="FootnoteText"/>
        <w:ind w:left="142" w:hanging="142"/>
      </w:pPr>
      <w:r>
        <w:rPr>
          <w:rStyle w:val="FootnoteReference"/>
        </w:rPr>
        <w:footnoteRef/>
      </w:r>
      <w:r>
        <w:t xml:space="preserve"> </w:t>
      </w:r>
      <w:r w:rsidRPr="007F6988">
        <w:rPr>
          <w:rFonts w:ascii="Arial" w:hAnsi="Arial" w:cs="Arial"/>
          <w:color w:val="434449"/>
          <w:sz w:val="16"/>
          <w:szCs w:val="16"/>
        </w:rPr>
        <w:t xml:space="preserve">Christoph </w:t>
      </w:r>
      <w:proofErr w:type="spellStart"/>
      <w:r w:rsidRPr="007F6988">
        <w:rPr>
          <w:rFonts w:ascii="Arial" w:hAnsi="Arial" w:cs="Arial"/>
          <w:color w:val="434449"/>
          <w:sz w:val="16"/>
          <w:szCs w:val="16"/>
        </w:rPr>
        <w:t>Schwöbel</w:t>
      </w:r>
      <w:proofErr w:type="spellEnd"/>
      <w:r w:rsidRPr="007F6988">
        <w:rPr>
          <w:rFonts w:ascii="Arial" w:hAnsi="Arial" w:cs="Arial"/>
          <w:color w:val="434449"/>
          <w:sz w:val="16"/>
          <w:szCs w:val="16"/>
        </w:rPr>
        <w:t> (19 February 1955 - 18 September 2021) was a German Lutheran Theologian and Professor of Systematic Theology the University of St Andrews and a lecturer in Systematic Theology at King</w:t>
      </w:r>
      <w:r w:rsidR="0099173F" w:rsidRPr="007F6988">
        <w:rPr>
          <w:rFonts w:ascii="Arial" w:hAnsi="Arial" w:cs="Arial"/>
          <w:color w:val="434449"/>
          <w:sz w:val="16"/>
          <w:szCs w:val="16"/>
        </w:rPr>
        <w:t>’</w:t>
      </w:r>
      <w:r w:rsidRPr="007F6988">
        <w:rPr>
          <w:rFonts w:ascii="Arial" w:hAnsi="Arial" w:cs="Arial"/>
          <w:color w:val="434449"/>
          <w:sz w:val="16"/>
          <w:szCs w:val="16"/>
        </w:rPr>
        <w:t xml:space="preserve">s College London from 1986 to 1993 where he partnered with Gunton to establish the Research Institute in Systematic Theology (RIST) in 1988 and served as its </w:t>
      </w:r>
      <w:proofErr w:type="gramStart"/>
      <w:r w:rsidRPr="007F6988">
        <w:rPr>
          <w:rFonts w:ascii="Arial" w:hAnsi="Arial" w:cs="Arial"/>
          <w:color w:val="434449"/>
          <w:sz w:val="16"/>
          <w:szCs w:val="16"/>
        </w:rPr>
        <w:t>Director</w:t>
      </w:r>
      <w:proofErr w:type="gramEnd"/>
      <w:r w:rsidRPr="007F6988">
        <w:rPr>
          <w:rFonts w:ascii="Arial" w:hAnsi="Arial" w:cs="Arial"/>
          <w:color w:val="434449"/>
          <w:sz w:val="16"/>
          <w:szCs w:val="16"/>
        </w:rPr>
        <w:t xml:space="preserve"> up until 1993</w:t>
      </w:r>
      <w:r w:rsidR="007F6988">
        <w:rPr>
          <w:rFonts w:ascii="Arial" w:hAnsi="Arial" w:cs="Arial"/>
          <w:color w:val="434449"/>
          <w:sz w:val="16"/>
          <w:szCs w:val="16"/>
        </w:rPr>
        <w:t>.</w:t>
      </w:r>
    </w:p>
  </w:footnote>
  <w:footnote w:id="2">
    <w:p w14:paraId="16167B8F" w14:textId="65C7C69D" w:rsidR="000079AA" w:rsidRPr="007F6988" w:rsidRDefault="000079AA" w:rsidP="000079AA">
      <w:pPr>
        <w:pStyle w:val="FootnoteText"/>
        <w:ind w:left="154" w:hanging="140"/>
        <w:rPr>
          <w:rFonts w:ascii="Arial" w:hAnsi="Arial" w:cs="Arial"/>
          <w:color w:val="434449"/>
          <w:sz w:val="16"/>
          <w:szCs w:val="16"/>
        </w:rPr>
      </w:pPr>
      <w:r w:rsidRPr="007F6988">
        <w:rPr>
          <w:rStyle w:val="FootnoteReference"/>
        </w:rPr>
        <w:footnoteRef/>
      </w:r>
      <w:r w:rsidRPr="007F6988">
        <w:rPr>
          <w:vertAlign w:val="superscript"/>
        </w:rPr>
        <w:t xml:space="preserve"> </w:t>
      </w:r>
      <w:r w:rsidRPr="007F6988">
        <w:rPr>
          <w:rFonts w:ascii="Arial" w:hAnsi="Arial" w:cs="Arial"/>
          <w:color w:val="434449"/>
          <w:sz w:val="16"/>
          <w:szCs w:val="16"/>
        </w:rPr>
        <w:t xml:space="preserve">John Bainbridge Webster (b. 1955) is a British born Anglican Systematic Theologian and a former professor and chair of Systematic Theology at King's College, and Aberdeen, Scotland since 2003. He is considered an authority on Karl Barth, amongst others, and founded the </w:t>
      </w:r>
      <w:r w:rsidRPr="00FD2530">
        <w:rPr>
          <w:rFonts w:ascii="Arial" w:hAnsi="Arial" w:cs="Arial"/>
          <w:i/>
          <w:iCs/>
          <w:color w:val="434449"/>
          <w:sz w:val="16"/>
          <w:szCs w:val="16"/>
        </w:rPr>
        <w:t>International Journal of Systematic Theology</w:t>
      </w:r>
      <w:r w:rsidRPr="007F6988">
        <w:rPr>
          <w:rFonts w:ascii="Arial" w:hAnsi="Arial" w:cs="Arial"/>
          <w:color w:val="434449"/>
          <w:sz w:val="16"/>
          <w:szCs w:val="16"/>
        </w:rPr>
        <w:t xml:space="preserve"> with Colin E. Gunton. His numerous publications include an online paper entitled - </w:t>
      </w:r>
      <w:r w:rsidRPr="00FD2530">
        <w:rPr>
          <w:rFonts w:ascii="Arial" w:hAnsi="Arial" w:cs="Arial"/>
          <w:i/>
          <w:iCs/>
          <w:color w:val="434449"/>
          <w:sz w:val="16"/>
          <w:szCs w:val="16"/>
        </w:rPr>
        <w:t>The identity of the Holy Spirit: A Problem in Trinitarian Theology</w:t>
      </w:r>
      <w:r w:rsidR="00FD2530">
        <w:rPr>
          <w:rFonts w:ascii="Arial" w:hAnsi="Arial" w:cs="Arial"/>
          <w:i/>
          <w:iCs/>
          <w:color w:val="434449"/>
          <w:sz w:val="16"/>
          <w:szCs w:val="16"/>
        </w:rPr>
        <w:t>.</w:t>
      </w:r>
    </w:p>
  </w:footnote>
  <w:footnote w:id="3">
    <w:p w14:paraId="42AF497D" w14:textId="009942F0" w:rsidR="00B145D1" w:rsidRPr="007F6988" w:rsidRDefault="00B145D1" w:rsidP="00B145D1">
      <w:pPr>
        <w:pStyle w:val="FootnoteText"/>
        <w:ind w:left="126" w:hanging="112"/>
        <w:rPr>
          <w:rFonts w:ascii="Arial" w:hAnsi="Arial" w:cs="Arial"/>
          <w:color w:val="434449"/>
          <w:sz w:val="16"/>
          <w:szCs w:val="16"/>
        </w:rPr>
      </w:pPr>
      <w:r w:rsidRPr="007F6988">
        <w:rPr>
          <w:rFonts w:cstheme="minorHAnsi"/>
          <w:color w:val="434449"/>
          <w:vertAlign w:val="superscript"/>
        </w:rPr>
        <w:footnoteRef/>
      </w:r>
      <w:r w:rsidRPr="007F6988">
        <w:rPr>
          <w:rFonts w:cstheme="minorHAnsi"/>
          <w:color w:val="434449"/>
        </w:rPr>
        <w:t xml:space="preserve"> </w:t>
      </w:r>
      <w:r w:rsidRPr="007F6988">
        <w:rPr>
          <w:rFonts w:ascii="Arial" w:hAnsi="Arial" w:cs="Arial"/>
          <w:color w:val="434449"/>
          <w:sz w:val="16"/>
          <w:szCs w:val="16"/>
        </w:rPr>
        <w:t xml:space="preserve">Ralph de Colle (1954-2012) was a Trinitarian Theologian who authored </w:t>
      </w:r>
      <w:r w:rsidRPr="00FD2530">
        <w:rPr>
          <w:rFonts w:ascii="Arial" w:hAnsi="Arial" w:cs="Arial"/>
          <w:i/>
          <w:iCs/>
          <w:color w:val="434449"/>
          <w:sz w:val="16"/>
          <w:szCs w:val="16"/>
        </w:rPr>
        <w:t xml:space="preserve">Christ and the Spirit: Spirit Christology in </w:t>
      </w:r>
      <w:proofErr w:type="spellStart"/>
      <w:r w:rsidRPr="00FD2530">
        <w:rPr>
          <w:rFonts w:ascii="Arial" w:hAnsi="Arial" w:cs="Arial"/>
          <w:i/>
          <w:iCs/>
          <w:color w:val="434449"/>
          <w:sz w:val="16"/>
          <w:szCs w:val="16"/>
        </w:rPr>
        <w:t>Pneumatological</w:t>
      </w:r>
      <w:proofErr w:type="spellEnd"/>
      <w:r w:rsidRPr="00FD2530">
        <w:rPr>
          <w:rFonts w:ascii="Arial" w:hAnsi="Arial" w:cs="Arial"/>
          <w:i/>
          <w:iCs/>
          <w:color w:val="434449"/>
          <w:sz w:val="16"/>
          <w:szCs w:val="16"/>
        </w:rPr>
        <w:t xml:space="preserve"> Perspective</w:t>
      </w:r>
      <w:r w:rsidRPr="007F6988">
        <w:rPr>
          <w:rFonts w:ascii="Arial" w:hAnsi="Arial" w:cs="Arial"/>
          <w:color w:val="434449"/>
          <w:sz w:val="16"/>
          <w:szCs w:val="16"/>
        </w:rPr>
        <w:t xml:space="preserve"> (Oxford,</w:t>
      </w:r>
      <w:r w:rsidR="00FD2530">
        <w:rPr>
          <w:rFonts w:ascii="Arial" w:hAnsi="Arial" w:cs="Arial"/>
          <w:color w:val="434449"/>
          <w:sz w:val="16"/>
          <w:szCs w:val="16"/>
        </w:rPr>
        <w:t xml:space="preserve"> </w:t>
      </w:r>
      <w:r w:rsidRPr="007F6988">
        <w:rPr>
          <w:rFonts w:ascii="Arial" w:hAnsi="Arial" w:cs="Arial"/>
          <w:color w:val="434449"/>
          <w:sz w:val="16"/>
          <w:szCs w:val="16"/>
        </w:rPr>
        <w:t>1994)</w:t>
      </w:r>
      <w:r w:rsidR="007F6988">
        <w:rPr>
          <w:rFonts w:ascii="Arial" w:hAnsi="Arial" w:cs="Arial"/>
          <w:color w:val="434449"/>
          <w:sz w:val="16"/>
          <w:szCs w:val="16"/>
        </w:rPr>
        <w:t>.</w:t>
      </w:r>
    </w:p>
  </w:footnote>
  <w:footnote w:id="4">
    <w:p w14:paraId="34FE9652" w14:textId="6340CED7" w:rsidR="00AA6F25" w:rsidRPr="001B3147" w:rsidRDefault="00AA6F25" w:rsidP="00AA6F25">
      <w:pPr>
        <w:pStyle w:val="FootnoteText"/>
        <w:ind w:left="126" w:hanging="126"/>
        <w:rPr>
          <w:rFonts w:ascii="Arial" w:hAnsi="Arial" w:cs="Arial"/>
          <w:color w:val="202122"/>
          <w:sz w:val="16"/>
          <w:szCs w:val="16"/>
        </w:rPr>
      </w:pPr>
      <w:r w:rsidRPr="007F6988">
        <w:rPr>
          <w:rFonts w:cstheme="minorHAnsi"/>
          <w:color w:val="202122"/>
          <w:vertAlign w:val="superscript"/>
        </w:rPr>
        <w:footnoteRef/>
      </w:r>
      <w:r w:rsidRPr="007F6988">
        <w:rPr>
          <w:rFonts w:ascii="Arial" w:hAnsi="Arial" w:cs="Arial"/>
          <w:color w:val="202122"/>
        </w:rPr>
        <w:t xml:space="preserve"> </w:t>
      </w:r>
      <w:r w:rsidRPr="007F6988">
        <w:rPr>
          <w:rFonts w:ascii="Arial" w:hAnsi="Arial" w:cs="Arial"/>
          <w:color w:val="434449"/>
          <w:sz w:val="16"/>
          <w:szCs w:val="16"/>
        </w:rPr>
        <w:t>Some of Gunton</w:t>
      </w:r>
      <w:r w:rsidR="0099173F" w:rsidRPr="007F6988">
        <w:rPr>
          <w:rFonts w:ascii="Arial" w:hAnsi="Arial" w:cs="Arial"/>
          <w:color w:val="434449"/>
          <w:sz w:val="16"/>
          <w:szCs w:val="16"/>
        </w:rPr>
        <w:t>’</w:t>
      </w:r>
      <w:r w:rsidRPr="007F6988">
        <w:rPr>
          <w:rFonts w:ascii="Arial" w:hAnsi="Arial" w:cs="Arial"/>
          <w:color w:val="434449"/>
          <w:sz w:val="16"/>
          <w:szCs w:val="16"/>
        </w:rPr>
        <w:t xml:space="preserve">s other significant works include: Becoming and Being: </w:t>
      </w:r>
      <w:r w:rsidRPr="00FD2530">
        <w:rPr>
          <w:rFonts w:ascii="Arial" w:hAnsi="Arial" w:cs="Arial"/>
          <w:i/>
          <w:iCs/>
          <w:color w:val="434449"/>
          <w:sz w:val="16"/>
          <w:szCs w:val="16"/>
        </w:rPr>
        <w:t>The Doctrine of God in Charles Hartshorne and Karl Barth</w:t>
      </w:r>
      <w:r w:rsidRPr="007F6988">
        <w:rPr>
          <w:rFonts w:ascii="Arial" w:hAnsi="Arial" w:cs="Arial"/>
          <w:color w:val="434449"/>
          <w:sz w:val="16"/>
          <w:szCs w:val="16"/>
        </w:rPr>
        <w:t xml:space="preserve"> (1978, 2nd Ed. 2001); </w:t>
      </w:r>
      <w:r w:rsidRPr="00FD2530">
        <w:rPr>
          <w:rFonts w:ascii="Arial" w:hAnsi="Arial" w:cs="Arial"/>
          <w:i/>
          <w:iCs/>
          <w:color w:val="434449"/>
          <w:sz w:val="16"/>
          <w:szCs w:val="16"/>
        </w:rPr>
        <w:t>Yesterday and Today: A Study of Continuities in Christology</w:t>
      </w:r>
      <w:r w:rsidRPr="007F6988">
        <w:rPr>
          <w:rFonts w:ascii="Arial" w:hAnsi="Arial" w:cs="Arial"/>
          <w:color w:val="434449"/>
          <w:sz w:val="16"/>
          <w:szCs w:val="16"/>
        </w:rPr>
        <w:t> (1983, 2nd Ed. 1997</w:t>
      </w:r>
      <w:r w:rsidRPr="00FD2530">
        <w:rPr>
          <w:rFonts w:ascii="Arial" w:hAnsi="Arial" w:cs="Arial"/>
          <w:i/>
          <w:iCs/>
          <w:color w:val="434449"/>
          <w:sz w:val="16"/>
          <w:szCs w:val="16"/>
        </w:rPr>
        <w:t>); Actuality of Atonement: A Study of Metaphor, Rationality and the Christian Tradition</w:t>
      </w:r>
      <w:r w:rsidRPr="007F6988">
        <w:rPr>
          <w:rFonts w:ascii="Arial" w:hAnsi="Arial" w:cs="Arial"/>
          <w:color w:val="434449"/>
          <w:sz w:val="16"/>
          <w:szCs w:val="16"/>
        </w:rPr>
        <w:t> (1988);</w:t>
      </w:r>
      <w:r w:rsidR="00FD2530">
        <w:rPr>
          <w:rFonts w:ascii="Arial" w:hAnsi="Arial" w:cs="Arial"/>
          <w:color w:val="434449"/>
          <w:sz w:val="16"/>
          <w:szCs w:val="16"/>
        </w:rPr>
        <w:t xml:space="preserve"> </w:t>
      </w:r>
      <w:hyperlink r:id="rId1" w:tooltip="ISBN (identifier)" w:history="1">
        <w:r w:rsidRPr="00FD2530">
          <w:rPr>
            <w:rFonts w:ascii="Arial" w:hAnsi="Arial" w:cs="Arial"/>
            <w:i/>
            <w:iCs/>
            <w:color w:val="434449"/>
            <w:sz w:val="16"/>
            <w:szCs w:val="16"/>
          </w:rPr>
          <w:t>I</w:t>
        </w:r>
      </w:hyperlink>
      <w:r w:rsidRPr="00FD2530">
        <w:rPr>
          <w:rFonts w:ascii="Arial" w:hAnsi="Arial" w:cs="Arial"/>
          <w:i/>
          <w:iCs/>
          <w:color w:val="434449"/>
          <w:sz w:val="16"/>
          <w:szCs w:val="16"/>
        </w:rPr>
        <w:t xml:space="preserve"> Christ and Creation</w:t>
      </w:r>
      <w:r w:rsidRPr="007F6988">
        <w:rPr>
          <w:rFonts w:ascii="Arial" w:hAnsi="Arial" w:cs="Arial"/>
          <w:color w:val="434449"/>
          <w:sz w:val="16"/>
          <w:szCs w:val="16"/>
        </w:rPr>
        <w:t xml:space="preserve"> (1992); </w:t>
      </w:r>
      <w:r w:rsidRPr="00FD2530">
        <w:rPr>
          <w:rFonts w:ascii="Arial" w:hAnsi="Arial" w:cs="Arial"/>
          <w:i/>
          <w:iCs/>
          <w:color w:val="434449"/>
          <w:sz w:val="16"/>
          <w:szCs w:val="16"/>
        </w:rPr>
        <w:t>Theology of Revelation</w:t>
      </w:r>
      <w:r w:rsidRPr="007F6988">
        <w:rPr>
          <w:rFonts w:ascii="Arial" w:hAnsi="Arial" w:cs="Arial"/>
          <w:color w:val="434449"/>
          <w:sz w:val="16"/>
          <w:szCs w:val="16"/>
        </w:rPr>
        <w:t> (1995);</w:t>
      </w:r>
      <w:r w:rsidRPr="00FD2530">
        <w:rPr>
          <w:rFonts w:ascii="Arial" w:hAnsi="Arial" w:cs="Arial"/>
          <w:i/>
          <w:iCs/>
          <w:color w:val="434449"/>
          <w:sz w:val="16"/>
          <w:szCs w:val="16"/>
        </w:rPr>
        <w:t>Theology Through the Theologians</w:t>
      </w:r>
      <w:r w:rsidRPr="007F6988">
        <w:rPr>
          <w:rFonts w:ascii="Arial" w:hAnsi="Arial" w:cs="Arial"/>
          <w:color w:val="434449"/>
          <w:sz w:val="16"/>
          <w:szCs w:val="16"/>
        </w:rPr>
        <w:t xml:space="preserve">: </w:t>
      </w:r>
      <w:r w:rsidRPr="00FD2530">
        <w:rPr>
          <w:rFonts w:ascii="Arial" w:hAnsi="Arial" w:cs="Arial"/>
          <w:i/>
          <w:iCs/>
          <w:color w:val="434449"/>
          <w:sz w:val="16"/>
          <w:szCs w:val="16"/>
        </w:rPr>
        <w:t>Essays 1972-1995</w:t>
      </w:r>
      <w:r w:rsidRPr="007F6988">
        <w:rPr>
          <w:rFonts w:ascii="Arial" w:hAnsi="Arial" w:cs="Arial"/>
          <w:color w:val="434449"/>
          <w:sz w:val="16"/>
          <w:szCs w:val="16"/>
        </w:rPr>
        <w:t xml:space="preserve"> (1996); </w:t>
      </w:r>
      <w:r w:rsidRPr="00FD2530">
        <w:rPr>
          <w:rFonts w:ascii="Arial" w:hAnsi="Arial" w:cs="Arial"/>
          <w:i/>
          <w:iCs/>
          <w:color w:val="434449"/>
          <w:sz w:val="16"/>
          <w:szCs w:val="16"/>
        </w:rPr>
        <w:t>Theology Through Preaching</w:t>
      </w:r>
      <w:r w:rsidRPr="007F6988">
        <w:rPr>
          <w:rFonts w:ascii="Arial" w:hAnsi="Arial" w:cs="Arial"/>
          <w:color w:val="434449"/>
          <w:sz w:val="16"/>
          <w:szCs w:val="16"/>
        </w:rPr>
        <w:t> (2001, T &amp; T Clark);</w:t>
      </w:r>
      <w:r w:rsidRPr="00FD2530">
        <w:rPr>
          <w:rFonts w:ascii="Arial" w:hAnsi="Arial" w:cs="Arial"/>
          <w:i/>
          <w:iCs/>
          <w:color w:val="434449"/>
          <w:sz w:val="16"/>
          <w:szCs w:val="16"/>
        </w:rPr>
        <w:t>The Christian Faith: An Introduction to Christian Doctrine</w:t>
      </w:r>
      <w:r w:rsidRPr="007F6988">
        <w:rPr>
          <w:rFonts w:ascii="Arial" w:hAnsi="Arial" w:cs="Arial"/>
          <w:color w:val="434449"/>
          <w:sz w:val="16"/>
          <w:szCs w:val="16"/>
        </w:rPr>
        <w:t> (2002);</w:t>
      </w:r>
      <w:r w:rsidRPr="00FD2530">
        <w:rPr>
          <w:rFonts w:ascii="Arial" w:hAnsi="Arial" w:cs="Arial"/>
          <w:i/>
          <w:iCs/>
          <w:color w:val="434449"/>
          <w:sz w:val="16"/>
          <w:szCs w:val="16"/>
        </w:rPr>
        <w:t>Toward A Theology of the Divine Attributes</w:t>
      </w:r>
      <w:r w:rsidRPr="007F6988">
        <w:rPr>
          <w:rFonts w:ascii="Arial" w:hAnsi="Arial" w:cs="Arial"/>
          <w:color w:val="434449"/>
          <w:sz w:val="16"/>
          <w:szCs w:val="16"/>
        </w:rPr>
        <w:t> (2002);</w:t>
      </w:r>
      <w:r w:rsidR="0099173F" w:rsidRPr="007F6988">
        <w:rPr>
          <w:rFonts w:ascii="Arial" w:hAnsi="Arial" w:cs="Arial"/>
          <w:color w:val="434449"/>
          <w:sz w:val="16"/>
          <w:szCs w:val="16"/>
        </w:rPr>
        <w:t xml:space="preserve"> </w:t>
      </w:r>
      <w:r w:rsidRPr="00FD2530">
        <w:rPr>
          <w:rFonts w:ascii="Arial" w:hAnsi="Arial" w:cs="Arial"/>
          <w:i/>
          <w:iCs/>
          <w:color w:val="434449"/>
          <w:sz w:val="16"/>
          <w:szCs w:val="16"/>
        </w:rPr>
        <w:t>Father, Son and Holy Spirit: Toward A Fully Trinitarian Theology</w:t>
      </w:r>
      <w:r w:rsidRPr="007F6988">
        <w:rPr>
          <w:rFonts w:ascii="Arial" w:hAnsi="Arial" w:cs="Arial"/>
          <w:color w:val="434449"/>
          <w:sz w:val="16"/>
          <w:szCs w:val="16"/>
        </w:rPr>
        <w:t xml:space="preserve"> (2003); </w:t>
      </w:r>
      <w:r w:rsidRPr="00FD2530">
        <w:rPr>
          <w:rFonts w:ascii="Arial" w:hAnsi="Arial" w:cs="Arial"/>
          <w:i/>
          <w:iCs/>
          <w:color w:val="434449"/>
          <w:sz w:val="16"/>
          <w:szCs w:val="16"/>
        </w:rPr>
        <w:t>Theologian as Preacher: Further Sermons from Colin Gunton</w:t>
      </w:r>
      <w:r w:rsidRPr="007F6988">
        <w:rPr>
          <w:rFonts w:ascii="Arial" w:hAnsi="Arial" w:cs="Arial"/>
          <w:color w:val="434449"/>
          <w:sz w:val="16"/>
          <w:szCs w:val="16"/>
        </w:rPr>
        <w:t xml:space="preserve"> (2007, T &amp; T Clark) and </w:t>
      </w:r>
      <w:r w:rsidRPr="00FD2530">
        <w:rPr>
          <w:rFonts w:ascii="Arial" w:hAnsi="Arial" w:cs="Arial"/>
          <w:i/>
          <w:iCs/>
          <w:color w:val="434449"/>
          <w:sz w:val="16"/>
          <w:szCs w:val="16"/>
        </w:rPr>
        <w:t>The Barth Lectures</w:t>
      </w:r>
      <w:r w:rsidRPr="007F6988">
        <w:rPr>
          <w:rFonts w:ascii="Arial" w:hAnsi="Arial" w:cs="Arial"/>
          <w:color w:val="434449"/>
          <w:sz w:val="16"/>
          <w:szCs w:val="16"/>
        </w:rPr>
        <w:t xml:space="preserve"> (2007, T &amp; T Clark). The following is a compilation of his edited works:  </w:t>
      </w:r>
      <w:r w:rsidRPr="00FD2530">
        <w:rPr>
          <w:rFonts w:ascii="Arial" w:hAnsi="Arial" w:cs="Arial"/>
          <w:i/>
          <w:iCs/>
          <w:color w:val="434449"/>
          <w:sz w:val="16"/>
          <w:szCs w:val="16"/>
        </w:rPr>
        <w:t>Being the Church</w:t>
      </w:r>
      <w:r w:rsidRPr="007F6988">
        <w:rPr>
          <w:rFonts w:ascii="Arial" w:hAnsi="Arial" w:cs="Arial"/>
          <w:color w:val="434449"/>
          <w:sz w:val="16"/>
          <w:szCs w:val="16"/>
        </w:rPr>
        <w:t xml:space="preserve"> (1988); </w:t>
      </w:r>
      <w:r w:rsidRPr="00FD2530">
        <w:rPr>
          <w:rFonts w:ascii="Arial" w:hAnsi="Arial" w:cs="Arial"/>
          <w:i/>
          <w:iCs/>
          <w:color w:val="434449"/>
          <w:sz w:val="16"/>
          <w:szCs w:val="16"/>
        </w:rPr>
        <w:t>Persons, Divine and Human</w:t>
      </w:r>
      <w:r w:rsidRPr="007F6988">
        <w:rPr>
          <w:rFonts w:ascii="Arial" w:hAnsi="Arial" w:cs="Arial"/>
          <w:color w:val="434449"/>
          <w:sz w:val="16"/>
          <w:szCs w:val="16"/>
        </w:rPr>
        <w:t> (1991);</w:t>
      </w:r>
      <w:r w:rsidR="00FD2530">
        <w:rPr>
          <w:rFonts w:ascii="Arial" w:hAnsi="Arial" w:cs="Arial"/>
          <w:color w:val="434449"/>
          <w:sz w:val="16"/>
          <w:szCs w:val="16"/>
        </w:rPr>
        <w:t xml:space="preserve"> </w:t>
      </w:r>
      <w:r w:rsidRPr="00FD2530">
        <w:rPr>
          <w:rFonts w:ascii="Arial" w:hAnsi="Arial" w:cs="Arial"/>
          <w:i/>
          <w:iCs/>
          <w:color w:val="434449"/>
          <w:sz w:val="16"/>
          <w:szCs w:val="16"/>
        </w:rPr>
        <w:t>God and Freedom: Essays in Historical and Systematic Theology</w:t>
      </w:r>
      <w:r w:rsidRPr="007F6988">
        <w:rPr>
          <w:rFonts w:ascii="Arial" w:hAnsi="Arial" w:cs="Arial"/>
          <w:color w:val="434449"/>
          <w:sz w:val="16"/>
          <w:szCs w:val="16"/>
        </w:rPr>
        <w:t> (1995);</w:t>
      </w:r>
      <w:r w:rsidR="00FD2530">
        <w:rPr>
          <w:rFonts w:ascii="Arial" w:hAnsi="Arial" w:cs="Arial"/>
          <w:color w:val="434449"/>
          <w:sz w:val="16"/>
          <w:szCs w:val="16"/>
        </w:rPr>
        <w:t xml:space="preserve"> </w:t>
      </w:r>
      <w:r w:rsidRPr="00FD2530">
        <w:rPr>
          <w:rFonts w:ascii="Arial" w:hAnsi="Arial" w:cs="Arial"/>
          <w:i/>
          <w:iCs/>
          <w:color w:val="434449"/>
          <w:sz w:val="16"/>
          <w:szCs w:val="16"/>
        </w:rPr>
        <w:t>The Doctrine of Creation</w:t>
      </w:r>
      <w:r w:rsidRPr="007F6988">
        <w:rPr>
          <w:rFonts w:ascii="Arial" w:hAnsi="Arial" w:cs="Arial"/>
          <w:color w:val="434449"/>
          <w:sz w:val="16"/>
          <w:szCs w:val="16"/>
        </w:rPr>
        <w:t xml:space="preserve"> (1997); </w:t>
      </w:r>
      <w:r w:rsidRPr="00FD2530">
        <w:rPr>
          <w:rFonts w:ascii="Arial" w:hAnsi="Arial" w:cs="Arial"/>
          <w:i/>
          <w:iCs/>
          <w:color w:val="434449"/>
          <w:sz w:val="16"/>
          <w:szCs w:val="16"/>
        </w:rPr>
        <w:t>The Cambridge Companion to Christian Doctrine</w:t>
      </w:r>
      <w:r w:rsidRPr="007F6988">
        <w:rPr>
          <w:rFonts w:ascii="Arial" w:hAnsi="Arial" w:cs="Arial"/>
          <w:color w:val="434449"/>
          <w:sz w:val="16"/>
          <w:szCs w:val="16"/>
        </w:rPr>
        <w:t xml:space="preserve"> (1997); </w:t>
      </w:r>
      <w:r w:rsidRPr="00FD2530">
        <w:rPr>
          <w:rFonts w:ascii="Arial" w:hAnsi="Arial" w:cs="Arial"/>
          <w:i/>
          <w:iCs/>
          <w:color w:val="434449"/>
          <w:sz w:val="16"/>
          <w:szCs w:val="16"/>
        </w:rPr>
        <w:t>The Practice of Theology: A Reader</w:t>
      </w:r>
      <w:r w:rsidRPr="007F6988">
        <w:rPr>
          <w:rFonts w:ascii="Arial" w:hAnsi="Arial" w:cs="Arial"/>
          <w:color w:val="434449"/>
          <w:sz w:val="16"/>
          <w:szCs w:val="16"/>
        </w:rPr>
        <w:t xml:space="preserve"> (2002) edited with Murray Rae and Stephen Holmes; and </w:t>
      </w:r>
      <w:r w:rsidRPr="00FD2530">
        <w:rPr>
          <w:rFonts w:ascii="Arial" w:hAnsi="Arial" w:cs="Arial"/>
          <w:i/>
          <w:iCs/>
          <w:color w:val="434449"/>
          <w:sz w:val="16"/>
          <w:szCs w:val="16"/>
        </w:rPr>
        <w:t>The Theology of Reconciliation</w:t>
      </w:r>
      <w:r w:rsidRPr="007F6988">
        <w:rPr>
          <w:rFonts w:ascii="Arial" w:hAnsi="Arial" w:cs="Arial"/>
          <w:color w:val="434449"/>
          <w:sz w:val="16"/>
          <w:szCs w:val="16"/>
        </w:rPr>
        <w:t> (2003)</w:t>
      </w:r>
      <w:r w:rsidR="007F6988">
        <w:rPr>
          <w:rFonts w:ascii="Arial" w:hAnsi="Arial" w:cs="Arial"/>
          <w:color w:val="434449"/>
          <w:sz w:val="16"/>
          <w:szCs w:val="16"/>
        </w:rPr>
        <w:t>.</w:t>
      </w:r>
    </w:p>
  </w:footnote>
  <w:footnote w:id="5">
    <w:p w14:paraId="79D0B253" w14:textId="366A773A" w:rsidR="006F1A34" w:rsidRDefault="006F1A34" w:rsidP="006F1A34">
      <w:pPr>
        <w:pStyle w:val="FootnoteText"/>
        <w:ind w:left="154" w:hanging="168"/>
      </w:pPr>
      <w:r w:rsidRPr="007F6988">
        <w:rPr>
          <w:rFonts w:cstheme="minorHAnsi"/>
          <w:color w:val="202122"/>
          <w:vertAlign w:val="superscript"/>
        </w:rPr>
        <w:footnoteRef/>
      </w:r>
      <w:r w:rsidRPr="007F6988">
        <w:rPr>
          <w:rFonts w:ascii="Arial" w:hAnsi="Arial" w:cs="Arial"/>
          <w:color w:val="202122"/>
          <w:sz w:val="16"/>
          <w:szCs w:val="16"/>
          <w:vertAlign w:val="superscript"/>
        </w:rPr>
        <w:t xml:space="preserve"> </w:t>
      </w:r>
      <w:r w:rsidRPr="00FD2530">
        <w:rPr>
          <w:rFonts w:ascii="Arial" w:hAnsi="Arial" w:cs="Arial"/>
          <w:i/>
          <w:iCs/>
          <w:color w:val="434449"/>
          <w:sz w:val="16"/>
          <w:szCs w:val="16"/>
        </w:rPr>
        <w:t>The Journal of Theological Studies</w:t>
      </w:r>
      <w:r w:rsidRPr="007F6988">
        <w:rPr>
          <w:rFonts w:ascii="Arial" w:hAnsi="Arial" w:cs="Arial"/>
          <w:color w:val="434449"/>
          <w:sz w:val="16"/>
          <w:szCs w:val="16"/>
        </w:rPr>
        <w:t xml:space="preserve"> being quoted as saying: "This is a lucid, comprehensive, and learned book, and the reader will find it filled with wisdom. Gunton is right to remind theologians of the trinitarian--and thus uniquely Christian--foundation of the theology of creation and indeed of all theology. His discussions on religion and science, providence, the image of God, and ecology are all greatly enriching." </w:t>
      </w:r>
      <w:r w:rsidRPr="00FB5496">
        <w:rPr>
          <w:rFonts w:ascii="Arial" w:hAnsi="Arial" w:cs="Arial"/>
          <w:i/>
          <w:iCs/>
          <w:color w:val="434449"/>
          <w:sz w:val="16"/>
          <w:szCs w:val="16"/>
        </w:rPr>
        <w:t>The Religious Studies Review</w:t>
      </w:r>
      <w:r w:rsidRPr="007F6988">
        <w:rPr>
          <w:rFonts w:ascii="Arial" w:hAnsi="Arial" w:cs="Arial"/>
          <w:color w:val="434449"/>
          <w:sz w:val="16"/>
          <w:szCs w:val="16"/>
        </w:rPr>
        <w:t xml:space="preserve"> stating: "Gunton's constructive genius comes to the fore in the latter chapters, as he details the systematic context for themes that have appeared in his previous work: providence; the human as creature made in the image of God; and the role of that creature in the created</w:t>
      </w:r>
      <w:r w:rsidRPr="006F1A34">
        <w:rPr>
          <w:rFonts w:ascii="Arial" w:hAnsi="Arial" w:cs="Arial"/>
          <w:color w:val="434449"/>
          <w:sz w:val="16"/>
          <w:szCs w:val="16"/>
        </w:rPr>
        <w:t xml:space="preserve"> world. This title should be on the bookshelf of graduate students in theology and specialists in the doctrine of God."</w:t>
      </w:r>
    </w:p>
  </w:footnote>
  <w:footnote w:id="6">
    <w:p w14:paraId="18990D4E" w14:textId="143A070B" w:rsidR="00E92D44" w:rsidRDefault="00E92D44" w:rsidP="00E92D44">
      <w:pPr>
        <w:pStyle w:val="FootnoteText"/>
        <w:ind w:left="142" w:hanging="142"/>
      </w:pPr>
      <w:r>
        <w:rPr>
          <w:rStyle w:val="FootnoteReference"/>
        </w:rPr>
        <w:footnoteRef/>
      </w:r>
      <w:r>
        <w:t xml:space="preserve"> </w:t>
      </w:r>
      <w:r w:rsidRPr="00E92D44">
        <w:rPr>
          <w:rFonts w:ascii="Arial" w:hAnsi="Arial" w:cs="Arial"/>
          <w:color w:val="434449"/>
          <w:sz w:val="16"/>
          <w:szCs w:val="16"/>
        </w:rPr>
        <w:t xml:space="preserve">Thales of Miletus (born circa 624 BC) </w:t>
      </w:r>
      <w:proofErr w:type="gramStart"/>
      <w:r w:rsidRPr="00E92D44">
        <w:rPr>
          <w:rFonts w:ascii="Arial" w:hAnsi="Arial" w:cs="Arial"/>
          <w:color w:val="434449"/>
          <w:sz w:val="16"/>
          <w:szCs w:val="16"/>
        </w:rPr>
        <w:t>is considered to be</w:t>
      </w:r>
      <w:proofErr w:type="gramEnd"/>
      <w:r w:rsidRPr="00E92D44">
        <w:rPr>
          <w:rFonts w:ascii="Arial" w:hAnsi="Arial" w:cs="Arial"/>
          <w:color w:val="434449"/>
          <w:sz w:val="16"/>
          <w:szCs w:val="16"/>
        </w:rPr>
        <w:t xml:space="preserve"> the instigator of Greek philosophy and science, concerning himself about the origin of things</w:t>
      </w:r>
      <w:r>
        <w:rPr>
          <w:rFonts w:ascii="Arial" w:hAnsi="Arial" w:cs="Arial"/>
          <w:color w:val="434449"/>
          <w:sz w:val="16"/>
          <w:szCs w:val="16"/>
        </w:rPr>
        <w:t>.</w:t>
      </w:r>
    </w:p>
  </w:footnote>
  <w:footnote w:id="7">
    <w:p w14:paraId="2959B71C" w14:textId="3F48B5D5" w:rsidR="00195E87" w:rsidRDefault="00195E87" w:rsidP="00195E87">
      <w:pPr>
        <w:pStyle w:val="FootnoteText"/>
        <w:ind w:left="182" w:hanging="182"/>
      </w:pPr>
      <w:r>
        <w:rPr>
          <w:rStyle w:val="FootnoteReference"/>
        </w:rPr>
        <w:footnoteRef/>
      </w:r>
      <w:r>
        <w:t xml:space="preserve">  </w:t>
      </w:r>
      <w:r w:rsidRPr="00195E87">
        <w:rPr>
          <w:rFonts w:ascii="Arial" w:hAnsi="Arial" w:cs="Arial"/>
          <w:color w:val="434449"/>
          <w:sz w:val="16"/>
          <w:szCs w:val="16"/>
        </w:rPr>
        <w:t>Plato</w:t>
      </w:r>
      <w:r w:rsidR="0099173F">
        <w:rPr>
          <w:rFonts w:ascii="Arial" w:hAnsi="Arial" w:cs="Arial"/>
          <w:color w:val="434449"/>
          <w:sz w:val="16"/>
          <w:szCs w:val="16"/>
        </w:rPr>
        <w:t>’</w:t>
      </w:r>
      <w:r w:rsidRPr="00195E87">
        <w:rPr>
          <w:rFonts w:ascii="Arial" w:hAnsi="Arial" w:cs="Arial"/>
          <w:color w:val="434449"/>
          <w:sz w:val="16"/>
          <w:szCs w:val="16"/>
        </w:rPr>
        <w:t xml:space="preserve">s </w:t>
      </w:r>
      <w:r w:rsidRPr="00195E87">
        <w:rPr>
          <w:rFonts w:ascii="Arial" w:hAnsi="Arial" w:cs="Arial"/>
          <w:i/>
          <w:color w:val="434449"/>
          <w:sz w:val="16"/>
          <w:szCs w:val="16"/>
        </w:rPr>
        <w:t>Timaeus</w:t>
      </w:r>
      <w:r w:rsidRPr="00195E87">
        <w:rPr>
          <w:rFonts w:ascii="Arial" w:hAnsi="Arial" w:cs="Arial"/>
          <w:color w:val="434449"/>
          <w:sz w:val="16"/>
          <w:szCs w:val="16"/>
        </w:rPr>
        <w:t xml:space="preserve"> is also the maker of heaven and earth and preceded the Christian intellectual tradition by some centuries. Similarly, early Babylonian and other near-eastern creation myths have been claimed to be precursors of the Book of Genesis</w:t>
      </w:r>
      <w:r w:rsidR="00FB5496">
        <w:rPr>
          <w:rFonts w:ascii="Arial" w:hAnsi="Arial" w:cs="Arial"/>
          <w:color w:val="434449"/>
          <w:sz w:val="16"/>
          <w:szCs w:val="16"/>
        </w:rPr>
        <w:t>.</w:t>
      </w:r>
    </w:p>
  </w:footnote>
  <w:footnote w:id="8">
    <w:p w14:paraId="64671C54" w14:textId="63748BD6" w:rsidR="00066FAB" w:rsidRDefault="00066FAB">
      <w:pPr>
        <w:pStyle w:val="FootnoteText"/>
      </w:pPr>
      <w:r>
        <w:rPr>
          <w:rStyle w:val="FootnoteReference"/>
        </w:rPr>
        <w:footnoteRef/>
      </w:r>
      <w:r>
        <w:t xml:space="preserve">  </w:t>
      </w:r>
      <w:r w:rsidRPr="00CD4747">
        <w:rPr>
          <w:rFonts w:ascii="Arial" w:hAnsi="Arial" w:cs="Arial"/>
          <w:color w:val="434449"/>
          <w:sz w:val="16"/>
          <w:szCs w:val="16"/>
        </w:rPr>
        <w:t>The theme of pantheism was later championed by Baruch Spinoza (1632-1677)</w:t>
      </w:r>
      <w:r w:rsidR="00FB5496">
        <w:rPr>
          <w:rFonts w:ascii="Arial" w:hAnsi="Arial" w:cs="Arial"/>
          <w:color w:val="434449"/>
          <w:sz w:val="16"/>
          <w:szCs w:val="16"/>
        </w:rPr>
        <w:t>.</w:t>
      </w:r>
    </w:p>
  </w:footnote>
  <w:footnote w:id="9">
    <w:p w14:paraId="5DA3FDB2" w14:textId="7DD24CA4" w:rsidR="00CD4747" w:rsidRDefault="00CD4747" w:rsidP="00CD4747">
      <w:pPr>
        <w:pStyle w:val="FootnoteText"/>
        <w:ind w:left="84" w:hanging="84"/>
      </w:pPr>
      <w:r>
        <w:rPr>
          <w:rStyle w:val="FootnoteReference"/>
        </w:rPr>
        <w:footnoteRef/>
      </w:r>
      <w:r>
        <w:t xml:space="preserve">  </w:t>
      </w:r>
      <w:r w:rsidRPr="00CD4747">
        <w:rPr>
          <w:rFonts w:ascii="Arial" w:hAnsi="Arial" w:cs="Arial"/>
          <w:color w:val="434449"/>
          <w:sz w:val="16"/>
          <w:szCs w:val="16"/>
        </w:rPr>
        <w:t xml:space="preserve">Philo - lived circa 20 BCE - 50 </w:t>
      </w:r>
      <w:r w:rsidRPr="00CD4747">
        <w:rPr>
          <w:rFonts w:ascii="Arial" w:hAnsi="Arial" w:cs="Arial"/>
          <w:color w:val="434449"/>
          <w:sz w:val="16"/>
          <w:szCs w:val="16"/>
        </w:rPr>
        <w:t>CE</w:t>
      </w:r>
      <w:r w:rsidR="00FB5496">
        <w:rPr>
          <w:rFonts w:ascii="Arial" w:hAnsi="Arial" w:cs="Arial"/>
          <w:color w:val="434449"/>
          <w:sz w:val="16"/>
          <w:szCs w:val="16"/>
        </w:rPr>
        <w:t>.</w:t>
      </w:r>
    </w:p>
  </w:footnote>
  <w:footnote w:id="10">
    <w:p w14:paraId="503439F5" w14:textId="09257A52" w:rsidR="00824F56" w:rsidRDefault="00824F56">
      <w:pPr>
        <w:pStyle w:val="FootnoteText"/>
      </w:pPr>
      <w:r>
        <w:rPr>
          <w:rStyle w:val="FootnoteReference"/>
        </w:rPr>
        <w:footnoteRef/>
      </w:r>
      <w:r>
        <w:t xml:space="preserve"> </w:t>
      </w:r>
      <w:r w:rsidRPr="00824F56">
        <w:rPr>
          <w:rFonts w:ascii="Arial" w:hAnsi="Arial" w:cs="Arial"/>
          <w:color w:val="434449"/>
          <w:sz w:val="16"/>
          <w:szCs w:val="16"/>
        </w:rPr>
        <w:t xml:space="preserve">Gunton, </w:t>
      </w:r>
      <w:r w:rsidRPr="00824F56">
        <w:rPr>
          <w:rFonts w:ascii="Arial" w:hAnsi="Arial" w:cs="Arial"/>
          <w:i/>
          <w:color w:val="434449"/>
          <w:sz w:val="16"/>
          <w:szCs w:val="16"/>
        </w:rPr>
        <w:t>The Triune Creator</w:t>
      </w:r>
      <w:r w:rsidRPr="00824F56">
        <w:rPr>
          <w:rFonts w:ascii="Arial" w:hAnsi="Arial" w:cs="Arial"/>
          <w:color w:val="434449"/>
          <w:sz w:val="16"/>
          <w:szCs w:val="16"/>
        </w:rPr>
        <w:t xml:space="preserve"> (1998) p 14</w:t>
      </w:r>
      <w:r w:rsidR="00FB5496">
        <w:rPr>
          <w:rFonts w:ascii="Arial" w:hAnsi="Arial" w:cs="Arial"/>
          <w:color w:val="434449"/>
          <w:sz w:val="16"/>
          <w:szCs w:val="16"/>
        </w:rPr>
        <w:t>.</w:t>
      </w:r>
    </w:p>
  </w:footnote>
  <w:footnote w:id="11">
    <w:p w14:paraId="649FA7AB" w14:textId="17C41A45" w:rsidR="00EF7513" w:rsidRDefault="00EF7513">
      <w:pPr>
        <w:pStyle w:val="FootnoteText"/>
      </w:pPr>
      <w:r>
        <w:rPr>
          <w:rStyle w:val="FootnoteReference"/>
        </w:rPr>
        <w:footnoteRef/>
      </w:r>
      <w:r>
        <w:t xml:space="preserve"> </w:t>
      </w:r>
      <w:r w:rsidRPr="00EF7513">
        <w:rPr>
          <w:rFonts w:ascii="Arial" w:eastAsia="Times New Roman" w:hAnsi="Arial" w:cs="Arial"/>
          <w:color w:val="111111"/>
          <w:sz w:val="16"/>
          <w:szCs w:val="16"/>
          <w:lang w:eastAsia="en-GB"/>
        </w:rPr>
        <w:t>Ibid p.176</w:t>
      </w:r>
    </w:p>
  </w:footnote>
  <w:footnote w:id="12">
    <w:p w14:paraId="37E6C6F9" w14:textId="42C12AC2" w:rsidR="00EF7513" w:rsidRDefault="00EF7513">
      <w:pPr>
        <w:pStyle w:val="FootnoteText"/>
      </w:pPr>
      <w:r>
        <w:rPr>
          <w:rStyle w:val="FootnoteReference"/>
        </w:rPr>
        <w:footnoteRef/>
      </w:r>
      <w:r>
        <w:t xml:space="preserve"> </w:t>
      </w:r>
      <w:r w:rsidRPr="00EF7513">
        <w:rPr>
          <w:rFonts w:ascii="Arial" w:hAnsi="Arial" w:cs="Arial"/>
          <w:color w:val="0F1111"/>
          <w:sz w:val="16"/>
          <w:szCs w:val="16"/>
          <w:shd w:val="clear" w:color="auto" w:fill="FFFFFF"/>
        </w:rPr>
        <w:t>Ibid p.192</w:t>
      </w:r>
    </w:p>
  </w:footnote>
  <w:footnote w:id="13">
    <w:p w14:paraId="099F2799" w14:textId="57C6A7F2" w:rsidR="00EF7513" w:rsidRPr="00EF7513" w:rsidRDefault="00EF7513">
      <w:pPr>
        <w:pStyle w:val="FootnoteText"/>
        <w:rPr>
          <w:sz w:val="16"/>
          <w:szCs w:val="16"/>
        </w:rPr>
      </w:pPr>
      <w:r w:rsidRPr="00EF7513">
        <w:rPr>
          <w:rStyle w:val="FootnoteReference"/>
          <w:sz w:val="16"/>
          <w:szCs w:val="16"/>
        </w:rPr>
        <w:footnoteRef/>
      </w:r>
      <w:r w:rsidRPr="00EF7513">
        <w:rPr>
          <w:sz w:val="16"/>
          <w:szCs w:val="16"/>
        </w:rPr>
        <w:t xml:space="preserve"> </w:t>
      </w:r>
      <w:r>
        <w:rPr>
          <w:sz w:val="16"/>
          <w:szCs w:val="16"/>
        </w:rPr>
        <w:t xml:space="preserve"> </w:t>
      </w:r>
      <w:r w:rsidRPr="00EF7513">
        <w:rPr>
          <w:rFonts w:ascii="Arial" w:hAnsi="Arial" w:cs="Arial"/>
          <w:color w:val="0F1111"/>
          <w:sz w:val="16"/>
          <w:szCs w:val="16"/>
          <w:shd w:val="clear" w:color="auto" w:fill="FFFFFF"/>
        </w:rPr>
        <w:t>Ibid p.223</w:t>
      </w:r>
    </w:p>
  </w:footnote>
  <w:footnote w:id="14">
    <w:p w14:paraId="786E6BC3" w14:textId="0A1951C3" w:rsidR="00EF7513" w:rsidRDefault="00EF7513">
      <w:pPr>
        <w:pStyle w:val="FootnoteText"/>
      </w:pPr>
      <w:r>
        <w:rPr>
          <w:rStyle w:val="FootnoteReference"/>
        </w:rPr>
        <w:footnoteRef/>
      </w:r>
      <w:r>
        <w:t xml:space="preserve"> </w:t>
      </w:r>
      <w:r w:rsidRPr="00EF7513">
        <w:rPr>
          <w:rFonts w:ascii="Arial" w:hAnsi="Arial" w:cs="Arial"/>
          <w:color w:val="0F1111"/>
          <w:sz w:val="16"/>
          <w:szCs w:val="16"/>
          <w:shd w:val="clear" w:color="auto" w:fill="FFFFFF"/>
        </w:rPr>
        <w:t>Ibid p.224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60460F"/>
    <w:multiLevelType w:val="multilevel"/>
    <w:tmpl w:val="D71A7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233545"/>
    <w:multiLevelType w:val="hybridMultilevel"/>
    <w:tmpl w:val="EC762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3F2255"/>
    <w:multiLevelType w:val="multilevel"/>
    <w:tmpl w:val="0950B0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50"/>
      <w:numFmt w:val="decimal"/>
      <w:lvlText w:val="%3"/>
      <w:lvlJc w:val="left"/>
      <w:pPr>
        <w:ind w:left="2160" w:hanging="360"/>
      </w:pPr>
      <w:rPr>
        <w:color w:val="0F1111"/>
        <w:sz w:val="21"/>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28738289">
    <w:abstractNumId w:val="1"/>
  </w:num>
  <w:num w:numId="2" w16cid:durableId="334962679">
    <w:abstractNumId w:val="0"/>
  </w:num>
  <w:num w:numId="3" w16cid:durableId="371270840">
    <w:abstractNumId w:val="2"/>
    <w:lvlOverride w:ilvl="0"/>
    <w:lvlOverride w:ilvl="1">
      <w:startOverride w:val="1"/>
    </w:lvlOverride>
    <w:lvlOverride w:ilvl="2">
      <w:startOverride w:val="50"/>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90B"/>
    <w:rsid w:val="000079AA"/>
    <w:rsid w:val="00066FAB"/>
    <w:rsid w:val="000729A6"/>
    <w:rsid w:val="000F00F1"/>
    <w:rsid w:val="001054D9"/>
    <w:rsid w:val="0013404D"/>
    <w:rsid w:val="00150A25"/>
    <w:rsid w:val="00174B89"/>
    <w:rsid w:val="00195E87"/>
    <w:rsid w:val="001B3147"/>
    <w:rsid w:val="002020ED"/>
    <w:rsid w:val="00217BBC"/>
    <w:rsid w:val="002223D6"/>
    <w:rsid w:val="002700AB"/>
    <w:rsid w:val="00293802"/>
    <w:rsid w:val="00312FF4"/>
    <w:rsid w:val="00317B7A"/>
    <w:rsid w:val="00407D90"/>
    <w:rsid w:val="004354C7"/>
    <w:rsid w:val="004531A8"/>
    <w:rsid w:val="005230E8"/>
    <w:rsid w:val="00554955"/>
    <w:rsid w:val="005931CE"/>
    <w:rsid w:val="0059772A"/>
    <w:rsid w:val="006A590B"/>
    <w:rsid w:val="006F1A34"/>
    <w:rsid w:val="00712938"/>
    <w:rsid w:val="007646C4"/>
    <w:rsid w:val="00765AD9"/>
    <w:rsid w:val="007F6988"/>
    <w:rsid w:val="00810301"/>
    <w:rsid w:val="00817082"/>
    <w:rsid w:val="00824F56"/>
    <w:rsid w:val="0084131F"/>
    <w:rsid w:val="00862CB8"/>
    <w:rsid w:val="00930BC7"/>
    <w:rsid w:val="0099173F"/>
    <w:rsid w:val="009C76DA"/>
    <w:rsid w:val="009D004C"/>
    <w:rsid w:val="00A62E62"/>
    <w:rsid w:val="00A80B98"/>
    <w:rsid w:val="00A90C33"/>
    <w:rsid w:val="00AA6F25"/>
    <w:rsid w:val="00AE10DF"/>
    <w:rsid w:val="00AF2BA4"/>
    <w:rsid w:val="00B05213"/>
    <w:rsid w:val="00B145D1"/>
    <w:rsid w:val="00B93FB4"/>
    <w:rsid w:val="00CA63DB"/>
    <w:rsid w:val="00CD3446"/>
    <w:rsid w:val="00CD4747"/>
    <w:rsid w:val="00D731D6"/>
    <w:rsid w:val="00DA3FFF"/>
    <w:rsid w:val="00DB0DA8"/>
    <w:rsid w:val="00E757B7"/>
    <w:rsid w:val="00E92D44"/>
    <w:rsid w:val="00ED2318"/>
    <w:rsid w:val="00EF7513"/>
    <w:rsid w:val="00F32164"/>
    <w:rsid w:val="00FB09B1"/>
    <w:rsid w:val="00FB5496"/>
    <w:rsid w:val="00FD2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AC894"/>
  <w15:docId w15:val="{C6522CC8-EE53-4403-B065-D049F139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293802"/>
  </w:style>
  <w:style w:type="paragraph" w:styleId="ListParagraph">
    <w:name w:val="List Paragraph"/>
    <w:basedOn w:val="Normal"/>
    <w:uiPriority w:val="34"/>
    <w:qFormat/>
    <w:rsid w:val="00712938"/>
    <w:pPr>
      <w:ind w:left="720"/>
      <w:contextualSpacing/>
    </w:pPr>
  </w:style>
  <w:style w:type="paragraph" w:styleId="BalloonText">
    <w:name w:val="Balloon Text"/>
    <w:basedOn w:val="Normal"/>
    <w:link w:val="BalloonTextChar"/>
    <w:uiPriority w:val="99"/>
    <w:semiHidden/>
    <w:unhideWhenUsed/>
    <w:rsid w:val="00AE10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0DF"/>
    <w:rPr>
      <w:rFonts w:ascii="Tahoma" w:hAnsi="Tahoma" w:cs="Tahoma"/>
      <w:sz w:val="16"/>
      <w:szCs w:val="16"/>
    </w:rPr>
  </w:style>
  <w:style w:type="character" w:styleId="Hyperlink">
    <w:name w:val="Hyperlink"/>
    <w:basedOn w:val="DefaultParagraphFont"/>
    <w:uiPriority w:val="99"/>
    <w:semiHidden/>
    <w:unhideWhenUsed/>
    <w:rsid w:val="00150A25"/>
    <w:rPr>
      <w:color w:val="0000FF"/>
      <w:u w:val="single"/>
    </w:rPr>
  </w:style>
  <w:style w:type="paragraph" w:styleId="NormalWeb">
    <w:name w:val="Normal (Web)"/>
    <w:basedOn w:val="Normal"/>
    <w:uiPriority w:val="99"/>
    <w:semiHidden/>
    <w:unhideWhenUsed/>
    <w:rsid w:val="00150A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1kas69x">
    <w:name w:val="dcr-1kas69x"/>
    <w:basedOn w:val="Normal"/>
    <w:uiPriority w:val="99"/>
    <w:semiHidden/>
    <w:rsid w:val="00150A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bold">
    <w:name w:val="a-text-bold"/>
    <w:basedOn w:val="DefaultParagraphFont"/>
    <w:rsid w:val="00150A25"/>
  </w:style>
  <w:style w:type="paragraph" w:styleId="FootnoteText">
    <w:name w:val="footnote text"/>
    <w:basedOn w:val="Normal"/>
    <w:link w:val="FootnoteTextChar"/>
    <w:uiPriority w:val="99"/>
    <w:semiHidden/>
    <w:unhideWhenUsed/>
    <w:rsid w:val="000729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29A6"/>
    <w:rPr>
      <w:sz w:val="20"/>
      <w:szCs w:val="20"/>
    </w:rPr>
  </w:style>
  <w:style w:type="character" w:styleId="FootnoteReference">
    <w:name w:val="footnote reference"/>
    <w:basedOn w:val="DefaultParagraphFont"/>
    <w:uiPriority w:val="99"/>
    <w:semiHidden/>
    <w:unhideWhenUsed/>
    <w:rsid w:val="000729A6"/>
    <w:rPr>
      <w:vertAlign w:val="superscript"/>
    </w:rPr>
  </w:style>
  <w:style w:type="paragraph" w:styleId="Revision">
    <w:name w:val="Revision"/>
    <w:hidden/>
    <w:uiPriority w:val="99"/>
    <w:semiHidden/>
    <w:rsid w:val="00B052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736264">
      <w:bodyDiv w:val="1"/>
      <w:marLeft w:val="0"/>
      <w:marRight w:val="0"/>
      <w:marTop w:val="0"/>
      <w:marBottom w:val="0"/>
      <w:divBdr>
        <w:top w:val="none" w:sz="0" w:space="0" w:color="auto"/>
        <w:left w:val="none" w:sz="0" w:space="0" w:color="auto"/>
        <w:bottom w:val="none" w:sz="0" w:space="0" w:color="auto"/>
        <w:right w:val="none" w:sz="0" w:space="0" w:color="auto"/>
      </w:divBdr>
    </w:div>
    <w:div w:id="199236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D7D82-0B3E-439F-A9E7-590DF39C0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2008</Words>
  <Characters>10766</Characters>
  <Application>Microsoft Office Word</Application>
  <DocSecurity>0</DocSecurity>
  <Lines>168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Katie Churchman</cp:lastModifiedBy>
  <cp:revision>2</cp:revision>
  <dcterms:created xsi:type="dcterms:W3CDTF">2023-11-03T16:17:00Z</dcterms:created>
  <dcterms:modified xsi:type="dcterms:W3CDTF">2023-11-03T16:17:00Z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53be6a87caddee47ec0782a77b30b82131be135b61328776e813821f81dd2857</vt:lpwstr>
  </property>
</Properties>
</file>