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210B" w:rsidRPr="007D12BE" w:rsidRDefault="005C3385" w:rsidP="00765891">
      <w:pPr>
        <w:pStyle w:val="Title"/>
        <w:spacing w:before="240" w:after="240" w:line="360" w:lineRule="auto"/>
        <w:jc w:val="center"/>
        <w:rPr>
          <w:rFonts w:ascii="Times New Roman" w:hAnsi="Times New Roman" w:cs="Times New Roman"/>
          <w:sz w:val="22"/>
          <w:szCs w:val="22"/>
        </w:rPr>
      </w:pPr>
      <w:r w:rsidRPr="007D12BE">
        <w:rPr>
          <w:rFonts w:ascii="Times New Roman" w:hAnsi="Times New Roman" w:cs="Times New Roman"/>
          <w:b/>
          <w:sz w:val="22"/>
          <w:szCs w:val="22"/>
        </w:rPr>
        <w:t>Rolls-Royce Holdings plc: International Business Strategy in a Changing Global Environment</w:t>
      </w:r>
    </w:p>
    <w:p w:rsidR="004C210B" w:rsidRPr="007D12BE" w:rsidRDefault="005C3385" w:rsidP="00765891">
      <w:pPr>
        <w:spacing w:before="240" w:after="240" w:line="360" w:lineRule="auto"/>
        <w:jc w:val="center"/>
        <w:rPr>
          <w:rFonts w:ascii="Times New Roman" w:hAnsi="Times New Roman" w:cs="Times New Roman"/>
          <w:i/>
        </w:rPr>
      </w:pPr>
      <w:r w:rsidRPr="007D12BE">
        <w:rPr>
          <w:rFonts w:ascii="Times New Roman" w:hAnsi="Times New Roman" w:cs="Times New Roman"/>
          <w:i/>
        </w:rPr>
        <w:t>AI, geopolitical and supply-chain disruption, sustainability and competitive advantage</w:t>
      </w:r>
    </w:p>
    <w:p w:rsidR="006C6776" w:rsidRPr="007D12BE" w:rsidRDefault="006C6776" w:rsidP="00765891">
      <w:pPr>
        <w:spacing w:after="200" w:line="360" w:lineRule="auto"/>
        <w:rPr>
          <w:rFonts w:ascii="Times New Roman" w:hAnsi="Times New Roman" w:cs="Times New Roman"/>
          <w:i/>
        </w:rPr>
      </w:pPr>
    </w:p>
    <w:tbl>
      <w:tblPr>
        <w:tblStyle w:val="GridTable1Light-Accent1"/>
        <w:tblW w:w="3590" w:type="pct"/>
        <w:jc w:val="center"/>
        <w:tblLook w:val="0000" w:firstRow="0" w:lastRow="0" w:firstColumn="0" w:lastColumn="0" w:noHBand="0" w:noVBand="0"/>
      </w:tblPr>
      <w:tblGrid>
        <w:gridCol w:w="1890"/>
        <w:gridCol w:w="4584"/>
      </w:tblGrid>
      <w:tr w:rsidR="006C6776" w:rsidRPr="007D12BE" w:rsidTr="00C15587">
        <w:trPr>
          <w:jc w:val="center"/>
        </w:trPr>
        <w:tc>
          <w:tcPr>
            <w:tcW w:w="146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Module:</w:t>
            </w:r>
          </w:p>
        </w:tc>
        <w:tc>
          <w:tcPr>
            <w:tcW w:w="354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Global Business Environment</w:t>
            </w:r>
          </w:p>
        </w:tc>
      </w:tr>
      <w:tr w:rsidR="006C6776" w:rsidRPr="007D12BE" w:rsidTr="00C15587">
        <w:trPr>
          <w:jc w:val="center"/>
        </w:trPr>
        <w:tc>
          <w:tcPr>
            <w:tcW w:w="146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Module code:</w:t>
            </w:r>
          </w:p>
        </w:tc>
        <w:tc>
          <w:tcPr>
            <w:tcW w:w="354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LCBB4016</w:t>
            </w:r>
          </w:p>
        </w:tc>
      </w:tr>
      <w:tr w:rsidR="006C6776" w:rsidRPr="007D12BE" w:rsidTr="00C15587">
        <w:trPr>
          <w:jc w:val="center"/>
        </w:trPr>
        <w:tc>
          <w:tcPr>
            <w:tcW w:w="146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Lecturer:</w:t>
            </w:r>
          </w:p>
        </w:tc>
        <w:tc>
          <w:tcPr>
            <w:tcW w:w="3540" w:type="pct"/>
          </w:tcPr>
          <w:p w:rsidR="006C6776" w:rsidRPr="007D12BE" w:rsidRDefault="006C6776" w:rsidP="00765891">
            <w:pPr>
              <w:spacing w:after="200" w:line="360" w:lineRule="auto"/>
              <w:rPr>
                <w:rFonts w:ascii="Times New Roman" w:hAnsi="Times New Roman" w:cs="Times New Roman"/>
                <w:i/>
                <w:lang w:val="en-GB"/>
              </w:rPr>
            </w:pPr>
            <w:r w:rsidRPr="007D12BE">
              <w:rPr>
                <w:rFonts w:ascii="Times New Roman" w:hAnsi="Times New Roman" w:cs="Times New Roman"/>
                <w:b/>
                <w:bCs/>
                <w:i/>
                <w:lang w:val="en-GB"/>
              </w:rPr>
              <w:t>Said Usman</w:t>
            </w:r>
          </w:p>
        </w:tc>
      </w:tr>
      <w:tr w:rsidR="006C6776" w:rsidRPr="007D12BE" w:rsidTr="00C15587">
        <w:trPr>
          <w:jc w:val="center"/>
        </w:trPr>
        <w:tc>
          <w:tcPr>
            <w:tcW w:w="146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Assignment Title:</w:t>
            </w:r>
          </w:p>
        </w:tc>
        <w:tc>
          <w:tcPr>
            <w:tcW w:w="354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Component 2: Coursework: Essay</w:t>
            </w:r>
          </w:p>
        </w:tc>
      </w:tr>
      <w:tr w:rsidR="006C6776" w:rsidRPr="007D12BE" w:rsidTr="00C15587">
        <w:trPr>
          <w:jc w:val="center"/>
        </w:trPr>
        <w:tc>
          <w:tcPr>
            <w:tcW w:w="1460" w:type="pct"/>
          </w:tcPr>
          <w:p w:rsidR="006C6776" w:rsidRPr="007D12BE" w:rsidRDefault="006C6776" w:rsidP="00765891">
            <w:pPr>
              <w:spacing w:after="200" w:line="360" w:lineRule="auto"/>
              <w:rPr>
                <w:rFonts w:ascii="Times New Roman" w:hAnsi="Times New Roman" w:cs="Times New Roman"/>
                <w:b/>
                <w:i/>
                <w:lang w:val="en-GB"/>
              </w:rPr>
            </w:pPr>
            <w:r w:rsidRPr="007D12BE">
              <w:rPr>
                <w:rFonts w:ascii="Times New Roman" w:hAnsi="Times New Roman" w:cs="Times New Roman"/>
                <w:b/>
                <w:i/>
                <w:lang w:val="en-GB"/>
              </w:rPr>
              <w:t>Student no.</w:t>
            </w:r>
          </w:p>
        </w:tc>
        <w:tc>
          <w:tcPr>
            <w:tcW w:w="3540" w:type="pct"/>
          </w:tcPr>
          <w:p w:rsidR="006C6776" w:rsidRPr="007D12BE" w:rsidRDefault="006C6776" w:rsidP="00765891">
            <w:pPr>
              <w:spacing w:after="200" w:line="360" w:lineRule="auto"/>
              <w:rPr>
                <w:rFonts w:ascii="Times New Roman" w:hAnsi="Times New Roman" w:cs="Times New Roman"/>
                <w:b/>
                <w:bCs/>
                <w:i/>
                <w:lang w:val="en-GB"/>
              </w:rPr>
            </w:pPr>
          </w:p>
        </w:tc>
      </w:tr>
    </w:tbl>
    <w:p w:rsidR="006C6776" w:rsidRPr="007D12BE" w:rsidRDefault="006C6776" w:rsidP="00765891">
      <w:pPr>
        <w:spacing w:after="200" w:line="360" w:lineRule="auto"/>
        <w:rPr>
          <w:rFonts w:ascii="Times New Roman" w:hAnsi="Times New Roman" w:cs="Times New Roman"/>
          <w:i/>
        </w:rPr>
      </w:pPr>
    </w:p>
    <w:p w:rsidR="006C6776" w:rsidRPr="007D12BE" w:rsidRDefault="006C6776" w:rsidP="00765891">
      <w:pPr>
        <w:spacing w:after="200" w:line="360" w:lineRule="auto"/>
        <w:rPr>
          <w:rFonts w:ascii="Times New Roman" w:hAnsi="Times New Roman" w:cs="Times New Roman"/>
          <w:i/>
        </w:rPr>
      </w:pPr>
    </w:p>
    <w:p w:rsidR="006C6776" w:rsidRPr="007D12BE" w:rsidRDefault="006C6776" w:rsidP="00765891">
      <w:pPr>
        <w:spacing w:after="200" w:line="360" w:lineRule="auto"/>
        <w:rPr>
          <w:rFonts w:ascii="Times New Roman" w:hAnsi="Times New Roman" w:cs="Times New Roman"/>
          <w:i/>
        </w:rPr>
      </w:pPr>
    </w:p>
    <w:p w:rsidR="006C6776" w:rsidRPr="007D12BE" w:rsidRDefault="006C6776" w:rsidP="00765891">
      <w:pPr>
        <w:spacing w:after="200" w:line="360" w:lineRule="auto"/>
        <w:rPr>
          <w:rFonts w:ascii="Times New Roman" w:hAnsi="Times New Roman" w:cs="Times New Roman"/>
          <w:i/>
        </w:rPr>
      </w:pPr>
    </w:p>
    <w:p w:rsidR="00C7713F" w:rsidRPr="007D12BE" w:rsidRDefault="00C7713F" w:rsidP="00765891">
      <w:pPr>
        <w:spacing w:after="200" w:line="360" w:lineRule="auto"/>
        <w:rPr>
          <w:rFonts w:ascii="Times New Roman" w:hAnsi="Times New Roman" w:cs="Times New Roman"/>
          <w:i/>
        </w:rPr>
      </w:pPr>
      <w:r w:rsidRPr="007D12BE">
        <w:rPr>
          <w:rFonts w:ascii="Times New Roman" w:hAnsi="Times New Roman" w:cs="Times New Roman"/>
          <w:i/>
        </w:rPr>
        <w:br w:type="page"/>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lastRenderedPageBreak/>
        <w:t>Introduction</w:t>
      </w:r>
    </w:p>
    <w:p w:rsidR="004C210B" w:rsidRPr="007D12BE" w:rsidRDefault="005D0EA8" w:rsidP="00765891">
      <w:pPr>
        <w:spacing w:before="240" w:after="240" w:line="360" w:lineRule="auto"/>
        <w:ind w:firstLine="720"/>
        <w:jc w:val="both"/>
        <w:rPr>
          <w:rFonts w:ascii="Times New Roman" w:hAnsi="Times New Roman" w:cs="Times New Roman"/>
        </w:rPr>
      </w:pPr>
      <w:proofErr w:type="spellStart"/>
      <w:r w:rsidRPr="007D12BE">
        <w:rPr>
          <w:rFonts w:ascii="Times New Roman" w:hAnsi="Times New Roman" w:cs="Times New Roman"/>
        </w:rPr>
        <w:t>Globalisation</w:t>
      </w:r>
      <w:proofErr w:type="spellEnd"/>
      <w:r w:rsidRPr="007D12BE">
        <w:rPr>
          <w:rFonts w:ascii="Times New Roman" w:hAnsi="Times New Roman" w:cs="Times New Roman"/>
        </w:rPr>
        <w:t xml:space="preserve"> has increased the integration of markets, technologies, </w:t>
      </w:r>
      <w:proofErr w:type="gramStart"/>
      <w:r w:rsidRPr="007D12BE">
        <w:rPr>
          <w:rFonts w:ascii="Times New Roman" w:hAnsi="Times New Roman" w:cs="Times New Roman"/>
        </w:rPr>
        <w:t>knowledge</w:t>
      </w:r>
      <w:proofErr w:type="gramEnd"/>
      <w:r w:rsidRPr="007D12BE">
        <w:rPr>
          <w:rFonts w:ascii="Times New Roman" w:hAnsi="Times New Roman" w:cs="Times New Roman"/>
        </w:rPr>
        <w:t xml:space="preserve"> and supply chains across borders, and firms' exposure to external shocks and regulatory changes. In the case of multinational enterprises, competitiveness relies not just on the resources, but on their ability to adapt their resources as a result of fluctuations in the circumstances (Wild and Wild, 2022). This is especially important for Rolls-Royce Holdings plc, a UK-based global multinational safety-critical power and propulsion provider. It is affected by technology change, trade links, </w:t>
      </w:r>
      <w:proofErr w:type="gramStart"/>
      <w:r w:rsidRPr="007D12BE">
        <w:rPr>
          <w:rFonts w:ascii="Times New Roman" w:hAnsi="Times New Roman" w:cs="Times New Roman"/>
        </w:rPr>
        <w:t>geopolitics</w:t>
      </w:r>
      <w:proofErr w:type="gramEnd"/>
      <w:r w:rsidRPr="007D12BE">
        <w:rPr>
          <w:rFonts w:ascii="Times New Roman" w:hAnsi="Times New Roman" w:cs="Times New Roman"/>
        </w:rPr>
        <w:t xml:space="preserve"> and energy transition in its international location. This essay suggests that alongside sustainability needs, artificial intelligence (AI), geopolitics and the supply chain constitute overlapping contributors to </w:t>
      </w:r>
      <w:proofErr w:type="spellStart"/>
      <w:r w:rsidRPr="007D12BE">
        <w:rPr>
          <w:rFonts w:ascii="Times New Roman" w:hAnsi="Times New Roman" w:cs="Times New Roman"/>
        </w:rPr>
        <w:t>organisational</w:t>
      </w:r>
      <w:proofErr w:type="spellEnd"/>
      <w:r w:rsidRPr="007D12BE">
        <w:rPr>
          <w:rFonts w:ascii="Times New Roman" w:hAnsi="Times New Roman" w:cs="Times New Roman"/>
        </w:rPr>
        <w:t xml:space="preserve"> ability. Under PESTEL as an external environment lens, and dynamic capabilities as the primary strategic theory, it suggests that Rolls-Royce can increase its international competitiveness with selective use of AI, at the same time driving innovation and embracing supply-chain resilience and sustainable opportunities, while managing complexity in skills, governance, investment and implementation</w:t>
      </w:r>
      <w:r w:rsidR="005C3385" w:rsidRPr="007D12BE">
        <w:rPr>
          <w:rFonts w:ascii="Times New Roman" w:hAnsi="Times New Roman" w:cs="Times New Roman"/>
        </w:rPr>
        <w:t>.</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AI: From Technology Investment to Strategic Capability</w:t>
      </w:r>
    </w:p>
    <w:p w:rsidR="004C210B" w:rsidRPr="007D12BE" w:rsidRDefault="005D0EA8"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rPr>
        <w:t xml:space="preserve">According to Sullivan and </w:t>
      </w:r>
      <w:proofErr w:type="spellStart"/>
      <w:r w:rsidRPr="007D12BE">
        <w:rPr>
          <w:rFonts w:ascii="Times New Roman" w:hAnsi="Times New Roman" w:cs="Times New Roman"/>
        </w:rPr>
        <w:t>Fosso</w:t>
      </w:r>
      <w:proofErr w:type="spellEnd"/>
      <w:r w:rsidRPr="007D12BE">
        <w:rPr>
          <w:rFonts w:ascii="Times New Roman" w:hAnsi="Times New Roman" w:cs="Times New Roman"/>
        </w:rPr>
        <w:t xml:space="preserve"> </w:t>
      </w:r>
      <w:proofErr w:type="spellStart"/>
      <w:r w:rsidRPr="007D12BE">
        <w:rPr>
          <w:rFonts w:ascii="Times New Roman" w:hAnsi="Times New Roman" w:cs="Times New Roman"/>
        </w:rPr>
        <w:t>Wamba</w:t>
      </w:r>
      <w:proofErr w:type="spellEnd"/>
      <w:r w:rsidRPr="007D12BE">
        <w:rPr>
          <w:rFonts w:ascii="Times New Roman" w:hAnsi="Times New Roman" w:cs="Times New Roman"/>
        </w:rPr>
        <w:t xml:space="preserve"> (2024), the adaptive reaction to market change facilitated by AI-driven automation, analytics, and relational capabilities holds potential to boost firms' process and product innovations. For Rolls-Royce, it means using AI to evaluate it not as a productivity tool, but as a capability. As reported in 2024, Rolls-Royce Holdings plc was incorporating digital transformation and AI in its engineering, manufacturing, decision-making, and productivity efforts. The potential strategic chain would then be AI capability, operability enhancement, adaptability and innovation, and thus, improved market position. But the adoption of AI does not guarantee advantage. Enabling technology, combined with engineering expertise, private information, enhanced talent, and robust governance, offers the best chance for differentiation. The real strategic value is in </w:t>
      </w:r>
      <w:proofErr w:type="spellStart"/>
      <w:r w:rsidRPr="007D12BE">
        <w:rPr>
          <w:rFonts w:ascii="Times New Roman" w:hAnsi="Times New Roman" w:cs="Times New Roman"/>
        </w:rPr>
        <w:t>organisational</w:t>
      </w:r>
      <w:proofErr w:type="spellEnd"/>
      <w:r w:rsidRPr="007D12BE">
        <w:rPr>
          <w:rFonts w:ascii="Times New Roman" w:hAnsi="Times New Roman" w:cs="Times New Roman"/>
        </w:rPr>
        <w:t xml:space="preserve"> integration rather than the ownership of technology.</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AI in MRO: Operational Value, Talent and Governance</w:t>
      </w:r>
    </w:p>
    <w:p w:rsidR="004C210B" w:rsidRPr="007D12BE" w:rsidRDefault="0088223F"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hint="eastAsia"/>
        </w:rPr>
        <w:t>Rolls-Royce provides concrete evidence of AI-supported improvements in the operation. The company has adopted machine learning and state-of-the-art imaging technologies to examine turbine blades, cutting the expense of shop visits and extending the time critical components spend on-wing (Rolls-Royce Holdings plc, 2024a). This connects digital competence with Turnaround, Asset availability and Customer value in the after-market world.</w:t>
      </w:r>
      <w:r w:rsidR="005D0EA8" w:rsidRPr="007D12BE">
        <w:rPr>
          <w:rFonts w:ascii="Times New Roman" w:hAnsi="Times New Roman" w:cs="Times New Roman"/>
        </w:rPr>
        <w:t xml:space="preserve"> However, validation, security and trust are crucial for safety-critical aerospace applications as well. The skill sets demanded by an </w:t>
      </w:r>
      <w:proofErr w:type="spellStart"/>
      <w:r w:rsidR="005D0EA8" w:rsidRPr="007D12BE">
        <w:rPr>
          <w:rFonts w:ascii="Times New Roman" w:hAnsi="Times New Roman" w:cs="Times New Roman"/>
        </w:rPr>
        <w:t>organisation</w:t>
      </w:r>
      <w:proofErr w:type="spellEnd"/>
      <w:r w:rsidR="005D0EA8" w:rsidRPr="007D12BE">
        <w:rPr>
          <w:rFonts w:ascii="Times New Roman" w:hAnsi="Times New Roman" w:cs="Times New Roman"/>
        </w:rPr>
        <w:t xml:space="preserve"> change as a result of AI, with digital skills and data skills gaining increased prominence, in addition to </w:t>
      </w:r>
      <w:r w:rsidR="005D0EA8" w:rsidRPr="007D12BE">
        <w:rPr>
          <w:rFonts w:ascii="Times New Roman" w:hAnsi="Times New Roman" w:cs="Times New Roman"/>
        </w:rPr>
        <w:lastRenderedPageBreak/>
        <w:t xml:space="preserve">traditional engineering skills. However, </w:t>
      </w:r>
      <w:proofErr w:type="spellStart"/>
      <w:r w:rsidR="005D0EA8" w:rsidRPr="007D12BE">
        <w:rPr>
          <w:rFonts w:ascii="Times New Roman" w:hAnsi="Times New Roman" w:cs="Times New Roman"/>
        </w:rPr>
        <w:t>Teece</w:t>
      </w:r>
      <w:proofErr w:type="spellEnd"/>
      <w:r w:rsidR="005D0EA8" w:rsidRPr="007D12BE">
        <w:rPr>
          <w:rFonts w:ascii="Times New Roman" w:hAnsi="Times New Roman" w:cs="Times New Roman"/>
        </w:rPr>
        <w:t xml:space="preserve"> (2007) states that dynamic capabilities rely on </w:t>
      </w:r>
      <w:proofErr w:type="spellStart"/>
      <w:r w:rsidR="005D0EA8" w:rsidRPr="007D12BE">
        <w:rPr>
          <w:rFonts w:ascii="Times New Roman" w:hAnsi="Times New Roman" w:cs="Times New Roman"/>
        </w:rPr>
        <w:t>organisational</w:t>
      </w:r>
      <w:proofErr w:type="spellEnd"/>
      <w:r w:rsidR="005D0EA8" w:rsidRPr="007D12BE">
        <w:rPr>
          <w:rFonts w:ascii="Times New Roman" w:hAnsi="Times New Roman" w:cs="Times New Roman"/>
        </w:rPr>
        <w:t xml:space="preserve"> processes, skills and decision-making structures to help firms sense, seize and reconfigure in the face of changing environments. This means that when viewed in a wider context, AI proves to be an effective and cost-efficient engineering tool or service rather than a technology acquisition.</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Geopolitical Change: PESTEL and International Exposure</w:t>
      </w:r>
    </w:p>
    <w:p w:rsidR="004C210B" w:rsidRPr="007D12BE" w:rsidRDefault="00B666B3"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rPr>
        <w:t xml:space="preserve">The political and economic aspects of PESTEL demonstrate that Geopolitical change is more than just war. Changes in trade relations, regional instability, protectionism, and tariffs are potential factors that impact the movement and costs of components, technology, and services. </w:t>
      </w:r>
      <w:r w:rsidR="00DB2312" w:rsidRPr="007D12BE">
        <w:rPr>
          <w:rFonts w:ascii="Times New Roman" w:hAnsi="Times New Roman" w:cs="Times New Roman" w:hint="eastAsia"/>
        </w:rPr>
        <w:t xml:space="preserve">Rolls-Royce's 2024 reporting indicate that external risks such as geopolitical uncertainty, protectionism, tariffs, and regional conflict are considered potential factors that may increase costs and affect the adaptation of supply chains. </w:t>
      </w:r>
      <w:proofErr w:type="spellStart"/>
      <w:r w:rsidRPr="007D12BE">
        <w:rPr>
          <w:rFonts w:ascii="Times New Roman" w:hAnsi="Times New Roman" w:cs="Times New Roman"/>
        </w:rPr>
        <w:t>Asadollah</w:t>
      </w:r>
      <w:proofErr w:type="spellEnd"/>
      <w:r w:rsidRPr="007D12BE">
        <w:rPr>
          <w:rFonts w:ascii="Times New Roman" w:hAnsi="Times New Roman" w:cs="Times New Roman"/>
        </w:rPr>
        <w:t xml:space="preserve"> et al. (2024) show that global supply-chain shocks have markedly significant and enduring impacts on inflation, highlighting how shocks can reverberate along international economies. For Rolls-Royce, geopolitical pressure leads to trade disruption or disruption of suppliers, which results in higher costs or longer delivery times, which ultimately leads to operational and competitive impacts. </w:t>
      </w:r>
      <w:r w:rsidR="00B33486" w:rsidRPr="007D12BE">
        <w:rPr>
          <w:rFonts w:ascii="Times New Roman" w:hAnsi="Times New Roman" w:cs="Times New Roman"/>
        </w:rPr>
        <w:t>The real question is not if geopolitical exposure can be removed, but how much can be created when not doing so will not diminish the efficiency and the scale benefits of a global supply chain.</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Supply-Chain Resilience: Financial Consequences and Strategic Trade-Offs</w:t>
      </w:r>
    </w:p>
    <w:p w:rsidR="004C210B" w:rsidRPr="007D12BE" w:rsidRDefault="00DB2312"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rPr>
        <w:t xml:space="preserve">Supply-chain resilience is a strategic issue because of its financial consequences if it fails. Rolls-Royce spent </w:t>
      </w:r>
      <w:r w:rsidRPr="007D12BE">
        <w:rPr>
          <w:rFonts w:ascii="Times New Roman" w:hAnsi="Times New Roman" w:cs="Times New Roman" w:hint="cs"/>
        </w:rPr>
        <w:t>£</w:t>
      </w:r>
      <w:r w:rsidRPr="007D12BE">
        <w:rPr>
          <w:rFonts w:ascii="Times New Roman" w:hAnsi="Times New Roman" w:cs="Times New Roman"/>
        </w:rPr>
        <w:t>382m in 2024, primarily to address ongoing supplier challenges (Rolls-Royce Holdings plc, 2025a). The company responded with better procureme</w:t>
      </w:r>
      <w:r w:rsidRPr="007D12BE">
        <w:rPr>
          <w:rFonts w:ascii="Times New Roman" w:hAnsi="Times New Roman" w:cs="Times New Roman" w:hint="eastAsia"/>
        </w:rPr>
        <w:t xml:space="preserve">nt and supplier management. In addition, resilience research emphasizes visibility, readiness, response, and recovery, and a systematic review of 106 peer-reviewed studies illustrates that AI can support resilience building through visibility and support for response to disruptions (Artificial Intelligence Techniques for Enhancing Supply Chain Resilience, 2023). </w:t>
      </w:r>
      <w:proofErr w:type="spellStart"/>
      <w:r w:rsidRPr="007D12BE">
        <w:rPr>
          <w:rFonts w:ascii="Times New Roman" w:hAnsi="Times New Roman" w:cs="Times New Roman" w:hint="eastAsia"/>
        </w:rPr>
        <w:t>Belhadi</w:t>
      </w:r>
      <w:proofErr w:type="spellEnd"/>
      <w:r w:rsidRPr="007D12BE">
        <w:rPr>
          <w:rFonts w:ascii="Times New Roman" w:hAnsi="Times New Roman" w:cs="Times New Roman" w:hint="eastAsia"/>
        </w:rPr>
        <w:t xml:space="preserve"> et al. (2024) further illustrate the potential of digital competency for detecting and responding to geopolitical events</w:t>
      </w:r>
      <w:r w:rsidR="00EE32D1" w:rsidRPr="007D12BE">
        <w:rPr>
          <w:rFonts w:ascii="Times New Roman" w:hAnsi="Times New Roman" w:cs="Times New Roman"/>
        </w:rPr>
        <w:t xml:space="preserve">. This directly connects the AI argument with the supply-chain argument – the greater the information, the faster and superior the resilience decision. But there is a price to resilience. Additional stock, alternative supplies, and extra capacity can diminish economies of scale and increase coordination. To manage risk, Rolls-Royce should </w:t>
      </w:r>
      <w:proofErr w:type="spellStart"/>
      <w:r w:rsidR="00EE32D1" w:rsidRPr="007D12BE">
        <w:rPr>
          <w:rFonts w:ascii="Times New Roman" w:hAnsi="Times New Roman" w:cs="Times New Roman"/>
        </w:rPr>
        <w:t>prioritise</w:t>
      </w:r>
      <w:proofErr w:type="spellEnd"/>
      <w:r w:rsidR="00EE32D1" w:rsidRPr="007D12BE">
        <w:rPr>
          <w:rFonts w:ascii="Times New Roman" w:hAnsi="Times New Roman" w:cs="Times New Roman"/>
        </w:rPr>
        <w:t xml:space="preserve"> components that have high disruption impact, if they are difficult to substitute and if they have long lead times or high geopolitical exposure.</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lastRenderedPageBreak/>
        <w:t>Sustainability and the Energy Transition</w:t>
      </w:r>
    </w:p>
    <w:p w:rsidR="004C210B" w:rsidRPr="007D12BE" w:rsidRDefault="00343B1E"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hint="eastAsia"/>
        </w:rPr>
        <w:t xml:space="preserve">Sustainability can be a constraint and a source of competitive advantage. The energy transition and </w:t>
      </w:r>
      <w:proofErr w:type="spellStart"/>
      <w:r w:rsidRPr="007D12BE">
        <w:rPr>
          <w:rFonts w:ascii="Times New Roman" w:hAnsi="Times New Roman" w:cs="Times New Roman" w:hint="eastAsia"/>
        </w:rPr>
        <w:t>decarbonisation</w:t>
      </w:r>
      <w:proofErr w:type="spellEnd"/>
      <w:r w:rsidRPr="007D12BE">
        <w:rPr>
          <w:rFonts w:ascii="Times New Roman" w:hAnsi="Times New Roman" w:cs="Times New Roman" w:hint="eastAsia"/>
        </w:rPr>
        <w:t xml:space="preserve"> strategy trends are also referred to in the 2024 reporting, with Scope 3 emissions included, like emissions from purchased goods and services and product use (Rolls-Royce Holdings plc, 2024). The effects extend beyond reports, as sustainability will affect technology investment, product development, choice of supply chains, and market positioning. Rolls-Royce's lower carbon business activities include battery energy storage, small modular reactors, and other technologies that will support a lower carbon energy transition (Rolls-Royce Holdings plc, 2024a).</w:t>
      </w:r>
      <w:r w:rsidR="002153B2" w:rsidRPr="007D12BE">
        <w:rPr>
          <w:rFonts w:ascii="Times New Roman" w:hAnsi="Times New Roman" w:cs="Times New Roman"/>
        </w:rPr>
        <w:t xml:space="preserve"> </w:t>
      </w:r>
      <w:r w:rsidR="00765891" w:rsidRPr="007D12BE">
        <w:rPr>
          <w:rFonts w:ascii="Times New Roman" w:hAnsi="Times New Roman" w:cs="Times New Roman"/>
        </w:rPr>
        <w:t>P</w:t>
      </w:r>
      <w:r w:rsidR="002153B2" w:rsidRPr="007D12BE">
        <w:rPr>
          <w:rFonts w:ascii="Times New Roman" w:hAnsi="Times New Roman" w:cs="Times New Roman"/>
        </w:rPr>
        <w:t xml:space="preserve">ressure towards sustainability creates a need for investing in technology, which creates innovation and the opportunity for differentiation or accessing new markets. Bari, </w:t>
      </w:r>
      <w:proofErr w:type="spellStart"/>
      <w:r w:rsidR="002153B2" w:rsidRPr="007D12BE">
        <w:rPr>
          <w:rFonts w:ascii="Times New Roman" w:hAnsi="Times New Roman" w:cs="Times New Roman"/>
        </w:rPr>
        <w:t>Chimhundu</w:t>
      </w:r>
      <w:proofErr w:type="spellEnd"/>
      <w:r w:rsidR="002153B2" w:rsidRPr="007D12BE">
        <w:rPr>
          <w:rFonts w:ascii="Times New Roman" w:hAnsi="Times New Roman" w:cs="Times New Roman"/>
        </w:rPr>
        <w:t xml:space="preserve"> and Chan (2022) contend that sustainability can be an embedded dynamic capability of the organization and provide long-term competitive advantage. However, there is still uncertainty and high R&amp;D, capital, and commercial costs associated with low-carbon technologies. It is important that sustainability should inform portfolio decisions and not be simply an excuse for investing without a strong strategic rationale.</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CSRD and the Sustainability Information Environment</w:t>
      </w:r>
    </w:p>
    <w:p w:rsidR="004C210B" w:rsidRPr="007D12BE" w:rsidRDefault="007D12BE"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hint="eastAsia"/>
        </w:rPr>
        <w:t xml:space="preserve">The Corporate Sustainability Reporting Directive (CSRD) is a sign of this shift to a time when sustainability is an information and governance challenge for companies. The Directive (EU) 2022/2464 was agreed in 2022 and will apply to the first wave of companies from 2024, with the first reports to be filed in 2025 (European Parliament and Council, 2022). </w:t>
      </w:r>
      <w:proofErr w:type="spellStart"/>
      <w:r w:rsidRPr="007D12BE">
        <w:rPr>
          <w:rFonts w:ascii="Times New Roman" w:hAnsi="Times New Roman" w:cs="Times New Roman" w:hint="eastAsia"/>
        </w:rPr>
        <w:t>Kosi</w:t>
      </w:r>
      <w:proofErr w:type="spellEnd"/>
      <w:r w:rsidRPr="007D12BE">
        <w:rPr>
          <w:rFonts w:ascii="Times New Roman" w:hAnsi="Times New Roman" w:cs="Times New Roman" w:hint="eastAsia"/>
        </w:rPr>
        <w:t xml:space="preserve"> and </w:t>
      </w:r>
      <w:proofErr w:type="spellStart"/>
      <w:r w:rsidRPr="007D12BE">
        <w:rPr>
          <w:rFonts w:ascii="Times New Roman" w:hAnsi="Times New Roman" w:cs="Times New Roman" w:hint="eastAsia"/>
        </w:rPr>
        <w:t>Relard</w:t>
      </w:r>
      <w:proofErr w:type="spellEnd"/>
      <w:r w:rsidRPr="007D12BE">
        <w:rPr>
          <w:rFonts w:ascii="Times New Roman" w:hAnsi="Times New Roman" w:cs="Times New Roman" w:hint="eastAsia"/>
        </w:rPr>
        <w:t xml:space="preserve"> (2024) conclude that pre-existing reporting requirements had an impact on how companies disclosed their sustainability information following CSRD implementation. This geographical and regulatory restraint is important: the outcome is not necessarily direct evidence on Rolls-Royce</w:t>
      </w:r>
      <w:r w:rsidR="002153B2" w:rsidRPr="007D12BE">
        <w:rPr>
          <w:rFonts w:ascii="Times New Roman" w:hAnsi="Times New Roman" w:cs="Times New Roman"/>
        </w:rPr>
        <w:t>. However, they highlight the possibility for earlier investments in reporting processes, controls and sustainability information as a result of regulatory change. Rolls-Royce's strategic message is not simply about meeting legal standards, but building a sustainability capability in terms of trustworthy information, which can help them to guide investment, supply-chain and product decisions. However, the applicability of CSRD must be determined by the company's actual legal scope and cannot be presumed.</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Integrated Strategic Impact: Dynamic Capabilities</w:t>
      </w:r>
    </w:p>
    <w:p w:rsidR="004C210B" w:rsidRPr="007D12BE" w:rsidRDefault="007D12BE"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hint="eastAsia"/>
        </w:rPr>
        <w:t xml:space="preserve">The three pressures are most strategically important because they are taken together. The role of AI can enable improvements in visibility and decision-making; improved visibility can have a positive impact on supply-chain resilience, and both visibility and decision-making can help create more resilient information on sustainability. At the same time, geopolitical challenges are becoming increasingly important for flexible digital capabilities, and sustainability concerns influence decisions </w:t>
      </w:r>
      <w:r w:rsidRPr="007D12BE">
        <w:rPr>
          <w:rFonts w:ascii="Times New Roman" w:hAnsi="Times New Roman" w:cs="Times New Roman" w:hint="eastAsia"/>
        </w:rPr>
        <w:lastRenderedPageBreak/>
        <w:t xml:space="preserve">on technology and products. Dynamic capabilities provide a coherent explanation of this interaction. </w:t>
      </w:r>
      <w:proofErr w:type="spellStart"/>
      <w:r w:rsidRPr="007D12BE">
        <w:rPr>
          <w:rFonts w:ascii="Times New Roman" w:hAnsi="Times New Roman" w:cs="Times New Roman" w:hint="eastAsia"/>
        </w:rPr>
        <w:t>Teece</w:t>
      </w:r>
      <w:proofErr w:type="spellEnd"/>
      <w:r w:rsidRPr="007D12BE">
        <w:rPr>
          <w:rFonts w:ascii="Times New Roman" w:hAnsi="Times New Roman" w:cs="Times New Roman" w:hint="eastAsia"/>
        </w:rPr>
        <w:t xml:space="preserve">, Pisano, and </w:t>
      </w:r>
      <w:proofErr w:type="spellStart"/>
      <w:r w:rsidRPr="007D12BE">
        <w:rPr>
          <w:rFonts w:ascii="Times New Roman" w:hAnsi="Times New Roman" w:cs="Times New Roman" w:hint="eastAsia"/>
        </w:rPr>
        <w:t>Shuen</w:t>
      </w:r>
      <w:proofErr w:type="spellEnd"/>
      <w:r w:rsidRPr="007D12BE">
        <w:rPr>
          <w:rFonts w:ascii="Times New Roman" w:hAnsi="Times New Roman" w:cs="Times New Roman" w:hint="eastAsia"/>
        </w:rPr>
        <w:t xml:space="preserve"> (1997) relate competitive advantage in a dynamic context to the ability to coordinate and recombine resources, and </w:t>
      </w:r>
      <w:proofErr w:type="spellStart"/>
      <w:r w:rsidRPr="007D12BE">
        <w:rPr>
          <w:rFonts w:ascii="Times New Roman" w:hAnsi="Times New Roman" w:cs="Times New Roman" w:hint="eastAsia"/>
        </w:rPr>
        <w:t>Teece</w:t>
      </w:r>
      <w:proofErr w:type="spellEnd"/>
      <w:r w:rsidRPr="007D12BE">
        <w:rPr>
          <w:rFonts w:ascii="Times New Roman" w:hAnsi="Times New Roman" w:cs="Times New Roman" w:hint="eastAsia"/>
        </w:rPr>
        <w:t xml:space="preserve"> (2007) extends the variation of sensing, seizing, and reconfiguring. Sensing involves recognizing opportunities for change in the domains of AI, geopolitics, and sustainability; seizing entails redirecting investments towards new opportunities in high-performing technology and resilience; and reconfiguring involves adapting processes, supplier relationships, skills, and portfolios. However, the flip side is that integration can lead to greater complexity within the </w:t>
      </w:r>
      <w:proofErr w:type="spellStart"/>
      <w:r w:rsidRPr="007D12BE">
        <w:rPr>
          <w:rFonts w:ascii="Times New Roman" w:hAnsi="Times New Roman" w:cs="Times New Roman" w:hint="eastAsia"/>
        </w:rPr>
        <w:t>organisation</w:t>
      </w:r>
      <w:proofErr w:type="spellEnd"/>
      <w:r w:rsidRPr="007D12BE">
        <w:rPr>
          <w:rFonts w:ascii="Times New Roman" w:hAnsi="Times New Roman" w:cs="Times New Roman" w:hint="eastAsia"/>
        </w:rPr>
        <w:t>, as these areas require different skills and governance processes.</w:t>
      </w:r>
      <w:r w:rsidR="00D907A4" w:rsidRPr="007D12BE">
        <w:rPr>
          <w:rFonts w:ascii="Times New Roman" w:hAnsi="Times New Roman" w:cs="Times New Roman"/>
        </w:rPr>
        <w:t xml:space="preserve"> Integration should be about common strategic purposes and a common information infrastructure, rather than any needless </w:t>
      </w:r>
      <w:proofErr w:type="spellStart"/>
      <w:r w:rsidR="00D907A4" w:rsidRPr="007D12BE">
        <w:rPr>
          <w:rFonts w:ascii="Times New Roman" w:hAnsi="Times New Roman" w:cs="Times New Roman"/>
        </w:rPr>
        <w:t>centralisation</w:t>
      </w:r>
      <w:proofErr w:type="spellEnd"/>
      <w:r w:rsidR="00D907A4" w:rsidRPr="007D12BE">
        <w:rPr>
          <w:rFonts w:ascii="Times New Roman" w:hAnsi="Times New Roman" w:cs="Times New Roman"/>
        </w:rPr>
        <w:t xml:space="preserve"> program.</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Recommendations</w:t>
      </w:r>
    </w:p>
    <w:p w:rsidR="004C210B" w:rsidRPr="007D12BE" w:rsidRDefault="005C3385" w:rsidP="00765891">
      <w:pPr>
        <w:pStyle w:val="Heading2"/>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1. Scale AI Selectively in High-Value Operations</w:t>
      </w:r>
    </w:p>
    <w:p w:rsidR="004C210B" w:rsidRPr="007D12BE" w:rsidRDefault="00D907A4"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rPr>
        <w:t>Rolls-Royce needs to focus more on AI for engineering, MRO, and visibility of supply chains where there is apparent evidence in these areas. Investment should be tied to KPIs like inspection times, shop visit costs, forecast accuracy, and decision times. Technology investment should go hand in hand with skills development, cyber security, data governance and human oversight. It's a more effective way to capture value without an expensive “AI everywhere” strategy.</w:t>
      </w:r>
    </w:p>
    <w:p w:rsidR="004C210B" w:rsidRPr="007D12BE" w:rsidRDefault="005C3385" w:rsidP="00765891">
      <w:pPr>
        <w:pStyle w:val="Heading2"/>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2. Build Risk-Based Supply-Chain Resilience</w:t>
      </w:r>
    </w:p>
    <w:p w:rsidR="004C210B" w:rsidRPr="007D12BE" w:rsidRDefault="00D907A4"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rPr>
        <w:t xml:space="preserve">Rolls-Royce needs to identify critical suppliers and components, based on disruption, substitutability, lead time, and geopolitical exposure. Use of dual sourcing, alternative capacity, and scenario testing should be considered on a case-by-case basis to </w:t>
      </w:r>
      <w:proofErr w:type="spellStart"/>
      <w:r w:rsidRPr="007D12BE">
        <w:rPr>
          <w:rFonts w:ascii="Times New Roman" w:hAnsi="Times New Roman" w:cs="Times New Roman"/>
        </w:rPr>
        <w:t>maximise</w:t>
      </w:r>
      <w:proofErr w:type="spellEnd"/>
      <w:r w:rsidRPr="007D12BE">
        <w:rPr>
          <w:rFonts w:ascii="Times New Roman" w:hAnsi="Times New Roman" w:cs="Times New Roman"/>
        </w:rPr>
        <w:t xml:space="preserve"> resilience without additional costs. Digital supplier monitoring should complement early warning and response. This is a compromise between durability and the efficiency that can be lost with too many redundant components.</w:t>
      </w:r>
    </w:p>
    <w:p w:rsidR="004C210B" w:rsidRPr="007D12BE" w:rsidRDefault="005C3385" w:rsidP="00765891">
      <w:pPr>
        <w:pStyle w:val="Heading2"/>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t>3. Make Sustainability a Criterion for Innovation and Portfolio Decisions</w:t>
      </w:r>
    </w:p>
    <w:p w:rsidR="004C210B" w:rsidRPr="007D12BE" w:rsidRDefault="00D907A4" w:rsidP="00765891">
      <w:pPr>
        <w:spacing w:before="240" w:after="240" w:line="360" w:lineRule="auto"/>
        <w:ind w:firstLine="720"/>
        <w:jc w:val="both"/>
        <w:rPr>
          <w:rFonts w:ascii="Times New Roman" w:hAnsi="Times New Roman" w:cs="Times New Roman"/>
        </w:rPr>
      </w:pPr>
      <w:proofErr w:type="spellStart"/>
      <w:r w:rsidRPr="007D12BE">
        <w:rPr>
          <w:rFonts w:ascii="Times New Roman" w:hAnsi="Times New Roman" w:cs="Times New Roman"/>
        </w:rPr>
        <w:t>Decarbonisation</w:t>
      </w:r>
      <w:proofErr w:type="spellEnd"/>
      <w:r w:rsidRPr="007D12BE">
        <w:rPr>
          <w:rFonts w:ascii="Times New Roman" w:hAnsi="Times New Roman" w:cs="Times New Roman"/>
        </w:rPr>
        <w:t xml:space="preserve"> must be embedded in technology, product and capital allocation decisions, not just reported. Sustainability information should guide product design and supply-chain decisions, and lower-carbon technologies should be evaluated for meaningful differentiation and future market opportunity. Commercial, technical, and adoption risks should be kept clear in decision-making regarding investments.</w:t>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lastRenderedPageBreak/>
        <w:t>Conclusion</w:t>
      </w:r>
    </w:p>
    <w:p w:rsidR="004C210B" w:rsidRPr="007D12BE" w:rsidRDefault="007D12BE" w:rsidP="00765891">
      <w:pPr>
        <w:spacing w:before="240" w:after="240" w:line="360" w:lineRule="auto"/>
        <w:ind w:firstLine="720"/>
        <w:jc w:val="both"/>
        <w:rPr>
          <w:rFonts w:ascii="Times New Roman" w:hAnsi="Times New Roman" w:cs="Times New Roman"/>
        </w:rPr>
      </w:pPr>
      <w:r w:rsidRPr="007D12BE">
        <w:rPr>
          <w:rFonts w:ascii="Times New Roman" w:hAnsi="Times New Roman" w:cs="Times New Roman" w:hint="eastAsia"/>
        </w:rPr>
        <w:t>Rolls-Royce's world is becoming more and more complex, with technological change, geopolitical instability and sustainability pressures all intertwined. However, AI can only improve an organization's operational performance and flexibility if complemented by other skills, data and governance. Targeted resilience, rather than overcapacity or efficiency-driven sourcing, is a better approach to avoid material exposure due to supply chai</w:t>
      </w:r>
      <w:bookmarkStart w:id="0" w:name="_GoBack"/>
      <w:bookmarkEnd w:id="0"/>
      <w:r w:rsidRPr="007D12BE">
        <w:rPr>
          <w:rFonts w:ascii="Times New Roman" w:hAnsi="Times New Roman" w:cs="Times New Roman" w:hint="eastAsia"/>
        </w:rPr>
        <w:t>n disruption. Even if reporting and investment costs occur because of sustainability, there is also a potential for innovation and positioning from the investments themselves. Integrated capability-building is therefore the strongest strategic direction, as selective AI scaling, risk-based resilience, and innovation for sustainability should be mutually reinforcing and also rigorously commercially evaluated</w:t>
      </w:r>
      <w:r w:rsidR="00FE6761" w:rsidRPr="007D12BE">
        <w:rPr>
          <w:rFonts w:ascii="Times New Roman" w:hAnsi="Times New Roman" w:cs="Times New Roman"/>
        </w:rPr>
        <w:t>.</w:t>
      </w:r>
    </w:p>
    <w:p w:rsidR="00C7713F" w:rsidRPr="007D12BE" w:rsidRDefault="00C7713F" w:rsidP="00765891">
      <w:pPr>
        <w:spacing w:after="200" w:line="360" w:lineRule="auto"/>
        <w:rPr>
          <w:rFonts w:ascii="Times New Roman" w:hAnsi="Times New Roman" w:cs="Times New Roman"/>
        </w:rPr>
      </w:pPr>
      <w:r w:rsidRPr="007D12BE">
        <w:rPr>
          <w:rFonts w:ascii="Times New Roman" w:hAnsi="Times New Roman" w:cs="Times New Roman"/>
        </w:rPr>
        <w:br w:type="page"/>
      </w:r>
    </w:p>
    <w:p w:rsidR="004C210B" w:rsidRPr="007D12BE" w:rsidRDefault="005C3385" w:rsidP="00765891">
      <w:pPr>
        <w:pStyle w:val="Heading1"/>
        <w:spacing w:before="240" w:after="240" w:line="360" w:lineRule="auto"/>
        <w:jc w:val="both"/>
        <w:rPr>
          <w:rFonts w:ascii="Times New Roman" w:hAnsi="Times New Roman" w:cs="Times New Roman"/>
          <w:sz w:val="22"/>
          <w:szCs w:val="22"/>
        </w:rPr>
      </w:pPr>
      <w:r w:rsidRPr="007D12BE">
        <w:rPr>
          <w:rFonts w:ascii="Times New Roman" w:hAnsi="Times New Roman" w:cs="Times New Roman"/>
          <w:sz w:val="22"/>
          <w:szCs w:val="22"/>
        </w:rPr>
        <w:lastRenderedPageBreak/>
        <w:t>References</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Artificial intelligence techniques for enhancing supply chain resilience: A systematic literature review, holistic framework, and future research (2023) ‘Artificial intelligence techniques for enhancing supply chain resilience: A systematic literature review, holistic framework, and future research’, Computers &amp; Industrial Engineering, 186, 109714. doi:10.1016/j.cie.2023.109714.</w:t>
      </w:r>
      <w:r w:rsidR="00765891" w:rsidRPr="007D12BE">
        <w:rPr>
          <w:rFonts w:ascii="Times New Roman" w:hAnsi="Times New Roman" w:cs="Times New Roman"/>
        </w:rPr>
        <w:t xml:space="preserve"> </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 xml:space="preserve">Bari, N., Chimhundu, R. and Chan, K.-C. (2022) ‘Dynamic Capabilities to Achieve Corporate Sustainability: A Roadmap to Sustained Competitive Advantage’, Sustainability, 14(3), 1531. </w:t>
      </w:r>
      <w:proofErr w:type="gramStart"/>
      <w:r w:rsidRPr="007D12BE">
        <w:rPr>
          <w:rFonts w:ascii="Times New Roman" w:hAnsi="Times New Roman" w:cs="Times New Roman"/>
        </w:rPr>
        <w:t>doi:</w:t>
      </w:r>
      <w:proofErr w:type="gramEnd"/>
      <w:r w:rsidRPr="007D12BE">
        <w:rPr>
          <w:rFonts w:ascii="Times New Roman" w:hAnsi="Times New Roman" w:cs="Times New Roman"/>
        </w:rPr>
        <w:t>10.3390/su14031531.</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 xml:space="preserve">Belhadi, A., Kamble, S., Subramanian, N., Singh, R.K. and Venkatesh, M. (2024) ‘Digital capabilities to manage agri-food supply chain uncertainties and build supply chain resilience during compounding geopolitical disruptions’, International Journal of Operations &amp; Production Management, 44(11), pp. 1914–1950. </w:t>
      </w:r>
      <w:proofErr w:type="gramStart"/>
      <w:r w:rsidRPr="007D12BE">
        <w:rPr>
          <w:rFonts w:ascii="Times New Roman" w:hAnsi="Times New Roman" w:cs="Times New Roman"/>
        </w:rPr>
        <w:t>doi:</w:t>
      </w:r>
      <w:proofErr w:type="gramEnd"/>
      <w:r w:rsidRPr="007D12BE">
        <w:rPr>
          <w:rFonts w:ascii="Times New Roman" w:hAnsi="Times New Roman" w:cs="Times New Roman"/>
        </w:rPr>
        <w:t>10.1108/IJOPM-11-2022-0737.</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European Parliament and Council (2022) Directive (EU) 2022/2464 of 14 December 2022 as regards corporate sustainability reporting. Official Journal of the European Union, L 322, pp. 15–80.</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Kosi, U. and Relard, P. (2024) ‘Are firms (getting) ready for the corporate sustainability reporting directive?</w:t>
      </w:r>
      <w:proofErr w:type="gramStart"/>
      <w:r w:rsidRPr="007D12BE">
        <w:rPr>
          <w:rFonts w:ascii="Times New Roman" w:hAnsi="Times New Roman" w:cs="Times New Roman"/>
        </w:rPr>
        <w:t>’,</w:t>
      </w:r>
      <w:proofErr w:type="gramEnd"/>
      <w:r w:rsidRPr="007D12BE">
        <w:rPr>
          <w:rFonts w:ascii="Times New Roman" w:hAnsi="Times New Roman" w:cs="Times New Roman"/>
        </w:rPr>
        <w:t xml:space="preserve"> Sustainability Nexus Forum, 32, 5. </w:t>
      </w:r>
      <w:proofErr w:type="gramStart"/>
      <w:r w:rsidRPr="007D12BE">
        <w:rPr>
          <w:rFonts w:ascii="Times New Roman" w:hAnsi="Times New Roman" w:cs="Times New Roman"/>
        </w:rPr>
        <w:t>doi:</w:t>
      </w:r>
      <w:proofErr w:type="gramEnd"/>
      <w:r w:rsidRPr="007D12BE">
        <w:rPr>
          <w:rFonts w:ascii="Times New Roman" w:hAnsi="Times New Roman" w:cs="Times New Roman"/>
        </w:rPr>
        <w:t>10.1007/s00550-024-00541-1.</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Rolls-Royce Holdings plc (2024) Annual Report 2024. Available at: https://www.rolls-royce.com/investors/results-reports-and-presentations/ar-annual-reports.aspx.</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Rolls-Royce Holdings plc (2024a) 2024 Half Year Results. Available at: https://www.rolls-royce.com/investors/results-reports-and-presentations/financial-results/rr-holdings-plc-2024-half-year-results.aspx.</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Rolls-Royce Holdings plc (2025a) 2024 Full Year Results. Available at: https://www.rolls-royce.com/investors/results-reports-and-presentations/financial-results/rr-holdings-plc-2024-full-year-results.aspx.</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Asadollah, O., Carmy, L.S., Hoque, M.R. and Yilmazkuday, H. (2024) ‘Geopolitical risk, supply chains, and global inflation’, The World Economy, 47(8), pp. 3450–3486. doi:10.1111/twec.13585.</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Sullivan, Y. and Fosso Wamba, S. (2024) ‘Artificial intelligence and adaptive response to market changes: A strategy to enhance firm performance and innovation’, Journal of Business Research, 174, 114500. doi:10.1016/j.jbusres.2024.114500.</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lastRenderedPageBreak/>
        <w:t xml:space="preserve">Teece, D.J., Pisano, G. and Shuen, A. (1997) ‘Dynamic capabilities and strategic management’, Strategic Management Journal, 18(7), pp. 509–533. </w:t>
      </w:r>
      <w:proofErr w:type="gramStart"/>
      <w:r w:rsidRPr="007D12BE">
        <w:rPr>
          <w:rFonts w:ascii="Times New Roman" w:hAnsi="Times New Roman" w:cs="Times New Roman"/>
        </w:rPr>
        <w:t>doi:</w:t>
      </w:r>
      <w:proofErr w:type="gramEnd"/>
      <w:r w:rsidRPr="007D12BE">
        <w:rPr>
          <w:rFonts w:ascii="Times New Roman" w:hAnsi="Times New Roman" w:cs="Times New Roman"/>
        </w:rPr>
        <w:t>10.1002/(SICI)1097-0266(199708)18:7&lt;509::AID-SMJ882&gt;3.0.CO;2-Z.</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Teece, D.J. (2007) ‘Explicating dynamic capabilities: the nature and microfoundations of (sustainable) enterprise performance’, Strategic Management Journal, 28(13), pp. 1319–1350. doi:10.1002/smj.640.</w:t>
      </w:r>
    </w:p>
    <w:p w:rsidR="004C210B" w:rsidRPr="007D12BE" w:rsidRDefault="005C3385" w:rsidP="00765891">
      <w:pPr>
        <w:spacing w:before="240" w:after="240" w:line="360" w:lineRule="auto"/>
        <w:ind w:left="360" w:hanging="360"/>
        <w:jc w:val="both"/>
        <w:rPr>
          <w:rFonts w:ascii="Times New Roman" w:hAnsi="Times New Roman" w:cs="Times New Roman"/>
        </w:rPr>
      </w:pPr>
      <w:r w:rsidRPr="007D12BE">
        <w:rPr>
          <w:rFonts w:ascii="Times New Roman" w:hAnsi="Times New Roman" w:cs="Times New Roman"/>
        </w:rPr>
        <w:t>Wild, J.J. and Wild, K.L. (2022) International Business: The Challenges of Globalization. 10th edn. Pearson.</w:t>
      </w:r>
    </w:p>
    <w:p w:rsidR="00C15587" w:rsidRPr="007D12BE" w:rsidRDefault="00C15587" w:rsidP="00765891">
      <w:pPr>
        <w:spacing w:before="240" w:after="240" w:line="360" w:lineRule="auto"/>
        <w:jc w:val="both"/>
        <w:rPr>
          <w:rFonts w:ascii="Times New Roman" w:hAnsi="Times New Roman" w:cs="Times New Roman"/>
        </w:rPr>
      </w:pPr>
    </w:p>
    <w:p w:rsidR="00C15587" w:rsidRPr="007D12BE" w:rsidRDefault="00C15587" w:rsidP="00C15587">
      <w:pPr>
        <w:rPr>
          <w:rFonts w:ascii="Times New Roman" w:hAnsi="Times New Roman" w:cs="Times New Roman"/>
        </w:rPr>
      </w:pPr>
    </w:p>
    <w:p w:rsidR="00C15587" w:rsidRPr="007D12BE" w:rsidRDefault="00C15587" w:rsidP="00C15587">
      <w:pPr>
        <w:rPr>
          <w:rFonts w:ascii="Times New Roman" w:hAnsi="Times New Roman" w:cs="Times New Roman"/>
        </w:rPr>
      </w:pPr>
    </w:p>
    <w:p w:rsidR="00C15587" w:rsidRPr="007D12BE" w:rsidRDefault="00C15587" w:rsidP="00C15587">
      <w:pPr>
        <w:rPr>
          <w:rFonts w:ascii="Times New Roman" w:hAnsi="Times New Roman" w:cs="Times New Roman"/>
        </w:rPr>
      </w:pPr>
    </w:p>
    <w:p w:rsidR="00C15587" w:rsidRPr="007D12BE" w:rsidRDefault="00C15587" w:rsidP="00C15587">
      <w:pPr>
        <w:rPr>
          <w:rFonts w:ascii="Times New Roman" w:hAnsi="Times New Roman" w:cs="Times New Roman"/>
        </w:rPr>
      </w:pPr>
    </w:p>
    <w:p w:rsidR="00C15587" w:rsidRPr="007D12BE" w:rsidRDefault="00C15587" w:rsidP="00C15587">
      <w:pPr>
        <w:rPr>
          <w:rFonts w:ascii="Times New Roman" w:hAnsi="Times New Roman" w:cs="Times New Roman"/>
        </w:rPr>
      </w:pPr>
    </w:p>
    <w:p w:rsidR="004C210B" w:rsidRPr="007D12BE" w:rsidRDefault="00C15587" w:rsidP="00C15587">
      <w:pPr>
        <w:tabs>
          <w:tab w:val="left" w:pos="5865"/>
        </w:tabs>
        <w:rPr>
          <w:rFonts w:ascii="Times New Roman" w:hAnsi="Times New Roman" w:cs="Times New Roman"/>
        </w:rPr>
      </w:pPr>
      <w:r w:rsidRPr="007D12BE">
        <w:rPr>
          <w:rFonts w:ascii="Times New Roman" w:hAnsi="Times New Roman" w:cs="Times New Roman"/>
        </w:rPr>
        <w:tab/>
      </w:r>
    </w:p>
    <w:sectPr w:rsidR="004C210B" w:rsidRPr="007D12BE" w:rsidSect="006C6776">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22E4" w:rsidRDefault="00A522E4">
      <w:pPr>
        <w:spacing w:after="0" w:line="240" w:lineRule="auto"/>
        <w:rPr>
          <w:rFonts w:hint="eastAsia"/>
        </w:rPr>
      </w:pPr>
      <w:r>
        <w:separator/>
      </w:r>
    </w:p>
  </w:endnote>
  <w:endnote w:type="continuationSeparator" w:id="0">
    <w:p w:rsidR="00A522E4" w:rsidRDefault="00A522E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168383"/>
      <w:docPartObj>
        <w:docPartGallery w:val="Page Numbers (Bottom of Page)"/>
        <w:docPartUnique/>
      </w:docPartObj>
    </w:sdtPr>
    <w:sdtEndPr>
      <w:rPr>
        <w:noProof/>
      </w:rPr>
    </w:sdtEndPr>
    <w:sdtContent>
      <w:p w:rsidR="006C6776" w:rsidRDefault="006C6776">
        <w:pPr>
          <w:pStyle w:val="Footer"/>
          <w:jc w:val="center"/>
          <w:rPr>
            <w:rFonts w:hint="eastAsia"/>
          </w:rPr>
        </w:pPr>
        <w:r>
          <w:fldChar w:fldCharType="begin"/>
        </w:r>
        <w:r>
          <w:instrText xml:space="preserve"> PAGE   \* MERGEFORMAT </w:instrText>
        </w:r>
        <w:r>
          <w:fldChar w:fldCharType="separate"/>
        </w:r>
        <w:r w:rsidR="007D12BE">
          <w:rPr>
            <w:rFonts w:hint="eastAsia"/>
            <w:noProof/>
          </w:rPr>
          <w:t>8</w:t>
        </w:r>
        <w:r>
          <w:rPr>
            <w:noProof/>
          </w:rPr>
          <w:fldChar w:fldCharType="end"/>
        </w:r>
      </w:p>
    </w:sdtContent>
  </w:sdt>
  <w:p w:rsidR="006C6776" w:rsidRDefault="006C6776">
    <w:pPr>
      <w:pStyle w:val="Footer"/>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22E4" w:rsidRDefault="00A522E4">
      <w:pPr>
        <w:spacing w:after="0" w:line="240" w:lineRule="auto"/>
        <w:rPr>
          <w:rFonts w:hint="eastAsia"/>
        </w:rPr>
      </w:pPr>
      <w:r>
        <w:separator/>
      </w:r>
    </w:p>
  </w:footnote>
  <w:footnote w:type="continuationSeparator" w:id="0">
    <w:p w:rsidR="00A522E4" w:rsidRDefault="00A522E4">
      <w:pPr>
        <w:spacing w:after="0" w:line="240" w:lineRule="auto"/>
        <w:rPr>
          <w:rFonts w:hint="eastAsia"/>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5776C"/>
    <w:rsid w:val="0006063C"/>
    <w:rsid w:val="0015074B"/>
    <w:rsid w:val="002153B2"/>
    <w:rsid w:val="0029639D"/>
    <w:rsid w:val="00326F90"/>
    <w:rsid w:val="00343B1E"/>
    <w:rsid w:val="003D616E"/>
    <w:rsid w:val="004C210B"/>
    <w:rsid w:val="00532297"/>
    <w:rsid w:val="005C3385"/>
    <w:rsid w:val="005D0EA8"/>
    <w:rsid w:val="006A4044"/>
    <w:rsid w:val="006C6776"/>
    <w:rsid w:val="00765891"/>
    <w:rsid w:val="007D12BE"/>
    <w:rsid w:val="0088223F"/>
    <w:rsid w:val="009756D1"/>
    <w:rsid w:val="00A522E4"/>
    <w:rsid w:val="00AA1D8D"/>
    <w:rsid w:val="00B33486"/>
    <w:rsid w:val="00B47730"/>
    <w:rsid w:val="00B666B3"/>
    <w:rsid w:val="00C15587"/>
    <w:rsid w:val="00C7713F"/>
    <w:rsid w:val="00CB0664"/>
    <w:rsid w:val="00D46E91"/>
    <w:rsid w:val="00D907A4"/>
    <w:rsid w:val="00DB2312"/>
    <w:rsid w:val="00EE32D1"/>
    <w:rsid w:val="00FC693F"/>
    <w:rsid w:val="00FE676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1D1C5EF6-A5AE-40DD-8E04-2EB1EF56E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00" w:line="259" w:lineRule="auto"/>
    </w:pPr>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1Light-Accent1">
    <w:name w:val="Grid Table 1 Light Accent 1"/>
    <w:basedOn w:val="TableNormal"/>
    <w:uiPriority w:val="46"/>
    <w:rsid w:val="006C6776"/>
    <w:pPr>
      <w:spacing w:after="0" w:line="240" w:lineRule="auto"/>
    </w:p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98D736-E329-4EFE-8E84-C65F1ABA8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2312</Words>
  <Characters>13182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15464</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NAFEES</cp:lastModifiedBy>
  <cp:revision>17</cp:revision>
  <dcterms:created xsi:type="dcterms:W3CDTF">2013-12-23T23:15:00Z</dcterms:created>
  <dcterms:modified xsi:type="dcterms:W3CDTF">2026-08-20T18:10:00Z</dcterms:modified>
  <cp:category/>
</cp:coreProperties>
</file>